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D0BD6F" w14:textId="77777777" w:rsidR="009E3ECE" w:rsidRPr="007148B2" w:rsidRDefault="009E3ECE" w:rsidP="007148B2">
      <w:pPr>
        <w:pStyle w:val="Sinespaciado"/>
        <w:rPr>
          <w:color w:val="auto"/>
          <w:szCs w:val="24"/>
        </w:rPr>
      </w:pPr>
      <w:r w:rsidRPr="007148B2">
        <w:rPr>
          <w:color w:val="auto"/>
          <w:szCs w:val="24"/>
        </w:rPr>
        <w:t>CONSEJERO PONENTE: JAIME ENRIQUE RODRÍGUEZ NAVAS</w:t>
      </w:r>
    </w:p>
    <w:p w14:paraId="66003472" w14:textId="77777777" w:rsidR="009E3ECE" w:rsidRPr="007148B2" w:rsidRDefault="009E3ECE" w:rsidP="007148B2">
      <w:pPr>
        <w:contextualSpacing/>
        <w:rPr>
          <w:b/>
          <w:bCs/>
          <w:sz w:val="24"/>
          <w:szCs w:val="24"/>
        </w:rPr>
      </w:pPr>
    </w:p>
    <w:p w14:paraId="7543FA58" w14:textId="208EDD30" w:rsidR="00FE5C9F" w:rsidRPr="007A3F17" w:rsidRDefault="00D967B7" w:rsidP="007148B2">
      <w:pPr>
        <w:contextualSpacing/>
        <w:rPr>
          <w:bCs/>
          <w:sz w:val="24"/>
          <w:szCs w:val="24"/>
          <w:lang w:val="es-ES"/>
        </w:rPr>
      </w:pPr>
      <w:r>
        <w:rPr>
          <w:bCs/>
          <w:sz w:val="24"/>
          <w:szCs w:val="24"/>
        </w:rPr>
        <w:t>Bogotá D.C., dieciocho (18) de enero de dos mil veintiuno (2021)</w:t>
      </w:r>
    </w:p>
    <w:p w14:paraId="4BE8022C" w14:textId="77777777" w:rsidR="00FE5C9F" w:rsidRPr="007148B2" w:rsidRDefault="00FE5C9F" w:rsidP="007148B2">
      <w:pPr>
        <w:contextualSpacing/>
        <w:rPr>
          <w:b/>
          <w:sz w:val="24"/>
          <w:szCs w:val="24"/>
        </w:rPr>
      </w:pPr>
    </w:p>
    <w:p w14:paraId="1EA823BC" w14:textId="77777777" w:rsidR="00FE5C9F" w:rsidRPr="007148B2" w:rsidRDefault="00FE5C9F" w:rsidP="007148B2">
      <w:pPr>
        <w:ind w:left="1985" w:hanging="1985"/>
        <w:contextualSpacing/>
        <w:rPr>
          <w:b/>
          <w:sz w:val="24"/>
          <w:szCs w:val="24"/>
        </w:rPr>
      </w:pPr>
      <w:r w:rsidRPr="007148B2">
        <w:rPr>
          <w:b/>
          <w:sz w:val="24"/>
          <w:szCs w:val="24"/>
        </w:rPr>
        <w:t xml:space="preserve">Referencia: </w:t>
      </w:r>
      <w:r w:rsidRPr="007148B2">
        <w:rPr>
          <w:b/>
          <w:sz w:val="24"/>
          <w:szCs w:val="24"/>
        </w:rPr>
        <w:tab/>
      </w:r>
      <w:r w:rsidRPr="007148B2">
        <w:rPr>
          <w:sz w:val="24"/>
          <w:szCs w:val="24"/>
        </w:rPr>
        <w:t>Acción de tutela.</w:t>
      </w:r>
    </w:p>
    <w:p w14:paraId="336F9D4B" w14:textId="77777777" w:rsidR="00FE5C9F" w:rsidRPr="007148B2" w:rsidRDefault="00FE5C9F" w:rsidP="007148B2">
      <w:pPr>
        <w:tabs>
          <w:tab w:val="left" w:pos="1985"/>
        </w:tabs>
        <w:contextualSpacing/>
        <w:rPr>
          <w:sz w:val="24"/>
          <w:szCs w:val="24"/>
        </w:rPr>
      </w:pPr>
      <w:r w:rsidRPr="007148B2">
        <w:rPr>
          <w:b/>
          <w:sz w:val="24"/>
          <w:szCs w:val="24"/>
        </w:rPr>
        <w:t>Radicación:</w:t>
      </w:r>
      <w:r w:rsidRPr="007148B2">
        <w:rPr>
          <w:b/>
          <w:sz w:val="24"/>
          <w:szCs w:val="24"/>
        </w:rPr>
        <w:tab/>
      </w:r>
      <w:r w:rsidRPr="007148B2">
        <w:rPr>
          <w:sz w:val="24"/>
          <w:szCs w:val="24"/>
        </w:rPr>
        <w:t>11001-03-15-000-2020-04595-00.</w:t>
      </w:r>
    </w:p>
    <w:p w14:paraId="5BF21059" w14:textId="77777777" w:rsidR="00FE5C9F" w:rsidRPr="007148B2" w:rsidRDefault="00FE5C9F" w:rsidP="007148B2">
      <w:pPr>
        <w:tabs>
          <w:tab w:val="left" w:pos="1985"/>
        </w:tabs>
        <w:ind w:left="1980" w:hanging="1980"/>
        <w:contextualSpacing/>
        <w:rPr>
          <w:sz w:val="24"/>
          <w:szCs w:val="24"/>
        </w:rPr>
      </w:pPr>
      <w:r w:rsidRPr="007148B2">
        <w:rPr>
          <w:b/>
          <w:sz w:val="24"/>
          <w:szCs w:val="24"/>
        </w:rPr>
        <w:t>Accionante:</w:t>
      </w:r>
      <w:r w:rsidRPr="007148B2">
        <w:rPr>
          <w:b/>
          <w:sz w:val="24"/>
          <w:szCs w:val="24"/>
        </w:rPr>
        <w:tab/>
      </w:r>
      <w:r w:rsidRPr="007148B2">
        <w:rPr>
          <w:sz w:val="24"/>
          <w:szCs w:val="24"/>
        </w:rPr>
        <w:t>Nación, Rama Judicial, Consejo Superior de la Judicatura, Dirección Ejecutiva de Administración Judicial.</w:t>
      </w:r>
    </w:p>
    <w:p w14:paraId="706A18D2" w14:textId="77777777" w:rsidR="00FE5C9F" w:rsidRPr="007148B2" w:rsidRDefault="00FE5C9F" w:rsidP="007148B2">
      <w:pPr>
        <w:tabs>
          <w:tab w:val="left" w:pos="1985"/>
        </w:tabs>
        <w:ind w:left="1985" w:right="51" w:hanging="1985"/>
        <w:contextualSpacing/>
        <w:rPr>
          <w:bCs/>
          <w:sz w:val="24"/>
          <w:szCs w:val="24"/>
        </w:rPr>
      </w:pPr>
      <w:r w:rsidRPr="007148B2">
        <w:rPr>
          <w:b/>
          <w:sz w:val="24"/>
          <w:szCs w:val="24"/>
        </w:rPr>
        <w:t>Accionado:</w:t>
      </w:r>
      <w:r w:rsidRPr="007148B2">
        <w:rPr>
          <w:b/>
          <w:sz w:val="24"/>
          <w:szCs w:val="24"/>
        </w:rPr>
        <w:tab/>
      </w:r>
      <w:r w:rsidRPr="007148B2">
        <w:rPr>
          <w:sz w:val="24"/>
          <w:szCs w:val="24"/>
        </w:rPr>
        <w:t>Subsección B de la Sección Tercera del Consejo de Estado</w:t>
      </w:r>
      <w:r w:rsidRPr="007148B2">
        <w:rPr>
          <w:bCs/>
          <w:sz w:val="24"/>
          <w:szCs w:val="24"/>
        </w:rPr>
        <w:t>.</w:t>
      </w:r>
    </w:p>
    <w:p w14:paraId="31471F1C" w14:textId="77777777" w:rsidR="00FE5C9F" w:rsidRPr="007148B2" w:rsidRDefault="00FE5C9F" w:rsidP="007148B2">
      <w:pPr>
        <w:tabs>
          <w:tab w:val="left" w:pos="8222"/>
        </w:tabs>
        <w:ind w:right="51"/>
        <w:contextualSpacing/>
        <w:rPr>
          <w:b/>
          <w:sz w:val="24"/>
          <w:szCs w:val="24"/>
        </w:rPr>
      </w:pPr>
    </w:p>
    <w:p w14:paraId="10814187" w14:textId="77777777" w:rsidR="00FE5C9F" w:rsidRPr="007148B2" w:rsidRDefault="00FE5C9F" w:rsidP="007148B2">
      <w:pPr>
        <w:pBdr>
          <w:bottom w:val="single" w:sz="12" w:space="0" w:color="auto"/>
        </w:pBdr>
        <w:ind w:left="2832" w:hanging="2832"/>
        <w:contextualSpacing/>
        <w:rPr>
          <w:b/>
          <w:sz w:val="24"/>
          <w:szCs w:val="24"/>
        </w:rPr>
      </w:pPr>
      <w:r w:rsidRPr="007148B2">
        <w:rPr>
          <w:b/>
          <w:sz w:val="24"/>
          <w:szCs w:val="24"/>
        </w:rPr>
        <w:t>SENTENCIA DE PRIMERA INSTANCIA</w:t>
      </w:r>
    </w:p>
    <w:p w14:paraId="49BB8F0A" w14:textId="77777777" w:rsidR="00FE5C9F" w:rsidRPr="007148B2" w:rsidRDefault="00FE5C9F" w:rsidP="007148B2">
      <w:pPr>
        <w:contextualSpacing/>
        <w:jc w:val="center"/>
        <w:rPr>
          <w:b/>
          <w:sz w:val="24"/>
          <w:szCs w:val="24"/>
        </w:rPr>
      </w:pPr>
    </w:p>
    <w:p w14:paraId="3B6B58E9" w14:textId="14C79194" w:rsidR="00FE5C9F" w:rsidRPr="007148B2" w:rsidRDefault="00FE5C9F" w:rsidP="007148B2">
      <w:pPr>
        <w:pStyle w:val="Textoindependiente21"/>
        <w:spacing w:after="0"/>
        <w:ind w:left="0"/>
        <w:jc w:val="both"/>
        <w:rPr>
          <w:rFonts w:cs="Arial"/>
          <w:bCs/>
          <w:sz w:val="24"/>
          <w:szCs w:val="24"/>
          <w:lang w:val="es-CO"/>
        </w:rPr>
      </w:pPr>
      <w:r w:rsidRPr="007148B2">
        <w:rPr>
          <w:rFonts w:cs="Arial"/>
          <w:sz w:val="24"/>
          <w:szCs w:val="24"/>
        </w:rPr>
        <w:t xml:space="preserve">La Sala decide en primera instancia la acción de tutela incoada por la Nación, Rama Judicial, Consejo Superior de la Judicatura, Dirección Ejecutiva de Administración Judicial </w:t>
      </w:r>
      <w:r w:rsidR="006C5DE5" w:rsidRPr="007148B2">
        <w:rPr>
          <w:rFonts w:cs="Arial"/>
          <w:sz w:val="24"/>
          <w:szCs w:val="24"/>
        </w:rPr>
        <w:t>(DEAJ)</w:t>
      </w:r>
      <w:r w:rsidR="007A3F17">
        <w:rPr>
          <w:rFonts w:cs="Arial"/>
          <w:sz w:val="24"/>
          <w:szCs w:val="24"/>
        </w:rPr>
        <w:t>,</w:t>
      </w:r>
      <w:r w:rsidR="006C5DE5" w:rsidRPr="007148B2">
        <w:rPr>
          <w:rFonts w:cs="Arial"/>
          <w:sz w:val="24"/>
          <w:szCs w:val="24"/>
        </w:rPr>
        <w:t xml:space="preserve"> </w:t>
      </w:r>
      <w:r w:rsidRPr="007148B2">
        <w:rPr>
          <w:rFonts w:cs="Arial"/>
          <w:sz w:val="24"/>
          <w:szCs w:val="24"/>
        </w:rPr>
        <w:t>en contra</w:t>
      </w:r>
      <w:bookmarkStart w:id="0" w:name="_Hlk49761891"/>
      <w:r w:rsidRPr="007148B2">
        <w:rPr>
          <w:rFonts w:cs="Arial"/>
          <w:sz w:val="24"/>
          <w:szCs w:val="24"/>
        </w:rPr>
        <w:t xml:space="preserve"> de la Subsección B de la Sección Tercera del Consejo de Estado</w:t>
      </w:r>
      <w:r w:rsidRPr="007148B2">
        <w:rPr>
          <w:rFonts w:cs="Arial"/>
          <w:bCs/>
          <w:sz w:val="24"/>
          <w:szCs w:val="24"/>
          <w:lang w:val="es-CO"/>
        </w:rPr>
        <w:t>.</w:t>
      </w:r>
    </w:p>
    <w:p w14:paraId="203EBA2A" w14:textId="77777777" w:rsidR="00FE5C9F" w:rsidRPr="007148B2" w:rsidRDefault="00FE5C9F" w:rsidP="007148B2">
      <w:pPr>
        <w:pStyle w:val="Textoindependiente21"/>
        <w:spacing w:after="0"/>
        <w:ind w:left="0"/>
        <w:jc w:val="both"/>
        <w:rPr>
          <w:rFonts w:cs="Arial"/>
          <w:bCs/>
          <w:sz w:val="24"/>
          <w:szCs w:val="24"/>
          <w:lang w:val="es-CO"/>
        </w:rPr>
      </w:pPr>
    </w:p>
    <w:bookmarkEnd w:id="0"/>
    <w:p w14:paraId="217896BB" w14:textId="77777777" w:rsidR="00FE5C9F" w:rsidRPr="007148B2" w:rsidRDefault="00FE5C9F" w:rsidP="007148B2">
      <w:pPr>
        <w:pStyle w:val="Ttulo1"/>
        <w:spacing w:before="0" w:after="0" w:line="240" w:lineRule="auto"/>
        <w:rPr>
          <w:rFonts w:cs="Arial"/>
          <w:szCs w:val="24"/>
        </w:rPr>
      </w:pPr>
      <w:r w:rsidRPr="007148B2">
        <w:rPr>
          <w:rFonts w:cs="Arial"/>
          <w:szCs w:val="24"/>
        </w:rPr>
        <w:t>ANTECEDENTES</w:t>
      </w:r>
    </w:p>
    <w:p w14:paraId="2A3B43A0" w14:textId="77777777" w:rsidR="00FE5C9F" w:rsidRPr="007148B2" w:rsidRDefault="00FE5C9F" w:rsidP="007148B2">
      <w:pPr>
        <w:rPr>
          <w:sz w:val="24"/>
          <w:szCs w:val="24"/>
        </w:rPr>
      </w:pPr>
    </w:p>
    <w:p w14:paraId="3E9E13BD" w14:textId="77777777" w:rsidR="00FE5C9F" w:rsidRPr="007148B2" w:rsidRDefault="00FE5C9F" w:rsidP="007148B2">
      <w:pPr>
        <w:pStyle w:val="Ttulo2"/>
        <w:spacing w:before="0" w:after="0"/>
        <w:rPr>
          <w:rFonts w:cs="Arial"/>
          <w:szCs w:val="24"/>
          <w:lang w:eastAsia="es-ES"/>
        </w:rPr>
      </w:pPr>
      <w:r w:rsidRPr="007148B2">
        <w:rPr>
          <w:rFonts w:cs="Arial"/>
          <w:szCs w:val="24"/>
          <w:lang w:eastAsia="es-ES"/>
        </w:rPr>
        <w:t>Solicitud de tutela</w:t>
      </w:r>
    </w:p>
    <w:p w14:paraId="5167FF7E" w14:textId="77777777" w:rsidR="00FE5C9F" w:rsidRPr="007148B2" w:rsidRDefault="00FE5C9F" w:rsidP="007148B2">
      <w:pPr>
        <w:overflowPunct w:val="0"/>
        <w:autoSpaceDE w:val="0"/>
        <w:autoSpaceDN w:val="0"/>
        <w:adjustRightInd w:val="0"/>
        <w:contextualSpacing/>
        <w:textAlignment w:val="baseline"/>
        <w:rPr>
          <w:sz w:val="24"/>
          <w:szCs w:val="24"/>
        </w:rPr>
      </w:pPr>
    </w:p>
    <w:p w14:paraId="1DC169B4" w14:textId="762323F7" w:rsidR="00FE5C9F" w:rsidRPr="007148B2" w:rsidRDefault="00FE5C9F" w:rsidP="007148B2">
      <w:pPr>
        <w:tabs>
          <w:tab w:val="left" w:pos="1985"/>
        </w:tabs>
        <w:rPr>
          <w:sz w:val="24"/>
          <w:szCs w:val="24"/>
        </w:rPr>
      </w:pPr>
      <w:r w:rsidRPr="007148B2">
        <w:rPr>
          <w:sz w:val="24"/>
          <w:szCs w:val="24"/>
        </w:rPr>
        <w:t>La Nación, Rama Judicial, Consejo Superior de la Judicatura, Dirección Ejecutiva de Administración Judicial</w:t>
      </w:r>
      <w:r w:rsidRPr="007148B2">
        <w:rPr>
          <w:sz w:val="24"/>
          <w:szCs w:val="24"/>
          <w:lang w:val="es-MX" w:eastAsia="ja-JP"/>
        </w:rPr>
        <w:t xml:space="preserve">, a través de apoderada judicial, solicitó el amparo constitucional de sus derechos fundamentales </w:t>
      </w:r>
      <w:r w:rsidRPr="007148B2">
        <w:rPr>
          <w:sz w:val="24"/>
          <w:szCs w:val="24"/>
        </w:rPr>
        <w:t>al debido proceso, a la defensa, a la contradicción y a la igualdad, que consideró fueron vulnerados por la Subsección B de la Sección Tercera del Consejo de Estado, con ocasión de la sentencia de segunda instancia del 23 de abril de 2020 proferida dentro del proceso de repara</w:t>
      </w:r>
      <w:r w:rsidR="00D7283E">
        <w:rPr>
          <w:sz w:val="24"/>
          <w:szCs w:val="24"/>
        </w:rPr>
        <w:t>ción directa con radicado 1300133310000201000783</w:t>
      </w:r>
      <w:r w:rsidRPr="007148B2">
        <w:rPr>
          <w:sz w:val="24"/>
          <w:szCs w:val="24"/>
        </w:rPr>
        <w:t>01.</w:t>
      </w:r>
    </w:p>
    <w:p w14:paraId="4718E0D0" w14:textId="77777777" w:rsidR="001C4D01" w:rsidRPr="007148B2" w:rsidRDefault="001C4D01" w:rsidP="007148B2">
      <w:pPr>
        <w:contextualSpacing/>
        <w:rPr>
          <w:rFonts w:eastAsia="Verdana"/>
          <w:sz w:val="24"/>
          <w:szCs w:val="24"/>
          <w:lang w:val="es-MX"/>
        </w:rPr>
      </w:pPr>
    </w:p>
    <w:p w14:paraId="2075725E" w14:textId="2DC9E55E" w:rsidR="001C4D01" w:rsidRPr="007148B2" w:rsidRDefault="001C4D01" w:rsidP="007148B2">
      <w:pPr>
        <w:numPr>
          <w:ilvl w:val="0"/>
          <w:numId w:val="3"/>
        </w:numPr>
        <w:contextualSpacing/>
        <w:rPr>
          <w:rFonts w:eastAsia="Verdana"/>
          <w:b/>
          <w:sz w:val="24"/>
          <w:szCs w:val="24"/>
        </w:rPr>
      </w:pPr>
      <w:r w:rsidRPr="007148B2">
        <w:rPr>
          <w:rFonts w:eastAsia="Verdana"/>
          <w:b/>
          <w:sz w:val="24"/>
          <w:szCs w:val="24"/>
        </w:rPr>
        <w:t>Hechos</w:t>
      </w:r>
    </w:p>
    <w:p w14:paraId="54B13BB7" w14:textId="77777777" w:rsidR="001C4D01" w:rsidRPr="007148B2" w:rsidRDefault="001C4D01" w:rsidP="007148B2">
      <w:pPr>
        <w:contextualSpacing/>
        <w:rPr>
          <w:rFonts w:eastAsia="Verdana"/>
          <w:sz w:val="24"/>
          <w:szCs w:val="24"/>
        </w:rPr>
      </w:pPr>
    </w:p>
    <w:p w14:paraId="48E6B2EC" w14:textId="6E86D11B" w:rsidR="00A61163" w:rsidRPr="007148B2" w:rsidRDefault="001C4D01" w:rsidP="007148B2">
      <w:pPr>
        <w:autoSpaceDE w:val="0"/>
        <w:autoSpaceDN w:val="0"/>
        <w:adjustRightInd w:val="0"/>
        <w:rPr>
          <w:sz w:val="24"/>
          <w:szCs w:val="24"/>
          <w:lang w:val="es-MX" w:eastAsia="ja-JP"/>
        </w:rPr>
      </w:pPr>
      <w:r w:rsidRPr="007148B2">
        <w:rPr>
          <w:b/>
          <w:sz w:val="24"/>
          <w:szCs w:val="24"/>
          <w:lang w:val="es-MX" w:eastAsia="ja-JP"/>
        </w:rPr>
        <w:t>2.1.</w:t>
      </w:r>
      <w:r w:rsidRPr="007148B2">
        <w:rPr>
          <w:sz w:val="24"/>
          <w:szCs w:val="24"/>
          <w:lang w:val="es-MX" w:eastAsia="ja-JP"/>
        </w:rPr>
        <w:t xml:space="preserve"> </w:t>
      </w:r>
      <w:r w:rsidR="00A61163" w:rsidRPr="007148B2">
        <w:rPr>
          <w:sz w:val="24"/>
          <w:szCs w:val="24"/>
          <w:lang w:val="es-MX" w:eastAsia="ja-JP"/>
        </w:rPr>
        <w:t xml:space="preserve">Edgar Montaña </w:t>
      </w:r>
      <w:proofErr w:type="spellStart"/>
      <w:r w:rsidR="00A61163" w:rsidRPr="007148B2">
        <w:rPr>
          <w:sz w:val="24"/>
          <w:szCs w:val="24"/>
          <w:lang w:val="es-MX" w:eastAsia="ja-JP"/>
        </w:rPr>
        <w:t>Rodelo</w:t>
      </w:r>
      <w:proofErr w:type="spellEnd"/>
      <w:r w:rsidR="00A61163" w:rsidRPr="007148B2">
        <w:rPr>
          <w:sz w:val="24"/>
          <w:szCs w:val="24"/>
          <w:lang w:val="es-MX" w:eastAsia="ja-JP"/>
        </w:rPr>
        <w:t xml:space="preserve"> y su núcleo familiar</w:t>
      </w:r>
      <w:r w:rsidR="00A52F52" w:rsidRPr="007148B2">
        <w:rPr>
          <w:sz w:val="24"/>
          <w:szCs w:val="24"/>
          <w:lang w:val="es-MX" w:eastAsia="ja-JP"/>
        </w:rPr>
        <w:t>,</w:t>
      </w:r>
      <w:r w:rsidR="00A61163" w:rsidRPr="007148B2">
        <w:rPr>
          <w:sz w:val="24"/>
          <w:szCs w:val="24"/>
          <w:lang w:val="es-MX" w:eastAsia="ja-JP"/>
        </w:rPr>
        <w:t xml:space="preserve"> presentaron demanda de reparación directa</w:t>
      </w:r>
      <w:r w:rsidR="0034201B">
        <w:rPr>
          <w:rStyle w:val="Refdenotaalpie"/>
          <w:sz w:val="24"/>
          <w:szCs w:val="24"/>
          <w:lang w:val="es-MX" w:eastAsia="ja-JP"/>
        </w:rPr>
        <w:footnoteReference w:id="1"/>
      </w:r>
      <w:r w:rsidR="00A61163" w:rsidRPr="007148B2">
        <w:rPr>
          <w:sz w:val="24"/>
          <w:szCs w:val="24"/>
          <w:lang w:val="es-MX" w:eastAsia="ja-JP"/>
        </w:rPr>
        <w:t xml:space="preserve"> </w:t>
      </w:r>
      <w:r w:rsidR="000B71FD" w:rsidRPr="007148B2">
        <w:rPr>
          <w:sz w:val="24"/>
          <w:szCs w:val="24"/>
          <w:lang w:val="es-MX" w:eastAsia="ja-JP"/>
        </w:rPr>
        <w:t xml:space="preserve">en contra de la Nación, Fiscalía General de la Nación y </w:t>
      </w:r>
      <w:r w:rsidR="00A52F52" w:rsidRPr="007148B2">
        <w:rPr>
          <w:sz w:val="24"/>
          <w:szCs w:val="24"/>
          <w:lang w:val="es-MX" w:eastAsia="ja-JP"/>
        </w:rPr>
        <w:t xml:space="preserve">de la </w:t>
      </w:r>
      <w:r w:rsidR="000B71FD" w:rsidRPr="007148B2">
        <w:rPr>
          <w:sz w:val="24"/>
          <w:szCs w:val="24"/>
          <w:lang w:val="es-MX" w:eastAsia="ja-JP"/>
        </w:rPr>
        <w:t>Rama Judicial, Consejo Superior de la Judicatura,</w:t>
      </w:r>
      <w:r w:rsidR="00082BE9" w:rsidRPr="007148B2">
        <w:rPr>
          <w:sz w:val="24"/>
          <w:szCs w:val="24"/>
          <w:lang w:val="es-MX" w:eastAsia="ja-JP"/>
        </w:rPr>
        <w:t xml:space="preserve"> Dirección Ejecutiva de Administración Judicial,</w:t>
      </w:r>
      <w:r w:rsidR="000B71FD" w:rsidRPr="007148B2">
        <w:rPr>
          <w:sz w:val="24"/>
          <w:szCs w:val="24"/>
          <w:lang w:val="es-MX" w:eastAsia="ja-JP"/>
        </w:rPr>
        <w:t xml:space="preserve"> para que fueran reparados por los </w:t>
      </w:r>
      <w:r w:rsidR="00FB1253" w:rsidRPr="007148B2">
        <w:rPr>
          <w:sz w:val="24"/>
          <w:szCs w:val="24"/>
          <w:lang w:val="es-MX" w:eastAsia="ja-JP"/>
        </w:rPr>
        <w:t xml:space="preserve">perjuicios materiales, en </w:t>
      </w:r>
      <w:r w:rsidR="00753538" w:rsidRPr="007148B2">
        <w:rPr>
          <w:sz w:val="24"/>
          <w:szCs w:val="24"/>
          <w:lang w:val="es-MX" w:eastAsia="ja-JP"/>
        </w:rPr>
        <w:t>las modalidades de</w:t>
      </w:r>
      <w:r w:rsidR="00FB1253" w:rsidRPr="007148B2">
        <w:rPr>
          <w:sz w:val="24"/>
          <w:szCs w:val="24"/>
          <w:lang w:val="es-MX" w:eastAsia="ja-JP"/>
        </w:rPr>
        <w:t xml:space="preserve"> lucro cesante y daño emergente, morales y a la vida de relación en cuantía de 100 SMLMV</w:t>
      </w:r>
      <w:r w:rsidR="00EA7475" w:rsidRPr="007148B2">
        <w:rPr>
          <w:rStyle w:val="Refdenotaalpie"/>
          <w:sz w:val="24"/>
          <w:szCs w:val="24"/>
          <w:lang w:val="es-MX" w:eastAsia="ja-JP"/>
        </w:rPr>
        <w:footnoteReference w:id="2"/>
      </w:r>
      <w:r w:rsidR="00EA7475">
        <w:rPr>
          <w:sz w:val="24"/>
          <w:szCs w:val="24"/>
          <w:lang w:val="es-MX" w:eastAsia="ja-JP"/>
        </w:rPr>
        <w:t xml:space="preserve"> para cada uno</w:t>
      </w:r>
      <w:r w:rsidR="00FB1253" w:rsidRPr="007148B2">
        <w:rPr>
          <w:sz w:val="24"/>
          <w:szCs w:val="24"/>
          <w:lang w:val="es-MX" w:eastAsia="ja-JP"/>
        </w:rPr>
        <w:t xml:space="preserve">, </w:t>
      </w:r>
      <w:r w:rsidR="000B71FD" w:rsidRPr="007148B2">
        <w:rPr>
          <w:sz w:val="24"/>
          <w:szCs w:val="24"/>
          <w:lang w:val="es-MX" w:eastAsia="ja-JP"/>
        </w:rPr>
        <w:t xml:space="preserve">derivados de la privación de la libertad </w:t>
      </w:r>
      <w:r w:rsidR="00FB1253" w:rsidRPr="007148B2">
        <w:rPr>
          <w:sz w:val="24"/>
          <w:szCs w:val="24"/>
          <w:lang w:val="es-MX" w:eastAsia="ja-JP"/>
        </w:rPr>
        <w:t xml:space="preserve">de más de 4 años </w:t>
      </w:r>
      <w:r w:rsidR="000B71FD" w:rsidRPr="007148B2">
        <w:rPr>
          <w:sz w:val="24"/>
          <w:szCs w:val="24"/>
          <w:lang w:val="es-MX" w:eastAsia="ja-JP"/>
        </w:rPr>
        <w:t xml:space="preserve">de la que </w:t>
      </w:r>
      <w:r w:rsidR="00047AD2" w:rsidRPr="007148B2">
        <w:rPr>
          <w:sz w:val="24"/>
          <w:szCs w:val="24"/>
          <w:lang w:val="es-MX" w:eastAsia="ja-JP"/>
        </w:rPr>
        <w:t xml:space="preserve">fue objeto </w:t>
      </w:r>
      <w:r w:rsidR="00D7283E" w:rsidRPr="007148B2">
        <w:rPr>
          <w:sz w:val="24"/>
          <w:szCs w:val="24"/>
          <w:lang w:val="es-MX" w:eastAsia="ja-JP"/>
        </w:rPr>
        <w:t>este primero</w:t>
      </w:r>
      <w:r w:rsidR="000B71FD" w:rsidRPr="007148B2">
        <w:rPr>
          <w:sz w:val="24"/>
          <w:szCs w:val="24"/>
          <w:lang w:val="es-MX" w:eastAsia="ja-JP"/>
        </w:rPr>
        <w:t>.</w:t>
      </w:r>
    </w:p>
    <w:p w14:paraId="42E281B3" w14:textId="77777777" w:rsidR="000B71FD" w:rsidRPr="007148B2" w:rsidRDefault="000B71FD" w:rsidP="007148B2">
      <w:pPr>
        <w:autoSpaceDE w:val="0"/>
        <w:autoSpaceDN w:val="0"/>
        <w:adjustRightInd w:val="0"/>
        <w:rPr>
          <w:sz w:val="24"/>
          <w:szCs w:val="24"/>
          <w:lang w:val="es-MX" w:eastAsia="ja-JP"/>
        </w:rPr>
      </w:pPr>
    </w:p>
    <w:p w14:paraId="67E70CE7" w14:textId="539BDC16" w:rsidR="000B71FD" w:rsidRPr="007148B2" w:rsidRDefault="00D433A7" w:rsidP="007148B2">
      <w:pPr>
        <w:autoSpaceDE w:val="0"/>
        <w:autoSpaceDN w:val="0"/>
        <w:adjustRightInd w:val="0"/>
        <w:rPr>
          <w:sz w:val="24"/>
          <w:szCs w:val="24"/>
        </w:rPr>
      </w:pPr>
      <w:r w:rsidRPr="007148B2">
        <w:rPr>
          <w:b/>
          <w:sz w:val="24"/>
          <w:szCs w:val="24"/>
          <w:lang w:val="es-MX" w:eastAsia="ja-JP"/>
        </w:rPr>
        <w:t xml:space="preserve">2.2. </w:t>
      </w:r>
      <w:r w:rsidR="000B71FD" w:rsidRPr="007148B2">
        <w:rPr>
          <w:sz w:val="24"/>
          <w:szCs w:val="24"/>
          <w:lang w:val="es-MX" w:eastAsia="ja-JP"/>
        </w:rPr>
        <w:t>El asunto correspondió conocerlo</w:t>
      </w:r>
      <w:r w:rsidR="000903AC" w:rsidRPr="007148B2">
        <w:rPr>
          <w:sz w:val="24"/>
          <w:szCs w:val="24"/>
          <w:lang w:val="es-MX" w:eastAsia="ja-JP"/>
        </w:rPr>
        <w:t xml:space="preserve">, con radicado </w:t>
      </w:r>
      <w:r w:rsidR="00D7283E">
        <w:rPr>
          <w:sz w:val="24"/>
          <w:szCs w:val="24"/>
        </w:rPr>
        <w:t>1300133310000201000783</w:t>
      </w:r>
      <w:r w:rsidR="000903AC" w:rsidRPr="007148B2">
        <w:rPr>
          <w:sz w:val="24"/>
          <w:szCs w:val="24"/>
        </w:rPr>
        <w:t>01,</w:t>
      </w:r>
      <w:r w:rsidR="000B71FD" w:rsidRPr="007148B2">
        <w:rPr>
          <w:sz w:val="24"/>
          <w:szCs w:val="24"/>
          <w:lang w:val="es-MX" w:eastAsia="ja-JP"/>
        </w:rPr>
        <w:t xml:space="preserve"> al Tribunal Administrativo de Bolívar</w:t>
      </w:r>
      <w:r w:rsidR="000903AC" w:rsidRPr="007148B2">
        <w:rPr>
          <w:sz w:val="24"/>
          <w:szCs w:val="24"/>
          <w:lang w:val="es-MX" w:eastAsia="ja-JP"/>
        </w:rPr>
        <w:t xml:space="preserve">, </w:t>
      </w:r>
      <w:r w:rsidR="000B71FD" w:rsidRPr="007148B2">
        <w:rPr>
          <w:sz w:val="24"/>
          <w:szCs w:val="24"/>
        </w:rPr>
        <w:t>autoridad que, en sentencia del 18 de mayo de 2012</w:t>
      </w:r>
      <w:r w:rsidR="00150F4F">
        <w:rPr>
          <w:rStyle w:val="Refdenotaalpie"/>
          <w:sz w:val="24"/>
          <w:szCs w:val="24"/>
          <w:lang w:val="es-MX" w:eastAsia="ja-JP"/>
        </w:rPr>
        <w:footnoteReference w:id="3"/>
      </w:r>
      <w:r w:rsidR="000B71FD" w:rsidRPr="007148B2">
        <w:rPr>
          <w:sz w:val="24"/>
          <w:szCs w:val="24"/>
        </w:rPr>
        <w:t xml:space="preserve">, </w:t>
      </w:r>
      <w:r w:rsidR="00FB25AE" w:rsidRPr="007148B2">
        <w:rPr>
          <w:sz w:val="24"/>
          <w:szCs w:val="24"/>
        </w:rPr>
        <w:t xml:space="preserve">declaró solidaria y administrativamente responsables a las demandadas como consecuencia de la falla del servicio en </w:t>
      </w:r>
      <w:r w:rsidR="00753538" w:rsidRPr="007148B2">
        <w:rPr>
          <w:sz w:val="24"/>
          <w:szCs w:val="24"/>
        </w:rPr>
        <w:t xml:space="preserve">la </w:t>
      </w:r>
      <w:r w:rsidR="00FB25AE" w:rsidRPr="007148B2">
        <w:rPr>
          <w:sz w:val="24"/>
          <w:szCs w:val="24"/>
        </w:rPr>
        <w:t xml:space="preserve">que incurrieron </w:t>
      </w:r>
      <w:r w:rsidR="00EA7475">
        <w:rPr>
          <w:sz w:val="24"/>
          <w:szCs w:val="24"/>
        </w:rPr>
        <w:t>al privar de la libertad a</w:t>
      </w:r>
      <w:r w:rsidR="00FB25AE" w:rsidRPr="007148B2">
        <w:rPr>
          <w:sz w:val="24"/>
          <w:szCs w:val="24"/>
        </w:rPr>
        <w:t xml:space="preserve">l señor Montaña </w:t>
      </w:r>
      <w:proofErr w:type="spellStart"/>
      <w:r w:rsidR="00FB25AE" w:rsidRPr="007148B2">
        <w:rPr>
          <w:sz w:val="24"/>
          <w:szCs w:val="24"/>
        </w:rPr>
        <w:t>Rodelo</w:t>
      </w:r>
      <w:proofErr w:type="spellEnd"/>
      <w:r w:rsidR="00FB25AE" w:rsidRPr="007148B2">
        <w:rPr>
          <w:sz w:val="24"/>
          <w:szCs w:val="24"/>
        </w:rPr>
        <w:t xml:space="preserve">. </w:t>
      </w:r>
      <w:r w:rsidR="00753538" w:rsidRPr="007148B2">
        <w:rPr>
          <w:sz w:val="24"/>
          <w:szCs w:val="24"/>
        </w:rPr>
        <w:t>Por ende, las condenó al pago de los perjuicios por daño em</w:t>
      </w:r>
      <w:r w:rsidR="00770486" w:rsidRPr="007148B2">
        <w:rPr>
          <w:sz w:val="24"/>
          <w:szCs w:val="24"/>
        </w:rPr>
        <w:t xml:space="preserve">ergente, lucro cesante y </w:t>
      </w:r>
      <w:r w:rsidR="00EA7475">
        <w:rPr>
          <w:sz w:val="24"/>
          <w:szCs w:val="24"/>
        </w:rPr>
        <w:t>daño moral</w:t>
      </w:r>
      <w:r w:rsidR="00770486" w:rsidRPr="007148B2">
        <w:rPr>
          <w:sz w:val="24"/>
          <w:szCs w:val="24"/>
        </w:rPr>
        <w:t>, y negó las demás pretensiones.</w:t>
      </w:r>
      <w:r w:rsidR="00753538" w:rsidRPr="007148B2">
        <w:rPr>
          <w:sz w:val="24"/>
          <w:szCs w:val="24"/>
        </w:rPr>
        <w:t xml:space="preserve"> </w:t>
      </w:r>
    </w:p>
    <w:p w14:paraId="34631939" w14:textId="01573762" w:rsidR="00FB1253" w:rsidRPr="007148B2" w:rsidRDefault="00D433A7" w:rsidP="007148B2">
      <w:pPr>
        <w:autoSpaceDE w:val="0"/>
        <w:autoSpaceDN w:val="0"/>
        <w:adjustRightInd w:val="0"/>
        <w:rPr>
          <w:sz w:val="24"/>
          <w:szCs w:val="24"/>
        </w:rPr>
      </w:pPr>
      <w:r w:rsidRPr="007148B2">
        <w:rPr>
          <w:b/>
          <w:sz w:val="24"/>
          <w:szCs w:val="24"/>
        </w:rPr>
        <w:lastRenderedPageBreak/>
        <w:t xml:space="preserve">2.3. </w:t>
      </w:r>
      <w:r w:rsidRPr="007148B2">
        <w:rPr>
          <w:sz w:val="24"/>
          <w:szCs w:val="24"/>
        </w:rPr>
        <w:t>La anterior decisión fue apelada por las partes</w:t>
      </w:r>
      <w:r w:rsidR="00150F4F">
        <w:rPr>
          <w:rStyle w:val="Refdenotaalpie"/>
          <w:sz w:val="24"/>
          <w:szCs w:val="24"/>
          <w:lang w:val="es-MX" w:eastAsia="ja-JP"/>
        </w:rPr>
        <w:footnoteReference w:id="4"/>
      </w:r>
      <w:r w:rsidR="00B142B2" w:rsidRPr="007148B2">
        <w:rPr>
          <w:sz w:val="24"/>
          <w:szCs w:val="24"/>
        </w:rPr>
        <w:t>. Los</w:t>
      </w:r>
      <w:r w:rsidR="00770486" w:rsidRPr="007148B2">
        <w:rPr>
          <w:sz w:val="24"/>
          <w:szCs w:val="24"/>
        </w:rPr>
        <w:t xml:space="preserve"> demandantes</w:t>
      </w:r>
      <w:r w:rsidR="00B142B2" w:rsidRPr="007148B2">
        <w:rPr>
          <w:sz w:val="24"/>
          <w:szCs w:val="24"/>
        </w:rPr>
        <w:t xml:space="preserve"> reclamaron que tenían</w:t>
      </w:r>
      <w:r w:rsidR="00EA7475">
        <w:rPr>
          <w:sz w:val="24"/>
          <w:szCs w:val="24"/>
        </w:rPr>
        <w:t xml:space="preserve"> derecho a la reparación por un</w:t>
      </w:r>
      <w:r w:rsidR="00B142B2" w:rsidRPr="007148B2">
        <w:rPr>
          <w:sz w:val="24"/>
          <w:szCs w:val="24"/>
        </w:rPr>
        <w:t xml:space="preserve"> daño emergente </w:t>
      </w:r>
      <w:r w:rsidR="00D7283E">
        <w:rPr>
          <w:sz w:val="24"/>
          <w:szCs w:val="24"/>
        </w:rPr>
        <w:t>adicional a los</w:t>
      </w:r>
      <w:r w:rsidR="00B142B2" w:rsidRPr="007148B2">
        <w:rPr>
          <w:sz w:val="24"/>
          <w:szCs w:val="24"/>
        </w:rPr>
        <w:t xml:space="preserve"> </w:t>
      </w:r>
      <w:r w:rsidR="00D7283E">
        <w:rPr>
          <w:sz w:val="24"/>
          <w:szCs w:val="24"/>
        </w:rPr>
        <w:t xml:space="preserve">conceptos </w:t>
      </w:r>
      <w:r w:rsidR="00B142B2" w:rsidRPr="007148B2">
        <w:rPr>
          <w:sz w:val="24"/>
          <w:szCs w:val="24"/>
        </w:rPr>
        <w:t>reconocidos en la sentencia</w:t>
      </w:r>
      <w:r w:rsidR="00510B0F" w:rsidRPr="007148B2">
        <w:rPr>
          <w:sz w:val="24"/>
          <w:szCs w:val="24"/>
        </w:rPr>
        <w:t xml:space="preserve"> del </w:t>
      </w:r>
      <w:r w:rsidR="00510B0F" w:rsidRPr="007148B2">
        <w:rPr>
          <w:i/>
          <w:sz w:val="24"/>
          <w:szCs w:val="24"/>
        </w:rPr>
        <w:t>a quo</w:t>
      </w:r>
      <w:r w:rsidR="00B142B2" w:rsidRPr="007148B2">
        <w:rPr>
          <w:sz w:val="24"/>
          <w:szCs w:val="24"/>
        </w:rPr>
        <w:t xml:space="preserve">. Por su parte, la Rama Judicial argumentó que la privación de la libertad del señor Montaña </w:t>
      </w:r>
      <w:proofErr w:type="spellStart"/>
      <w:r w:rsidR="00B142B2" w:rsidRPr="007148B2">
        <w:rPr>
          <w:sz w:val="24"/>
          <w:szCs w:val="24"/>
        </w:rPr>
        <w:t>Rodelo</w:t>
      </w:r>
      <w:proofErr w:type="spellEnd"/>
      <w:r w:rsidR="00B142B2" w:rsidRPr="007148B2">
        <w:rPr>
          <w:sz w:val="24"/>
          <w:szCs w:val="24"/>
        </w:rPr>
        <w:t xml:space="preserve"> se ajustó a las normas </w:t>
      </w:r>
      <w:r w:rsidR="00D7283E">
        <w:rPr>
          <w:sz w:val="24"/>
          <w:szCs w:val="24"/>
        </w:rPr>
        <w:t>sustanciales</w:t>
      </w:r>
      <w:r w:rsidR="00B142B2" w:rsidRPr="007148B2">
        <w:rPr>
          <w:sz w:val="24"/>
          <w:szCs w:val="24"/>
        </w:rPr>
        <w:t xml:space="preserve"> y procesales del caso. </w:t>
      </w:r>
    </w:p>
    <w:p w14:paraId="4246811D" w14:textId="77777777" w:rsidR="00150F4F" w:rsidRDefault="00150F4F" w:rsidP="007148B2">
      <w:pPr>
        <w:autoSpaceDE w:val="0"/>
        <w:autoSpaceDN w:val="0"/>
        <w:adjustRightInd w:val="0"/>
        <w:rPr>
          <w:b/>
          <w:sz w:val="24"/>
          <w:szCs w:val="24"/>
          <w:lang w:val="es-MX" w:eastAsia="ja-JP"/>
        </w:rPr>
      </w:pPr>
    </w:p>
    <w:p w14:paraId="7398DDC5" w14:textId="26FE1ED7" w:rsidR="00FB25AE" w:rsidRPr="007148B2" w:rsidRDefault="00415366" w:rsidP="007148B2">
      <w:pPr>
        <w:autoSpaceDE w:val="0"/>
        <w:autoSpaceDN w:val="0"/>
        <w:adjustRightInd w:val="0"/>
        <w:rPr>
          <w:sz w:val="24"/>
          <w:szCs w:val="24"/>
          <w:lang w:val="es-MX" w:eastAsia="ja-JP"/>
        </w:rPr>
      </w:pPr>
      <w:r w:rsidRPr="007148B2">
        <w:rPr>
          <w:b/>
          <w:sz w:val="24"/>
          <w:szCs w:val="24"/>
          <w:lang w:val="es-MX" w:eastAsia="ja-JP"/>
        </w:rPr>
        <w:t xml:space="preserve">2.4. </w:t>
      </w:r>
      <w:r w:rsidRPr="007148B2">
        <w:rPr>
          <w:sz w:val="24"/>
          <w:szCs w:val="24"/>
          <w:lang w:val="es-MX" w:eastAsia="ja-JP"/>
        </w:rPr>
        <w:t xml:space="preserve">En segunda instancia, la Subsección B de la Sección Tercera del Consejo de Estado, en </w:t>
      </w:r>
      <w:r w:rsidR="00770486" w:rsidRPr="007148B2">
        <w:rPr>
          <w:sz w:val="24"/>
          <w:szCs w:val="24"/>
          <w:lang w:val="es-MX" w:eastAsia="ja-JP"/>
        </w:rPr>
        <w:t>fallo</w:t>
      </w:r>
      <w:r w:rsidRPr="007148B2">
        <w:rPr>
          <w:sz w:val="24"/>
          <w:szCs w:val="24"/>
          <w:lang w:val="es-MX" w:eastAsia="ja-JP"/>
        </w:rPr>
        <w:t xml:space="preserve"> del 23 de abril de 2020</w:t>
      </w:r>
      <w:r w:rsidR="0034201B">
        <w:rPr>
          <w:rStyle w:val="Refdenotaalpie"/>
          <w:sz w:val="24"/>
          <w:szCs w:val="24"/>
          <w:lang w:val="es-MX" w:eastAsia="ja-JP"/>
        </w:rPr>
        <w:footnoteReference w:id="5"/>
      </w:r>
      <w:r w:rsidRPr="007148B2">
        <w:rPr>
          <w:sz w:val="24"/>
          <w:szCs w:val="24"/>
          <w:lang w:val="es-MX" w:eastAsia="ja-JP"/>
        </w:rPr>
        <w:t xml:space="preserve">, confirmó la responsabilidad de las entidades demandadas, sin embargo, </w:t>
      </w:r>
      <w:r w:rsidR="00FF458B" w:rsidRPr="007148B2">
        <w:rPr>
          <w:sz w:val="24"/>
          <w:szCs w:val="24"/>
          <w:lang w:val="es-MX" w:eastAsia="ja-JP"/>
        </w:rPr>
        <w:t>revocó la condena</w:t>
      </w:r>
      <w:r w:rsidR="00770486" w:rsidRPr="007148B2">
        <w:rPr>
          <w:sz w:val="24"/>
          <w:szCs w:val="24"/>
          <w:lang w:val="es-MX" w:eastAsia="ja-JP"/>
        </w:rPr>
        <w:t xml:space="preserve"> por daño emergente y, además, reconoció</w:t>
      </w:r>
      <w:r w:rsidR="00FF458B" w:rsidRPr="007148B2">
        <w:rPr>
          <w:sz w:val="24"/>
          <w:szCs w:val="24"/>
          <w:lang w:val="es-MX" w:eastAsia="ja-JP"/>
        </w:rPr>
        <w:t xml:space="preserve">: </w:t>
      </w:r>
    </w:p>
    <w:p w14:paraId="3DFEAD93" w14:textId="77777777" w:rsidR="00FF458B" w:rsidRPr="007148B2" w:rsidRDefault="00FF458B" w:rsidP="007148B2">
      <w:pPr>
        <w:autoSpaceDE w:val="0"/>
        <w:autoSpaceDN w:val="0"/>
        <w:adjustRightInd w:val="0"/>
        <w:rPr>
          <w:sz w:val="24"/>
          <w:szCs w:val="24"/>
          <w:lang w:val="es-MX" w:eastAsia="ja-JP"/>
        </w:rPr>
      </w:pPr>
    </w:p>
    <w:p w14:paraId="6B7A5B50" w14:textId="78DC7F0D" w:rsidR="00FF458B" w:rsidRDefault="00FF458B" w:rsidP="007148B2">
      <w:pPr>
        <w:widowControl w:val="0"/>
        <w:pBdr>
          <w:top w:val="nil"/>
          <w:left w:val="nil"/>
          <w:bottom w:val="nil"/>
          <w:right w:val="nil"/>
          <w:between w:val="nil"/>
        </w:pBdr>
        <w:tabs>
          <w:tab w:val="left" w:pos="284"/>
        </w:tabs>
        <w:ind w:left="708" w:right="51"/>
        <w:rPr>
          <w:rFonts w:eastAsia="Arial"/>
          <w:b/>
          <w:color w:val="000000"/>
          <w:sz w:val="24"/>
          <w:szCs w:val="24"/>
        </w:rPr>
      </w:pPr>
      <w:r w:rsidRPr="007148B2">
        <w:rPr>
          <w:rFonts w:eastAsia="Arial"/>
          <w:color w:val="000000"/>
          <w:sz w:val="24"/>
          <w:szCs w:val="24"/>
        </w:rPr>
        <w:t>“</w:t>
      </w:r>
      <w:r w:rsidRPr="007148B2">
        <w:rPr>
          <w:rFonts w:eastAsia="Arial"/>
          <w:b/>
          <w:color w:val="000000"/>
          <w:sz w:val="24"/>
          <w:szCs w:val="24"/>
        </w:rPr>
        <w:t>Derecho al buen nombre</w:t>
      </w:r>
    </w:p>
    <w:p w14:paraId="5D5CA4BD" w14:textId="4128946E" w:rsidR="001D573C" w:rsidRPr="007148B2" w:rsidRDefault="00586D06" w:rsidP="007148B2">
      <w:pPr>
        <w:pBdr>
          <w:top w:val="nil"/>
          <w:left w:val="nil"/>
          <w:bottom w:val="nil"/>
          <w:right w:val="nil"/>
          <w:between w:val="nil"/>
        </w:pBdr>
        <w:tabs>
          <w:tab w:val="left" w:pos="142"/>
          <w:tab w:val="left" w:pos="426"/>
        </w:tabs>
        <w:autoSpaceDE w:val="0"/>
        <w:autoSpaceDN w:val="0"/>
        <w:adjustRightInd w:val="0"/>
        <w:ind w:left="708" w:right="51"/>
        <w:rPr>
          <w:rFonts w:eastAsia="Arial"/>
          <w:color w:val="000000"/>
          <w:sz w:val="24"/>
          <w:szCs w:val="24"/>
        </w:rPr>
      </w:pPr>
      <w:r w:rsidRPr="007148B2">
        <w:rPr>
          <w:rFonts w:eastAsia="Arial"/>
          <w:color w:val="000000"/>
          <w:sz w:val="24"/>
          <w:szCs w:val="24"/>
        </w:rPr>
        <w:t>58</w:t>
      </w:r>
      <w:r w:rsidR="00751A87" w:rsidRPr="007148B2">
        <w:rPr>
          <w:rFonts w:eastAsia="Arial"/>
          <w:color w:val="000000"/>
          <w:sz w:val="24"/>
          <w:szCs w:val="24"/>
        </w:rPr>
        <w:t xml:space="preserve">. </w:t>
      </w:r>
      <w:r w:rsidR="00FF458B" w:rsidRPr="007148B2">
        <w:rPr>
          <w:rFonts w:eastAsia="Arial"/>
          <w:color w:val="000000"/>
          <w:sz w:val="24"/>
          <w:szCs w:val="24"/>
        </w:rPr>
        <w:t xml:space="preserve">Recientemente la Sala ha considerado que la sola privación de la libertad de una persona genera en </w:t>
      </w:r>
      <w:r w:rsidR="00FF458B" w:rsidRPr="009617E4">
        <w:rPr>
          <w:rFonts w:eastAsia="Arial"/>
          <w:color w:val="000000"/>
          <w:sz w:val="24"/>
          <w:szCs w:val="24"/>
        </w:rPr>
        <w:t>ésta</w:t>
      </w:r>
      <w:r w:rsidR="009617E4">
        <w:rPr>
          <w:rFonts w:eastAsia="Arial"/>
          <w:color w:val="000000"/>
          <w:sz w:val="24"/>
          <w:szCs w:val="24"/>
        </w:rPr>
        <w:t xml:space="preserve"> (sic)</w:t>
      </w:r>
      <w:r w:rsidR="00FF458B" w:rsidRPr="007148B2">
        <w:rPr>
          <w:rFonts w:eastAsia="Arial"/>
          <w:color w:val="000000"/>
          <w:sz w:val="24"/>
          <w:szCs w:val="24"/>
        </w:rPr>
        <w:t xml:space="preserve"> una afectación en su buen nombre que debe ser reparado incluso de manera oficiosa, luego entonces se ordenará, que en un plazo de un mes contado a partir de la ejecutoria de la sentencia, la Fiscalía General de la Nación y la Rama Judicial por conducto de la Dirección Ejecutiva de Administración Judicial, a través de una misiva dirigida personalmente al señor Edgar Montaña </w:t>
      </w:r>
      <w:proofErr w:type="spellStart"/>
      <w:r w:rsidR="00FF458B" w:rsidRPr="007148B2">
        <w:rPr>
          <w:rFonts w:eastAsia="Arial"/>
          <w:color w:val="000000"/>
          <w:sz w:val="24"/>
          <w:szCs w:val="24"/>
        </w:rPr>
        <w:t>Rodelo</w:t>
      </w:r>
      <w:proofErr w:type="spellEnd"/>
      <w:r w:rsidR="00FF458B" w:rsidRPr="007148B2">
        <w:rPr>
          <w:rFonts w:eastAsia="Arial"/>
          <w:color w:val="000000"/>
          <w:sz w:val="24"/>
          <w:szCs w:val="24"/>
        </w:rPr>
        <w:t xml:space="preserve"> le ofrezcan disculpas por la detención injusta de la que fue objeto</w:t>
      </w:r>
      <w:r w:rsidR="001D573C" w:rsidRPr="007148B2">
        <w:rPr>
          <w:rFonts w:eastAsia="Arial"/>
          <w:color w:val="000000"/>
          <w:sz w:val="24"/>
          <w:szCs w:val="24"/>
        </w:rPr>
        <w:t>.</w:t>
      </w:r>
    </w:p>
    <w:p w14:paraId="6A766D7A" w14:textId="77777777" w:rsidR="001D573C" w:rsidRPr="007148B2" w:rsidRDefault="001D573C" w:rsidP="007148B2">
      <w:pPr>
        <w:pBdr>
          <w:top w:val="nil"/>
          <w:left w:val="nil"/>
          <w:bottom w:val="nil"/>
          <w:right w:val="nil"/>
          <w:between w:val="nil"/>
        </w:pBdr>
        <w:tabs>
          <w:tab w:val="left" w:pos="142"/>
          <w:tab w:val="left" w:pos="426"/>
        </w:tabs>
        <w:autoSpaceDE w:val="0"/>
        <w:autoSpaceDN w:val="0"/>
        <w:adjustRightInd w:val="0"/>
        <w:ind w:left="708" w:right="51"/>
        <w:rPr>
          <w:rFonts w:eastAsia="Arial"/>
          <w:color w:val="000000"/>
          <w:sz w:val="24"/>
          <w:szCs w:val="24"/>
        </w:rPr>
      </w:pPr>
      <w:r w:rsidRPr="007148B2">
        <w:rPr>
          <w:rFonts w:eastAsia="Arial"/>
          <w:color w:val="000000"/>
          <w:sz w:val="24"/>
          <w:szCs w:val="24"/>
        </w:rPr>
        <w:t>[…]</w:t>
      </w:r>
    </w:p>
    <w:p w14:paraId="151D91AB" w14:textId="77777777" w:rsidR="001D573C" w:rsidRPr="007148B2" w:rsidRDefault="001D573C" w:rsidP="007148B2">
      <w:pPr>
        <w:pBdr>
          <w:top w:val="nil"/>
          <w:left w:val="nil"/>
          <w:bottom w:val="nil"/>
          <w:right w:val="nil"/>
          <w:between w:val="nil"/>
        </w:pBdr>
        <w:tabs>
          <w:tab w:val="left" w:pos="142"/>
          <w:tab w:val="left" w:pos="426"/>
        </w:tabs>
        <w:autoSpaceDE w:val="0"/>
        <w:autoSpaceDN w:val="0"/>
        <w:adjustRightInd w:val="0"/>
        <w:ind w:left="708" w:right="51"/>
        <w:jc w:val="center"/>
        <w:rPr>
          <w:rFonts w:eastAsia="Arial"/>
          <w:color w:val="000000"/>
          <w:sz w:val="24"/>
          <w:szCs w:val="24"/>
        </w:rPr>
      </w:pPr>
      <w:r w:rsidRPr="007148B2">
        <w:rPr>
          <w:rFonts w:eastAsia="Arial"/>
          <w:color w:val="000000"/>
          <w:sz w:val="24"/>
          <w:szCs w:val="24"/>
        </w:rPr>
        <w:t>FALLA</w:t>
      </w:r>
    </w:p>
    <w:p w14:paraId="228C277D" w14:textId="77777777" w:rsidR="001D573C" w:rsidRPr="007148B2" w:rsidRDefault="001D573C" w:rsidP="007148B2">
      <w:pPr>
        <w:pBdr>
          <w:top w:val="nil"/>
          <w:left w:val="nil"/>
          <w:bottom w:val="nil"/>
          <w:right w:val="nil"/>
          <w:between w:val="nil"/>
        </w:pBdr>
        <w:tabs>
          <w:tab w:val="left" w:pos="142"/>
          <w:tab w:val="left" w:pos="426"/>
        </w:tabs>
        <w:autoSpaceDE w:val="0"/>
        <w:autoSpaceDN w:val="0"/>
        <w:adjustRightInd w:val="0"/>
        <w:ind w:left="708" w:right="51"/>
        <w:rPr>
          <w:rFonts w:eastAsia="Arial"/>
          <w:color w:val="000000"/>
          <w:sz w:val="24"/>
          <w:szCs w:val="24"/>
        </w:rPr>
      </w:pPr>
      <w:r w:rsidRPr="007148B2">
        <w:rPr>
          <w:rFonts w:eastAsia="Arial"/>
          <w:color w:val="000000"/>
          <w:sz w:val="24"/>
          <w:szCs w:val="24"/>
        </w:rPr>
        <w:t>[…]</w:t>
      </w:r>
    </w:p>
    <w:p w14:paraId="333D030E" w14:textId="04D1AA89" w:rsidR="00F34E55" w:rsidRPr="007148B2" w:rsidRDefault="001D573C" w:rsidP="007148B2">
      <w:pPr>
        <w:pBdr>
          <w:top w:val="nil"/>
          <w:left w:val="nil"/>
          <w:bottom w:val="nil"/>
          <w:right w:val="nil"/>
          <w:between w:val="nil"/>
        </w:pBdr>
        <w:tabs>
          <w:tab w:val="left" w:pos="142"/>
          <w:tab w:val="left" w:pos="426"/>
        </w:tabs>
        <w:autoSpaceDE w:val="0"/>
        <w:autoSpaceDN w:val="0"/>
        <w:adjustRightInd w:val="0"/>
        <w:ind w:left="708" w:right="51"/>
        <w:rPr>
          <w:sz w:val="24"/>
          <w:szCs w:val="24"/>
          <w:lang w:val="es-MX" w:eastAsia="ja-JP"/>
        </w:rPr>
      </w:pPr>
      <w:r w:rsidRPr="007148B2">
        <w:rPr>
          <w:rFonts w:eastAsia="Arial"/>
          <w:color w:val="000000"/>
          <w:sz w:val="24"/>
          <w:szCs w:val="24"/>
        </w:rPr>
        <w:t xml:space="preserve">CUARTO: En un plazo de un mes contado a partir de la ejecutoria de la presente sentencia, la Fiscalía General de la Nación y la Rama Judicial por conducto de la Dirección Ejecutiva de Administración Judicial, a través de una misiva dirigida personalmente al señor Edgar Montaña </w:t>
      </w:r>
      <w:proofErr w:type="spellStart"/>
      <w:r w:rsidRPr="007148B2">
        <w:rPr>
          <w:rFonts w:eastAsia="Arial"/>
          <w:color w:val="000000"/>
          <w:sz w:val="24"/>
          <w:szCs w:val="24"/>
        </w:rPr>
        <w:t>Rodelo</w:t>
      </w:r>
      <w:proofErr w:type="spellEnd"/>
      <w:r w:rsidRPr="007148B2">
        <w:rPr>
          <w:rFonts w:eastAsia="Arial"/>
          <w:color w:val="000000"/>
          <w:sz w:val="24"/>
          <w:szCs w:val="24"/>
        </w:rPr>
        <w:t xml:space="preserve"> y su familia ofrecerá disculpas por la detención injusta de la que fue objeto”. </w:t>
      </w:r>
    </w:p>
    <w:p w14:paraId="491E7280" w14:textId="77777777" w:rsidR="001C4D01" w:rsidRPr="007148B2" w:rsidRDefault="001C4D01" w:rsidP="007148B2">
      <w:pPr>
        <w:autoSpaceDE w:val="0"/>
        <w:autoSpaceDN w:val="0"/>
        <w:adjustRightInd w:val="0"/>
        <w:rPr>
          <w:sz w:val="24"/>
          <w:szCs w:val="24"/>
          <w:lang w:val="es-MX" w:eastAsia="ja-JP"/>
        </w:rPr>
      </w:pPr>
    </w:p>
    <w:p w14:paraId="7CE368A5" w14:textId="1E79E59F" w:rsidR="009E3ECE" w:rsidRPr="007148B2" w:rsidRDefault="009E3ECE" w:rsidP="007148B2">
      <w:pPr>
        <w:numPr>
          <w:ilvl w:val="0"/>
          <w:numId w:val="3"/>
        </w:numPr>
        <w:overflowPunct w:val="0"/>
        <w:autoSpaceDE w:val="0"/>
        <w:autoSpaceDN w:val="0"/>
        <w:adjustRightInd w:val="0"/>
        <w:contextualSpacing/>
        <w:rPr>
          <w:rFonts w:eastAsia="Times New Roman"/>
          <w:b/>
          <w:sz w:val="24"/>
          <w:szCs w:val="24"/>
          <w:lang w:eastAsia="es-ES"/>
        </w:rPr>
      </w:pPr>
      <w:r w:rsidRPr="007148B2">
        <w:rPr>
          <w:rFonts w:eastAsia="Times New Roman"/>
          <w:b/>
          <w:sz w:val="24"/>
          <w:szCs w:val="24"/>
          <w:lang w:eastAsia="es-ES"/>
        </w:rPr>
        <w:t>Pretensiones de</w:t>
      </w:r>
      <w:r w:rsidR="00751A87" w:rsidRPr="007148B2">
        <w:rPr>
          <w:rFonts w:eastAsia="Times New Roman"/>
          <w:b/>
          <w:sz w:val="24"/>
          <w:szCs w:val="24"/>
          <w:lang w:eastAsia="es-ES"/>
        </w:rPr>
        <w:t xml:space="preserve"> la</w:t>
      </w:r>
      <w:r w:rsidRPr="007148B2">
        <w:rPr>
          <w:rFonts w:eastAsia="Times New Roman"/>
          <w:b/>
          <w:sz w:val="24"/>
          <w:szCs w:val="24"/>
          <w:lang w:eastAsia="es-ES"/>
        </w:rPr>
        <w:t xml:space="preserve"> tutela</w:t>
      </w:r>
    </w:p>
    <w:p w14:paraId="3B3284B1" w14:textId="77777777" w:rsidR="009E3ECE" w:rsidRPr="007148B2" w:rsidRDefault="009E3ECE" w:rsidP="007148B2">
      <w:pPr>
        <w:overflowPunct w:val="0"/>
        <w:autoSpaceDE w:val="0"/>
        <w:autoSpaceDN w:val="0"/>
        <w:adjustRightInd w:val="0"/>
        <w:contextualSpacing/>
        <w:rPr>
          <w:rFonts w:eastAsia="Times New Roman"/>
          <w:sz w:val="24"/>
          <w:szCs w:val="24"/>
          <w:lang w:eastAsia="es-ES"/>
        </w:rPr>
      </w:pPr>
    </w:p>
    <w:p w14:paraId="1710C403" w14:textId="498833A9" w:rsidR="00586C2C" w:rsidRPr="007148B2" w:rsidRDefault="009A00E9" w:rsidP="007148B2">
      <w:pPr>
        <w:autoSpaceDE w:val="0"/>
        <w:autoSpaceDN w:val="0"/>
        <w:adjustRightInd w:val="0"/>
        <w:rPr>
          <w:sz w:val="24"/>
          <w:szCs w:val="24"/>
        </w:rPr>
      </w:pPr>
      <w:r w:rsidRPr="007148B2">
        <w:rPr>
          <w:rFonts w:eastAsia="Times New Roman"/>
          <w:sz w:val="24"/>
          <w:szCs w:val="24"/>
          <w:lang w:eastAsia="es-ES"/>
        </w:rPr>
        <w:t>La Nación, Rama Judicial, Consejo Superior de la Judicatura, Dirección Ejecutiva de Administración Judicial</w:t>
      </w:r>
      <w:r w:rsidRPr="007148B2">
        <w:rPr>
          <w:sz w:val="24"/>
          <w:szCs w:val="24"/>
          <w:lang w:val="es-MX" w:eastAsia="ja-JP"/>
        </w:rPr>
        <w:t xml:space="preserve"> </w:t>
      </w:r>
      <w:r w:rsidR="009E3ECE" w:rsidRPr="007148B2">
        <w:rPr>
          <w:sz w:val="24"/>
          <w:szCs w:val="24"/>
          <w:lang w:val="es-MX" w:eastAsia="ja-JP"/>
        </w:rPr>
        <w:t>presentó escrito de tutela</w:t>
      </w:r>
      <w:r w:rsidR="009E3ECE" w:rsidRPr="007148B2">
        <w:rPr>
          <w:rStyle w:val="Refdenotaalpie"/>
          <w:sz w:val="24"/>
          <w:szCs w:val="24"/>
          <w:lang w:val="es-MX" w:eastAsia="ja-JP"/>
        </w:rPr>
        <w:footnoteReference w:id="6"/>
      </w:r>
      <w:r w:rsidRPr="007148B2">
        <w:rPr>
          <w:sz w:val="24"/>
          <w:szCs w:val="24"/>
          <w:lang w:val="es-MX" w:eastAsia="ja-JP"/>
        </w:rPr>
        <w:t>,</w:t>
      </w:r>
      <w:r w:rsidR="00751A87" w:rsidRPr="007148B2">
        <w:rPr>
          <w:sz w:val="24"/>
          <w:szCs w:val="24"/>
          <w:lang w:val="es-MX" w:eastAsia="ja-JP"/>
        </w:rPr>
        <w:t xml:space="preserve"> el 28</w:t>
      </w:r>
      <w:r w:rsidR="002E65D8" w:rsidRPr="007148B2">
        <w:rPr>
          <w:sz w:val="24"/>
          <w:szCs w:val="24"/>
          <w:lang w:val="es-MX" w:eastAsia="ja-JP"/>
        </w:rPr>
        <w:t xml:space="preserve"> de octubre de 2020,</w:t>
      </w:r>
      <w:r w:rsidR="009E3ECE" w:rsidRPr="007148B2">
        <w:rPr>
          <w:sz w:val="24"/>
          <w:szCs w:val="24"/>
          <w:lang w:val="es-MX" w:eastAsia="ja-JP"/>
        </w:rPr>
        <w:t xml:space="preserve"> en el que solicitó al juez </w:t>
      </w:r>
      <w:r w:rsidR="00CD43AF" w:rsidRPr="007148B2">
        <w:rPr>
          <w:sz w:val="24"/>
          <w:szCs w:val="24"/>
          <w:lang w:val="es-MX" w:eastAsia="ja-JP"/>
        </w:rPr>
        <w:t>constitucional</w:t>
      </w:r>
      <w:r w:rsidR="000F547F" w:rsidRPr="007148B2">
        <w:rPr>
          <w:sz w:val="24"/>
          <w:szCs w:val="24"/>
          <w:lang w:val="es-MX" w:eastAsia="ja-JP"/>
        </w:rPr>
        <w:t xml:space="preserve"> que ampare</w:t>
      </w:r>
      <w:r w:rsidR="00586C2C" w:rsidRPr="007148B2">
        <w:rPr>
          <w:sz w:val="24"/>
          <w:szCs w:val="24"/>
          <w:lang w:val="es-MX" w:eastAsia="ja-JP"/>
        </w:rPr>
        <w:t xml:space="preserve"> sus derechos fundamentales </w:t>
      </w:r>
      <w:r w:rsidR="00586C2C" w:rsidRPr="007148B2">
        <w:rPr>
          <w:sz w:val="24"/>
          <w:szCs w:val="24"/>
        </w:rPr>
        <w:t xml:space="preserve">al debido proceso, a la defensa, a la contradicción y a la igualdad y, en consecuencia, </w:t>
      </w:r>
      <w:r w:rsidR="000F547F" w:rsidRPr="007148B2">
        <w:rPr>
          <w:sz w:val="24"/>
          <w:szCs w:val="24"/>
        </w:rPr>
        <w:t>deje</w:t>
      </w:r>
      <w:r w:rsidR="00586C2C" w:rsidRPr="007148B2">
        <w:rPr>
          <w:sz w:val="24"/>
          <w:szCs w:val="24"/>
        </w:rPr>
        <w:t xml:space="preserve"> sin valor y efectos el numeral cuarto de la sentencia del 23 de abril de 2020</w:t>
      </w:r>
      <w:r w:rsidR="001D573C" w:rsidRPr="007148B2">
        <w:rPr>
          <w:sz w:val="24"/>
          <w:szCs w:val="24"/>
        </w:rPr>
        <w:t>.</w:t>
      </w:r>
    </w:p>
    <w:p w14:paraId="512D9A6D" w14:textId="77777777" w:rsidR="00C21BC2" w:rsidRPr="007148B2" w:rsidRDefault="00C21BC2" w:rsidP="007148B2">
      <w:pPr>
        <w:autoSpaceDE w:val="0"/>
        <w:autoSpaceDN w:val="0"/>
        <w:adjustRightInd w:val="0"/>
        <w:rPr>
          <w:sz w:val="24"/>
          <w:szCs w:val="24"/>
        </w:rPr>
      </w:pPr>
    </w:p>
    <w:p w14:paraId="16C44229" w14:textId="2B0D5734" w:rsidR="000F547F" w:rsidRPr="007148B2" w:rsidRDefault="000F547F" w:rsidP="007148B2">
      <w:pPr>
        <w:pStyle w:val="Textoindependiente21"/>
        <w:spacing w:after="0"/>
        <w:ind w:left="0"/>
        <w:jc w:val="both"/>
        <w:rPr>
          <w:rFonts w:cs="Arial"/>
          <w:sz w:val="24"/>
          <w:szCs w:val="24"/>
        </w:rPr>
      </w:pPr>
      <w:r w:rsidRPr="007148B2">
        <w:rPr>
          <w:rFonts w:cs="Arial"/>
          <w:sz w:val="24"/>
          <w:szCs w:val="24"/>
          <w:lang w:val="es-MX" w:eastAsia="ja-JP"/>
        </w:rPr>
        <w:t xml:space="preserve">Como </w:t>
      </w:r>
      <w:r w:rsidRPr="007148B2">
        <w:rPr>
          <w:rFonts w:cs="Arial"/>
          <w:sz w:val="24"/>
          <w:szCs w:val="24"/>
        </w:rPr>
        <w:t xml:space="preserve">medida provisional, pidió que se ordenara la suspensión de la sentencia del 23 de abril de 2020 o, en su defecto, del numeral cuarto de dicha providencia, puesto que de quedar en firme tendría que darle cumplimiento, lo que haría ilusorio un posible fallo favorable a sus intereses. </w:t>
      </w:r>
    </w:p>
    <w:p w14:paraId="5C742EAC" w14:textId="77777777" w:rsidR="002E65D8" w:rsidRDefault="002E65D8" w:rsidP="007148B2">
      <w:pPr>
        <w:autoSpaceDE w:val="0"/>
        <w:autoSpaceDN w:val="0"/>
        <w:adjustRightInd w:val="0"/>
        <w:rPr>
          <w:sz w:val="24"/>
          <w:szCs w:val="24"/>
        </w:rPr>
      </w:pPr>
    </w:p>
    <w:p w14:paraId="7A87FDC4" w14:textId="77777777" w:rsidR="00150F4F" w:rsidRDefault="00150F4F" w:rsidP="007148B2">
      <w:pPr>
        <w:autoSpaceDE w:val="0"/>
        <w:autoSpaceDN w:val="0"/>
        <w:adjustRightInd w:val="0"/>
        <w:rPr>
          <w:sz w:val="24"/>
          <w:szCs w:val="24"/>
        </w:rPr>
      </w:pPr>
    </w:p>
    <w:p w14:paraId="4E1F4AA7" w14:textId="77777777" w:rsidR="00150F4F" w:rsidRDefault="00150F4F" w:rsidP="007148B2">
      <w:pPr>
        <w:autoSpaceDE w:val="0"/>
        <w:autoSpaceDN w:val="0"/>
        <w:adjustRightInd w:val="0"/>
        <w:rPr>
          <w:sz w:val="24"/>
          <w:szCs w:val="24"/>
        </w:rPr>
      </w:pPr>
    </w:p>
    <w:p w14:paraId="217FCBA7" w14:textId="77777777" w:rsidR="00150F4F" w:rsidRPr="007148B2" w:rsidRDefault="00150F4F" w:rsidP="007148B2">
      <w:pPr>
        <w:autoSpaceDE w:val="0"/>
        <w:autoSpaceDN w:val="0"/>
        <w:adjustRightInd w:val="0"/>
        <w:rPr>
          <w:sz w:val="24"/>
          <w:szCs w:val="24"/>
        </w:rPr>
      </w:pPr>
    </w:p>
    <w:p w14:paraId="24A950BD" w14:textId="0729B4F8" w:rsidR="00751A87" w:rsidRPr="007148B2" w:rsidRDefault="00751A87" w:rsidP="007148B2">
      <w:pPr>
        <w:numPr>
          <w:ilvl w:val="0"/>
          <w:numId w:val="3"/>
        </w:numPr>
        <w:overflowPunct w:val="0"/>
        <w:autoSpaceDE w:val="0"/>
        <w:autoSpaceDN w:val="0"/>
        <w:adjustRightInd w:val="0"/>
        <w:contextualSpacing/>
        <w:rPr>
          <w:rFonts w:eastAsia="Times New Roman"/>
          <w:b/>
          <w:sz w:val="24"/>
          <w:szCs w:val="24"/>
          <w:lang w:eastAsia="es-ES"/>
        </w:rPr>
      </w:pPr>
      <w:r w:rsidRPr="007148B2">
        <w:rPr>
          <w:rFonts w:eastAsia="Times New Roman"/>
          <w:b/>
          <w:sz w:val="24"/>
          <w:szCs w:val="24"/>
          <w:lang w:eastAsia="es-ES"/>
        </w:rPr>
        <w:lastRenderedPageBreak/>
        <w:t>Argumentos de la solicitud de tutela</w:t>
      </w:r>
    </w:p>
    <w:p w14:paraId="0E8B348F" w14:textId="77777777" w:rsidR="00751A87" w:rsidRPr="007148B2" w:rsidRDefault="00751A87" w:rsidP="007148B2">
      <w:pPr>
        <w:overflowPunct w:val="0"/>
        <w:autoSpaceDE w:val="0"/>
        <w:autoSpaceDN w:val="0"/>
        <w:adjustRightInd w:val="0"/>
        <w:contextualSpacing/>
        <w:rPr>
          <w:rFonts w:eastAsia="Times New Roman"/>
          <w:b/>
          <w:sz w:val="24"/>
          <w:szCs w:val="24"/>
          <w:lang w:eastAsia="es-ES"/>
        </w:rPr>
      </w:pPr>
    </w:p>
    <w:p w14:paraId="19887180" w14:textId="2506ED71" w:rsidR="009228F7" w:rsidRPr="007148B2" w:rsidRDefault="009A00E9" w:rsidP="007148B2">
      <w:pPr>
        <w:overflowPunct w:val="0"/>
        <w:autoSpaceDE w:val="0"/>
        <w:autoSpaceDN w:val="0"/>
        <w:adjustRightInd w:val="0"/>
        <w:contextualSpacing/>
        <w:rPr>
          <w:rFonts w:eastAsia="Times New Roman"/>
          <w:sz w:val="24"/>
          <w:szCs w:val="24"/>
          <w:lang w:eastAsia="es-ES"/>
        </w:rPr>
      </w:pPr>
      <w:r w:rsidRPr="007148B2">
        <w:rPr>
          <w:sz w:val="24"/>
          <w:szCs w:val="24"/>
          <w:lang w:val="es-MX" w:eastAsia="ja-JP"/>
        </w:rPr>
        <w:t>La parte accionante</w:t>
      </w:r>
      <w:r w:rsidR="00586D06" w:rsidRPr="007148B2">
        <w:rPr>
          <w:rFonts w:eastAsia="Times New Roman"/>
          <w:sz w:val="24"/>
          <w:szCs w:val="24"/>
          <w:lang w:eastAsia="es-ES"/>
        </w:rPr>
        <w:t xml:space="preserve"> manifestó que la Subsección B de la Sección Tercera del Consejo de Estado</w:t>
      </w:r>
      <w:r w:rsidRPr="007148B2">
        <w:rPr>
          <w:rFonts w:eastAsia="Times New Roman"/>
          <w:sz w:val="24"/>
          <w:szCs w:val="24"/>
          <w:lang w:eastAsia="es-ES"/>
        </w:rPr>
        <w:t>, en la sentencia del 23 de abril de 2020,</w:t>
      </w:r>
      <w:r w:rsidR="00586D06" w:rsidRPr="007148B2">
        <w:rPr>
          <w:rFonts w:eastAsia="Times New Roman"/>
          <w:sz w:val="24"/>
          <w:szCs w:val="24"/>
          <w:lang w:eastAsia="es-ES"/>
        </w:rPr>
        <w:t xml:space="preserve"> incurrió en un defecto sustantivo y de desconocimiento del precedente constitucional</w:t>
      </w:r>
      <w:r w:rsidR="003F517F" w:rsidRPr="007148B2">
        <w:rPr>
          <w:rFonts w:eastAsia="Times New Roman"/>
          <w:sz w:val="24"/>
          <w:szCs w:val="24"/>
          <w:lang w:eastAsia="es-ES"/>
        </w:rPr>
        <w:t xml:space="preserve">, </w:t>
      </w:r>
      <w:r w:rsidR="00F74A37" w:rsidRPr="007148B2">
        <w:rPr>
          <w:rFonts w:eastAsia="Times New Roman"/>
          <w:sz w:val="24"/>
          <w:szCs w:val="24"/>
          <w:lang w:eastAsia="es-ES"/>
        </w:rPr>
        <w:t>con fundamento en los</w:t>
      </w:r>
      <w:r w:rsidR="009228F7" w:rsidRPr="007148B2">
        <w:rPr>
          <w:rFonts w:eastAsia="Times New Roman"/>
          <w:sz w:val="24"/>
          <w:szCs w:val="24"/>
          <w:lang w:eastAsia="es-ES"/>
        </w:rPr>
        <w:t xml:space="preserve"> </w:t>
      </w:r>
      <w:r w:rsidR="00F74A37" w:rsidRPr="007148B2">
        <w:rPr>
          <w:rFonts w:eastAsia="Times New Roman"/>
          <w:sz w:val="24"/>
          <w:szCs w:val="24"/>
          <w:lang w:eastAsia="es-ES"/>
        </w:rPr>
        <w:t>argumentos que la Sala resume a continuación</w:t>
      </w:r>
      <w:r w:rsidR="009228F7" w:rsidRPr="007148B2">
        <w:rPr>
          <w:rFonts w:eastAsia="Times New Roman"/>
          <w:sz w:val="24"/>
          <w:szCs w:val="24"/>
          <w:lang w:eastAsia="es-ES"/>
        </w:rPr>
        <w:t>:</w:t>
      </w:r>
    </w:p>
    <w:p w14:paraId="4B4155E2" w14:textId="77777777" w:rsidR="009228F7" w:rsidRPr="007148B2" w:rsidRDefault="009228F7" w:rsidP="007148B2">
      <w:pPr>
        <w:overflowPunct w:val="0"/>
        <w:autoSpaceDE w:val="0"/>
        <w:autoSpaceDN w:val="0"/>
        <w:adjustRightInd w:val="0"/>
        <w:contextualSpacing/>
        <w:rPr>
          <w:rFonts w:eastAsia="Times New Roman"/>
          <w:sz w:val="24"/>
          <w:szCs w:val="24"/>
          <w:lang w:eastAsia="es-ES"/>
        </w:rPr>
      </w:pPr>
    </w:p>
    <w:p w14:paraId="59D65D0C" w14:textId="2216E73F" w:rsidR="0012085E" w:rsidRPr="007148B2" w:rsidRDefault="004E30D9" w:rsidP="007148B2">
      <w:pPr>
        <w:overflowPunct w:val="0"/>
        <w:autoSpaceDE w:val="0"/>
        <w:autoSpaceDN w:val="0"/>
        <w:adjustRightInd w:val="0"/>
        <w:contextualSpacing/>
        <w:rPr>
          <w:bCs/>
          <w:sz w:val="24"/>
          <w:szCs w:val="24"/>
        </w:rPr>
      </w:pPr>
      <w:r w:rsidRPr="007148B2">
        <w:rPr>
          <w:rFonts w:eastAsia="Times New Roman"/>
          <w:b/>
          <w:sz w:val="24"/>
          <w:szCs w:val="24"/>
          <w:lang w:eastAsia="es-ES"/>
        </w:rPr>
        <w:t xml:space="preserve">4.1. </w:t>
      </w:r>
      <w:r w:rsidR="0012085E" w:rsidRPr="007148B2">
        <w:rPr>
          <w:rFonts w:eastAsia="Times New Roman"/>
          <w:sz w:val="24"/>
          <w:szCs w:val="24"/>
          <w:lang w:eastAsia="es-ES"/>
        </w:rPr>
        <w:t xml:space="preserve">El principio de justicia rogada, que modera el principio </w:t>
      </w:r>
      <w:proofErr w:type="spellStart"/>
      <w:r w:rsidR="0012085E" w:rsidRPr="007148B2">
        <w:rPr>
          <w:rFonts w:eastAsia="Times New Roman"/>
          <w:i/>
          <w:sz w:val="24"/>
          <w:szCs w:val="24"/>
          <w:lang w:eastAsia="es-ES"/>
        </w:rPr>
        <w:t>iura</w:t>
      </w:r>
      <w:proofErr w:type="spellEnd"/>
      <w:r w:rsidR="0012085E" w:rsidRPr="007148B2">
        <w:rPr>
          <w:rFonts w:eastAsia="Times New Roman"/>
          <w:i/>
          <w:sz w:val="24"/>
          <w:szCs w:val="24"/>
          <w:lang w:eastAsia="es-ES"/>
        </w:rPr>
        <w:t xml:space="preserve"> </w:t>
      </w:r>
      <w:proofErr w:type="spellStart"/>
      <w:r w:rsidR="0012085E" w:rsidRPr="007148B2">
        <w:rPr>
          <w:rFonts w:eastAsia="Times New Roman"/>
          <w:i/>
          <w:sz w:val="24"/>
          <w:szCs w:val="24"/>
          <w:lang w:eastAsia="es-ES"/>
        </w:rPr>
        <w:t>novit</w:t>
      </w:r>
      <w:proofErr w:type="spellEnd"/>
      <w:r w:rsidR="0012085E" w:rsidRPr="007148B2">
        <w:rPr>
          <w:rFonts w:eastAsia="Times New Roman"/>
          <w:i/>
          <w:sz w:val="24"/>
          <w:szCs w:val="24"/>
          <w:lang w:eastAsia="es-ES"/>
        </w:rPr>
        <w:t xml:space="preserve"> curia,</w:t>
      </w:r>
      <w:r w:rsidR="0012085E" w:rsidRPr="007148B2">
        <w:rPr>
          <w:rFonts w:eastAsia="Times New Roman"/>
          <w:sz w:val="24"/>
          <w:szCs w:val="24"/>
          <w:lang w:eastAsia="es-ES"/>
        </w:rPr>
        <w:t xml:space="preserve"> implica que la jurisdicción no puede actuar de oficio, que el demandante tiene la carga de orientar al juez, y una garantía al debido proceso. En los eventos de responsabilidad extracontractual del Estado, la</w:t>
      </w:r>
      <w:r w:rsidR="00B83AFB">
        <w:rPr>
          <w:rFonts w:eastAsia="Times New Roman"/>
          <w:sz w:val="24"/>
          <w:szCs w:val="24"/>
          <w:lang w:eastAsia="es-ES"/>
        </w:rPr>
        <w:t xml:space="preserve"> obligación de reparar proviene</w:t>
      </w:r>
      <w:r w:rsidR="0012085E" w:rsidRPr="007148B2">
        <w:rPr>
          <w:rFonts w:eastAsia="Times New Roman"/>
          <w:sz w:val="24"/>
          <w:szCs w:val="24"/>
          <w:lang w:eastAsia="es-ES"/>
        </w:rPr>
        <w:t xml:space="preserve"> de las sentencias, por lo que estas deben atender a los principios de congruencia y legalidad, es decir, ser coherentes con lo pretendido y lo probado, de manera tal que “[…] </w:t>
      </w:r>
      <w:r w:rsidR="0012085E" w:rsidRPr="007148B2">
        <w:rPr>
          <w:bCs/>
          <w:sz w:val="24"/>
          <w:szCs w:val="24"/>
        </w:rPr>
        <w:t>lo que debe resarcirse es la consecuencia o resultado del daño antijurídico y no el hecho que lo produce […]”</w:t>
      </w:r>
      <w:r w:rsidR="00B42CB1" w:rsidRPr="007148B2">
        <w:rPr>
          <w:rStyle w:val="Refdenotaalpie"/>
          <w:sz w:val="24"/>
          <w:szCs w:val="24"/>
          <w:lang w:val="es-MX" w:eastAsia="ja-JP"/>
        </w:rPr>
        <w:footnoteReference w:id="7"/>
      </w:r>
      <w:r w:rsidR="0012085E" w:rsidRPr="007148B2">
        <w:rPr>
          <w:bCs/>
          <w:sz w:val="24"/>
          <w:szCs w:val="24"/>
        </w:rPr>
        <w:t xml:space="preserve">, ya que el perjuicio es el límite de la indemnización. </w:t>
      </w:r>
    </w:p>
    <w:p w14:paraId="0FBC79D7" w14:textId="77777777" w:rsidR="0012085E" w:rsidRPr="007148B2" w:rsidRDefault="0012085E" w:rsidP="007148B2">
      <w:pPr>
        <w:overflowPunct w:val="0"/>
        <w:autoSpaceDE w:val="0"/>
        <w:autoSpaceDN w:val="0"/>
        <w:adjustRightInd w:val="0"/>
        <w:contextualSpacing/>
        <w:rPr>
          <w:rFonts w:eastAsia="Times New Roman"/>
          <w:sz w:val="24"/>
          <w:szCs w:val="24"/>
          <w:lang w:val="es-ES" w:eastAsia="es-ES"/>
        </w:rPr>
      </w:pPr>
    </w:p>
    <w:p w14:paraId="7099DA19" w14:textId="58442E25" w:rsidR="00BA0095" w:rsidRPr="007148B2" w:rsidRDefault="005C0B29" w:rsidP="00150F4F">
      <w:pPr>
        <w:tabs>
          <w:tab w:val="left" w:pos="8301"/>
        </w:tabs>
        <w:overflowPunct w:val="0"/>
        <w:autoSpaceDE w:val="0"/>
        <w:autoSpaceDN w:val="0"/>
        <w:adjustRightInd w:val="0"/>
        <w:contextualSpacing/>
        <w:rPr>
          <w:rFonts w:eastAsia="Times New Roman"/>
          <w:sz w:val="24"/>
          <w:szCs w:val="24"/>
          <w:lang w:eastAsia="es-ES"/>
        </w:rPr>
      </w:pPr>
      <w:r w:rsidRPr="007148B2">
        <w:rPr>
          <w:rFonts w:eastAsia="Times New Roman"/>
          <w:sz w:val="24"/>
          <w:szCs w:val="24"/>
          <w:lang w:eastAsia="es-ES"/>
        </w:rPr>
        <w:t>Al juez le c</w:t>
      </w:r>
      <w:r w:rsidR="00F73069" w:rsidRPr="007148B2">
        <w:rPr>
          <w:rFonts w:eastAsia="Times New Roman"/>
          <w:sz w:val="24"/>
          <w:szCs w:val="24"/>
          <w:lang w:eastAsia="es-ES"/>
        </w:rPr>
        <w:t xml:space="preserve">orresponde resolver la </w:t>
      </w:r>
      <w:r w:rsidR="000903AC" w:rsidRPr="007148B2">
        <w:rPr>
          <w:rFonts w:eastAsia="Times New Roman"/>
          <w:sz w:val="24"/>
          <w:szCs w:val="24"/>
          <w:lang w:eastAsia="es-ES"/>
        </w:rPr>
        <w:t>pretensión</w:t>
      </w:r>
      <w:r w:rsidR="00F73069" w:rsidRPr="007148B2">
        <w:rPr>
          <w:rFonts w:eastAsia="Times New Roman"/>
          <w:sz w:val="24"/>
          <w:szCs w:val="24"/>
          <w:lang w:eastAsia="es-ES"/>
        </w:rPr>
        <w:t xml:space="preserve"> que </w:t>
      </w:r>
      <w:r w:rsidR="009146FF">
        <w:rPr>
          <w:rFonts w:eastAsia="Times New Roman"/>
          <w:sz w:val="24"/>
          <w:szCs w:val="24"/>
          <w:lang w:eastAsia="es-ES"/>
        </w:rPr>
        <w:t>plantea</w:t>
      </w:r>
      <w:r w:rsidR="00F73069" w:rsidRPr="007148B2">
        <w:rPr>
          <w:rFonts w:eastAsia="Times New Roman"/>
          <w:sz w:val="24"/>
          <w:szCs w:val="24"/>
          <w:lang w:eastAsia="es-ES"/>
        </w:rPr>
        <w:t xml:space="preserve"> la demanda, con fundamento en lo probado y excepcionado en el proceso</w:t>
      </w:r>
      <w:r w:rsidRPr="007148B2">
        <w:rPr>
          <w:rFonts w:eastAsia="Times New Roman"/>
          <w:sz w:val="24"/>
          <w:szCs w:val="24"/>
          <w:lang w:eastAsia="es-ES"/>
        </w:rPr>
        <w:t xml:space="preserve">, y no </w:t>
      </w:r>
      <w:r w:rsidR="009146FF">
        <w:rPr>
          <w:rFonts w:eastAsia="Times New Roman"/>
          <w:sz w:val="24"/>
          <w:szCs w:val="24"/>
          <w:lang w:eastAsia="es-ES"/>
        </w:rPr>
        <w:t xml:space="preserve">en </w:t>
      </w:r>
      <w:r w:rsidRPr="007148B2">
        <w:rPr>
          <w:rFonts w:eastAsia="Times New Roman"/>
          <w:sz w:val="24"/>
          <w:szCs w:val="24"/>
          <w:lang w:eastAsia="es-ES"/>
        </w:rPr>
        <w:t>lo que considere equivocado</w:t>
      </w:r>
      <w:r w:rsidR="00F73069" w:rsidRPr="007148B2">
        <w:rPr>
          <w:rFonts w:eastAsia="Times New Roman"/>
          <w:sz w:val="24"/>
          <w:szCs w:val="24"/>
          <w:lang w:eastAsia="es-ES"/>
        </w:rPr>
        <w:t xml:space="preserve">. </w:t>
      </w:r>
      <w:r w:rsidR="0012085E" w:rsidRPr="007148B2">
        <w:rPr>
          <w:rFonts w:eastAsia="Times New Roman"/>
          <w:sz w:val="24"/>
          <w:szCs w:val="24"/>
          <w:lang w:eastAsia="es-ES"/>
        </w:rPr>
        <w:t>En ese orden, l</w:t>
      </w:r>
      <w:r w:rsidR="009228F7" w:rsidRPr="007148B2">
        <w:rPr>
          <w:rFonts w:eastAsia="Times New Roman"/>
          <w:sz w:val="24"/>
          <w:szCs w:val="24"/>
          <w:lang w:eastAsia="es-ES"/>
        </w:rPr>
        <w:t xml:space="preserve">a accionada </w:t>
      </w:r>
      <w:r w:rsidR="003F517F" w:rsidRPr="007148B2">
        <w:rPr>
          <w:rFonts w:eastAsia="Times New Roman"/>
          <w:sz w:val="24"/>
          <w:szCs w:val="24"/>
          <w:lang w:eastAsia="es-ES"/>
        </w:rPr>
        <w:t>transgredió los principios de justicia rogada y congruencia de las decisiones judiciales</w:t>
      </w:r>
      <w:r w:rsidR="00757DD8" w:rsidRPr="007148B2">
        <w:rPr>
          <w:rFonts w:eastAsia="Times New Roman"/>
          <w:sz w:val="24"/>
          <w:szCs w:val="24"/>
          <w:lang w:eastAsia="es-ES"/>
        </w:rPr>
        <w:t xml:space="preserve">, ya que </w:t>
      </w:r>
      <w:r w:rsidR="00F74A37" w:rsidRPr="007148B2">
        <w:rPr>
          <w:rFonts w:eastAsia="Times New Roman"/>
          <w:sz w:val="24"/>
          <w:szCs w:val="24"/>
          <w:lang w:eastAsia="es-ES"/>
        </w:rPr>
        <w:t>ordenó,</w:t>
      </w:r>
      <w:r w:rsidR="00757DD8" w:rsidRPr="007148B2">
        <w:rPr>
          <w:rFonts w:eastAsia="Times New Roman"/>
          <w:sz w:val="24"/>
          <w:szCs w:val="24"/>
          <w:lang w:eastAsia="es-ES"/>
        </w:rPr>
        <w:t xml:space="preserve"> </w:t>
      </w:r>
      <w:r w:rsidR="00F74A37" w:rsidRPr="007148B2">
        <w:rPr>
          <w:rFonts w:eastAsia="Times New Roman"/>
          <w:sz w:val="24"/>
          <w:szCs w:val="24"/>
          <w:lang w:eastAsia="es-ES"/>
        </w:rPr>
        <w:t xml:space="preserve">de forma </w:t>
      </w:r>
      <w:r w:rsidR="00757DD8" w:rsidRPr="007148B2">
        <w:rPr>
          <w:rFonts w:eastAsia="Times New Roman"/>
          <w:sz w:val="24"/>
          <w:szCs w:val="24"/>
          <w:lang w:eastAsia="es-ES"/>
        </w:rPr>
        <w:t>extra</w:t>
      </w:r>
      <w:r w:rsidR="00757DD8" w:rsidRPr="007148B2">
        <w:rPr>
          <w:rFonts w:eastAsia="Times New Roman"/>
          <w:i/>
          <w:sz w:val="24"/>
          <w:szCs w:val="24"/>
          <w:lang w:eastAsia="es-ES"/>
        </w:rPr>
        <w:t xml:space="preserve"> </w:t>
      </w:r>
      <w:proofErr w:type="spellStart"/>
      <w:r w:rsidR="00757DD8" w:rsidRPr="007148B2">
        <w:rPr>
          <w:rFonts w:eastAsia="Times New Roman"/>
          <w:i/>
          <w:sz w:val="24"/>
          <w:szCs w:val="24"/>
          <w:lang w:eastAsia="es-ES"/>
        </w:rPr>
        <w:t>petita</w:t>
      </w:r>
      <w:proofErr w:type="spellEnd"/>
      <w:r w:rsidR="00F74A37" w:rsidRPr="007148B2">
        <w:rPr>
          <w:rFonts w:eastAsia="Times New Roman"/>
          <w:i/>
          <w:sz w:val="24"/>
          <w:szCs w:val="24"/>
          <w:lang w:eastAsia="es-ES"/>
        </w:rPr>
        <w:t>,</w:t>
      </w:r>
      <w:r w:rsidR="00757DD8" w:rsidRPr="007148B2">
        <w:rPr>
          <w:rFonts w:eastAsia="Times New Roman"/>
          <w:sz w:val="24"/>
          <w:szCs w:val="24"/>
          <w:lang w:eastAsia="es-ES"/>
        </w:rPr>
        <w:t xml:space="preserve"> </w:t>
      </w:r>
      <w:r w:rsidR="00F74A37" w:rsidRPr="007148B2">
        <w:rPr>
          <w:rFonts w:eastAsia="Times New Roman"/>
          <w:sz w:val="24"/>
          <w:szCs w:val="24"/>
          <w:lang w:eastAsia="es-ES"/>
        </w:rPr>
        <w:t>que se ofrecieran</w:t>
      </w:r>
      <w:r w:rsidR="00757DD8" w:rsidRPr="007148B2">
        <w:rPr>
          <w:rFonts w:eastAsia="Times New Roman"/>
          <w:sz w:val="24"/>
          <w:szCs w:val="24"/>
          <w:lang w:eastAsia="es-ES"/>
        </w:rPr>
        <w:t xml:space="preserve"> </w:t>
      </w:r>
      <w:r w:rsidR="00CE4DF7" w:rsidRPr="007148B2">
        <w:rPr>
          <w:rFonts w:eastAsia="Times New Roman"/>
          <w:sz w:val="24"/>
          <w:szCs w:val="24"/>
          <w:lang w:eastAsia="es-ES"/>
        </w:rPr>
        <w:t>unas</w:t>
      </w:r>
      <w:r w:rsidR="00757DD8" w:rsidRPr="007148B2">
        <w:rPr>
          <w:rFonts w:eastAsia="Times New Roman"/>
          <w:sz w:val="24"/>
          <w:szCs w:val="24"/>
          <w:lang w:eastAsia="es-ES"/>
        </w:rPr>
        <w:t xml:space="preserve"> disculpas que no fueron solicitadas</w:t>
      </w:r>
      <w:r w:rsidR="000903AC" w:rsidRPr="007148B2">
        <w:rPr>
          <w:rFonts w:eastAsia="Times New Roman"/>
          <w:sz w:val="24"/>
          <w:szCs w:val="24"/>
          <w:lang w:eastAsia="es-ES"/>
        </w:rPr>
        <w:t xml:space="preserve"> en </w:t>
      </w:r>
      <w:r w:rsidR="00F73069" w:rsidRPr="007148B2">
        <w:rPr>
          <w:rFonts w:eastAsia="Times New Roman"/>
          <w:sz w:val="24"/>
          <w:szCs w:val="24"/>
          <w:lang w:eastAsia="es-ES"/>
        </w:rPr>
        <w:t>el</w:t>
      </w:r>
      <w:r w:rsidR="000903AC" w:rsidRPr="007148B2">
        <w:rPr>
          <w:rFonts w:eastAsia="Times New Roman"/>
          <w:sz w:val="24"/>
          <w:szCs w:val="24"/>
          <w:lang w:eastAsia="es-ES"/>
        </w:rPr>
        <w:t xml:space="preserve"> escrito inicial del señor Montaña y su familia</w:t>
      </w:r>
      <w:r w:rsidR="00D627C3">
        <w:rPr>
          <w:rFonts w:eastAsia="Times New Roman"/>
          <w:sz w:val="24"/>
          <w:szCs w:val="24"/>
          <w:lang w:eastAsia="es-ES"/>
        </w:rPr>
        <w:t>, sin suficiente motivación y respaldo probatorio</w:t>
      </w:r>
      <w:r w:rsidR="000903AC" w:rsidRPr="007148B2">
        <w:rPr>
          <w:rFonts w:eastAsia="Times New Roman"/>
          <w:sz w:val="24"/>
          <w:szCs w:val="24"/>
          <w:lang w:eastAsia="es-ES"/>
        </w:rPr>
        <w:t>.</w:t>
      </w:r>
    </w:p>
    <w:p w14:paraId="0053C0CA" w14:textId="77777777" w:rsidR="0012085E" w:rsidRPr="007148B2" w:rsidRDefault="0012085E" w:rsidP="007148B2">
      <w:pPr>
        <w:overflowPunct w:val="0"/>
        <w:autoSpaceDE w:val="0"/>
        <w:autoSpaceDN w:val="0"/>
        <w:adjustRightInd w:val="0"/>
        <w:contextualSpacing/>
        <w:rPr>
          <w:rFonts w:eastAsia="Times New Roman"/>
          <w:sz w:val="24"/>
          <w:szCs w:val="24"/>
          <w:lang w:eastAsia="es-ES"/>
        </w:rPr>
      </w:pPr>
    </w:p>
    <w:p w14:paraId="5A9AD114" w14:textId="2D21AE2F" w:rsidR="0012085E" w:rsidRPr="007148B2" w:rsidRDefault="0012085E" w:rsidP="007148B2">
      <w:pPr>
        <w:overflowPunct w:val="0"/>
        <w:autoSpaceDE w:val="0"/>
        <w:autoSpaceDN w:val="0"/>
        <w:adjustRightInd w:val="0"/>
        <w:contextualSpacing/>
        <w:rPr>
          <w:bCs/>
          <w:sz w:val="24"/>
          <w:szCs w:val="24"/>
        </w:rPr>
      </w:pPr>
      <w:r w:rsidRPr="007148B2">
        <w:rPr>
          <w:rFonts w:eastAsia="Times New Roman"/>
          <w:sz w:val="24"/>
          <w:szCs w:val="24"/>
          <w:lang w:eastAsia="es-ES"/>
        </w:rPr>
        <w:t xml:space="preserve">De ahí que, con la imposición de una obligación de hacer en cabeza del director de la DEAJ, </w:t>
      </w:r>
      <w:r w:rsidR="00B83AFB">
        <w:rPr>
          <w:rFonts w:eastAsia="Times New Roman"/>
          <w:sz w:val="24"/>
          <w:szCs w:val="24"/>
          <w:lang w:eastAsia="es-ES"/>
        </w:rPr>
        <w:t>extraña a</w:t>
      </w:r>
      <w:r w:rsidRPr="007148B2">
        <w:rPr>
          <w:rFonts w:eastAsia="Times New Roman"/>
          <w:sz w:val="24"/>
          <w:szCs w:val="24"/>
          <w:lang w:eastAsia="es-ES"/>
        </w:rPr>
        <w:t xml:space="preserve"> los hechos y las pretensiones de los reclamantes, se impidió al demandado el ejercicio de sus derechos fundamentales a la defensa y a la contradicción, materializados en la posibilidad de presentar alegaciones que sustenten los intereses relacionados con lo decidido.</w:t>
      </w:r>
    </w:p>
    <w:p w14:paraId="4F85B03E" w14:textId="77777777" w:rsidR="00FE2B16" w:rsidRPr="007148B2" w:rsidRDefault="00FE2B16" w:rsidP="007148B2">
      <w:pPr>
        <w:overflowPunct w:val="0"/>
        <w:autoSpaceDE w:val="0"/>
        <w:autoSpaceDN w:val="0"/>
        <w:adjustRightInd w:val="0"/>
        <w:contextualSpacing/>
        <w:rPr>
          <w:rFonts w:eastAsia="Times New Roman"/>
          <w:sz w:val="24"/>
          <w:szCs w:val="24"/>
          <w:lang w:eastAsia="es-ES"/>
        </w:rPr>
      </w:pPr>
    </w:p>
    <w:p w14:paraId="2CC867EE" w14:textId="62AB64E0" w:rsidR="00DA371D" w:rsidRPr="007148B2" w:rsidRDefault="0012085E" w:rsidP="007148B2">
      <w:pPr>
        <w:overflowPunct w:val="0"/>
        <w:autoSpaceDE w:val="0"/>
        <w:autoSpaceDN w:val="0"/>
        <w:adjustRightInd w:val="0"/>
        <w:contextualSpacing/>
        <w:rPr>
          <w:rFonts w:eastAsia="Times New Roman"/>
          <w:i/>
          <w:sz w:val="24"/>
          <w:szCs w:val="24"/>
          <w:lang w:eastAsia="es-ES"/>
        </w:rPr>
      </w:pPr>
      <w:r w:rsidRPr="007148B2">
        <w:rPr>
          <w:b/>
          <w:bCs/>
          <w:sz w:val="24"/>
          <w:szCs w:val="24"/>
        </w:rPr>
        <w:t xml:space="preserve">4.2. </w:t>
      </w:r>
      <w:r w:rsidR="005B7E46" w:rsidRPr="007148B2">
        <w:rPr>
          <w:rFonts w:eastAsia="Times New Roman"/>
          <w:sz w:val="24"/>
          <w:szCs w:val="24"/>
          <w:lang w:eastAsia="es-ES"/>
        </w:rPr>
        <w:t>Ahora bien, l</w:t>
      </w:r>
      <w:r w:rsidR="00DA371D" w:rsidRPr="007148B2">
        <w:rPr>
          <w:rFonts w:eastAsia="Times New Roman"/>
          <w:sz w:val="24"/>
          <w:szCs w:val="24"/>
          <w:lang w:eastAsia="es-ES"/>
        </w:rPr>
        <w:t xml:space="preserve">as disculpas públicas </w:t>
      </w:r>
      <w:r w:rsidR="00026740" w:rsidRPr="007148B2">
        <w:rPr>
          <w:rFonts w:eastAsia="Times New Roman"/>
          <w:sz w:val="24"/>
          <w:szCs w:val="24"/>
          <w:lang w:eastAsia="es-ES"/>
        </w:rPr>
        <w:t>son</w:t>
      </w:r>
      <w:r w:rsidR="00DA371D" w:rsidRPr="007148B2">
        <w:rPr>
          <w:rFonts w:eastAsia="Times New Roman"/>
          <w:sz w:val="24"/>
          <w:szCs w:val="24"/>
          <w:lang w:eastAsia="es-ES"/>
        </w:rPr>
        <w:t xml:space="preserve"> un elemento propio de la política de justicia transicional como forma de reparación simbólica, que procede </w:t>
      </w:r>
      <w:r w:rsidR="00287806" w:rsidRPr="007148B2">
        <w:rPr>
          <w:rFonts w:eastAsia="Times New Roman"/>
          <w:sz w:val="24"/>
          <w:szCs w:val="24"/>
          <w:lang w:eastAsia="es-ES"/>
        </w:rPr>
        <w:t xml:space="preserve">en la mayoría de casos </w:t>
      </w:r>
      <w:r w:rsidR="00DA371D" w:rsidRPr="007148B2">
        <w:rPr>
          <w:rFonts w:eastAsia="Times New Roman"/>
          <w:sz w:val="24"/>
          <w:szCs w:val="24"/>
          <w:lang w:eastAsia="es-ES"/>
        </w:rPr>
        <w:t xml:space="preserve">frente a violaciones de derechos humanos, como aceptación </w:t>
      </w:r>
      <w:r w:rsidR="004E30D9" w:rsidRPr="007148B2">
        <w:rPr>
          <w:rFonts w:eastAsia="Times New Roman"/>
          <w:sz w:val="24"/>
          <w:szCs w:val="24"/>
          <w:lang w:eastAsia="es-ES"/>
        </w:rPr>
        <w:t xml:space="preserve">de responsabilidad </w:t>
      </w:r>
      <w:r w:rsidR="00DA371D" w:rsidRPr="007148B2">
        <w:rPr>
          <w:rFonts w:eastAsia="Times New Roman"/>
          <w:sz w:val="24"/>
          <w:szCs w:val="24"/>
          <w:lang w:eastAsia="es-ES"/>
        </w:rPr>
        <w:t>po</w:t>
      </w:r>
      <w:r w:rsidR="004E30D9" w:rsidRPr="007148B2">
        <w:rPr>
          <w:rFonts w:eastAsia="Times New Roman"/>
          <w:sz w:val="24"/>
          <w:szCs w:val="24"/>
          <w:lang w:eastAsia="es-ES"/>
        </w:rPr>
        <w:t xml:space="preserve">r parte </w:t>
      </w:r>
      <w:r w:rsidR="00026740" w:rsidRPr="007148B2">
        <w:rPr>
          <w:rFonts w:eastAsia="Times New Roman"/>
          <w:sz w:val="24"/>
          <w:szCs w:val="24"/>
          <w:lang w:eastAsia="es-ES"/>
        </w:rPr>
        <w:t>las autoridades</w:t>
      </w:r>
      <w:r w:rsidR="00EA7475">
        <w:rPr>
          <w:rFonts w:eastAsia="Times New Roman"/>
          <w:sz w:val="24"/>
          <w:szCs w:val="24"/>
          <w:lang w:eastAsia="es-ES"/>
        </w:rPr>
        <w:t xml:space="preserve"> públicas</w:t>
      </w:r>
      <w:r w:rsidR="004E30D9" w:rsidRPr="007148B2">
        <w:rPr>
          <w:rFonts w:eastAsia="Times New Roman"/>
          <w:sz w:val="24"/>
          <w:szCs w:val="24"/>
          <w:lang w:eastAsia="es-ES"/>
        </w:rPr>
        <w:t>, entre otros</w:t>
      </w:r>
      <w:r w:rsidR="00DA371D" w:rsidRPr="007148B2">
        <w:rPr>
          <w:rFonts w:eastAsia="Times New Roman"/>
          <w:sz w:val="24"/>
          <w:szCs w:val="24"/>
          <w:lang w:eastAsia="es-ES"/>
        </w:rPr>
        <w:t>.</w:t>
      </w:r>
      <w:r w:rsidR="007075E5" w:rsidRPr="007148B2">
        <w:rPr>
          <w:rFonts w:eastAsia="Times New Roman"/>
          <w:sz w:val="24"/>
          <w:szCs w:val="24"/>
          <w:lang w:eastAsia="es-ES"/>
        </w:rPr>
        <w:t xml:space="preserve"> Esta comprensión conceptual est</w:t>
      </w:r>
      <w:r w:rsidR="002873C9" w:rsidRPr="007148B2">
        <w:rPr>
          <w:rFonts w:eastAsia="Times New Roman"/>
          <w:sz w:val="24"/>
          <w:szCs w:val="24"/>
          <w:lang w:eastAsia="es-ES"/>
        </w:rPr>
        <w:t>á impedida en los procesos de reparación directa</w:t>
      </w:r>
      <w:r w:rsidR="009146FF">
        <w:rPr>
          <w:rFonts w:eastAsia="Times New Roman"/>
          <w:sz w:val="24"/>
          <w:szCs w:val="24"/>
          <w:lang w:eastAsia="es-ES"/>
        </w:rPr>
        <w:t>,</w:t>
      </w:r>
      <w:r w:rsidR="00026740" w:rsidRPr="007148B2">
        <w:rPr>
          <w:rFonts w:eastAsia="Times New Roman"/>
          <w:sz w:val="24"/>
          <w:szCs w:val="24"/>
          <w:lang w:eastAsia="es-ES"/>
        </w:rPr>
        <w:t xml:space="preserve"> por su</w:t>
      </w:r>
      <w:r w:rsidR="002873C9" w:rsidRPr="007148B2">
        <w:rPr>
          <w:rFonts w:eastAsia="Times New Roman"/>
          <w:sz w:val="24"/>
          <w:szCs w:val="24"/>
          <w:lang w:eastAsia="es-ES"/>
        </w:rPr>
        <w:t xml:space="preserve"> naturaleza, pues </w:t>
      </w:r>
      <w:r w:rsidR="00026740" w:rsidRPr="007148B2">
        <w:rPr>
          <w:rFonts w:eastAsia="Times New Roman"/>
          <w:sz w:val="24"/>
          <w:szCs w:val="24"/>
          <w:lang w:eastAsia="es-ES"/>
        </w:rPr>
        <w:t>la</w:t>
      </w:r>
      <w:r w:rsidR="00DA371D" w:rsidRPr="007148B2">
        <w:rPr>
          <w:rFonts w:eastAsia="Times New Roman"/>
          <w:sz w:val="24"/>
          <w:szCs w:val="24"/>
          <w:lang w:eastAsia="es-ES"/>
        </w:rPr>
        <w:t>s características de</w:t>
      </w:r>
      <w:r w:rsidR="009146FF">
        <w:rPr>
          <w:rFonts w:eastAsia="Times New Roman"/>
          <w:sz w:val="24"/>
          <w:szCs w:val="24"/>
          <w:lang w:eastAsia="es-ES"/>
        </w:rPr>
        <w:t xml:space="preserve"> lo</w:t>
      </w:r>
      <w:r w:rsidR="002873C9" w:rsidRPr="007148B2">
        <w:rPr>
          <w:rFonts w:eastAsia="Times New Roman"/>
          <w:sz w:val="24"/>
          <w:szCs w:val="24"/>
          <w:lang w:eastAsia="es-ES"/>
        </w:rPr>
        <w:t>s</w:t>
      </w:r>
      <w:r w:rsidR="00DA371D" w:rsidRPr="007148B2">
        <w:rPr>
          <w:rFonts w:eastAsia="Times New Roman"/>
          <w:sz w:val="24"/>
          <w:szCs w:val="24"/>
          <w:lang w:eastAsia="es-ES"/>
        </w:rPr>
        <w:t xml:space="preserve"> resultado</w:t>
      </w:r>
      <w:r w:rsidR="002873C9" w:rsidRPr="007148B2">
        <w:rPr>
          <w:rFonts w:eastAsia="Times New Roman"/>
          <w:sz w:val="24"/>
          <w:szCs w:val="24"/>
          <w:lang w:eastAsia="es-ES"/>
        </w:rPr>
        <w:t>s</w:t>
      </w:r>
      <w:r w:rsidR="00DA371D" w:rsidRPr="007148B2">
        <w:rPr>
          <w:rFonts w:eastAsia="Times New Roman"/>
          <w:sz w:val="24"/>
          <w:szCs w:val="24"/>
          <w:lang w:eastAsia="es-ES"/>
        </w:rPr>
        <w:t xml:space="preserve"> son esen</w:t>
      </w:r>
      <w:r w:rsidR="00AC27FC">
        <w:rPr>
          <w:rFonts w:eastAsia="Times New Roman"/>
          <w:sz w:val="24"/>
          <w:szCs w:val="24"/>
          <w:lang w:eastAsia="es-ES"/>
        </w:rPr>
        <w:t>cialmente materiales o económico</w:t>
      </w:r>
      <w:r w:rsidR="00DA371D" w:rsidRPr="007148B2">
        <w:rPr>
          <w:rFonts w:eastAsia="Times New Roman"/>
          <w:sz w:val="24"/>
          <w:szCs w:val="24"/>
          <w:lang w:eastAsia="es-ES"/>
        </w:rPr>
        <w:t xml:space="preserve">s, sin perjuicio del resarcimiento procedente por las lesiones </w:t>
      </w:r>
      <w:proofErr w:type="spellStart"/>
      <w:r w:rsidR="00DA371D" w:rsidRPr="007148B2">
        <w:rPr>
          <w:rFonts w:eastAsia="Times New Roman"/>
          <w:sz w:val="24"/>
          <w:szCs w:val="24"/>
          <w:lang w:eastAsia="es-ES"/>
        </w:rPr>
        <w:t>extrapatrimoniales</w:t>
      </w:r>
      <w:proofErr w:type="spellEnd"/>
      <w:r w:rsidR="00DA371D" w:rsidRPr="007148B2">
        <w:rPr>
          <w:rFonts w:eastAsia="Times New Roman"/>
          <w:sz w:val="24"/>
          <w:szCs w:val="24"/>
          <w:lang w:eastAsia="es-ES"/>
        </w:rPr>
        <w:t xml:space="preserve"> distintas a la moral. La reclamación, por este medio, está ubicada en la imposibilidad real de que los hechos retroced</w:t>
      </w:r>
      <w:r w:rsidR="00AA0388" w:rsidRPr="007148B2">
        <w:rPr>
          <w:rFonts w:eastAsia="Times New Roman"/>
          <w:sz w:val="24"/>
          <w:szCs w:val="24"/>
          <w:lang w:eastAsia="es-ES"/>
        </w:rPr>
        <w:t xml:space="preserve">an al estado inicial, como </w:t>
      </w:r>
      <w:r w:rsidR="00AC27FC">
        <w:rPr>
          <w:rFonts w:eastAsia="Times New Roman"/>
          <w:sz w:val="24"/>
          <w:szCs w:val="24"/>
          <w:lang w:eastAsia="es-ES"/>
        </w:rPr>
        <w:t>s</w:t>
      </w:r>
      <w:r w:rsidR="00FB3DE4">
        <w:rPr>
          <w:rFonts w:eastAsia="Times New Roman"/>
          <w:sz w:val="24"/>
          <w:szCs w:val="24"/>
          <w:lang w:eastAsia="es-ES"/>
        </w:rPr>
        <w:t>í</w:t>
      </w:r>
      <w:r w:rsidR="00AC27FC">
        <w:rPr>
          <w:rFonts w:eastAsia="Times New Roman"/>
          <w:sz w:val="24"/>
          <w:szCs w:val="24"/>
          <w:lang w:eastAsia="es-ES"/>
        </w:rPr>
        <w:t xml:space="preserve"> </w:t>
      </w:r>
      <w:r w:rsidR="00AA0388" w:rsidRPr="007148B2">
        <w:rPr>
          <w:rFonts w:eastAsia="Times New Roman"/>
          <w:sz w:val="24"/>
          <w:szCs w:val="24"/>
          <w:lang w:eastAsia="es-ES"/>
        </w:rPr>
        <w:t xml:space="preserve">ocurre en la reparación </w:t>
      </w:r>
      <w:r w:rsidR="00AA0388" w:rsidRPr="007148B2">
        <w:rPr>
          <w:rFonts w:eastAsia="Times New Roman"/>
          <w:i/>
          <w:sz w:val="24"/>
          <w:szCs w:val="24"/>
          <w:lang w:eastAsia="es-ES"/>
        </w:rPr>
        <w:t>in natura.</w:t>
      </w:r>
    </w:p>
    <w:p w14:paraId="1DDA13B7" w14:textId="77777777" w:rsidR="0012085E" w:rsidRPr="007148B2" w:rsidRDefault="0012085E" w:rsidP="007148B2">
      <w:pPr>
        <w:overflowPunct w:val="0"/>
        <w:autoSpaceDE w:val="0"/>
        <w:autoSpaceDN w:val="0"/>
        <w:adjustRightInd w:val="0"/>
        <w:contextualSpacing/>
        <w:rPr>
          <w:rFonts w:eastAsia="Times New Roman"/>
          <w:sz w:val="24"/>
          <w:szCs w:val="24"/>
          <w:lang w:eastAsia="es-ES"/>
        </w:rPr>
      </w:pPr>
    </w:p>
    <w:p w14:paraId="45173282" w14:textId="6449CBCD" w:rsidR="0012085E" w:rsidRPr="007148B2" w:rsidRDefault="0012085E" w:rsidP="007148B2">
      <w:pPr>
        <w:overflowPunct w:val="0"/>
        <w:autoSpaceDE w:val="0"/>
        <w:autoSpaceDN w:val="0"/>
        <w:adjustRightInd w:val="0"/>
        <w:contextualSpacing/>
        <w:rPr>
          <w:bCs/>
          <w:sz w:val="24"/>
          <w:szCs w:val="24"/>
        </w:rPr>
      </w:pPr>
      <w:r w:rsidRPr="007148B2">
        <w:rPr>
          <w:bCs/>
          <w:sz w:val="24"/>
          <w:szCs w:val="24"/>
        </w:rPr>
        <w:t xml:space="preserve">Así, que el juez administrativo intente volver las cosas al estado inicial a través de una orden emitida al representante de la Rama Judicial, consistente en corregir la falla que, en su erróneo entendimiento consideró </w:t>
      </w:r>
      <w:r w:rsidR="00B83AFB">
        <w:rPr>
          <w:bCs/>
          <w:sz w:val="24"/>
          <w:szCs w:val="24"/>
        </w:rPr>
        <w:t xml:space="preserve">que </w:t>
      </w:r>
      <w:r w:rsidRPr="007148B2">
        <w:rPr>
          <w:bCs/>
          <w:sz w:val="24"/>
          <w:szCs w:val="24"/>
        </w:rPr>
        <w:t xml:space="preserve">produjo un daño, puede ir acompañado de una carga subjetiva moral del fallador, indeseable para la administración de justicia. Acudir </w:t>
      </w:r>
      <w:r w:rsidR="00741CBE" w:rsidRPr="007148B2">
        <w:rPr>
          <w:bCs/>
          <w:sz w:val="24"/>
          <w:szCs w:val="24"/>
        </w:rPr>
        <w:t>a</w:t>
      </w:r>
      <w:r w:rsidR="005B7E46" w:rsidRPr="007148B2">
        <w:rPr>
          <w:bCs/>
          <w:sz w:val="24"/>
          <w:szCs w:val="24"/>
        </w:rPr>
        <w:t xml:space="preserve"> estas</w:t>
      </w:r>
      <w:r w:rsidR="00741CBE" w:rsidRPr="007148B2">
        <w:rPr>
          <w:bCs/>
          <w:sz w:val="24"/>
          <w:szCs w:val="24"/>
        </w:rPr>
        <w:t xml:space="preserve"> medidas restaurativas es incoherente y desconoce la autonom</w:t>
      </w:r>
      <w:r w:rsidR="009F7CEB" w:rsidRPr="007148B2">
        <w:rPr>
          <w:bCs/>
          <w:sz w:val="24"/>
          <w:szCs w:val="24"/>
        </w:rPr>
        <w:t xml:space="preserve">ía e independencia de </w:t>
      </w:r>
      <w:r w:rsidR="00291E47" w:rsidRPr="007148B2">
        <w:rPr>
          <w:bCs/>
          <w:sz w:val="24"/>
          <w:szCs w:val="24"/>
        </w:rPr>
        <w:t xml:space="preserve">los </w:t>
      </w:r>
      <w:r w:rsidR="009F7CEB" w:rsidRPr="007148B2">
        <w:rPr>
          <w:bCs/>
          <w:sz w:val="24"/>
          <w:szCs w:val="24"/>
        </w:rPr>
        <w:t>jueces</w:t>
      </w:r>
      <w:r w:rsidR="00741CBE" w:rsidRPr="007148B2">
        <w:rPr>
          <w:bCs/>
          <w:sz w:val="24"/>
          <w:szCs w:val="24"/>
        </w:rPr>
        <w:t xml:space="preserve"> y</w:t>
      </w:r>
      <w:r w:rsidR="00291E47" w:rsidRPr="007148B2">
        <w:rPr>
          <w:bCs/>
          <w:sz w:val="24"/>
          <w:szCs w:val="24"/>
        </w:rPr>
        <w:t xml:space="preserve"> </w:t>
      </w:r>
      <w:r w:rsidR="009146FF">
        <w:rPr>
          <w:bCs/>
          <w:sz w:val="24"/>
          <w:szCs w:val="24"/>
        </w:rPr>
        <w:t xml:space="preserve">de </w:t>
      </w:r>
      <w:r w:rsidR="00291E47" w:rsidRPr="007148B2">
        <w:rPr>
          <w:bCs/>
          <w:sz w:val="24"/>
          <w:szCs w:val="24"/>
        </w:rPr>
        <w:t>la administración</w:t>
      </w:r>
      <w:r w:rsidR="00390428" w:rsidRPr="007148B2">
        <w:rPr>
          <w:bCs/>
          <w:sz w:val="24"/>
          <w:szCs w:val="24"/>
        </w:rPr>
        <w:t xml:space="preserve">. </w:t>
      </w:r>
    </w:p>
    <w:p w14:paraId="6CB261B2" w14:textId="77777777" w:rsidR="0012085E" w:rsidRPr="007148B2" w:rsidRDefault="0012085E" w:rsidP="007148B2">
      <w:pPr>
        <w:overflowPunct w:val="0"/>
        <w:autoSpaceDE w:val="0"/>
        <w:autoSpaceDN w:val="0"/>
        <w:adjustRightInd w:val="0"/>
        <w:contextualSpacing/>
        <w:rPr>
          <w:bCs/>
          <w:sz w:val="24"/>
          <w:szCs w:val="24"/>
        </w:rPr>
      </w:pPr>
    </w:p>
    <w:p w14:paraId="6EA03B4C" w14:textId="0DB2E6CE" w:rsidR="009F7CEB" w:rsidRDefault="00390428" w:rsidP="007148B2">
      <w:pPr>
        <w:overflowPunct w:val="0"/>
        <w:autoSpaceDE w:val="0"/>
        <w:autoSpaceDN w:val="0"/>
        <w:adjustRightInd w:val="0"/>
        <w:contextualSpacing/>
        <w:rPr>
          <w:bCs/>
          <w:sz w:val="24"/>
          <w:szCs w:val="24"/>
        </w:rPr>
      </w:pPr>
      <w:r w:rsidRPr="007148B2">
        <w:rPr>
          <w:bCs/>
          <w:sz w:val="24"/>
          <w:szCs w:val="24"/>
        </w:rPr>
        <w:lastRenderedPageBreak/>
        <w:t xml:space="preserve">Por </w:t>
      </w:r>
      <w:r w:rsidR="00AC27FC">
        <w:rPr>
          <w:bCs/>
          <w:sz w:val="24"/>
          <w:szCs w:val="24"/>
        </w:rPr>
        <w:t xml:space="preserve">lo </w:t>
      </w:r>
      <w:r w:rsidRPr="007148B2">
        <w:rPr>
          <w:bCs/>
          <w:sz w:val="24"/>
          <w:szCs w:val="24"/>
        </w:rPr>
        <w:t>tanto, ordenar</w:t>
      </w:r>
      <w:r w:rsidR="00741CBE" w:rsidRPr="007148B2">
        <w:rPr>
          <w:bCs/>
          <w:sz w:val="24"/>
          <w:szCs w:val="24"/>
        </w:rPr>
        <w:t xml:space="preserve"> al director </w:t>
      </w:r>
      <w:r w:rsidRPr="007148B2">
        <w:rPr>
          <w:bCs/>
          <w:sz w:val="24"/>
          <w:szCs w:val="24"/>
        </w:rPr>
        <w:t>de la DEAJ</w:t>
      </w:r>
      <w:r w:rsidR="00741CBE" w:rsidRPr="007148B2">
        <w:rPr>
          <w:bCs/>
          <w:sz w:val="24"/>
          <w:szCs w:val="24"/>
        </w:rPr>
        <w:t xml:space="preserve"> que ofrezca disculpas por decisiones en las que no intervino, desnaturaliza sus funciones contenidas en los artículos 98 y 99 de la Ley 270 de 1996, tales como cumplir las políticas </w:t>
      </w:r>
      <w:r w:rsidR="00291E47" w:rsidRPr="007148B2">
        <w:rPr>
          <w:bCs/>
          <w:sz w:val="24"/>
          <w:szCs w:val="24"/>
        </w:rPr>
        <w:t>impartidas</w:t>
      </w:r>
      <w:r w:rsidR="00741CBE" w:rsidRPr="007148B2">
        <w:rPr>
          <w:bCs/>
          <w:sz w:val="24"/>
          <w:szCs w:val="24"/>
        </w:rPr>
        <w:t xml:space="preserve"> por el Consejo Superior de la Judicatura</w:t>
      </w:r>
      <w:r w:rsidRPr="007148B2">
        <w:rPr>
          <w:bCs/>
          <w:sz w:val="24"/>
          <w:szCs w:val="24"/>
        </w:rPr>
        <w:t xml:space="preserve"> y</w:t>
      </w:r>
      <w:r w:rsidR="00741CBE" w:rsidRPr="007148B2">
        <w:rPr>
          <w:bCs/>
          <w:sz w:val="24"/>
          <w:szCs w:val="24"/>
        </w:rPr>
        <w:t xml:space="preserve"> </w:t>
      </w:r>
      <w:r w:rsidRPr="007148B2">
        <w:rPr>
          <w:bCs/>
          <w:sz w:val="24"/>
          <w:szCs w:val="24"/>
        </w:rPr>
        <w:t>dirigir</w:t>
      </w:r>
      <w:r w:rsidR="00741CBE" w:rsidRPr="007148B2">
        <w:rPr>
          <w:bCs/>
          <w:sz w:val="24"/>
          <w:szCs w:val="24"/>
        </w:rPr>
        <w:t xml:space="preserve"> el gasto</w:t>
      </w:r>
      <w:r w:rsidR="009F7CEB" w:rsidRPr="007148B2">
        <w:rPr>
          <w:bCs/>
          <w:sz w:val="24"/>
          <w:szCs w:val="24"/>
        </w:rPr>
        <w:t xml:space="preserve">, más aún, al tener en </w:t>
      </w:r>
      <w:r w:rsidR="00502ADE">
        <w:rPr>
          <w:bCs/>
          <w:sz w:val="24"/>
          <w:szCs w:val="24"/>
        </w:rPr>
        <w:t xml:space="preserve">cuenta que esta entidad no es </w:t>
      </w:r>
      <w:r w:rsidR="009F7CEB" w:rsidRPr="007148B2">
        <w:rPr>
          <w:bCs/>
          <w:sz w:val="24"/>
          <w:szCs w:val="24"/>
        </w:rPr>
        <w:t>l</w:t>
      </w:r>
      <w:r w:rsidR="00502ADE">
        <w:rPr>
          <w:bCs/>
          <w:sz w:val="24"/>
          <w:szCs w:val="24"/>
        </w:rPr>
        <w:t>a</w:t>
      </w:r>
      <w:r w:rsidR="009F7CEB" w:rsidRPr="007148B2">
        <w:rPr>
          <w:bCs/>
          <w:sz w:val="24"/>
          <w:szCs w:val="24"/>
        </w:rPr>
        <w:t xml:space="preserve"> nominador</w:t>
      </w:r>
      <w:r w:rsidR="00502ADE">
        <w:rPr>
          <w:bCs/>
          <w:sz w:val="24"/>
          <w:szCs w:val="24"/>
        </w:rPr>
        <w:t>a, superior jerárquica</w:t>
      </w:r>
      <w:r w:rsidR="009F7CEB" w:rsidRPr="007148B2">
        <w:rPr>
          <w:bCs/>
          <w:sz w:val="24"/>
          <w:szCs w:val="24"/>
        </w:rPr>
        <w:t xml:space="preserve"> u orientador</w:t>
      </w:r>
      <w:r w:rsidR="00502ADE">
        <w:rPr>
          <w:bCs/>
          <w:sz w:val="24"/>
          <w:szCs w:val="24"/>
        </w:rPr>
        <w:t>a</w:t>
      </w:r>
      <w:r w:rsidR="009F7CEB" w:rsidRPr="007148B2">
        <w:rPr>
          <w:bCs/>
          <w:sz w:val="24"/>
          <w:szCs w:val="24"/>
        </w:rPr>
        <w:t xml:space="preserve"> de las autoridades judiciales. </w:t>
      </w:r>
    </w:p>
    <w:p w14:paraId="0C370509" w14:textId="77777777" w:rsidR="00DE403C" w:rsidRPr="007148B2" w:rsidRDefault="00DE403C" w:rsidP="007148B2">
      <w:pPr>
        <w:overflowPunct w:val="0"/>
        <w:autoSpaceDE w:val="0"/>
        <w:autoSpaceDN w:val="0"/>
        <w:adjustRightInd w:val="0"/>
        <w:contextualSpacing/>
        <w:rPr>
          <w:bCs/>
          <w:sz w:val="24"/>
          <w:szCs w:val="24"/>
        </w:rPr>
      </w:pPr>
    </w:p>
    <w:p w14:paraId="3EE91DCB" w14:textId="06BE43B0" w:rsidR="009F7CEB" w:rsidRPr="007148B2" w:rsidRDefault="005F36CD" w:rsidP="007148B2">
      <w:pPr>
        <w:overflowPunct w:val="0"/>
        <w:autoSpaceDE w:val="0"/>
        <w:autoSpaceDN w:val="0"/>
        <w:adjustRightInd w:val="0"/>
        <w:contextualSpacing/>
        <w:rPr>
          <w:bCs/>
          <w:sz w:val="24"/>
          <w:szCs w:val="24"/>
        </w:rPr>
      </w:pPr>
      <w:r w:rsidRPr="007148B2">
        <w:rPr>
          <w:bCs/>
          <w:sz w:val="24"/>
          <w:szCs w:val="24"/>
        </w:rPr>
        <w:t>Además, pedir excusas en la forma ordenada por la tutelada, “deslegitima la actividad judicial y desnaturaliza y atenta contra el principio de autonomía e independencia judicial, regulada en el artículo 228 de la Constitución, al imponer a un tercero (sin función jurisdiccional) descalificar públicamente las providencias judiciales, lo cual irradia en la imagen que tiene el ciudadano frente a la Rama Judicial y mina la credibilidad frente a los administradores de justicia”</w:t>
      </w:r>
      <w:r w:rsidR="00DE403C" w:rsidRPr="007148B2">
        <w:rPr>
          <w:rStyle w:val="Refdenotaalpie"/>
          <w:sz w:val="24"/>
          <w:szCs w:val="24"/>
          <w:lang w:val="es-MX" w:eastAsia="ja-JP"/>
        </w:rPr>
        <w:footnoteReference w:id="8"/>
      </w:r>
      <w:r w:rsidRPr="007148B2">
        <w:rPr>
          <w:bCs/>
          <w:sz w:val="24"/>
          <w:szCs w:val="24"/>
        </w:rPr>
        <w:t>.</w:t>
      </w:r>
    </w:p>
    <w:p w14:paraId="1028D435" w14:textId="77777777" w:rsidR="009F7CEB" w:rsidRPr="007148B2" w:rsidRDefault="009F7CEB" w:rsidP="007148B2">
      <w:pPr>
        <w:overflowPunct w:val="0"/>
        <w:autoSpaceDE w:val="0"/>
        <w:autoSpaceDN w:val="0"/>
        <w:adjustRightInd w:val="0"/>
        <w:contextualSpacing/>
        <w:rPr>
          <w:bCs/>
          <w:sz w:val="24"/>
          <w:szCs w:val="24"/>
        </w:rPr>
      </w:pPr>
    </w:p>
    <w:p w14:paraId="0A83FA3B" w14:textId="2245A4D3" w:rsidR="006F0A40" w:rsidRPr="007148B2" w:rsidRDefault="0012085E" w:rsidP="007148B2">
      <w:pPr>
        <w:overflowPunct w:val="0"/>
        <w:autoSpaceDE w:val="0"/>
        <w:autoSpaceDN w:val="0"/>
        <w:adjustRightInd w:val="0"/>
        <w:contextualSpacing/>
        <w:rPr>
          <w:rFonts w:eastAsia="Times New Roman"/>
          <w:sz w:val="24"/>
          <w:szCs w:val="24"/>
          <w:lang w:eastAsia="es-ES"/>
        </w:rPr>
      </w:pPr>
      <w:r w:rsidRPr="007148B2">
        <w:rPr>
          <w:b/>
          <w:bCs/>
          <w:sz w:val="24"/>
          <w:szCs w:val="24"/>
        </w:rPr>
        <w:t xml:space="preserve">4.3. </w:t>
      </w:r>
      <w:r w:rsidR="005F36CD" w:rsidRPr="007148B2">
        <w:rPr>
          <w:bCs/>
          <w:sz w:val="24"/>
          <w:szCs w:val="24"/>
        </w:rPr>
        <w:t>De otra parte,</w:t>
      </w:r>
      <w:r w:rsidR="00337155" w:rsidRPr="007148B2">
        <w:rPr>
          <w:bCs/>
          <w:sz w:val="24"/>
          <w:szCs w:val="24"/>
        </w:rPr>
        <w:t xml:space="preserve"> </w:t>
      </w:r>
      <w:r w:rsidR="00810080">
        <w:rPr>
          <w:bCs/>
          <w:sz w:val="24"/>
          <w:szCs w:val="24"/>
        </w:rPr>
        <w:t>l</w:t>
      </w:r>
      <w:r w:rsidR="00DB012C" w:rsidRPr="007148B2">
        <w:rPr>
          <w:rFonts w:eastAsia="Times New Roman"/>
          <w:sz w:val="24"/>
          <w:szCs w:val="24"/>
          <w:lang w:eastAsia="es-ES"/>
        </w:rPr>
        <w:t>a orden reprochada del fallo de</w:t>
      </w:r>
      <w:r w:rsidR="00AC27FC">
        <w:rPr>
          <w:rFonts w:eastAsia="Times New Roman"/>
          <w:sz w:val="24"/>
          <w:szCs w:val="24"/>
          <w:lang w:eastAsia="es-ES"/>
        </w:rPr>
        <w:t>l 23 de abril de 2020 vulneró el derecho fundamental</w:t>
      </w:r>
      <w:r w:rsidR="00DB012C" w:rsidRPr="007148B2">
        <w:rPr>
          <w:rFonts w:eastAsia="Times New Roman"/>
          <w:sz w:val="24"/>
          <w:szCs w:val="24"/>
          <w:lang w:eastAsia="es-ES"/>
        </w:rPr>
        <w:t xml:space="preserve"> </w:t>
      </w:r>
      <w:r w:rsidR="00AC27FC">
        <w:rPr>
          <w:rFonts w:eastAsia="Times New Roman"/>
          <w:sz w:val="24"/>
          <w:szCs w:val="24"/>
          <w:lang w:eastAsia="es-ES"/>
        </w:rPr>
        <w:t>al debido proceso</w:t>
      </w:r>
      <w:r w:rsidR="00DB012C" w:rsidRPr="007148B2">
        <w:rPr>
          <w:rFonts w:eastAsia="Times New Roman"/>
          <w:sz w:val="24"/>
          <w:szCs w:val="24"/>
          <w:lang w:eastAsia="es-ES"/>
        </w:rPr>
        <w:t xml:space="preserve">, </w:t>
      </w:r>
      <w:r w:rsidR="00002075" w:rsidRPr="007148B2">
        <w:rPr>
          <w:rFonts w:eastAsia="Times New Roman"/>
          <w:sz w:val="24"/>
          <w:szCs w:val="24"/>
          <w:lang w:eastAsia="es-ES"/>
        </w:rPr>
        <w:t xml:space="preserve">por cuanto </w:t>
      </w:r>
      <w:r w:rsidR="00DE02EA" w:rsidRPr="007148B2">
        <w:rPr>
          <w:rFonts w:eastAsia="Times New Roman"/>
          <w:sz w:val="24"/>
          <w:szCs w:val="24"/>
          <w:lang w:eastAsia="es-ES"/>
        </w:rPr>
        <w:t>el juez ordinario de segunda instancia</w:t>
      </w:r>
      <w:r w:rsidR="00DB012C" w:rsidRPr="007148B2">
        <w:rPr>
          <w:rFonts w:eastAsia="Times New Roman"/>
          <w:sz w:val="24"/>
          <w:szCs w:val="24"/>
          <w:lang w:eastAsia="es-ES"/>
        </w:rPr>
        <w:t xml:space="preserve"> </w:t>
      </w:r>
      <w:r w:rsidR="00C01CE2" w:rsidRPr="007148B2">
        <w:rPr>
          <w:rFonts w:eastAsia="Times New Roman"/>
          <w:sz w:val="24"/>
          <w:szCs w:val="24"/>
          <w:lang w:eastAsia="es-ES"/>
        </w:rPr>
        <w:t xml:space="preserve">presumió los perjuicios al buen nombre, </w:t>
      </w:r>
      <w:r w:rsidR="00DE02EA" w:rsidRPr="007148B2">
        <w:rPr>
          <w:rFonts w:eastAsia="Times New Roman"/>
          <w:sz w:val="24"/>
          <w:szCs w:val="24"/>
          <w:lang w:eastAsia="es-ES"/>
        </w:rPr>
        <w:t xml:space="preserve">no justificó, por lo menos sumariamente, la razón </w:t>
      </w:r>
      <w:r w:rsidR="00002075" w:rsidRPr="007148B2">
        <w:rPr>
          <w:rFonts w:eastAsia="Times New Roman"/>
          <w:sz w:val="24"/>
          <w:szCs w:val="24"/>
          <w:lang w:eastAsia="es-ES"/>
        </w:rPr>
        <w:t>por la que concedió</w:t>
      </w:r>
      <w:r w:rsidR="00DE02EA" w:rsidRPr="007148B2">
        <w:rPr>
          <w:rFonts w:eastAsia="Times New Roman"/>
          <w:sz w:val="24"/>
          <w:szCs w:val="24"/>
          <w:lang w:eastAsia="es-ES"/>
        </w:rPr>
        <w:t xml:space="preserve"> una medida resarcitoria no pecu</w:t>
      </w:r>
      <w:r w:rsidR="009617E4">
        <w:rPr>
          <w:rFonts w:eastAsia="Times New Roman"/>
          <w:sz w:val="24"/>
          <w:szCs w:val="24"/>
          <w:lang w:eastAsia="es-ES"/>
        </w:rPr>
        <w:t>niaria</w:t>
      </w:r>
      <w:r w:rsidR="00DE02EA" w:rsidRPr="007148B2">
        <w:rPr>
          <w:rFonts w:eastAsia="Times New Roman"/>
          <w:sz w:val="24"/>
          <w:szCs w:val="24"/>
          <w:lang w:eastAsia="es-ES"/>
        </w:rPr>
        <w:t>,</w:t>
      </w:r>
      <w:r w:rsidR="00810080">
        <w:rPr>
          <w:rFonts w:eastAsia="Times New Roman"/>
          <w:sz w:val="24"/>
          <w:szCs w:val="24"/>
          <w:lang w:eastAsia="es-ES"/>
        </w:rPr>
        <w:t xml:space="preserve"> no explicó su concreción</w:t>
      </w:r>
      <w:r w:rsidR="00DE02EA" w:rsidRPr="007148B2">
        <w:rPr>
          <w:rFonts w:eastAsia="Times New Roman"/>
          <w:sz w:val="24"/>
          <w:szCs w:val="24"/>
          <w:lang w:eastAsia="es-ES"/>
        </w:rPr>
        <w:t xml:space="preserve"> y en</w:t>
      </w:r>
      <w:r w:rsidR="00C01CE2" w:rsidRPr="007148B2">
        <w:rPr>
          <w:rFonts w:eastAsia="Times New Roman"/>
          <w:sz w:val="24"/>
          <w:szCs w:val="24"/>
          <w:lang w:eastAsia="es-ES"/>
        </w:rPr>
        <w:t xml:space="preserve"> el plenario </w:t>
      </w:r>
      <w:r w:rsidR="00DE02EA" w:rsidRPr="007148B2">
        <w:rPr>
          <w:rFonts w:eastAsia="Times New Roman"/>
          <w:sz w:val="24"/>
          <w:szCs w:val="24"/>
          <w:lang w:eastAsia="es-ES"/>
        </w:rPr>
        <w:t>no obró</w:t>
      </w:r>
      <w:r w:rsidR="00C01CE2" w:rsidRPr="007148B2">
        <w:rPr>
          <w:rFonts w:eastAsia="Times New Roman"/>
          <w:sz w:val="24"/>
          <w:szCs w:val="24"/>
          <w:lang w:eastAsia="es-ES"/>
        </w:rPr>
        <w:t xml:space="preserve"> prueba que lograra avizorar su ocurrencia</w:t>
      </w:r>
      <w:r w:rsidR="00DE02EA" w:rsidRPr="007148B2">
        <w:rPr>
          <w:rFonts w:eastAsia="Times New Roman"/>
          <w:sz w:val="24"/>
          <w:szCs w:val="24"/>
          <w:lang w:eastAsia="es-ES"/>
        </w:rPr>
        <w:t xml:space="preserve">. </w:t>
      </w:r>
      <w:r w:rsidR="00C01CE2" w:rsidRPr="007148B2">
        <w:rPr>
          <w:rFonts w:eastAsia="Times New Roman"/>
          <w:sz w:val="24"/>
          <w:szCs w:val="24"/>
          <w:lang w:eastAsia="es-ES"/>
        </w:rPr>
        <w:t xml:space="preserve">Así: </w:t>
      </w:r>
    </w:p>
    <w:p w14:paraId="60287C4C" w14:textId="77777777" w:rsidR="00C01CE2" w:rsidRPr="007148B2" w:rsidRDefault="00C01CE2" w:rsidP="007148B2">
      <w:pPr>
        <w:overflowPunct w:val="0"/>
        <w:autoSpaceDE w:val="0"/>
        <w:autoSpaceDN w:val="0"/>
        <w:adjustRightInd w:val="0"/>
        <w:contextualSpacing/>
        <w:rPr>
          <w:rFonts w:eastAsia="Times New Roman"/>
          <w:sz w:val="24"/>
          <w:szCs w:val="24"/>
          <w:lang w:eastAsia="es-ES"/>
        </w:rPr>
      </w:pPr>
    </w:p>
    <w:p w14:paraId="2A09FEED" w14:textId="4BBD12A4" w:rsidR="004E60D4" w:rsidRPr="007148B2" w:rsidRDefault="00C01CE2" w:rsidP="007148B2">
      <w:pPr>
        <w:overflowPunct w:val="0"/>
        <w:autoSpaceDE w:val="0"/>
        <w:autoSpaceDN w:val="0"/>
        <w:adjustRightInd w:val="0"/>
        <w:ind w:left="708"/>
        <w:contextualSpacing/>
        <w:rPr>
          <w:rFonts w:eastAsia="Times New Roman"/>
          <w:sz w:val="24"/>
          <w:szCs w:val="24"/>
          <w:lang w:eastAsia="es-ES"/>
        </w:rPr>
      </w:pPr>
      <w:r w:rsidRPr="007148B2">
        <w:rPr>
          <w:rFonts w:eastAsia="Times New Roman"/>
          <w:sz w:val="24"/>
          <w:szCs w:val="24"/>
          <w:lang w:eastAsia="es-ES"/>
        </w:rPr>
        <w:t>“</w:t>
      </w:r>
      <w:r w:rsidR="00002075" w:rsidRPr="007148B2">
        <w:rPr>
          <w:bCs/>
          <w:sz w:val="24"/>
          <w:szCs w:val="24"/>
        </w:rPr>
        <w:t xml:space="preserve">En conclusión, NO existe </w:t>
      </w:r>
      <w:r w:rsidR="009617E4">
        <w:rPr>
          <w:bCs/>
          <w:sz w:val="24"/>
          <w:szCs w:val="24"/>
        </w:rPr>
        <w:t>sustento</w:t>
      </w:r>
      <w:r w:rsidR="00002075" w:rsidRPr="007148B2">
        <w:rPr>
          <w:bCs/>
          <w:sz w:val="24"/>
          <w:szCs w:val="24"/>
        </w:rPr>
        <w:t xml:space="preserve"> fáctico, probatorio ni jurídico para sostener esta condena respecto de la Rama judicial, pues las medidas de reparación deben ser correlativas, oportunas, pertinentes y adecuadas al daño generado, situación que no solamente no se analizó y ni siquiera se mencionó por parte del operador judicial</w:t>
      </w:r>
      <w:r w:rsidRPr="007148B2">
        <w:rPr>
          <w:rFonts w:eastAsia="Times New Roman"/>
          <w:sz w:val="24"/>
          <w:szCs w:val="24"/>
          <w:lang w:eastAsia="es-ES"/>
        </w:rPr>
        <w:t>”</w:t>
      </w:r>
      <w:r w:rsidR="00DE403C" w:rsidRPr="007148B2">
        <w:rPr>
          <w:rStyle w:val="Refdenotaalpie"/>
          <w:sz w:val="24"/>
          <w:szCs w:val="24"/>
          <w:lang w:val="es-MX" w:eastAsia="ja-JP"/>
        </w:rPr>
        <w:footnoteReference w:id="9"/>
      </w:r>
      <w:r w:rsidRPr="007148B2">
        <w:rPr>
          <w:rFonts w:eastAsia="Times New Roman"/>
          <w:sz w:val="24"/>
          <w:szCs w:val="24"/>
          <w:lang w:eastAsia="es-ES"/>
        </w:rPr>
        <w:t>.</w:t>
      </w:r>
    </w:p>
    <w:p w14:paraId="4490F34A" w14:textId="5E2EE596" w:rsidR="00DB012C" w:rsidRPr="007148B2" w:rsidRDefault="00002075" w:rsidP="007148B2">
      <w:pPr>
        <w:overflowPunct w:val="0"/>
        <w:autoSpaceDE w:val="0"/>
        <w:autoSpaceDN w:val="0"/>
        <w:adjustRightInd w:val="0"/>
        <w:contextualSpacing/>
        <w:rPr>
          <w:rFonts w:eastAsia="Times New Roman"/>
          <w:sz w:val="24"/>
          <w:szCs w:val="24"/>
          <w:lang w:eastAsia="es-ES"/>
        </w:rPr>
      </w:pPr>
      <w:r w:rsidRPr="007148B2">
        <w:rPr>
          <w:rFonts w:eastAsia="Times New Roman"/>
          <w:sz w:val="24"/>
          <w:szCs w:val="24"/>
          <w:lang w:eastAsia="es-ES"/>
        </w:rPr>
        <w:t xml:space="preserve"> </w:t>
      </w:r>
    </w:p>
    <w:p w14:paraId="0BB019BA" w14:textId="416A91D0" w:rsidR="004E60D4" w:rsidRDefault="00810080" w:rsidP="007148B2">
      <w:pPr>
        <w:overflowPunct w:val="0"/>
        <w:autoSpaceDE w:val="0"/>
        <w:autoSpaceDN w:val="0"/>
        <w:adjustRightInd w:val="0"/>
        <w:contextualSpacing/>
        <w:rPr>
          <w:rFonts w:eastAsia="Times New Roman"/>
          <w:sz w:val="24"/>
          <w:szCs w:val="24"/>
          <w:lang w:eastAsia="es-ES"/>
        </w:rPr>
      </w:pPr>
      <w:r>
        <w:rPr>
          <w:rFonts w:eastAsia="Times New Roman"/>
          <w:sz w:val="24"/>
          <w:szCs w:val="24"/>
          <w:lang w:eastAsia="es-ES"/>
        </w:rPr>
        <w:t>E</w:t>
      </w:r>
      <w:r w:rsidR="004E60D4" w:rsidRPr="007148B2">
        <w:rPr>
          <w:rFonts w:eastAsia="Times New Roman"/>
          <w:sz w:val="24"/>
          <w:szCs w:val="24"/>
          <w:lang w:eastAsia="es-ES"/>
        </w:rPr>
        <w:t>l Alto Tribunal contencioso administrativo</w:t>
      </w:r>
      <w:r w:rsidR="009146FF">
        <w:rPr>
          <w:rFonts w:eastAsia="Times New Roman"/>
          <w:sz w:val="24"/>
          <w:szCs w:val="24"/>
          <w:lang w:eastAsia="es-ES"/>
        </w:rPr>
        <w:t>,</w:t>
      </w:r>
      <w:r w:rsidR="004E60D4" w:rsidRPr="007148B2">
        <w:rPr>
          <w:rFonts w:eastAsia="Times New Roman"/>
          <w:sz w:val="24"/>
          <w:szCs w:val="24"/>
          <w:lang w:eastAsia="es-ES"/>
        </w:rPr>
        <w:t xml:space="preserve"> </w:t>
      </w:r>
      <w:r w:rsidR="00D11E2D">
        <w:rPr>
          <w:rFonts w:eastAsia="Times New Roman"/>
          <w:sz w:val="24"/>
          <w:szCs w:val="24"/>
          <w:lang w:eastAsia="es-ES"/>
        </w:rPr>
        <w:t>en su jurisprudencia</w:t>
      </w:r>
      <w:r w:rsidR="009146FF">
        <w:rPr>
          <w:rFonts w:eastAsia="Times New Roman"/>
          <w:sz w:val="24"/>
          <w:szCs w:val="24"/>
          <w:lang w:eastAsia="es-ES"/>
        </w:rPr>
        <w:t>,</w:t>
      </w:r>
      <w:r w:rsidR="00D11E2D">
        <w:rPr>
          <w:rFonts w:eastAsia="Times New Roman"/>
          <w:sz w:val="24"/>
          <w:szCs w:val="24"/>
          <w:lang w:eastAsia="es-ES"/>
        </w:rPr>
        <w:t xml:space="preserve"> </w:t>
      </w:r>
      <w:r w:rsidR="004E60D4" w:rsidRPr="007148B2">
        <w:rPr>
          <w:rFonts w:eastAsia="Times New Roman"/>
          <w:sz w:val="24"/>
          <w:szCs w:val="24"/>
          <w:lang w:eastAsia="es-ES"/>
        </w:rPr>
        <w:t>destacó</w:t>
      </w:r>
      <w:r w:rsidR="008965F9">
        <w:rPr>
          <w:rStyle w:val="Refdenotaalpie"/>
          <w:rFonts w:eastAsia="Times New Roman"/>
          <w:sz w:val="24"/>
          <w:szCs w:val="24"/>
          <w:lang w:eastAsia="es-ES"/>
        </w:rPr>
        <w:footnoteReference w:id="10"/>
      </w:r>
      <w:r w:rsidR="004E60D4" w:rsidRPr="007148B2">
        <w:rPr>
          <w:rFonts w:eastAsia="Times New Roman"/>
          <w:sz w:val="24"/>
          <w:szCs w:val="24"/>
          <w:lang w:eastAsia="es-ES"/>
        </w:rPr>
        <w:t xml:space="preserve"> que incumbe a las partes probar el daño antijurídico que alegan, y su omisión impide el cumplimiento de uno de los requisitos de la responsabilidad, en los términos del artículo 90 Superior. </w:t>
      </w:r>
      <w:r w:rsidR="0013220A" w:rsidRPr="007148B2">
        <w:rPr>
          <w:rFonts w:eastAsia="Times New Roman"/>
          <w:sz w:val="24"/>
          <w:szCs w:val="24"/>
          <w:lang w:eastAsia="es-ES"/>
        </w:rPr>
        <w:t xml:space="preserve">Omisión que no puede ser suplida por el juez, ya que ello rompe el equilibrio de la relación procesal. </w:t>
      </w:r>
    </w:p>
    <w:p w14:paraId="5447F5D4" w14:textId="77777777" w:rsidR="00810080" w:rsidRDefault="00810080" w:rsidP="007148B2">
      <w:pPr>
        <w:overflowPunct w:val="0"/>
        <w:autoSpaceDE w:val="0"/>
        <w:autoSpaceDN w:val="0"/>
        <w:adjustRightInd w:val="0"/>
        <w:contextualSpacing/>
        <w:rPr>
          <w:rFonts w:eastAsia="Times New Roman"/>
          <w:sz w:val="24"/>
          <w:szCs w:val="24"/>
          <w:lang w:eastAsia="es-ES"/>
        </w:rPr>
      </w:pPr>
    </w:p>
    <w:p w14:paraId="67AEBA3A" w14:textId="21E79475" w:rsidR="00810080" w:rsidRPr="00725404" w:rsidRDefault="00810080" w:rsidP="007148B2">
      <w:pPr>
        <w:overflowPunct w:val="0"/>
        <w:autoSpaceDE w:val="0"/>
        <w:autoSpaceDN w:val="0"/>
        <w:adjustRightInd w:val="0"/>
        <w:contextualSpacing/>
        <w:rPr>
          <w:bCs/>
          <w:sz w:val="24"/>
          <w:szCs w:val="24"/>
        </w:rPr>
      </w:pPr>
      <w:r>
        <w:rPr>
          <w:bCs/>
          <w:sz w:val="24"/>
          <w:szCs w:val="24"/>
        </w:rPr>
        <w:t xml:space="preserve">Lo anterior, al tener que </w:t>
      </w:r>
      <w:r w:rsidRPr="007148B2">
        <w:rPr>
          <w:bCs/>
          <w:sz w:val="24"/>
          <w:szCs w:val="24"/>
        </w:rPr>
        <w:t>el Consejo de Estado, en la sentencia de unificación del 28 de agosto de 2014</w:t>
      </w:r>
      <w:r w:rsidR="008965F9">
        <w:rPr>
          <w:rStyle w:val="Refdenotaalpie"/>
          <w:rFonts w:eastAsia="Times New Roman"/>
          <w:sz w:val="24"/>
          <w:szCs w:val="24"/>
          <w:lang w:eastAsia="es-ES"/>
        </w:rPr>
        <w:footnoteReference w:id="11"/>
      </w:r>
      <w:r w:rsidRPr="007148B2">
        <w:rPr>
          <w:bCs/>
          <w:sz w:val="24"/>
          <w:szCs w:val="24"/>
        </w:rPr>
        <w:t>, reiteró los criterios de la providencia del 14 de septiembre de 2011</w:t>
      </w:r>
      <w:r w:rsidR="00027C9A">
        <w:rPr>
          <w:rStyle w:val="Refdenotaalpie"/>
          <w:bCs/>
          <w:sz w:val="24"/>
          <w:szCs w:val="24"/>
        </w:rPr>
        <w:footnoteReference w:id="12"/>
      </w:r>
      <w:r w:rsidRPr="007148B2">
        <w:rPr>
          <w:bCs/>
          <w:sz w:val="24"/>
          <w:szCs w:val="24"/>
        </w:rPr>
        <w:t xml:space="preserve">, </w:t>
      </w:r>
      <w:r w:rsidR="00725404">
        <w:rPr>
          <w:bCs/>
          <w:sz w:val="24"/>
          <w:szCs w:val="24"/>
        </w:rPr>
        <w:t xml:space="preserve">en la que </w:t>
      </w:r>
      <w:r w:rsidRPr="007148B2">
        <w:rPr>
          <w:bCs/>
          <w:sz w:val="24"/>
          <w:szCs w:val="24"/>
        </w:rPr>
        <w:t>sostuvo que las afectaciones a los bienes y derechos constitucionalmente protegidos</w:t>
      </w:r>
      <w:r w:rsidR="009667AF">
        <w:rPr>
          <w:bCs/>
          <w:sz w:val="24"/>
          <w:szCs w:val="24"/>
        </w:rPr>
        <w:t>, dentro de los que se encuentra el derecho al buen nombre,</w:t>
      </w:r>
      <w:r w:rsidRPr="007148B2">
        <w:rPr>
          <w:bCs/>
          <w:sz w:val="24"/>
          <w:szCs w:val="24"/>
        </w:rPr>
        <w:t xml:space="preserve"> deben ser reconocidas dentro de una tercera categoría de daños inmateriales, siempre y cuando se cumplan con unas características y parámetros</w:t>
      </w:r>
      <w:r w:rsidR="00253166">
        <w:rPr>
          <w:bCs/>
          <w:sz w:val="24"/>
          <w:szCs w:val="24"/>
        </w:rPr>
        <w:t>,</w:t>
      </w:r>
      <w:r w:rsidRPr="007148B2">
        <w:rPr>
          <w:bCs/>
          <w:sz w:val="24"/>
          <w:szCs w:val="24"/>
        </w:rPr>
        <w:t xml:space="preserve"> estén acreditadas en el del respectivo proceso, se verifique su concreción y se precise su reparación integral. </w:t>
      </w:r>
    </w:p>
    <w:p w14:paraId="3DEF9839" w14:textId="77777777" w:rsidR="008965F9" w:rsidRDefault="008965F9" w:rsidP="007148B2">
      <w:pPr>
        <w:overflowPunct w:val="0"/>
        <w:autoSpaceDE w:val="0"/>
        <w:autoSpaceDN w:val="0"/>
        <w:adjustRightInd w:val="0"/>
        <w:contextualSpacing/>
        <w:rPr>
          <w:b/>
          <w:sz w:val="24"/>
          <w:szCs w:val="24"/>
        </w:rPr>
      </w:pPr>
    </w:p>
    <w:p w14:paraId="4C371350" w14:textId="77777777" w:rsidR="009D368B" w:rsidRDefault="009D368B" w:rsidP="007148B2">
      <w:pPr>
        <w:overflowPunct w:val="0"/>
        <w:autoSpaceDE w:val="0"/>
        <w:autoSpaceDN w:val="0"/>
        <w:adjustRightInd w:val="0"/>
        <w:contextualSpacing/>
        <w:rPr>
          <w:b/>
          <w:sz w:val="24"/>
          <w:szCs w:val="24"/>
        </w:rPr>
      </w:pPr>
    </w:p>
    <w:p w14:paraId="5DE4D0FE" w14:textId="77777777" w:rsidR="009E3ECE" w:rsidRPr="007148B2" w:rsidRDefault="009E3ECE" w:rsidP="007148B2">
      <w:pPr>
        <w:overflowPunct w:val="0"/>
        <w:autoSpaceDE w:val="0"/>
        <w:autoSpaceDN w:val="0"/>
        <w:adjustRightInd w:val="0"/>
        <w:contextualSpacing/>
        <w:rPr>
          <w:rFonts w:eastAsia="Times New Roman"/>
          <w:b/>
          <w:sz w:val="24"/>
          <w:szCs w:val="24"/>
          <w:lang w:eastAsia="es-ES"/>
        </w:rPr>
      </w:pPr>
      <w:r w:rsidRPr="007148B2">
        <w:rPr>
          <w:b/>
          <w:sz w:val="24"/>
          <w:szCs w:val="24"/>
        </w:rPr>
        <w:lastRenderedPageBreak/>
        <w:t xml:space="preserve">Trámite de tutela e intervenciones  </w:t>
      </w:r>
    </w:p>
    <w:p w14:paraId="531E15CB" w14:textId="77777777" w:rsidR="00DB6618" w:rsidRPr="007148B2" w:rsidRDefault="00DB6618" w:rsidP="007148B2">
      <w:pPr>
        <w:overflowPunct w:val="0"/>
        <w:autoSpaceDE w:val="0"/>
        <w:autoSpaceDN w:val="0"/>
        <w:adjustRightInd w:val="0"/>
        <w:contextualSpacing/>
        <w:rPr>
          <w:rFonts w:eastAsia="Times New Roman"/>
          <w:b/>
          <w:sz w:val="24"/>
          <w:szCs w:val="24"/>
          <w:lang w:eastAsia="es-ES"/>
        </w:rPr>
      </w:pPr>
    </w:p>
    <w:p w14:paraId="6BCB7052" w14:textId="70E92F5D" w:rsidR="009B561A" w:rsidRPr="007148B2" w:rsidRDefault="006B0EC0" w:rsidP="007148B2">
      <w:pPr>
        <w:overflowPunct w:val="0"/>
        <w:autoSpaceDE w:val="0"/>
        <w:autoSpaceDN w:val="0"/>
        <w:adjustRightInd w:val="0"/>
        <w:rPr>
          <w:rFonts w:eastAsia="Times New Roman"/>
          <w:bCs/>
          <w:sz w:val="24"/>
          <w:szCs w:val="24"/>
          <w:lang w:eastAsia="es-ES"/>
        </w:rPr>
      </w:pPr>
      <w:r w:rsidRPr="007148B2">
        <w:rPr>
          <w:b/>
          <w:sz w:val="24"/>
          <w:szCs w:val="24"/>
          <w:lang w:val="es-MX" w:eastAsia="ja-JP"/>
        </w:rPr>
        <w:t>4</w:t>
      </w:r>
      <w:r w:rsidR="009E3ECE" w:rsidRPr="007148B2">
        <w:rPr>
          <w:b/>
          <w:sz w:val="24"/>
          <w:szCs w:val="24"/>
          <w:lang w:val="es-MX" w:eastAsia="ja-JP"/>
        </w:rPr>
        <w:t>.1.</w:t>
      </w:r>
      <w:r w:rsidR="009E3ECE" w:rsidRPr="007148B2">
        <w:rPr>
          <w:sz w:val="24"/>
          <w:szCs w:val="24"/>
          <w:lang w:val="es-MX" w:eastAsia="ja-JP"/>
        </w:rPr>
        <w:t xml:space="preserve"> </w:t>
      </w:r>
      <w:r w:rsidR="00E911C1" w:rsidRPr="007148B2">
        <w:rPr>
          <w:rFonts w:eastAsia="Times New Roman"/>
          <w:bCs/>
          <w:sz w:val="24"/>
          <w:szCs w:val="24"/>
          <w:lang w:eastAsia="es-ES"/>
        </w:rPr>
        <w:t>El Despacho del m</w:t>
      </w:r>
      <w:r w:rsidR="009E3ECE" w:rsidRPr="007148B2">
        <w:rPr>
          <w:rFonts w:eastAsia="Times New Roman"/>
          <w:bCs/>
          <w:sz w:val="24"/>
          <w:szCs w:val="24"/>
          <w:lang w:eastAsia="es-ES"/>
        </w:rPr>
        <w:t>ag</w:t>
      </w:r>
      <w:r w:rsidR="00C21BC2" w:rsidRPr="007148B2">
        <w:rPr>
          <w:rFonts w:eastAsia="Times New Roman"/>
          <w:bCs/>
          <w:sz w:val="24"/>
          <w:szCs w:val="24"/>
          <w:lang w:eastAsia="es-ES"/>
        </w:rPr>
        <w:t>istrado ponente, con auto del 5</w:t>
      </w:r>
      <w:r w:rsidR="009E3ECE" w:rsidRPr="007148B2">
        <w:rPr>
          <w:rFonts w:eastAsia="Times New Roman"/>
          <w:bCs/>
          <w:sz w:val="24"/>
          <w:szCs w:val="24"/>
          <w:lang w:eastAsia="es-ES"/>
        </w:rPr>
        <w:t xml:space="preserve"> de </w:t>
      </w:r>
      <w:r w:rsidR="00C21BC2" w:rsidRPr="007148B2">
        <w:rPr>
          <w:rFonts w:eastAsia="Times New Roman"/>
          <w:bCs/>
          <w:sz w:val="24"/>
          <w:szCs w:val="24"/>
          <w:lang w:eastAsia="es-ES"/>
        </w:rPr>
        <w:t>noviembre</w:t>
      </w:r>
      <w:r w:rsidR="00BC77DA" w:rsidRPr="007148B2">
        <w:rPr>
          <w:rFonts w:eastAsia="Times New Roman"/>
          <w:bCs/>
          <w:sz w:val="24"/>
          <w:szCs w:val="24"/>
          <w:lang w:eastAsia="es-ES"/>
        </w:rPr>
        <w:t xml:space="preserve"> de </w:t>
      </w:r>
      <w:r w:rsidR="009E3ECE" w:rsidRPr="007148B2">
        <w:rPr>
          <w:rFonts w:eastAsia="Times New Roman"/>
          <w:bCs/>
          <w:sz w:val="24"/>
          <w:szCs w:val="24"/>
          <w:lang w:eastAsia="es-ES"/>
        </w:rPr>
        <w:t>2020</w:t>
      </w:r>
      <w:r w:rsidR="00CB4C21" w:rsidRPr="007148B2">
        <w:rPr>
          <w:rStyle w:val="Refdenotaalpie"/>
          <w:rFonts w:eastAsia="Times New Roman"/>
          <w:bCs/>
          <w:sz w:val="24"/>
          <w:szCs w:val="24"/>
          <w:lang w:eastAsia="es-ES"/>
        </w:rPr>
        <w:footnoteReference w:id="13"/>
      </w:r>
      <w:r w:rsidR="009B561A" w:rsidRPr="007148B2">
        <w:rPr>
          <w:rFonts w:eastAsia="Times New Roman"/>
          <w:bCs/>
          <w:sz w:val="24"/>
          <w:szCs w:val="24"/>
          <w:lang w:eastAsia="es-ES"/>
        </w:rPr>
        <w:t>, admitió la acción;</w:t>
      </w:r>
      <w:r w:rsidR="009E3ECE" w:rsidRPr="007148B2">
        <w:rPr>
          <w:rFonts w:eastAsia="Times New Roman"/>
          <w:bCs/>
          <w:sz w:val="24"/>
          <w:szCs w:val="24"/>
          <w:lang w:eastAsia="es-ES"/>
        </w:rPr>
        <w:t xml:space="preserve"> vinculó a</w:t>
      </w:r>
      <w:r w:rsidR="009B561A" w:rsidRPr="007148B2">
        <w:rPr>
          <w:rFonts w:eastAsia="Times New Roman"/>
          <w:bCs/>
          <w:sz w:val="24"/>
          <w:szCs w:val="24"/>
          <w:lang w:eastAsia="es-ES"/>
        </w:rPr>
        <w:t xml:space="preserve"> la Nación, </w:t>
      </w:r>
      <w:r w:rsidR="009B561A" w:rsidRPr="007148B2">
        <w:rPr>
          <w:bCs/>
          <w:sz w:val="24"/>
          <w:szCs w:val="24"/>
        </w:rPr>
        <w:t xml:space="preserve">Fiscalía General de la Nación, a </w:t>
      </w:r>
      <w:r w:rsidR="009B561A" w:rsidRPr="007148B2">
        <w:rPr>
          <w:sz w:val="24"/>
          <w:szCs w:val="24"/>
        </w:rPr>
        <w:t xml:space="preserve">Edgar Montaña </w:t>
      </w:r>
      <w:proofErr w:type="spellStart"/>
      <w:r w:rsidR="009B561A" w:rsidRPr="007148B2">
        <w:rPr>
          <w:sz w:val="24"/>
          <w:szCs w:val="24"/>
        </w:rPr>
        <w:t>Rodelo</w:t>
      </w:r>
      <w:proofErr w:type="spellEnd"/>
      <w:r w:rsidR="009B561A" w:rsidRPr="007148B2">
        <w:rPr>
          <w:sz w:val="24"/>
          <w:szCs w:val="24"/>
        </w:rPr>
        <w:t xml:space="preserve"> y a todas las demás personas que participaron como demandantes dentro del proceso de reparación directa con radicado 13001-33-31-0000-2010-00783-01; ordenó al Tribunal Administrativo del Bolívar remitir con destino al expediente de tutela la demanda, los recursos de apelación y la sentencia del 18 de mayo de 2012</w:t>
      </w:r>
      <w:r w:rsidR="00711CA6" w:rsidRPr="007148B2">
        <w:rPr>
          <w:sz w:val="24"/>
          <w:szCs w:val="24"/>
        </w:rPr>
        <w:t xml:space="preserve"> del proceso ordinario; accedió a la solicitud de medida provisional</w:t>
      </w:r>
      <w:r w:rsidR="00711CA6" w:rsidRPr="007148B2">
        <w:rPr>
          <w:rStyle w:val="Refdenotaalpie"/>
          <w:sz w:val="24"/>
          <w:szCs w:val="24"/>
        </w:rPr>
        <w:footnoteReference w:id="14"/>
      </w:r>
      <w:r w:rsidR="006C5DE5" w:rsidRPr="007148B2">
        <w:rPr>
          <w:sz w:val="24"/>
          <w:szCs w:val="24"/>
        </w:rPr>
        <w:t>; suspendió los términos de la presente acción constitucional y reconoció personería al apoderado de la DEAJ.</w:t>
      </w:r>
    </w:p>
    <w:p w14:paraId="6A957161" w14:textId="77777777" w:rsidR="009E3ECE" w:rsidRPr="007148B2" w:rsidRDefault="009E3ECE" w:rsidP="007148B2">
      <w:pPr>
        <w:overflowPunct w:val="0"/>
        <w:autoSpaceDE w:val="0"/>
        <w:autoSpaceDN w:val="0"/>
        <w:adjustRightInd w:val="0"/>
        <w:contextualSpacing/>
        <w:rPr>
          <w:b/>
          <w:sz w:val="24"/>
          <w:szCs w:val="24"/>
        </w:rPr>
      </w:pPr>
    </w:p>
    <w:p w14:paraId="26D7B242" w14:textId="77ECB07C" w:rsidR="002D3270" w:rsidRDefault="006B0EC0" w:rsidP="007148B2">
      <w:pPr>
        <w:autoSpaceDE w:val="0"/>
        <w:autoSpaceDN w:val="0"/>
        <w:adjustRightInd w:val="0"/>
        <w:rPr>
          <w:sz w:val="24"/>
          <w:szCs w:val="24"/>
          <w:lang w:val="es-MX" w:eastAsia="ja-JP"/>
        </w:rPr>
      </w:pPr>
      <w:r w:rsidRPr="006623F8">
        <w:rPr>
          <w:b/>
          <w:sz w:val="24"/>
          <w:szCs w:val="24"/>
          <w:lang w:val="es-MX" w:eastAsia="ja-JP"/>
        </w:rPr>
        <w:t>4</w:t>
      </w:r>
      <w:r w:rsidR="009E3ECE" w:rsidRPr="006623F8">
        <w:rPr>
          <w:b/>
          <w:sz w:val="24"/>
          <w:szCs w:val="24"/>
          <w:lang w:val="es-MX" w:eastAsia="ja-JP"/>
        </w:rPr>
        <w:t>.2.</w:t>
      </w:r>
      <w:r w:rsidR="00F8566B" w:rsidRPr="006623F8">
        <w:rPr>
          <w:sz w:val="24"/>
          <w:szCs w:val="24"/>
          <w:lang w:val="es-MX" w:eastAsia="ja-JP"/>
        </w:rPr>
        <w:t xml:space="preserve"> </w:t>
      </w:r>
      <w:r w:rsidR="009A3921">
        <w:rPr>
          <w:sz w:val="24"/>
          <w:szCs w:val="24"/>
          <w:lang w:val="es-MX" w:eastAsia="ja-JP"/>
        </w:rPr>
        <w:t xml:space="preserve">La </w:t>
      </w:r>
      <w:r w:rsidR="009A3921">
        <w:rPr>
          <w:b/>
          <w:sz w:val="24"/>
          <w:szCs w:val="24"/>
          <w:lang w:val="es-MX" w:eastAsia="ja-JP"/>
        </w:rPr>
        <w:t xml:space="preserve">Fiscalía General de la Nación </w:t>
      </w:r>
      <w:r w:rsidR="009A3921">
        <w:rPr>
          <w:sz w:val="24"/>
          <w:szCs w:val="24"/>
          <w:lang w:val="es-MX" w:eastAsia="ja-JP"/>
        </w:rPr>
        <w:t>solicitó ser reconocida como coadyuvante de la parte accionante</w:t>
      </w:r>
      <w:r w:rsidR="00C722A8" w:rsidRPr="006623F8">
        <w:rPr>
          <w:rStyle w:val="Refdenotaalpie"/>
          <w:rFonts w:eastAsia="Times New Roman"/>
          <w:bCs/>
          <w:sz w:val="24"/>
          <w:szCs w:val="24"/>
          <w:lang w:eastAsia="es-ES"/>
        </w:rPr>
        <w:footnoteReference w:id="15"/>
      </w:r>
      <w:r w:rsidR="009A3921">
        <w:rPr>
          <w:sz w:val="24"/>
          <w:szCs w:val="24"/>
          <w:lang w:val="es-MX" w:eastAsia="ja-JP"/>
        </w:rPr>
        <w:t>.</w:t>
      </w:r>
      <w:r w:rsidR="00C722A8">
        <w:rPr>
          <w:sz w:val="24"/>
          <w:szCs w:val="24"/>
          <w:lang w:val="es-MX" w:eastAsia="ja-JP"/>
        </w:rPr>
        <w:t xml:space="preserve"> Aseguró</w:t>
      </w:r>
      <w:r w:rsidR="009E510B">
        <w:rPr>
          <w:sz w:val="24"/>
          <w:szCs w:val="24"/>
          <w:lang w:val="es-MX" w:eastAsia="ja-JP"/>
        </w:rPr>
        <w:t xml:space="preserve"> </w:t>
      </w:r>
      <w:r w:rsidR="00C722A8">
        <w:rPr>
          <w:sz w:val="24"/>
          <w:szCs w:val="24"/>
          <w:lang w:val="es-MX" w:eastAsia="ja-JP"/>
        </w:rPr>
        <w:t>que la autoridad reprochada</w:t>
      </w:r>
      <w:r w:rsidR="009E510B">
        <w:rPr>
          <w:sz w:val="24"/>
          <w:szCs w:val="24"/>
          <w:lang w:val="es-MX" w:eastAsia="ja-JP"/>
        </w:rPr>
        <w:t xml:space="preserve">, por un lado, </w:t>
      </w:r>
      <w:r w:rsidR="00C722A8">
        <w:rPr>
          <w:sz w:val="24"/>
          <w:szCs w:val="24"/>
          <w:lang w:val="es-MX" w:eastAsia="ja-JP"/>
        </w:rPr>
        <w:t>no realizó un análisis de la legalidad y proporcionalidad de la medida de aseguramiento,</w:t>
      </w:r>
      <w:r w:rsidR="00F72B7E">
        <w:rPr>
          <w:sz w:val="24"/>
          <w:szCs w:val="24"/>
          <w:lang w:val="es-MX" w:eastAsia="ja-JP"/>
        </w:rPr>
        <w:t xml:space="preserve"> pues no</w:t>
      </w:r>
      <w:r w:rsidR="009E510B">
        <w:rPr>
          <w:sz w:val="24"/>
          <w:szCs w:val="24"/>
          <w:lang w:val="es-MX" w:eastAsia="ja-JP"/>
        </w:rPr>
        <w:t xml:space="preserve"> valoró las pruebas del proceso; por otro lado,</w:t>
      </w:r>
      <w:r w:rsidR="00C722A8">
        <w:rPr>
          <w:sz w:val="24"/>
          <w:szCs w:val="24"/>
          <w:lang w:val="es-MX" w:eastAsia="ja-JP"/>
        </w:rPr>
        <w:t xml:space="preserve"> concluyó que hubo un daño antijurídico porque el proceso penal finalizó con sentencia absolutoria, desconociendo las reglas jurisprudenciales de la sentencia SU-037 de 1996. </w:t>
      </w:r>
    </w:p>
    <w:p w14:paraId="59EC0084" w14:textId="77777777" w:rsidR="002D3270" w:rsidRDefault="002D3270" w:rsidP="007148B2">
      <w:pPr>
        <w:autoSpaceDE w:val="0"/>
        <w:autoSpaceDN w:val="0"/>
        <w:adjustRightInd w:val="0"/>
        <w:rPr>
          <w:sz w:val="24"/>
          <w:szCs w:val="24"/>
          <w:lang w:val="es-MX" w:eastAsia="ja-JP"/>
        </w:rPr>
      </w:pPr>
    </w:p>
    <w:p w14:paraId="79E1A100" w14:textId="4DDCB32D" w:rsidR="00241A20" w:rsidRPr="006623F8" w:rsidRDefault="002D3270" w:rsidP="007148B2">
      <w:pPr>
        <w:autoSpaceDE w:val="0"/>
        <w:autoSpaceDN w:val="0"/>
        <w:adjustRightInd w:val="0"/>
        <w:rPr>
          <w:sz w:val="24"/>
          <w:szCs w:val="24"/>
          <w:lang w:val="es-MX" w:eastAsia="ja-JP"/>
        </w:rPr>
      </w:pPr>
      <w:r>
        <w:rPr>
          <w:sz w:val="24"/>
          <w:szCs w:val="24"/>
          <w:lang w:val="es-MX" w:eastAsia="ja-JP"/>
        </w:rPr>
        <w:t>Además, reiteró los argumentos del escrito de tutela relacionados con un defecto en la orden que emitió la Subsección B de la Sección Tercera del Consejo de Estado de pedir disculpas para reparar el derecho al buen nombre de los demandantes.</w:t>
      </w:r>
    </w:p>
    <w:p w14:paraId="40061A54" w14:textId="77777777" w:rsidR="00241A20" w:rsidRPr="006623F8" w:rsidRDefault="00241A20" w:rsidP="007148B2">
      <w:pPr>
        <w:autoSpaceDE w:val="0"/>
        <w:autoSpaceDN w:val="0"/>
        <w:adjustRightInd w:val="0"/>
        <w:rPr>
          <w:sz w:val="24"/>
          <w:szCs w:val="24"/>
          <w:lang w:val="es-MX" w:eastAsia="ja-JP"/>
        </w:rPr>
      </w:pPr>
    </w:p>
    <w:p w14:paraId="35F3C05E" w14:textId="183D69B1" w:rsidR="003D4892" w:rsidRPr="007148B2" w:rsidRDefault="006B0EC0" w:rsidP="007148B2">
      <w:pPr>
        <w:autoSpaceDE w:val="0"/>
        <w:autoSpaceDN w:val="0"/>
        <w:adjustRightInd w:val="0"/>
        <w:rPr>
          <w:sz w:val="24"/>
          <w:szCs w:val="24"/>
          <w:lang w:val="es-MX" w:eastAsia="ja-JP"/>
        </w:rPr>
      </w:pPr>
      <w:r w:rsidRPr="006623F8">
        <w:rPr>
          <w:b/>
          <w:sz w:val="24"/>
          <w:szCs w:val="24"/>
          <w:lang w:val="es-MX" w:eastAsia="ja-JP"/>
        </w:rPr>
        <w:t>4</w:t>
      </w:r>
      <w:r w:rsidR="00D75057" w:rsidRPr="006623F8">
        <w:rPr>
          <w:b/>
          <w:sz w:val="24"/>
          <w:szCs w:val="24"/>
          <w:lang w:val="es-MX" w:eastAsia="ja-JP"/>
        </w:rPr>
        <w:t>.3</w:t>
      </w:r>
      <w:r w:rsidR="002D033D" w:rsidRPr="006623F8">
        <w:rPr>
          <w:b/>
          <w:sz w:val="24"/>
          <w:szCs w:val="24"/>
          <w:lang w:val="es-MX" w:eastAsia="ja-JP"/>
        </w:rPr>
        <w:t>.</w:t>
      </w:r>
      <w:r w:rsidR="00F8566B" w:rsidRPr="006623F8">
        <w:rPr>
          <w:sz w:val="24"/>
          <w:szCs w:val="24"/>
          <w:lang w:val="es-MX" w:eastAsia="ja-JP"/>
        </w:rPr>
        <w:t xml:space="preserve"> </w:t>
      </w:r>
      <w:r w:rsidR="00F87CD9">
        <w:rPr>
          <w:sz w:val="24"/>
          <w:szCs w:val="24"/>
          <w:lang w:val="es-MX" w:eastAsia="ja-JP"/>
        </w:rPr>
        <w:t>Las personas vinculadas al p</w:t>
      </w:r>
      <w:r w:rsidR="009D368B">
        <w:rPr>
          <w:sz w:val="24"/>
          <w:szCs w:val="24"/>
          <w:lang w:val="es-MX" w:eastAsia="ja-JP"/>
        </w:rPr>
        <w:t xml:space="preserve">resente trámite constitucional </w:t>
      </w:r>
      <w:r w:rsidR="00F87CD9">
        <w:rPr>
          <w:sz w:val="24"/>
          <w:szCs w:val="24"/>
          <w:lang w:val="es-MX" w:eastAsia="ja-JP"/>
        </w:rPr>
        <w:t>que con</w:t>
      </w:r>
      <w:r w:rsidR="009D368B">
        <w:rPr>
          <w:sz w:val="24"/>
          <w:szCs w:val="24"/>
          <w:lang w:val="es-MX" w:eastAsia="ja-JP"/>
        </w:rPr>
        <w:t>formaron la parte demandante en el p</w:t>
      </w:r>
      <w:r w:rsidR="00F87CD9">
        <w:rPr>
          <w:sz w:val="24"/>
          <w:szCs w:val="24"/>
          <w:lang w:val="es-MX" w:eastAsia="ja-JP"/>
        </w:rPr>
        <w:t>roceso de reparación directa, a través de apoderado judicial, afirmaron que la autoridad reprochada no incurrió en los defectos</w:t>
      </w:r>
      <w:r w:rsidR="009D368B">
        <w:rPr>
          <w:sz w:val="24"/>
          <w:szCs w:val="24"/>
          <w:lang w:val="es-MX" w:eastAsia="ja-JP"/>
        </w:rPr>
        <w:t xml:space="preserve"> invocados y que no se configuró</w:t>
      </w:r>
      <w:r w:rsidR="00F87CD9">
        <w:rPr>
          <w:sz w:val="24"/>
          <w:szCs w:val="24"/>
          <w:lang w:val="es-MX" w:eastAsia="ja-JP"/>
        </w:rPr>
        <w:t xml:space="preserve"> en el caso concreto un perjuicio irremediable</w:t>
      </w:r>
      <w:r w:rsidR="00920EA3" w:rsidRPr="006623F8">
        <w:rPr>
          <w:rStyle w:val="Refdenotaalpie"/>
          <w:rFonts w:eastAsia="Times New Roman"/>
          <w:bCs/>
          <w:sz w:val="24"/>
          <w:szCs w:val="24"/>
          <w:lang w:eastAsia="es-ES"/>
        </w:rPr>
        <w:footnoteReference w:id="16"/>
      </w:r>
      <w:r w:rsidR="009617E4">
        <w:rPr>
          <w:sz w:val="24"/>
          <w:szCs w:val="24"/>
          <w:lang w:val="es-MX" w:eastAsia="ja-JP"/>
        </w:rPr>
        <w:t>.</w:t>
      </w:r>
    </w:p>
    <w:p w14:paraId="06DF1884" w14:textId="77777777" w:rsidR="003D4892" w:rsidRDefault="003D4892" w:rsidP="007148B2">
      <w:pPr>
        <w:autoSpaceDE w:val="0"/>
        <w:autoSpaceDN w:val="0"/>
        <w:adjustRightInd w:val="0"/>
        <w:rPr>
          <w:sz w:val="24"/>
          <w:szCs w:val="24"/>
          <w:lang w:val="es-ES" w:eastAsia="ja-JP"/>
        </w:rPr>
      </w:pPr>
    </w:p>
    <w:p w14:paraId="595835B7" w14:textId="77777777" w:rsidR="009D368B" w:rsidRDefault="009D368B" w:rsidP="007148B2">
      <w:pPr>
        <w:autoSpaceDE w:val="0"/>
        <w:autoSpaceDN w:val="0"/>
        <w:adjustRightInd w:val="0"/>
        <w:rPr>
          <w:sz w:val="24"/>
          <w:szCs w:val="24"/>
          <w:lang w:val="es-ES" w:eastAsia="ja-JP"/>
        </w:rPr>
      </w:pPr>
    </w:p>
    <w:p w14:paraId="2811A5F8" w14:textId="77777777" w:rsidR="009D368B" w:rsidRDefault="009D368B" w:rsidP="007148B2">
      <w:pPr>
        <w:autoSpaceDE w:val="0"/>
        <w:autoSpaceDN w:val="0"/>
        <w:adjustRightInd w:val="0"/>
        <w:rPr>
          <w:sz w:val="24"/>
          <w:szCs w:val="24"/>
          <w:lang w:val="es-ES" w:eastAsia="ja-JP"/>
        </w:rPr>
      </w:pPr>
    </w:p>
    <w:p w14:paraId="4818D191" w14:textId="77777777" w:rsidR="009D368B" w:rsidRDefault="009D368B" w:rsidP="007148B2">
      <w:pPr>
        <w:autoSpaceDE w:val="0"/>
        <w:autoSpaceDN w:val="0"/>
        <w:adjustRightInd w:val="0"/>
        <w:rPr>
          <w:sz w:val="24"/>
          <w:szCs w:val="24"/>
          <w:lang w:val="es-ES" w:eastAsia="ja-JP"/>
        </w:rPr>
      </w:pPr>
    </w:p>
    <w:p w14:paraId="7B2C8389" w14:textId="77777777" w:rsidR="009D368B" w:rsidRDefault="009D368B" w:rsidP="007148B2">
      <w:pPr>
        <w:autoSpaceDE w:val="0"/>
        <w:autoSpaceDN w:val="0"/>
        <w:adjustRightInd w:val="0"/>
        <w:rPr>
          <w:sz w:val="24"/>
          <w:szCs w:val="24"/>
          <w:lang w:val="es-ES" w:eastAsia="ja-JP"/>
        </w:rPr>
      </w:pPr>
    </w:p>
    <w:p w14:paraId="75BF1321" w14:textId="77777777" w:rsidR="009D368B" w:rsidRPr="007148B2" w:rsidRDefault="009D368B" w:rsidP="007148B2">
      <w:pPr>
        <w:autoSpaceDE w:val="0"/>
        <w:autoSpaceDN w:val="0"/>
        <w:adjustRightInd w:val="0"/>
        <w:rPr>
          <w:sz w:val="24"/>
          <w:szCs w:val="24"/>
          <w:lang w:val="es-ES" w:eastAsia="ja-JP"/>
        </w:rPr>
      </w:pPr>
    </w:p>
    <w:p w14:paraId="2DA9C0B1" w14:textId="5F8D06C5" w:rsidR="006155A3" w:rsidRPr="007148B2" w:rsidRDefault="000C5DB7" w:rsidP="007148B2">
      <w:pPr>
        <w:pStyle w:val="Ttulo1"/>
        <w:spacing w:before="0" w:after="0" w:line="240" w:lineRule="auto"/>
        <w:rPr>
          <w:rFonts w:cs="Arial"/>
          <w:szCs w:val="24"/>
          <w:lang w:val="es-ES_tradnl"/>
        </w:rPr>
      </w:pPr>
      <w:r w:rsidRPr="007148B2">
        <w:rPr>
          <w:rFonts w:cs="Arial"/>
          <w:szCs w:val="24"/>
          <w:lang w:val="es-ES_tradnl"/>
        </w:rPr>
        <w:lastRenderedPageBreak/>
        <w:t>CONSIDERACIONES</w:t>
      </w:r>
    </w:p>
    <w:p w14:paraId="4049A947" w14:textId="77777777" w:rsidR="006155A3" w:rsidRPr="007148B2" w:rsidRDefault="006155A3" w:rsidP="007148B2">
      <w:pPr>
        <w:rPr>
          <w:sz w:val="24"/>
          <w:szCs w:val="24"/>
          <w:lang w:val="es-ES_tradnl"/>
        </w:rPr>
      </w:pPr>
    </w:p>
    <w:p w14:paraId="4101652C" w14:textId="55031700" w:rsidR="000C5DB7" w:rsidRPr="007148B2" w:rsidRDefault="000C5DB7" w:rsidP="007148B2">
      <w:pPr>
        <w:numPr>
          <w:ilvl w:val="0"/>
          <w:numId w:val="1"/>
        </w:numPr>
        <w:tabs>
          <w:tab w:val="left" w:pos="426"/>
        </w:tabs>
        <w:ind w:left="0" w:firstLine="0"/>
        <w:contextualSpacing/>
        <w:rPr>
          <w:b/>
          <w:sz w:val="24"/>
          <w:szCs w:val="24"/>
          <w:lang w:val="es-ES_tradnl"/>
        </w:rPr>
      </w:pPr>
      <w:r w:rsidRPr="007148B2">
        <w:rPr>
          <w:b/>
          <w:sz w:val="24"/>
          <w:szCs w:val="24"/>
          <w:lang w:val="es-ES_tradnl"/>
        </w:rPr>
        <w:t>Competencia</w:t>
      </w:r>
    </w:p>
    <w:p w14:paraId="729641CD" w14:textId="77777777" w:rsidR="006E742C" w:rsidRPr="007148B2" w:rsidRDefault="006E742C" w:rsidP="007148B2">
      <w:pPr>
        <w:tabs>
          <w:tab w:val="left" w:pos="426"/>
        </w:tabs>
        <w:contextualSpacing/>
        <w:rPr>
          <w:b/>
          <w:sz w:val="24"/>
          <w:szCs w:val="24"/>
          <w:lang w:val="es-ES_tradnl"/>
        </w:rPr>
      </w:pPr>
    </w:p>
    <w:p w14:paraId="23384028" w14:textId="77777777" w:rsidR="00D51DED" w:rsidRPr="007148B2" w:rsidRDefault="00D51DED" w:rsidP="007148B2">
      <w:pPr>
        <w:pStyle w:val="Prrafodelista"/>
        <w:ind w:left="0"/>
        <w:jc w:val="both"/>
        <w:rPr>
          <w:rFonts w:ascii="Arial" w:hAnsi="Arial" w:cs="Arial"/>
        </w:rPr>
      </w:pPr>
      <w:r w:rsidRPr="007148B2">
        <w:rPr>
          <w:rFonts w:ascii="Arial" w:hAnsi="Arial" w:cs="Arial"/>
        </w:rPr>
        <w:t>La Sala es competente para decidir la presente acción de tutela en virtud de lo dispuesto en el artículo 86 de la Constitución Política, en el Decreto 2591 de 1991, en el Decreto 1983 de 2017 que modificó el Decreto 1069 de 2015 y en el Acuerdo de Sala Plena del Consejo de Estado No. 080 del 12 de marzo de 2019</w:t>
      </w:r>
      <w:r w:rsidRPr="007148B2">
        <w:rPr>
          <w:rStyle w:val="Refdenotaalpie"/>
          <w:rFonts w:ascii="Arial" w:hAnsi="Arial" w:cs="Arial"/>
        </w:rPr>
        <w:footnoteReference w:id="17"/>
      </w:r>
      <w:r w:rsidRPr="007148B2">
        <w:rPr>
          <w:rFonts w:ascii="Arial" w:hAnsi="Arial" w:cs="Arial"/>
        </w:rPr>
        <w:t>.</w:t>
      </w:r>
    </w:p>
    <w:p w14:paraId="28B93711" w14:textId="77777777" w:rsidR="008462F3" w:rsidRPr="007148B2" w:rsidRDefault="008462F3" w:rsidP="007148B2">
      <w:pPr>
        <w:overflowPunct w:val="0"/>
        <w:autoSpaceDE w:val="0"/>
        <w:autoSpaceDN w:val="0"/>
        <w:adjustRightInd w:val="0"/>
        <w:contextualSpacing/>
        <w:rPr>
          <w:rFonts w:eastAsia="Times New Roman"/>
          <w:sz w:val="24"/>
          <w:szCs w:val="24"/>
          <w:lang w:val="es-MX" w:eastAsia="es-ES"/>
        </w:rPr>
      </w:pPr>
    </w:p>
    <w:p w14:paraId="64826043" w14:textId="09075410" w:rsidR="008462F3" w:rsidRPr="007148B2" w:rsidRDefault="008462F3" w:rsidP="007148B2">
      <w:pPr>
        <w:contextualSpacing/>
        <w:rPr>
          <w:b/>
          <w:bCs/>
          <w:sz w:val="24"/>
          <w:szCs w:val="24"/>
          <w:lang w:val="es-ES_tradnl"/>
        </w:rPr>
      </w:pPr>
      <w:r w:rsidRPr="007148B2">
        <w:rPr>
          <w:b/>
          <w:bCs/>
          <w:sz w:val="24"/>
          <w:szCs w:val="24"/>
          <w:lang w:val="es-ES"/>
        </w:rPr>
        <w:t xml:space="preserve">2. </w:t>
      </w:r>
      <w:proofErr w:type="spellStart"/>
      <w:r w:rsidRPr="007148B2">
        <w:rPr>
          <w:b/>
          <w:bCs/>
          <w:sz w:val="24"/>
          <w:szCs w:val="24"/>
          <w:lang w:val="es-ES"/>
        </w:rPr>
        <w:t>Procedibilidad</w:t>
      </w:r>
      <w:proofErr w:type="spellEnd"/>
      <w:r w:rsidRPr="007148B2">
        <w:rPr>
          <w:b/>
          <w:bCs/>
          <w:sz w:val="24"/>
          <w:szCs w:val="24"/>
          <w:lang w:val="es-ES"/>
        </w:rPr>
        <w:t xml:space="preserve"> de la acción</w:t>
      </w:r>
    </w:p>
    <w:p w14:paraId="78B3E96A" w14:textId="77777777" w:rsidR="008462F3" w:rsidRPr="007148B2" w:rsidRDefault="008462F3" w:rsidP="007148B2">
      <w:pPr>
        <w:contextualSpacing/>
        <w:rPr>
          <w:sz w:val="24"/>
          <w:szCs w:val="24"/>
        </w:rPr>
      </w:pPr>
    </w:p>
    <w:p w14:paraId="17CA7F62" w14:textId="4E85943D" w:rsidR="00DF3831" w:rsidRDefault="008462F3" w:rsidP="007148B2">
      <w:pPr>
        <w:contextualSpacing/>
        <w:rPr>
          <w:rFonts w:eastAsia="Arial"/>
          <w:sz w:val="24"/>
          <w:szCs w:val="24"/>
          <w:lang w:val="es-MX"/>
        </w:rPr>
      </w:pPr>
      <w:r w:rsidRPr="007148B2">
        <w:rPr>
          <w:rFonts w:eastAsia="Arial"/>
          <w:sz w:val="24"/>
          <w:szCs w:val="24"/>
          <w:lang w:val="es-MX"/>
        </w:rPr>
        <w:t xml:space="preserve">En los casos en que la solicitud de amparo ataca una providencia judicial, la doctrina constitucional ha indicado que el juez de tutela debe, en forma preliminar, realizar un examen de </w:t>
      </w:r>
      <w:proofErr w:type="spellStart"/>
      <w:r w:rsidRPr="007148B2">
        <w:rPr>
          <w:rFonts w:eastAsia="Arial"/>
          <w:sz w:val="24"/>
          <w:szCs w:val="24"/>
          <w:lang w:val="es-MX"/>
        </w:rPr>
        <w:t>procedibilidad</w:t>
      </w:r>
      <w:proofErr w:type="spellEnd"/>
      <w:r w:rsidRPr="007148B2">
        <w:rPr>
          <w:rFonts w:eastAsia="Arial"/>
          <w:sz w:val="24"/>
          <w:szCs w:val="24"/>
          <w:lang w:val="es-MX"/>
        </w:rPr>
        <w:t xml:space="preserve"> general de la acción; pues, solo una vez verificada la observancia de los requisitos que la determinan, procede el pronunciamiento de fondo sobre la problemática jurídica que el actor plantea en función de los defectos que reprocha a la actuación acusada y conforme a las causales específicas de procedencia de la acción de tutela contra providencias judiciales</w:t>
      </w:r>
      <w:r w:rsidRPr="007148B2">
        <w:rPr>
          <w:sz w:val="24"/>
          <w:szCs w:val="24"/>
          <w:vertAlign w:val="superscript"/>
        </w:rPr>
        <w:footnoteReference w:id="18"/>
      </w:r>
      <w:r w:rsidRPr="007148B2">
        <w:rPr>
          <w:rFonts w:eastAsia="Arial"/>
          <w:sz w:val="24"/>
          <w:szCs w:val="24"/>
          <w:lang w:val="es-MX"/>
        </w:rPr>
        <w:t>.</w:t>
      </w:r>
    </w:p>
    <w:p w14:paraId="138B36D0" w14:textId="77777777" w:rsidR="009E510B" w:rsidRPr="007148B2" w:rsidRDefault="009E510B" w:rsidP="007148B2">
      <w:pPr>
        <w:contextualSpacing/>
        <w:rPr>
          <w:rFonts w:eastAsia="Arial"/>
          <w:sz w:val="24"/>
          <w:szCs w:val="24"/>
          <w:lang w:val="es-MX"/>
        </w:rPr>
      </w:pPr>
    </w:p>
    <w:p w14:paraId="64089524" w14:textId="7594C67E" w:rsidR="008462F3" w:rsidRPr="007148B2" w:rsidRDefault="008462F3" w:rsidP="007148B2">
      <w:pPr>
        <w:autoSpaceDE w:val="0"/>
        <w:autoSpaceDN w:val="0"/>
        <w:adjustRightInd w:val="0"/>
        <w:rPr>
          <w:sz w:val="24"/>
          <w:szCs w:val="24"/>
          <w:lang w:val="es-ES_tradnl"/>
        </w:rPr>
      </w:pPr>
      <w:r w:rsidRPr="007148B2">
        <w:rPr>
          <w:rFonts w:eastAsia="Verdana"/>
          <w:b/>
          <w:sz w:val="24"/>
          <w:szCs w:val="24"/>
          <w:lang w:val="es-ES_tradnl"/>
        </w:rPr>
        <w:t xml:space="preserve">2.1. </w:t>
      </w:r>
      <w:r w:rsidRPr="007148B2">
        <w:rPr>
          <w:rFonts w:eastAsia="Verdana"/>
          <w:sz w:val="24"/>
          <w:szCs w:val="24"/>
          <w:lang w:val="es-ES_tradnl"/>
        </w:rPr>
        <w:t xml:space="preserve">La </w:t>
      </w:r>
      <w:r w:rsidRPr="007148B2">
        <w:rPr>
          <w:b/>
          <w:sz w:val="24"/>
          <w:szCs w:val="24"/>
          <w:lang w:val="es-ES_tradnl"/>
        </w:rPr>
        <w:t>legitimación</w:t>
      </w:r>
      <w:r w:rsidRPr="007148B2">
        <w:rPr>
          <w:sz w:val="24"/>
          <w:szCs w:val="24"/>
          <w:lang w:val="es-ES_tradnl"/>
        </w:rPr>
        <w:t xml:space="preserve"> </w:t>
      </w:r>
      <w:r w:rsidRPr="007148B2">
        <w:rPr>
          <w:b/>
          <w:sz w:val="24"/>
          <w:szCs w:val="24"/>
          <w:lang w:val="es-ES_tradnl"/>
        </w:rPr>
        <w:t>en la causa</w:t>
      </w:r>
      <w:r w:rsidRPr="007148B2">
        <w:rPr>
          <w:sz w:val="24"/>
          <w:szCs w:val="24"/>
          <w:lang w:val="es-ES_tradnl"/>
        </w:rPr>
        <w:t xml:space="preserve"> </w:t>
      </w:r>
      <w:r w:rsidRPr="007148B2">
        <w:rPr>
          <w:b/>
          <w:sz w:val="24"/>
          <w:szCs w:val="24"/>
          <w:lang w:val="es-ES_tradnl"/>
        </w:rPr>
        <w:t>por</w:t>
      </w:r>
      <w:r w:rsidRPr="007148B2">
        <w:rPr>
          <w:sz w:val="24"/>
          <w:szCs w:val="24"/>
          <w:lang w:val="es-ES_tradnl"/>
        </w:rPr>
        <w:t xml:space="preserve"> </w:t>
      </w:r>
      <w:r w:rsidRPr="007148B2">
        <w:rPr>
          <w:b/>
          <w:sz w:val="24"/>
          <w:szCs w:val="24"/>
          <w:lang w:val="es-ES_tradnl"/>
        </w:rPr>
        <w:t>activa</w:t>
      </w:r>
      <w:r w:rsidRPr="007148B2">
        <w:rPr>
          <w:sz w:val="24"/>
          <w:szCs w:val="24"/>
          <w:lang w:val="es-ES_tradnl"/>
        </w:rPr>
        <w:t xml:space="preserve"> de la Nación, Rama Judicial, Consejo Superior de la Judicatura, Dirección Ejecutiva de Administración Judicial se encuentra acreditada, puesto que </w:t>
      </w:r>
      <w:r w:rsidR="007D7257" w:rsidRPr="007148B2">
        <w:rPr>
          <w:sz w:val="24"/>
          <w:szCs w:val="24"/>
          <w:lang w:val="es-ES_tradnl"/>
        </w:rPr>
        <w:t>fungió como</w:t>
      </w:r>
      <w:r w:rsidR="00DF3831">
        <w:rPr>
          <w:sz w:val="24"/>
          <w:szCs w:val="24"/>
          <w:lang w:val="es-ES_tradnl"/>
        </w:rPr>
        <w:t xml:space="preserve"> parte</w:t>
      </w:r>
      <w:r w:rsidR="007D7257" w:rsidRPr="007148B2">
        <w:rPr>
          <w:sz w:val="24"/>
          <w:szCs w:val="24"/>
          <w:lang w:val="es-ES_tradnl"/>
        </w:rPr>
        <w:t xml:space="preserve"> demanda</w:t>
      </w:r>
      <w:r w:rsidR="00C3395D" w:rsidRPr="007148B2">
        <w:rPr>
          <w:sz w:val="24"/>
          <w:szCs w:val="24"/>
          <w:lang w:val="es-ES_tradnl"/>
        </w:rPr>
        <w:t>da</w:t>
      </w:r>
      <w:r w:rsidRPr="007148B2">
        <w:rPr>
          <w:sz w:val="24"/>
          <w:szCs w:val="24"/>
          <w:lang w:val="es-ES_tradnl"/>
        </w:rPr>
        <w:t xml:space="preserve"> dentro del proceso de </w:t>
      </w:r>
      <w:r w:rsidR="00C3395D" w:rsidRPr="007148B2">
        <w:rPr>
          <w:sz w:val="24"/>
          <w:szCs w:val="24"/>
          <w:lang w:val="es-ES_tradnl"/>
        </w:rPr>
        <w:t>reparación directa</w:t>
      </w:r>
      <w:r w:rsidRPr="007148B2">
        <w:rPr>
          <w:sz w:val="24"/>
          <w:szCs w:val="24"/>
          <w:lang w:val="es-ES_tradnl"/>
        </w:rPr>
        <w:t xml:space="preserve"> con radicado </w:t>
      </w:r>
      <w:r w:rsidR="007D7257" w:rsidRPr="007148B2">
        <w:rPr>
          <w:sz w:val="24"/>
          <w:szCs w:val="24"/>
        </w:rPr>
        <w:t>13001-33-31-0000-2010-00783-01</w:t>
      </w:r>
      <w:r w:rsidRPr="007148B2">
        <w:rPr>
          <w:sz w:val="24"/>
          <w:szCs w:val="24"/>
          <w:lang w:val="es-ES_tradnl"/>
        </w:rPr>
        <w:t>, y es la titular de los derechos fundamentales que adujo fueron vulnerados.</w:t>
      </w:r>
    </w:p>
    <w:p w14:paraId="384E8289" w14:textId="77777777" w:rsidR="008462F3" w:rsidRPr="007148B2" w:rsidRDefault="008462F3" w:rsidP="007148B2">
      <w:pPr>
        <w:autoSpaceDE w:val="0"/>
        <w:autoSpaceDN w:val="0"/>
        <w:adjustRightInd w:val="0"/>
        <w:rPr>
          <w:sz w:val="24"/>
          <w:szCs w:val="24"/>
          <w:lang w:val="es-ES_tradnl"/>
        </w:rPr>
      </w:pPr>
    </w:p>
    <w:p w14:paraId="36F2904C" w14:textId="1AF38424" w:rsidR="008462F3" w:rsidRDefault="008462F3" w:rsidP="007148B2">
      <w:pPr>
        <w:tabs>
          <w:tab w:val="left" w:pos="0"/>
        </w:tabs>
        <w:contextualSpacing/>
        <w:rPr>
          <w:sz w:val="24"/>
          <w:szCs w:val="24"/>
          <w:lang w:val="es-ES_tradnl"/>
        </w:rPr>
      </w:pPr>
      <w:r w:rsidRPr="007148B2">
        <w:rPr>
          <w:sz w:val="24"/>
          <w:szCs w:val="24"/>
          <w:lang w:val="es-ES_tradnl"/>
        </w:rPr>
        <w:t xml:space="preserve">También está probada </w:t>
      </w:r>
      <w:r w:rsidRPr="007148B2">
        <w:rPr>
          <w:b/>
          <w:sz w:val="24"/>
          <w:szCs w:val="24"/>
          <w:lang w:val="es-ES_tradnl"/>
        </w:rPr>
        <w:t>la legitimación en la causa por pasiva</w:t>
      </w:r>
      <w:r w:rsidRPr="007148B2">
        <w:rPr>
          <w:sz w:val="24"/>
          <w:szCs w:val="24"/>
          <w:lang w:val="es-ES_tradnl"/>
        </w:rPr>
        <w:t xml:space="preserve"> d</w:t>
      </w:r>
      <w:r w:rsidR="007D7257" w:rsidRPr="007148B2">
        <w:rPr>
          <w:sz w:val="24"/>
          <w:szCs w:val="24"/>
          <w:lang w:val="es-ES_tradnl"/>
        </w:rPr>
        <w:t>e la Subsección B de la Sección Tercera del Consejo de Estado</w:t>
      </w:r>
      <w:r w:rsidRPr="007148B2">
        <w:rPr>
          <w:sz w:val="24"/>
          <w:szCs w:val="24"/>
          <w:lang w:val="es-ES_tradnl"/>
        </w:rPr>
        <w:t xml:space="preserve">, en la medida en que fue la autoridad que profirió la sentencia del </w:t>
      </w:r>
      <w:r w:rsidR="007D7257" w:rsidRPr="007148B2">
        <w:rPr>
          <w:sz w:val="24"/>
          <w:szCs w:val="24"/>
        </w:rPr>
        <w:t xml:space="preserve">23 de abril de 2020 </w:t>
      </w:r>
      <w:r w:rsidR="007D7257" w:rsidRPr="007148B2">
        <w:rPr>
          <w:sz w:val="24"/>
          <w:szCs w:val="24"/>
          <w:lang w:val="es-ES_tradnl"/>
        </w:rPr>
        <w:t xml:space="preserve">que, según </w:t>
      </w:r>
      <w:r w:rsidRPr="007148B2">
        <w:rPr>
          <w:sz w:val="24"/>
          <w:szCs w:val="24"/>
          <w:lang w:val="es-ES_tradnl"/>
        </w:rPr>
        <w:t>l</w:t>
      </w:r>
      <w:r w:rsidR="007D7257" w:rsidRPr="007148B2">
        <w:rPr>
          <w:sz w:val="24"/>
          <w:szCs w:val="24"/>
          <w:lang w:val="es-ES_tradnl"/>
        </w:rPr>
        <w:t>a</w:t>
      </w:r>
      <w:r w:rsidRPr="007148B2">
        <w:rPr>
          <w:sz w:val="24"/>
          <w:szCs w:val="24"/>
          <w:lang w:val="es-ES_tradnl"/>
        </w:rPr>
        <w:t xml:space="preserve"> tutelante, vulneró sus derechos fundamentales.</w:t>
      </w:r>
    </w:p>
    <w:p w14:paraId="5EC28488" w14:textId="77777777" w:rsidR="009E510B" w:rsidRDefault="009E510B" w:rsidP="007148B2">
      <w:pPr>
        <w:tabs>
          <w:tab w:val="left" w:pos="0"/>
        </w:tabs>
        <w:contextualSpacing/>
        <w:rPr>
          <w:sz w:val="24"/>
          <w:szCs w:val="24"/>
          <w:lang w:val="es-ES_tradnl"/>
        </w:rPr>
      </w:pPr>
    </w:p>
    <w:p w14:paraId="67632D5F" w14:textId="03F5F654" w:rsidR="009E510B" w:rsidRDefault="002813A9" w:rsidP="007148B2">
      <w:pPr>
        <w:tabs>
          <w:tab w:val="left" w:pos="0"/>
        </w:tabs>
        <w:contextualSpacing/>
        <w:rPr>
          <w:iCs/>
          <w:color w:val="000000" w:themeColor="text1"/>
          <w:sz w:val="24"/>
          <w:szCs w:val="24"/>
        </w:rPr>
      </w:pPr>
      <w:r>
        <w:rPr>
          <w:sz w:val="24"/>
          <w:szCs w:val="24"/>
          <w:lang w:val="es-ES_tradnl"/>
        </w:rPr>
        <w:t xml:space="preserve">De otra parte, </w:t>
      </w:r>
      <w:r w:rsidR="00530450" w:rsidRPr="00530450">
        <w:rPr>
          <w:b/>
          <w:sz w:val="24"/>
          <w:szCs w:val="24"/>
          <w:lang w:val="es-ES_tradnl"/>
        </w:rPr>
        <w:t>la Fiscalía General de la Nación</w:t>
      </w:r>
      <w:r w:rsidR="00530450">
        <w:rPr>
          <w:sz w:val="24"/>
          <w:szCs w:val="24"/>
          <w:lang w:val="es-ES_tradnl"/>
        </w:rPr>
        <w:t xml:space="preserve"> </w:t>
      </w:r>
      <w:r>
        <w:rPr>
          <w:sz w:val="24"/>
          <w:szCs w:val="24"/>
          <w:lang w:val="es-ES_tradnl"/>
        </w:rPr>
        <w:t xml:space="preserve">presentó </w:t>
      </w:r>
      <w:r w:rsidR="009E510B">
        <w:rPr>
          <w:sz w:val="24"/>
          <w:szCs w:val="24"/>
          <w:lang w:val="es-ES_tradnl"/>
        </w:rPr>
        <w:t xml:space="preserve">solicitud </w:t>
      </w:r>
      <w:r>
        <w:rPr>
          <w:sz w:val="24"/>
          <w:szCs w:val="24"/>
          <w:lang w:val="es-ES_tradnl"/>
        </w:rPr>
        <w:t>de</w:t>
      </w:r>
      <w:r w:rsidR="00530450">
        <w:rPr>
          <w:sz w:val="24"/>
          <w:szCs w:val="24"/>
          <w:lang w:val="es-ES_tradnl"/>
        </w:rPr>
        <w:t xml:space="preserve"> reconocimiento </w:t>
      </w:r>
      <w:r w:rsidR="00047AD2">
        <w:rPr>
          <w:sz w:val="24"/>
          <w:szCs w:val="24"/>
          <w:lang w:val="es-ES_tradnl"/>
        </w:rPr>
        <w:t>como</w:t>
      </w:r>
      <w:r w:rsidR="00530450">
        <w:rPr>
          <w:sz w:val="24"/>
          <w:szCs w:val="24"/>
          <w:lang w:val="es-ES_tradnl"/>
        </w:rPr>
        <w:t xml:space="preserve"> coadyuvante de la parte accionante.</w:t>
      </w:r>
      <w:r w:rsidR="008F41C2">
        <w:rPr>
          <w:rFonts w:eastAsia="Times New Roman"/>
          <w:color w:val="000000" w:themeColor="text1"/>
          <w:sz w:val="24"/>
          <w:szCs w:val="24"/>
          <w:lang w:eastAsia="es-ES"/>
        </w:rPr>
        <w:t xml:space="preserve"> Sobre este asunto</w:t>
      </w:r>
      <w:r w:rsidR="00530450">
        <w:rPr>
          <w:rFonts w:eastAsia="Times New Roman"/>
          <w:color w:val="000000" w:themeColor="text1"/>
          <w:sz w:val="24"/>
          <w:szCs w:val="24"/>
          <w:lang w:eastAsia="es-ES"/>
        </w:rPr>
        <w:t xml:space="preserve">, </w:t>
      </w:r>
      <w:r w:rsidR="00530450" w:rsidRPr="006B5E83">
        <w:rPr>
          <w:rFonts w:eastAsia="Times New Roman"/>
          <w:color w:val="000000" w:themeColor="text1"/>
          <w:sz w:val="24"/>
          <w:szCs w:val="24"/>
          <w:lang w:eastAsia="es-ES"/>
        </w:rPr>
        <w:t>el artículo 13 del Decreto 2591 de 1991,</w:t>
      </w:r>
      <w:r w:rsidR="00530450">
        <w:rPr>
          <w:rFonts w:eastAsia="Times New Roman"/>
          <w:color w:val="000000" w:themeColor="text1"/>
          <w:sz w:val="24"/>
          <w:szCs w:val="24"/>
          <w:lang w:eastAsia="es-ES"/>
        </w:rPr>
        <w:t xml:space="preserve"> dispone que</w:t>
      </w:r>
      <w:r w:rsidR="00530450" w:rsidRPr="006B5E83">
        <w:rPr>
          <w:rFonts w:eastAsia="Times New Roman"/>
          <w:color w:val="000000" w:themeColor="text1"/>
          <w:sz w:val="24"/>
          <w:szCs w:val="24"/>
          <w:lang w:eastAsia="es-ES"/>
        </w:rPr>
        <w:t xml:space="preserve"> los terceros que tienen un interés legítimo en el proceso pueden intervenir </w:t>
      </w:r>
      <w:r w:rsidR="00530450" w:rsidRPr="006B5E83">
        <w:rPr>
          <w:color w:val="000000" w:themeColor="text1"/>
          <w:sz w:val="24"/>
          <w:szCs w:val="24"/>
        </w:rPr>
        <w:t>“</w:t>
      </w:r>
      <w:r w:rsidR="00530450" w:rsidRPr="006B5E83">
        <w:rPr>
          <w:iCs/>
          <w:color w:val="000000" w:themeColor="text1"/>
          <w:sz w:val="24"/>
          <w:szCs w:val="24"/>
        </w:rPr>
        <w:t>como coadyuvante[s] del actor o de la persona o autoridad pública contra quien se hubiere hecho la solicitud”.</w:t>
      </w:r>
    </w:p>
    <w:p w14:paraId="66683F55" w14:textId="77777777" w:rsidR="002813A9" w:rsidRDefault="002813A9" w:rsidP="007148B2">
      <w:pPr>
        <w:tabs>
          <w:tab w:val="left" w:pos="0"/>
        </w:tabs>
        <w:contextualSpacing/>
        <w:rPr>
          <w:iCs/>
          <w:color w:val="000000" w:themeColor="text1"/>
          <w:sz w:val="24"/>
          <w:szCs w:val="24"/>
        </w:rPr>
      </w:pPr>
    </w:p>
    <w:p w14:paraId="0BF62B00" w14:textId="77777777" w:rsidR="002813A9" w:rsidRPr="002813A9" w:rsidRDefault="002813A9" w:rsidP="002813A9">
      <w:pPr>
        <w:tabs>
          <w:tab w:val="left" w:pos="0"/>
        </w:tabs>
        <w:contextualSpacing/>
        <w:rPr>
          <w:sz w:val="24"/>
          <w:szCs w:val="24"/>
        </w:rPr>
      </w:pPr>
      <w:r w:rsidRPr="002813A9">
        <w:rPr>
          <w:sz w:val="24"/>
          <w:szCs w:val="24"/>
        </w:rPr>
        <w:lastRenderedPageBreak/>
        <w:t>Ahora bien, en algunos casos el tercero interviniente advierte que la misma autoridad conculcó sus derechos fundamentales en razón de los mismos hechos y promueve pretensiones distintas a las del tutelante. En tales casos, el juez constitucional, en aras de garantizar los principios de informalidad y de prevalencia de lo sustancial que rigen los trámites de tutela, puede convertirlo en parte principal del proceso para protegerlo</w:t>
      </w:r>
      <w:r w:rsidRPr="002813A9">
        <w:rPr>
          <w:sz w:val="24"/>
          <w:szCs w:val="24"/>
          <w:vertAlign w:val="superscript"/>
        </w:rPr>
        <w:footnoteReference w:id="19"/>
      </w:r>
      <w:r w:rsidRPr="002813A9">
        <w:rPr>
          <w:sz w:val="24"/>
          <w:szCs w:val="24"/>
        </w:rPr>
        <w:t xml:space="preserve">. Sin embargo, esa prerrogativa resulta limitada en los casos de tutela contra providencias judiciales, en las que, en general, los parámetros para estudiar la </w:t>
      </w:r>
      <w:proofErr w:type="spellStart"/>
      <w:r w:rsidRPr="002813A9">
        <w:rPr>
          <w:sz w:val="24"/>
          <w:szCs w:val="24"/>
        </w:rPr>
        <w:t>procedibilidad</w:t>
      </w:r>
      <w:proofErr w:type="spellEnd"/>
      <w:r w:rsidRPr="002813A9">
        <w:rPr>
          <w:sz w:val="24"/>
          <w:szCs w:val="24"/>
        </w:rPr>
        <w:t xml:space="preserve"> de la acción son más estrictos por su carácter excepcional y la necesidad de salvaguardar los principios de seguridad jurídica, autonomía judicial y respeto por la cosa juzgada, que resultan en tensión cuando se examinan los fallos de otros jueces. </w:t>
      </w:r>
    </w:p>
    <w:p w14:paraId="7DDC510C" w14:textId="77777777" w:rsidR="002813A9" w:rsidRPr="002813A9" w:rsidRDefault="002813A9" w:rsidP="002813A9">
      <w:pPr>
        <w:tabs>
          <w:tab w:val="left" w:pos="0"/>
        </w:tabs>
        <w:contextualSpacing/>
        <w:rPr>
          <w:sz w:val="24"/>
          <w:szCs w:val="24"/>
        </w:rPr>
      </w:pPr>
    </w:p>
    <w:p w14:paraId="081E4674" w14:textId="77777777" w:rsidR="002813A9" w:rsidRPr="002813A9" w:rsidRDefault="002813A9" w:rsidP="002813A9">
      <w:pPr>
        <w:tabs>
          <w:tab w:val="left" w:pos="0"/>
        </w:tabs>
        <w:contextualSpacing/>
        <w:rPr>
          <w:sz w:val="24"/>
          <w:szCs w:val="24"/>
        </w:rPr>
      </w:pPr>
      <w:r w:rsidRPr="002813A9">
        <w:rPr>
          <w:sz w:val="24"/>
          <w:szCs w:val="24"/>
        </w:rPr>
        <w:t>La Corte Constitucional ha estimado que, en estos trámites, permitir que los terceros intervengan para solicitar la protección de sus propios derechos fundamentales, con reproches distintos a los del accionante, afectaría en gran medida los principios antes mencionados porque implicaría debatir la totalidad de los aspectos del trámite ordinario y desnaturalizaría la acción de tutela convirtiéndola en una tercera instancia</w:t>
      </w:r>
      <w:r w:rsidRPr="002813A9">
        <w:rPr>
          <w:sz w:val="24"/>
          <w:szCs w:val="24"/>
          <w:vertAlign w:val="superscript"/>
        </w:rPr>
        <w:footnoteReference w:id="20"/>
      </w:r>
      <w:r w:rsidRPr="002813A9">
        <w:rPr>
          <w:sz w:val="24"/>
          <w:szCs w:val="24"/>
        </w:rPr>
        <w:t xml:space="preserve">. Aunado a esto, ha señalado que por tratarse de un mecanismo excepcional y subsidiario se debe realizar un examen de requisitos generales y específicos de </w:t>
      </w:r>
      <w:proofErr w:type="spellStart"/>
      <w:r w:rsidRPr="002813A9">
        <w:rPr>
          <w:sz w:val="24"/>
          <w:szCs w:val="24"/>
        </w:rPr>
        <w:t>procedibilidad</w:t>
      </w:r>
      <w:proofErr w:type="spellEnd"/>
      <w:r w:rsidRPr="002813A9">
        <w:rPr>
          <w:sz w:val="24"/>
          <w:szCs w:val="24"/>
        </w:rPr>
        <w:t xml:space="preserve"> que se predica de la solicitud de tutela y no de las intervenciones</w:t>
      </w:r>
      <w:r w:rsidRPr="002813A9">
        <w:rPr>
          <w:sz w:val="24"/>
          <w:szCs w:val="24"/>
          <w:vertAlign w:val="superscript"/>
        </w:rPr>
        <w:footnoteReference w:id="21"/>
      </w:r>
      <w:r w:rsidRPr="002813A9">
        <w:rPr>
          <w:sz w:val="24"/>
          <w:szCs w:val="24"/>
        </w:rPr>
        <w:t>. Por tal motivo, si una persona considera que una providencia judicial desconoce sus derechos fundamentales, por razones distintas a las señaladas en una solicitud de amparo previamente incoada, lo pertinente es que promueva una acción de tutela diferente en la que requiera la protección de sus derechos, en lugar de ventilar sus inconformidades en procesos cuyo objeto ya esté delimitado y no guarda relación con sus reproches</w:t>
      </w:r>
      <w:r w:rsidRPr="002813A9">
        <w:rPr>
          <w:sz w:val="24"/>
          <w:szCs w:val="24"/>
          <w:vertAlign w:val="superscript"/>
        </w:rPr>
        <w:footnoteReference w:id="22"/>
      </w:r>
      <w:r w:rsidRPr="002813A9">
        <w:rPr>
          <w:sz w:val="24"/>
          <w:szCs w:val="24"/>
        </w:rPr>
        <w:t xml:space="preserve">. </w:t>
      </w:r>
    </w:p>
    <w:p w14:paraId="48528555" w14:textId="77777777" w:rsidR="002813A9" w:rsidRPr="007148B2" w:rsidRDefault="002813A9" w:rsidP="007148B2">
      <w:pPr>
        <w:tabs>
          <w:tab w:val="left" w:pos="0"/>
        </w:tabs>
        <w:contextualSpacing/>
        <w:rPr>
          <w:sz w:val="24"/>
          <w:szCs w:val="24"/>
          <w:lang w:val="es-ES_tradnl"/>
        </w:rPr>
      </w:pPr>
    </w:p>
    <w:p w14:paraId="351FB918" w14:textId="0DF7A30D" w:rsidR="008F41C2" w:rsidRDefault="00342DF6" w:rsidP="00342DF6">
      <w:pPr>
        <w:tabs>
          <w:tab w:val="left" w:pos="0"/>
        </w:tabs>
        <w:contextualSpacing/>
        <w:rPr>
          <w:sz w:val="24"/>
          <w:szCs w:val="24"/>
          <w:lang w:val="es-ES_tradnl"/>
        </w:rPr>
      </w:pPr>
      <w:r w:rsidRPr="00342DF6">
        <w:rPr>
          <w:sz w:val="24"/>
          <w:szCs w:val="24"/>
          <w:lang w:val="es-ES_tradnl"/>
        </w:rPr>
        <w:t xml:space="preserve">En el caso bajo examen, </w:t>
      </w:r>
      <w:r>
        <w:rPr>
          <w:sz w:val="24"/>
          <w:szCs w:val="24"/>
          <w:lang w:val="es-ES_tradnl"/>
        </w:rPr>
        <w:t>la Fiscalía General de la Nación en su</w:t>
      </w:r>
      <w:r w:rsidRPr="00342DF6">
        <w:rPr>
          <w:sz w:val="24"/>
          <w:szCs w:val="24"/>
          <w:lang w:val="es-ES_tradnl"/>
        </w:rPr>
        <w:t xml:space="preserve"> intervención</w:t>
      </w:r>
      <w:r>
        <w:rPr>
          <w:sz w:val="24"/>
          <w:szCs w:val="24"/>
          <w:lang w:val="es-ES_tradnl"/>
        </w:rPr>
        <w:t>: por un lado,</w:t>
      </w:r>
      <w:r w:rsidRPr="00342DF6">
        <w:rPr>
          <w:sz w:val="24"/>
          <w:szCs w:val="24"/>
          <w:lang w:val="es-ES_tradnl"/>
        </w:rPr>
        <w:t xml:space="preserve"> </w:t>
      </w:r>
      <w:r>
        <w:rPr>
          <w:sz w:val="24"/>
          <w:szCs w:val="24"/>
          <w:lang w:val="es-ES_tradnl"/>
        </w:rPr>
        <w:t>reiteró los argumentos relacionados con la configuración de defectos en la orden de pedir disculpas contenida en el numeral 4 de la sentencia del 23 de abril de 2020</w:t>
      </w:r>
      <w:r w:rsidR="00047AD2">
        <w:rPr>
          <w:sz w:val="24"/>
          <w:szCs w:val="24"/>
          <w:lang w:val="es-ES_tradnl"/>
        </w:rPr>
        <w:t xml:space="preserve"> y</w:t>
      </w:r>
      <w:r>
        <w:rPr>
          <w:sz w:val="24"/>
          <w:szCs w:val="24"/>
          <w:lang w:val="es-ES_tradnl"/>
        </w:rPr>
        <w:t xml:space="preserve">; por otro lado, aprovechó para cuestionar el daño antijurídico y la imputación de responsabilidad que determinó </w:t>
      </w:r>
      <w:r w:rsidR="008F41C2">
        <w:rPr>
          <w:sz w:val="24"/>
          <w:szCs w:val="24"/>
          <w:lang w:val="es-ES_tradnl"/>
        </w:rPr>
        <w:t xml:space="preserve">la autoridad tutelada. </w:t>
      </w:r>
    </w:p>
    <w:p w14:paraId="0845D8FB" w14:textId="77777777" w:rsidR="008F41C2" w:rsidRDefault="008F41C2" w:rsidP="00342DF6">
      <w:pPr>
        <w:tabs>
          <w:tab w:val="left" w:pos="0"/>
        </w:tabs>
        <w:contextualSpacing/>
        <w:rPr>
          <w:sz w:val="24"/>
          <w:szCs w:val="24"/>
          <w:lang w:val="es-ES_tradnl"/>
        </w:rPr>
      </w:pPr>
    </w:p>
    <w:p w14:paraId="17FA0781" w14:textId="690BABDD" w:rsidR="00342DF6" w:rsidRPr="00342DF6" w:rsidRDefault="008F41C2" w:rsidP="00342DF6">
      <w:pPr>
        <w:tabs>
          <w:tab w:val="left" w:pos="0"/>
        </w:tabs>
        <w:contextualSpacing/>
        <w:rPr>
          <w:sz w:val="24"/>
          <w:szCs w:val="24"/>
          <w:lang w:val="es-ES_tradnl"/>
        </w:rPr>
      </w:pPr>
      <w:r>
        <w:rPr>
          <w:sz w:val="24"/>
          <w:szCs w:val="24"/>
          <w:lang w:val="es-ES_tradnl"/>
        </w:rPr>
        <w:t>Al respecto, es preciso indicar que este último reproche</w:t>
      </w:r>
      <w:r w:rsidR="00342DF6" w:rsidRPr="00342DF6">
        <w:rPr>
          <w:sz w:val="24"/>
          <w:szCs w:val="24"/>
          <w:lang w:val="es-ES_tradnl"/>
        </w:rPr>
        <w:t xml:space="preserve"> no está dirigido a coadyuvar </w:t>
      </w:r>
      <w:r w:rsidR="009D368B">
        <w:rPr>
          <w:sz w:val="24"/>
          <w:szCs w:val="24"/>
          <w:lang w:val="es-ES_tradnl"/>
        </w:rPr>
        <w:t>a</w:t>
      </w:r>
      <w:r w:rsidR="00342DF6" w:rsidRPr="00342DF6">
        <w:rPr>
          <w:sz w:val="24"/>
          <w:szCs w:val="24"/>
          <w:lang w:val="es-ES_tradnl"/>
        </w:rPr>
        <w:t xml:space="preserve"> </w:t>
      </w:r>
      <w:r>
        <w:rPr>
          <w:sz w:val="24"/>
          <w:szCs w:val="24"/>
          <w:lang w:val="es-ES_tradnl"/>
        </w:rPr>
        <w:t>la parte accionante, pues la Rama Judicial, en su escrito de solicitud de amparo, limitó su inconformidad con la orden de pedir disculpas</w:t>
      </w:r>
      <w:r w:rsidR="00342DF6" w:rsidRPr="00342DF6">
        <w:rPr>
          <w:sz w:val="24"/>
          <w:szCs w:val="24"/>
          <w:lang w:val="es-ES_tradnl"/>
        </w:rPr>
        <w:t xml:space="preserve">. Se trata, más bien, de un intento de promover sus propias pretensiones, abriendo la discusión sobre otros aspectos que no están siendo debatidos en la acción de tutela. </w:t>
      </w:r>
    </w:p>
    <w:p w14:paraId="6DFEAB17" w14:textId="77777777" w:rsidR="00342DF6" w:rsidRPr="00342DF6" w:rsidRDefault="00342DF6" w:rsidP="00342DF6">
      <w:pPr>
        <w:tabs>
          <w:tab w:val="left" w:pos="0"/>
        </w:tabs>
        <w:contextualSpacing/>
        <w:rPr>
          <w:sz w:val="24"/>
          <w:szCs w:val="24"/>
          <w:lang w:val="es-ES_tradnl"/>
        </w:rPr>
      </w:pPr>
    </w:p>
    <w:p w14:paraId="1A3F5648" w14:textId="12001E7C" w:rsidR="008F41C2" w:rsidRDefault="00342DF6" w:rsidP="00342DF6">
      <w:pPr>
        <w:tabs>
          <w:tab w:val="left" w:pos="0"/>
        </w:tabs>
        <w:contextualSpacing/>
        <w:rPr>
          <w:sz w:val="24"/>
          <w:szCs w:val="24"/>
          <w:lang w:val="es-ES_tradnl"/>
        </w:rPr>
      </w:pPr>
      <w:r w:rsidRPr="00342DF6">
        <w:rPr>
          <w:sz w:val="24"/>
          <w:szCs w:val="24"/>
          <w:lang w:val="es-ES_tradnl"/>
        </w:rPr>
        <w:t xml:space="preserve">En ese orden, </w:t>
      </w:r>
      <w:r w:rsidR="008F41C2">
        <w:rPr>
          <w:sz w:val="24"/>
          <w:szCs w:val="24"/>
          <w:lang w:val="es-ES_tradnl"/>
        </w:rPr>
        <w:t xml:space="preserve">la Sala reconocerá a la Fiscalía General de la Nación como coadyuvante de la parte accionante, solo en </w:t>
      </w:r>
      <w:r w:rsidR="009D368B">
        <w:rPr>
          <w:sz w:val="24"/>
          <w:szCs w:val="24"/>
          <w:lang w:val="es-ES_tradnl"/>
        </w:rPr>
        <w:t>relación con las protestas dirigidas</w:t>
      </w:r>
      <w:r w:rsidR="008F41C2">
        <w:rPr>
          <w:sz w:val="24"/>
          <w:szCs w:val="24"/>
          <w:lang w:val="es-ES_tradnl"/>
        </w:rPr>
        <w:t xml:space="preserve"> a cuestionar el numeral cuarto de la sentencia del 23 de abril de 2020, que coinciden con l</w:t>
      </w:r>
      <w:r w:rsidR="00276FCE">
        <w:rPr>
          <w:sz w:val="24"/>
          <w:szCs w:val="24"/>
          <w:lang w:val="es-ES_tradnl"/>
        </w:rPr>
        <w:t>a</w:t>
      </w:r>
      <w:r w:rsidR="008F41C2">
        <w:rPr>
          <w:sz w:val="24"/>
          <w:szCs w:val="24"/>
          <w:lang w:val="es-ES_tradnl"/>
        </w:rPr>
        <w:t>s que presentó la tutelante.</w:t>
      </w:r>
    </w:p>
    <w:p w14:paraId="3DA20EFC" w14:textId="77777777" w:rsidR="00342DF6" w:rsidRPr="007148B2" w:rsidRDefault="00342DF6" w:rsidP="007148B2">
      <w:pPr>
        <w:tabs>
          <w:tab w:val="left" w:pos="0"/>
        </w:tabs>
        <w:contextualSpacing/>
        <w:rPr>
          <w:sz w:val="24"/>
          <w:szCs w:val="24"/>
        </w:rPr>
      </w:pPr>
    </w:p>
    <w:p w14:paraId="3D714A3E" w14:textId="33E58221" w:rsidR="006A0674" w:rsidRDefault="006B45C5" w:rsidP="00D627C3">
      <w:pPr>
        <w:tabs>
          <w:tab w:val="left" w:pos="0"/>
        </w:tabs>
        <w:contextualSpacing/>
        <w:rPr>
          <w:sz w:val="24"/>
          <w:szCs w:val="24"/>
        </w:rPr>
      </w:pPr>
      <w:r w:rsidRPr="007148B2">
        <w:rPr>
          <w:b/>
          <w:sz w:val="24"/>
          <w:szCs w:val="24"/>
        </w:rPr>
        <w:t xml:space="preserve">2.2. </w:t>
      </w:r>
      <w:r w:rsidR="007E5F36" w:rsidRPr="007148B2">
        <w:rPr>
          <w:sz w:val="24"/>
          <w:szCs w:val="24"/>
          <w:lang w:val="es-ES_tradnl"/>
        </w:rPr>
        <w:t xml:space="preserve">Verificada la legitimación de las partes, </w:t>
      </w:r>
      <w:r w:rsidR="007E5F36" w:rsidRPr="007148B2">
        <w:rPr>
          <w:sz w:val="24"/>
          <w:szCs w:val="24"/>
        </w:rPr>
        <w:t xml:space="preserve">para continuar con el examen de </w:t>
      </w:r>
      <w:proofErr w:type="spellStart"/>
      <w:r w:rsidR="007E5F36" w:rsidRPr="007148B2">
        <w:rPr>
          <w:sz w:val="24"/>
          <w:szCs w:val="24"/>
        </w:rPr>
        <w:t>procedibilidad</w:t>
      </w:r>
      <w:proofErr w:type="spellEnd"/>
      <w:r w:rsidR="007E5F36" w:rsidRPr="007148B2">
        <w:rPr>
          <w:sz w:val="24"/>
          <w:szCs w:val="24"/>
        </w:rPr>
        <w:t xml:space="preserve">, es pertinente destacar que el análisis del juez de tutela debe estar ubicado dentro del asunto debatido en el proceso cuestionado de manera tal que </w:t>
      </w:r>
      <w:r w:rsidR="007E5F36" w:rsidRPr="007148B2">
        <w:rPr>
          <w:sz w:val="24"/>
          <w:szCs w:val="24"/>
        </w:rPr>
        <w:lastRenderedPageBreak/>
        <w:t>permita determinar, en particular, si los requisitos generales de relevancia constitucional</w:t>
      </w:r>
      <w:r w:rsidR="00A71B9B" w:rsidRPr="007148B2">
        <w:rPr>
          <w:sz w:val="24"/>
          <w:szCs w:val="24"/>
        </w:rPr>
        <w:t>, explicación su</w:t>
      </w:r>
      <w:r w:rsidR="00DF3831">
        <w:rPr>
          <w:sz w:val="24"/>
          <w:szCs w:val="24"/>
        </w:rPr>
        <w:t>ficiente de hechos y argumentos</w:t>
      </w:r>
      <w:r w:rsidR="007E5F36" w:rsidRPr="007148B2">
        <w:rPr>
          <w:sz w:val="24"/>
          <w:szCs w:val="24"/>
        </w:rPr>
        <w:t xml:space="preserve"> y subsidiariedad</w:t>
      </w:r>
      <w:r w:rsidR="00DF3831">
        <w:rPr>
          <w:sz w:val="24"/>
          <w:szCs w:val="24"/>
        </w:rPr>
        <w:t>,</w:t>
      </w:r>
      <w:r w:rsidR="007E5F36" w:rsidRPr="007148B2">
        <w:rPr>
          <w:sz w:val="24"/>
          <w:szCs w:val="24"/>
        </w:rPr>
        <w:t xml:space="preserve"> se encuentran superados.</w:t>
      </w:r>
    </w:p>
    <w:p w14:paraId="06BDF6EC" w14:textId="77777777" w:rsidR="00D627C3" w:rsidRPr="007148B2" w:rsidRDefault="00D627C3" w:rsidP="00D627C3">
      <w:pPr>
        <w:tabs>
          <w:tab w:val="left" w:pos="0"/>
        </w:tabs>
        <w:contextualSpacing/>
        <w:rPr>
          <w:sz w:val="24"/>
          <w:szCs w:val="24"/>
        </w:rPr>
      </w:pPr>
    </w:p>
    <w:p w14:paraId="5EFA4387" w14:textId="23671863" w:rsidR="00AA0388" w:rsidRPr="007148B2" w:rsidRDefault="007E5F36" w:rsidP="007148B2">
      <w:pPr>
        <w:tabs>
          <w:tab w:val="left" w:pos="0"/>
        </w:tabs>
        <w:contextualSpacing/>
        <w:rPr>
          <w:sz w:val="24"/>
          <w:szCs w:val="24"/>
        </w:rPr>
      </w:pPr>
      <w:r w:rsidRPr="004E44CE">
        <w:rPr>
          <w:b/>
          <w:sz w:val="24"/>
          <w:szCs w:val="24"/>
        </w:rPr>
        <w:t>2</w:t>
      </w:r>
      <w:r w:rsidR="00D627C3" w:rsidRPr="004E44CE">
        <w:rPr>
          <w:b/>
          <w:sz w:val="24"/>
          <w:szCs w:val="24"/>
        </w:rPr>
        <w:t>.2.1</w:t>
      </w:r>
      <w:r w:rsidRPr="00605A56">
        <w:rPr>
          <w:b/>
          <w:sz w:val="24"/>
          <w:szCs w:val="24"/>
        </w:rPr>
        <w:t xml:space="preserve">. </w:t>
      </w:r>
      <w:r w:rsidR="00C24A14" w:rsidRPr="009617E4">
        <w:rPr>
          <w:sz w:val="29"/>
          <w:szCs w:val="24"/>
        </w:rPr>
        <w:t xml:space="preserve">El </w:t>
      </w:r>
      <w:r w:rsidR="00FC7C32" w:rsidRPr="009617E4">
        <w:rPr>
          <w:sz w:val="29"/>
          <w:szCs w:val="24"/>
        </w:rPr>
        <w:t>primer</w:t>
      </w:r>
      <w:r w:rsidR="001446EE" w:rsidRPr="009617E4">
        <w:rPr>
          <w:sz w:val="29"/>
          <w:szCs w:val="24"/>
        </w:rPr>
        <w:t xml:space="preserve"> </w:t>
      </w:r>
      <w:r w:rsidR="001A736E" w:rsidRPr="009617E4">
        <w:rPr>
          <w:sz w:val="29"/>
          <w:szCs w:val="24"/>
        </w:rPr>
        <w:t>cargo</w:t>
      </w:r>
      <w:r w:rsidR="001446EE" w:rsidRPr="009617E4">
        <w:rPr>
          <w:sz w:val="29"/>
          <w:szCs w:val="24"/>
        </w:rPr>
        <w:t xml:space="preserve"> </w:t>
      </w:r>
      <w:r w:rsidR="00FC7C32" w:rsidRPr="009617E4">
        <w:rPr>
          <w:sz w:val="29"/>
          <w:szCs w:val="24"/>
        </w:rPr>
        <w:t xml:space="preserve">a analizar </w:t>
      </w:r>
      <w:r w:rsidR="001A736E" w:rsidRPr="009617E4">
        <w:rPr>
          <w:sz w:val="29"/>
          <w:szCs w:val="24"/>
        </w:rPr>
        <w:t>d</w:t>
      </w:r>
      <w:r w:rsidR="001446EE" w:rsidRPr="009617E4">
        <w:rPr>
          <w:sz w:val="29"/>
          <w:szCs w:val="24"/>
        </w:rPr>
        <w:t xml:space="preserve">el escrito de amparo </w:t>
      </w:r>
      <w:r w:rsidR="00C24A14" w:rsidRPr="009617E4">
        <w:rPr>
          <w:sz w:val="29"/>
          <w:szCs w:val="24"/>
        </w:rPr>
        <w:t>consiste en que,</w:t>
      </w:r>
      <w:r w:rsidR="00C24A14" w:rsidRPr="004E44CE">
        <w:rPr>
          <w:sz w:val="24"/>
          <w:szCs w:val="24"/>
        </w:rPr>
        <w:t xml:space="preserve"> en</w:t>
      </w:r>
      <w:r w:rsidR="00C24A14" w:rsidRPr="007148B2">
        <w:rPr>
          <w:sz w:val="24"/>
          <w:szCs w:val="24"/>
        </w:rPr>
        <w:t xml:space="preserve"> sentir</w:t>
      </w:r>
      <w:r w:rsidR="001446EE" w:rsidRPr="007148B2">
        <w:rPr>
          <w:sz w:val="24"/>
          <w:szCs w:val="24"/>
        </w:rPr>
        <w:t xml:space="preserve"> de</w:t>
      </w:r>
      <w:r w:rsidR="00C53C81" w:rsidRPr="007148B2">
        <w:rPr>
          <w:sz w:val="24"/>
          <w:szCs w:val="24"/>
        </w:rPr>
        <w:t xml:space="preserve"> </w:t>
      </w:r>
      <w:r w:rsidR="001446EE" w:rsidRPr="007148B2">
        <w:rPr>
          <w:sz w:val="24"/>
          <w:szCs w:val="24"/>
        </w:rPr>
        <w:t>l</w:t>
      </w:r>
      <w:r w:rsidR="00C53C81" w:rsidRPr="007148B2">
        <w:rPr>
          <w:sz w:val="24"/>
          <w:szCs w:val="24"/>
        </w:rPr>
        <w:t>a</w:t>
      </w:r>
      <w:r w:rsidR="001446EE" w:rsidRPr="007148B2">
        <w:rPr>
          <w:sz w:val="24"/>
          <w:szCs w:val="24"/>
        </w:rPr>
        <w:t xml:space="preserve"> actor</w:t>
      </w:r>
      <w:r w:rsidR="00C53C81" w:rsidRPr="007148B2">
        <w:rPr>
          <w:sz w:val="24"/>
          <w:szCs w:val="24"/>
        </w:rPr>
        <w:t>a</w:t>
      </w:r>
      <w:r w:rsidR="00C24A14" w:rsidRPr="007148B2">
        <w:rPr>
          <w:sz w:val="24"/>
          <w:szCs w:val="24"/>
        </w:rPr>
        <w:t>: i) la autoridad tutelada</w:t>
      </w:r>
      <w:r w:rsidR="001446EE" w:rsidRPr="007148B2">
        <w:rPr>
          <w:sz w:val="24"/>
          <w:szCs w:val="24"/>
        </w:rPr>
        <w:t xml:space="preserve"> ordenó </w:t>
      </w:r>
      <w:r w:rsidR="00814942" w:rsidRPr="007148B2">
        <w:rPr>
          <w:sz w:val="24"/>
          <w:szCs w:val="24"/>
        </w:rPr>
        <w:t xml:space="preserve">volver las cosas al estado natural, ordenando </w:t>
      </w:r>
      <w:r w:rsidR="001446EE" w:rsidRPr="007148B2">
        <w:rPr>
          <w:sz w:val="24"/>
          <w:szCs w:val="24"/>
        </w:rPr>
        <w:t xml:space="preserve">corregir una falla que, </w:t>
      </w:r>
      <w:r w:rsidR="00C24A14" w:rsidRPr="007148B2">
        <w:rPr>
          <w:sz w:val="24"/>
          <w:szCs w:val="24"/>
        </w:rPr>
        <w:t>erróneamente</w:t>
      </w:r>
      <w:r w:rsidR="00AA0388" w:rsidRPr="007148B2">
        <w:rPr>
          <w:sz w:val="24"/>
          <w:szCs w:val="24"/>
        </w:rPr>
        <w:t>,</w:t>
      </w:r>
      <w:r w:rsidR="00C24A14" w:rsidRPr="007148B2">
        <w:rPr>
          <w:sz w:val="24"/>
          <w:szCs w:val="24"/>
        </w:rPr>
        <w:t xml:space="preserve"> </w:t>
      </w:r>
      <w:r w:rsidR="001446EE" w:rsidRPr="007148B2">
        <w:rPr>
          <w:sz w:val="24"/>
          <w:szCs w:val="24"/>
        </w:rPr>
        <w:t xml:space="preserve">entendió </w:t>
      </w:r>
      <w:r w:rsidR="00C24A14" w:rsidRPr="007148B2">
        <w:rPr>
          <w:sz w:val="24"/>
          <w:szCs w:val="24"/>
        </w:rPr>
        <w:t>que p</w:t>
      </w:r>
      <w:r w:rsidR="001446EE" w:rsidRPr="007148B2">
        <w:rPr>
          <w:sz w:val="24"/>
          <w:szCs w:val="24"/>
        </w:rPr>
        <w:t xml:space="preserve">rodujo un daño, a partir de una subjetividad moral indeseable para la justicia; </w:t>
      </w:r>
      <w:r w:rsidR="00AA0388" w:rsidRPr="007148B2">
        <w:rPr>
          <w:sz w:val="24"/>
          <w:szCs w:val="24"/>
        </w:rPr>
        <w:t xml:space="preserve">y </w:t>
      </w:r>
      <w:r w:rsidR="0090111E" w:rsidRPr="007148B2">
        <w:rPr>
          <w:sz w:val="24"/>
          <w:szCs w:val="24"/>
        </w:rPr>
        <w:t>i</w:t>
      </w:r>
      <w:r w:rsidR="001446EE" w:rsidRPr="007148B2">
        <w:rPr>
          <w:sz w:val="24"/>
          <w:szCs w:val="24"/>
        </w:rPr>
        <w:t>i) tal</w:t>
      </w:r>
      <w:r w:rsidR="00C24A14" w:rsidRPr="007148B2">
        <w:rPr>
          <w:sz w:val="24"/>
          <w:szCs w:val="24"/>
        </w:rPr>
        <w:t xml:space="preserve"> medida restaurativa desconoce la autonomía e independencia de los jueces y </w:t>
      </w:r>
      <w:r w:rsidR="001446EE" w:rsidRPr="007148B2">
        <w:rPr>
          <w:sz w:val="24"/>
          <w:szCs w:val="24"/>
        </w:rPr>
        <w:t xml:space="preserve">de </w:t>
      </w:r>
      <w:r w:rsidR="00C24A14" w:rsidRPr="007148B2">
        <w:rPr>
          <w:sz w:val="24"/>
          <w:szCs w:val="24"/>
        </w:rPr>
        <w:t>la administración</w:t>
      </w:r>
      <w:r w:rsidR="00AA0388" w:rsidRPr="007148B2">
        <w:rPr>
          <w:sz w:val="24"/>
          <w:szCs w:val="24"/>
        </w:rPr>
        <w:t>,</w:t>
      </w:r>
      <w:r w:rsidR="001446EE" w:rsidRPr="007148B2">
        <w:rPr>
          <w:sz w:val="24"/>
          <w:szCs w:val="24"/>
        </w:rPr>
        <w:t xml:space="preserve"> desnaturaliza las funciones del director de la DEAJ</w:t>
      </w:r>
      <w:r w:rsidR="00AA0388" w:rsidRPr="007148B2">
        <w:rPr>
          <w:sz w:val="24"/>
          <w:szCs w:val="24"/>
        </w:rPr>
        <w:t xml:space="preserve">, y deslegitima la actividad judicial. </w:t>
      </w:r>
    </w:p>
    <w:p w14:paraId="356DA8C1" w14:textId="77777777" w:rsidR="00AA0388" w:rsidRPr="007148B2" w:rsidRDefault="00AA0388" w:rsidP="007148B2">
      <w:pPr>
        <w:tabs>
          <w:tab w:val="left" w:pos="0"/>
        </w:tabs>
        <w:contextualSpacing/>
        <w:rPr>
          <w:sz w:val="24"/>
          <w:szCs w:val="24"/>
        </w:rPr>
      </w:pPr>
    </w:p>
    <w:p w14:paraId="1EEC90B0" w14:textId="5BDB2CCB" w:rsidR="002C2628" w:rsidRPr="007148B2" w:rsidRDefault="00253166" w:rsidP="007148B2">
      <w:pPr>
        <w:tabs>
          <w:tab w:val="left" w:pos="0"/>
        </w:tabs>
        <w:contextualSpacing/>
        <w:rPr>
          <w:sz w:val="24"/>
          <w:szCs w:val="24"/>
        </w:rPr>
      </w:pPr>
      <w:r>
        <w:rPr>
          <w:sz w:val="24"/>
          <w:szCs w:val="24"/>
        </w:rPr>
        <w:t>Además, la</w:t>
      </w:r>
      <w:r w:rsidR="00AA0388" w:rsidRPr="007148B2">
        <w:rPr>
          <w:sz w:val="24"/>
          <w:szCs w:val="24"/>
        </w:rPr>
        <w:t xml:space="preserve"> tutelante presentó algunas consideraciones </w:t>
      </w:r>
      <w:r>
        <w:rPr>
          <w:sz w:val="24"/>
          <w:szCs w:val="24"/>
        </w:rPr>
        <w:t>abstractas</w:t>
      </w:r>
      <w:r w:rsidR="000669E6" w:rsidRPr="007148B2">
        <w:rPr>
          <w:sz w:val="24"/>
          <w:szCs w:val="24"/>
        </w:rPr>
        <w:t xml:space="preserve"> </w:t>
      </w:r>
      <w:r w:rsidR="00AA0388" w:rsidRPr="007148B2">
        <w:rPr>
          <w:sz w:val="24"/>
          <w:szCs w:val="24"/>
        </w:rPr>
        <w:t xml:space="preserve">relacionadas con </w:t>
      </w:r>
      <w:r w:rsidR="00A64963">
        <w:rPr>
          <w:sz w:val="24"/>
          <w:szCs w:val="24"/>
        </w:rPr>
        <w:t>las medidas resarcitoria</w:t>
      </w:r>
      <w:r w:rsidR="004E44CE">
        <w:rPr>
          <w:sz w:val="24"/>
          <w:szCs w:val="24"/>
        </w:rPr>
        <w:t>s</w:t>
      </w:r>
      <w:r w:rsidR="00A64963">
        <w:rPr>
          <w:sz w:val="24"/>
          <w:szCs w:val="24"/>
        </w:rPr>
        <w:t>, con</w:t>
      </w:r>
      <w:r w:rsidR="00E9497E" w:rsidRPr="007148B2">
        <w:rPr>
          <w:sz w:val="24"/>
          <w:szCs w:val="24"/>
        </w:rPr>
        <w:t xml:space="preserve"> los</w:t>
      </w:r>
      <w:r w:rsidR="000669E6" w:rsidRPr="007148B2">
        <w:rPr>
          <w:sz w:val="24"/>
          <w:szCs w:val="24"/>
        </w:rPr>
        <w:t xml:space="preserve"> perjuicio</w:t>
      </w:r>
      <w:r w:rsidR="001A736E" w:rsidRPr="007148B2">
        <w:rPr>
          <w:sz w:val="24"/>
          <w:szCs w:val="24"/>
        </w:rPr>
        <w:t>s</w:t>
      </w:r>
      <w:r w:rsidR="00AA0388" w:rsidRPr="007148B2">
        <w:rPr>
          <w:sz w:val="24"/>
          <w:szCs w:val="24"/>
        </w:rPr>
        <w:t xml:space="preserve">, </w:t>
      </w:r>
      <w:r w:rsidR="00A64963">
        <w:rPr>
          <w:sz w:val="24"/>
          <w:szCs w:val="24"/>
        </w:rPr>
        <w:t xml:space="preserve">con </w:t>
      </w:r>
      <w:r w:rsidR="00AA0388" w:rsidRPr="007148B2">
        <w:rPr>
          <w:sz w:val="24"/>
          <w:szCs w:val="24"/>
        </w:rPr>
        <w:t>el medio de control de reparación directa,</w:t>
      </w:r>
      <w:r w:rsidR="00A64963">
        <w:rPr>
          <w:sz w:val="24"/>
          <w:szCs w:val="24"/>
        </w:rPr>
        <w:t xml:space="preserve"> con</w:t>
      </w:r>
      <w:r w:rsidR="000669E6" w:rsidRPr="007148B2">
        <w:rPr>
          <w:sz w:val="24"/>
          <w:szCs w:val="24"/>
        </w:rPr>
        <w:t xml:space="preserve"> la responsabilidad extracontractual del Estado,</w:t>
      </w:r>
      <w:r w:rsidR="00AA0388" w:rsidRPr="007148B2">
        <w:rPr>
          <w:sz w:val="24"/>
          <w:szCs w:val="24"/>
        </w:rPr>
        <w:t xml:space="preserve"> su comprensión conceptual de las disculpas públicas y </w:t>
      </w:r>
      <w:r w:rsidR="00A64963">
        <w:rPr>
          <w:sz w:val="24"/>
          <w:szCs w:val="24"/>
        </w:rPr>
        <w:t xml:space="preserve">con </w:t>
      </w:r>
      <w:r w:rsidR="00AA0388" w:rsidRPr="007148B2">
        <w:rPr>
          <w:sz w:val="24"/>
          <w:szCs w:val="24"/>
        </w:rPr>
        <w:t xml:space="preserve">la reparación </w:t>
      </w:r>
      <w:r w:rsidR="00AA0388" w:rsidRPr="007148B2">
        <w:rPr>
          <w:i/>
          <w:sz w:val="24"/>
          <w:szCs w:val="24"/>
        </w:rPr>
        <w:t>in natura</w:t>
      </w:r>
      <w:r w:rsidR="00C53C81" w:rsidRPr="007148B2">
        <w:rPr>
          <w:i/>
          <w:sz w:val="24"/>
          <w:szCs w:val="24"/>
        </w:rPr>
        <w:t>.</w:t>
      </w:r>
    </w:p>
    <w:p w14:paraId="48DC1D85" w14:textId="77777777" w:rsidR="00C53C81" w:rsidRPr="007148B2" w:rsidRDefault="00C53C81" w:rsidP="007148B2">
      <w:pPr>
        <w:tabs>
          <w:tab w:val="left" w:pos="0"/>
        </w:tabs>
        <w:contextualSpacing/>
        <w:rPr>
          <w:sz w:val="24"/>
          <w:szCs w:val="24"/>
        </w:rPr>
      </w:pPr>
    </w:p>
    <w:p w14:paraId="3F6562FD" w14:textId="1EDC02BF" w:rsidR="00C53C81" w:rsidRPr="007148B2" w:rsidRDefault="00C53C81" w:rsidP="007148B2">
      <w:pPr>
        <w:tabs>
          <w:tab w:val="left" w:pos="0"/>
        </w:tabs>
        <w:contextualSpacing/>
        <w:rPr>
          <w:sz w:val="24"/>
          <w:szCs w:val="24"/>
        </w:rPr>
      </w:pPr>
      <w:r w:rsidRPr="007148B2">
        <w:rPr>
          <w:sz w:val="24"/>
          <w:szCs w:val="24"/>
        </w:rPr>
        <w:t xml:space="preserve">Al respecto, es preciso indicar que las anteriores apreciaciones de la accionante </w:t>
      </w:r>
      <w:r w:rsidR="0090111E" w:rsidRPr="007148B2">
        <w:rPr>
          <w:sz w:val="24"/>
          <w:szCs w:val="24"/>
        </w:rPr>
        <w:t>no logran salir de la esfera de lo subjeti</w:t>
      </w:r>
      <w:r w:rsidR="00DF3831">
        <w:rPr>
          <w:sz w:val="24"/>
          <w:szCs w:val="24"/>
        </w:rPr>
        <w:t xml:space="preserve">vo, a un escenario que </w:t>
      </w:r>
      <w:r w:rsidR="006623F8">
        <w:rPr>
          <w:sz w:val="24"/>
          <w:szCs w:val="24"/>
        </w:rPr>
        <w:t>ubique</w:t>
      </w:r>
      <w:r w:rsidR="00DF3831">
        <w:rPr>
          <w:sz w:val="24"/>
          <w:szCs w:val="24"/>
        </w:rPr>
        <w:t xml:space="preserve"> su reproche en </w:t>
      </w:r>
      <w:r w:rsidR="0090111E" w:rsidRPr="007148B2">
        <w:rPr>
          <w:sz w:val="24"/>
          <w:szCs w:val="24"/>
        </w:rPr>
        <w:t xml:space="preserve">la posible vulneración de derechos fundamentales, ya sea por una indebida valoración probatoria o aplicación normativa, por el desconocimiento de algún precedente judicial o constitucional aplicable al caso concreto, por </w:t>
      </w:r>
      <w:r w:rsidR="00814942" w:rsidRPr="007148B2">
        <w:rPr>
          <w:sz w:val="24"/>
          <w:szCs w:val="24"/>
        </w:rPr>
        <w:t xml:space="preserve">una </w:t>
      </w:r>
      <w:r w:rsidR="0090111E" w:rsidRPr="007148B2">
        <w:rPr>
          <w:sz w:val="24"/>
          <w:szCs w:val="24"/>
        </w:rPr>
        <w:t>falta de competencia, por</w:t>
      </w:r>
      <w:r w:rsidR="00657CCA" w:rsidRPr="007148B2">
        <w:rPr>
          <w:sz w:val="24"/>
          <w:szCs w:val="24"/>
        </w:rPr>
        <w:t>que se</w:t>
      </w:r>
      <w:r w:rsidR="0090111E" w:rsidRPr="007148B2">
        <w:rPr>
          <w:sz w:val="24"/>
          <w:szCs w:val="24"/>
        </w:rPr>
        <w:t xml:space="preserve"> </w:t>
      </w:r>
      <w:r w:rsidR="00657CCA" w:rsidRPr="007148B2">
        <w:rPr>
          <w:sz w:val="24"/>
          <w:szCs w:val="24"/>
        </w:rPr>
        <w:t>violó de forma</w:t>
      </w:r>
      <w:r w:rsidR="0090111E" w:rsidRPr="007148B2">
        <w:rPr>
          <w:sz w:val="24"/>
          <w:szCs w:val="24"/>
        </w:rPr>
        <w:t xml:space="preserve"> </w:t>
      </w:r>
      <w:r w:rsidR="00657CCA" w:rsidRPr="007148B2">
        <w:rPr>
          <w:sz w:val="24"/>
          <w:szCs w:val="24"/>
        </w:rPr>
        <w:t>directa</w:t>
      </w:r>
      <w:r w:rsidR="0090111E" w:rsidRPr="007148B2">
        <w:rPr>
          <w:sz w:val="24"/>
          <w:szCs w:val="24"/>
        </w:rPr>
        <w:t xml:space="preserve"> la Constitución, u otra comprensión que esté contenida en alguna de las causales que la Corte Constitucional</w:t>
      </w:r>
      <w:r w:rsidR="00814942" w:rsidRPr="007148B2">
        <w:rPr>
          <w:rStyle w:val="Refdenotaalpie"/>
          <w:sz w:val="24"/>
          <w:szCs w:val="24"/>
        </w:rPr>
        <w:footnoteReference w:id="23"/>
      </w:r>
      <w:r w:rsidR="0090111E" w:rsidRPr="007148B2">
        <w:rPr>
          <w:sz w:val="24"/>
          <w:szCs w:val="24"/>
        </w:rPr>
        <w:t xml:space="preserve"> decantó como </w:t>
      </w:r>
      <w:r w:rsidR="00814942" w:rsidRPr="007148B2">
        <w:rPr>
          <w:sz w:val="24"/>
          <w:szCs w:val="24"/>
        </w:rPr>
        <w:t xml:space="preserve">únicos </w:t>
      </w:r>
      <w:r w:rsidR="0090111E" w:rsidRPr="007148B2">
        <w:rPr>
          <w:sz w:val="24"/>
          <w:szCs w:val="24"/>
        </w:rPr>
        <w:t xml:space="preserve">requisitos específicos de procedencia de la acción de tutela contra providencia judicial. </w:t>
      </w:r>
    </w:p>
    <w:p w14:paraId="2C45B45D" w14:textId="77777777" w:rsidR="0090111E" w:rsidRPr="007148B2" w:rsidRDefault="0090111E" w:rsidP="007148B2">
      <w:pPr>
        <w:tabs>
          <w:tab w:val="left" w:pos="0"/>
        </w:tabs>
        <w:contextualSpacing/>
        <w:rPr>
          <w:sz w:val="24"/>
          <w:szCs w:val="24"/>
        </w:rPr>
      </w:pPr>
    </w:p>
    <w:p w14:paraId="27861922" w14:textId="07D3C27B" w:rsidR="002C2628" w:rsidRDefault="006954CD" w:rsidP="007148B2">
      <w:pPr>
        <w:tabs>
          <w:tab w:val="left" w:pos="0"/>
        </w:tabs>
        <w:contextualSpacing/>
        <w:rPr>
          <w:sz w:val="24"/>
          <w:szCs w:val="24"/>
        </w:rPr>
      </w:pPr>
      <w:r>
        <w:rPr>
          <w:sz w:val="24"/>
          <w:szCs w:val="24"/>
        </w:rPr>
        <w:t xml:space="preserve">Tampoco encuentra la Sala que </w:t>
      </w:r>
      <w:r w:rsidR="00657CCA" w:rsidRPr="007148B2">
        <w:rPr>
          <w:sz w:val="24"/>
          <w:szCs w:val="24"/>
        </w:rPr>
        <w:t xml:space="preserve">la interesada </w:t>
      </w:r>
      <w:r>
        <w:rPr>
          <w:sz w:val="24"/>
          <w:szCs w:val="24"/>
        </w:rPr>
        <w:t xml:space="preserve">explique, en orden a demostrar </w:t>
      </w:r>
      <w:r w:rsidR="00657CCA" w:rsidRPr="007148B2">
        <w:rPr>
          <w:sz w:val="24"/>
          <w:szCs w:val="24"/>
        </w:rPr>
        <w:t xml:space="preserve">la configuración de un defecto, </w:t>
      </w:r>
      <w:r w:rsidR="00253166">
        <w:rPr>
          <w:sz w:val="24"/>
          <w:szCs w:val="24"/>
        </w:rPr>
        <w:t>entre otras,</w:t>
      </w:r>
      <w:r w:rsidR="00657CCA" w:rsidRPr="007148B2">
        <w:rPr>
          <w:sz w:val="24"/>
          <w:szCs w:val="24"/>
        </w:rPr>
        <w:t xml:space="preserve"> por qué </w:t>
      </w:r>
      <w:r w:rsidR="00DF3831">
        <w:rPr>
          <w:sz w:val="24"/>
          <w:szCs w:val="24"/>
        </w:rPr>
        <w:t>consid</w:t>
      </w:r>
      <w:r w:rsidR="00A64963">
        <w:rPr>
          <w:sz w:val="24"/>
          <w:szCs w:val="24"/>
        </w:rPr>
        <w:t>eró</w:t>
      </w:r>
      <w:r w:rsidR="00657CCA" w:rsidRPr="007148B2">
        <w:rPr>
          <w:sz w:val="24"/>
          <w:szCs w:val="24"/>
        </w:rPr>
        <w:t xml:space="preserve"> que la orden</w:t>
      </w:r>
      <w:r w:rsidR="00DF3831">
        <w:rPr>
          <w:sz w:val="24"/>
          <w:szCs w:val="24"/>
        </w:rPr>
        <w:t xml:space="preserve"> de pedir disculpas intenta</w:t>
      </w:r>
      <w:r w:rsidR="00657CCA" w:rsidRPr="007148B2">
        <w:rPr>
          <w:sz w:val="24"/>
          <w:szCs w:val="24"/>
        </w:rPr>
        <w:t xml:space="preserve"> volver las cosas a un estado ant</w:t>
      </w:r>
      <w:r w:rsidR="00E9497E" w:rsidRPr="007148B2">
        <w:rPr>
          <w:sz w:val="24"/>
          <w:szCs w:val="24"/>
        </w:rPr>
        <w:t>erior;</w:t>
      </w:r>
      <w:r w:rsidR="00657CCA" w:rsidRPr="007148B2">
        <w:rPr>
          <w:sz w:val="24"/>
          <w:szCs w:val="24"/>
        </w:rPr>
        <w:t xml:space="preserve"> de qué manera el </w:t>
      </w:r>
      <w:r w:rsidR="00657CCA" w:rsidRPr="007148B2">
        <w:rPr>
          <w:i/>
          <w:sz w:val="24"/>
          <w:szCs w:val="24"/>
        </w:rPr>
        <w:t xml:space="preserve">ad </w:t>
      </w:r>
      <w:proofErr w:type="spellStart"/>
      <w:r w:rsidR="00657CCA" w:rsidRPr="007148B2">
        <w:rPr>
          <w:i/>
          <w:sz w:val="24"/>
          <w:szCs w:val="24"/>
        </w:rPr>
        <w:t>quem</w:t>
      </w:r>
      <w:proofErr w:type="spellEnd"/>
      <w:r w:rsidR="00657CCA" w:rsidRPr="007148B2">
        <w:rPr>
          <w:i/>
          <w:sz w:val="24"/>
          <w:szCs w:val="24"/>
        </w:rPr>
        <w:t xml:space="preserve"> </w:t>
      </w:r>
      <w:r w:rsidR="00657CCA" w:rsidRPr="007148B2">
        <w:rPr>
          <w:sz w:val="24"/>
          <w:szCs w:val="24"/>
        </w:rPr>
        <w:t>ordinario incurri</w:t>
      </w:r>
      <w:r w:rsidR="00E9497E" w:rsidRPr="007148B2">
        <w:rPr>
          <w:sz w:val="24"/>
          <w:szCs w:val="24"/>
        </w:rPr>
        <w:t xml:space="preserve">ó en una subjetividad moral; o </w:t>
      </w:r>
      <w:r w:rsidR="00657CCA" w:rsidRPr="007148B2">
        <w:rPr>
          <w:sz w:val="24"/>
          <w:szCs w:val="24"/>
        </w:rPr>
        <w:t>cómo</w:t>
      </w:r>
      <w:r w:rsidR="00E9497E" w:rsidRPr="007148B2">
        <w:rPr>
          <w:sz w:val="24"/>
          <w:szCs w:val="24"/>
        </w:rPr>
        <w:t>,</w:t>
      </w:r>
      <w:r w:rsidR="00657CCA" w:rsidRPr="007148B2">
        <w:rPr>
          <w:sz w:val="24"/>
          <w:szCs w:val="24"/>
        </w:rPr>
        <w:t xml:space="preserve"> </w:t>
      </w:r>
      <w:r w:rsidR="00E9497E" w:rsidRPr="007148B2">
        <w:rPr>
          <w:sz w:val="24"/>
          <w:szCs w:val="24"/>
        </w:rPr>
        <w:t xml:space="preserve">con la medida cuestionada, </w:t>
      </w:r>
      <w:r w:rsidR="00657CCA" w:rsidRPr="007148B2">
        <w:rPr>
          <w:sz w:val="24"/>
          <w:szCs w:val="24"/>
        </w:rPr>
        <w:t xml:space="preserve">se </w:t>
      </w:r>
      <w:r w:rsidR="00C11F0C">
        <w:rPr>
          <w:sz w:val="24"/>
          <w:szCs w:val="24"/>
        </w:rPr>
        <w:t>deslegitimiza</w:t>
      </w:r>
      <w:r w:rsidR="00657CCA" w:rsidRPr="007148B2">
        <w:rPr>
          <w:sz w:val="24"/>
          <w:szCs w:val="24"/>
        </w:rPr>
        <w:t xml:space="preserve"> la actividad judicial</w:t>
      </w:r>
      <w:r w:rsidR="00E9497E" w:rsidRPr="007148B2">
        <w:rPr>
          <w:sz w:val="24"/>
          <w:szCs w:val="24"/>
        </w:rPr>
        <w:t xml:space="preserve">, </w:t>
      </w:r>
      <w:r w:rsidR="00657CCA" w:rsidRPr="007148B2">
        <w:rPr>
          <w:sz w:val="24"/>
          <w:szCs w:val="24"/>
        </w:rPr>
        <w:t xml:space="preserve">o </w:t>
      </w:r>
      <w:r w:rsidR="00E9497E" w:rsidRPr="007148B2">
        <w:rPr>
          <w:sz w:val="24"/>
          <w:szCs w:val="24"/>
        </w:rPr>
        <w:t>se</w:t>
      </w:r>
      <w:r w:rsidR="00C11F0C">
        <w:rPr>
          <w:sz w:val="24"/>
          <w:szCs w:val="24"/>
        </w:rPr>
        <w:t xml:space="preserve"> desnaturalizan </w:t>
      </w:r>
      <w:r w:rsidR="00657CCA" w:rsidRPr="007148B2">
        <w:rPr>
          <w:sz w:val="24"/>
          <w:szCs w:val="24"/>
        </w:rPr>
        <w:t xml:space="preserve">las funciones de director de la DEAJ </w:t>
      </w:r>
      <w:r w:rsidR="00E9497E" w:rsidRPr="007148B2">
        <w:rPr>
          <w:sz w:val="24"/>
          <w:szCs w:val="24"/>
        </w:rPr>
        <w:t xml:space="preserve">a pesar de ser el representante de la Rama Judicial dentro de causas judiciales. </w:t>
      </w:r>
    </w:p>
    <w:p w14:paraId="068AEFA6" w14:textId="77777777" w:rsidR="007148B2" w:rsidRPr="007148B2" w:rsidRDefault="007148B2" w:rsidP="007148B2">
      <w:pPr>
        <w:tabs>
          <w:tab w:val="left" w:pos="0"/>
        </w:tabs>
        <w:contextualSpacing/>
        <w:rPr>
          <w:sz w:val="24"/>
          <w:szCs w:val="24"/>
        </w:rPr>
      </w:pPr>
    </w:p>
    <w:p w14:paraId="1EA55014" w14:textId="40B0DCEF" w:rsidR="001A736E" w:rsidRPr="007148B2" w:rsidRDefault="001A7068" w:rsidP="007148B2">
      <w:pPr>
        <w:tabs>
          <w:tab w:val="center" w:pos="4561"/>
        </w:tabs>
        <w:rPr>
          <w:bCs/>
          <w:sz w:val="24"/>
          <w:szCs w:val="24"/>
        </w:rPr>
      </w:pPr>
      <w:r>
        <w:rPr>
          <w:sz w:val="24"/>
          <w:szCs w:val="24"/>
        </w:rPr>
        <w:t>Por ende</w:t>
      </w:r>
      <w:r w:rsidR="001A736E" w:rsidRPr="007148B2">
        <w:rPr>
          <w:sz w:val="24"/>
          <w:szCs w:val="24"/>
        </w:rPr>
        <w:t>, los anteriores reproches no superan los requisitos general</w:t>
      </w:r>
      <w:r w:rsidR="006A62B6" w:rsidRPr="007148B2">
        <w:rPr>
          <w:sz w:val="24"/>
          <w:szCs w:val="24"/>
        </w:rPr>
        <w:t>es</w:t>
      </w:r>
      <w:r w:rsidR="001A736E" w:rsidRPr="007148B2">
        <w:rPr>
          <w:sz w:val="24"/>
          <w:szCs w:val="24"/>
        </w:rPr>
        <w:t xml:space="preserve"> de exposición suficiente de hechos y argumentos y </w:t>
      </w:r>
      <w:r w:rsidR="001A736E" w:rsidRPr="007148B2">
        <w:rPr>
          <w:bCs/>
          <w:sz w:val="24"/>
          <w:szCs w:val="24"/>
        </w:rPr>
        <w:t>de rel</w:t>
      </w:r>
      <w:r w:rsidR="006A62B6" w:rsidRPr="007148B2">
        <w:rPr>
          <w:bCs/>
          <w:sz w:val="24"/>
          <w:szCs w:val="24"/>
        </w:rPr>
        <w:t xml:space="preserve">evancia constitucional, pues los </w:t>
      </w:r>
      <w:r w:rsidR="001A736E" w:rsidRPr="007148B2">
        <w:rPr>
          <w:bCs/>
          <w:sz w:val="24"/>
          <w:szCs w:val="24"/>
        </w:rPr>
        <w:t>asunto</w:t>
      </w:r>
      <w:r w:rsidR="006A62B6" w:rsidRPr="007148B2">
        <w:rPr>
          <w:bCs/>
          <w:sz w:val="24"/>
          <w:szCs w:val="24"/>
        </w:rPr>
        <w:t>s</w:t>
      </w:r>
      <w:r w:rsidR="001A736E" w:rsidRPr="007148B2">
        <w:rPr>
          <w:bCs/>
          <w:sz w:val="24"/>
          <w:szCs w:val="24"/>
        </w:rPr>
        <w:t xml:space="preserve"> plantea</w:t>
      </w:r>
      <w:r w:rsidR="006A62B6" w:rsidRPr="007148B2">
        <w:rPr>
          <w:bCs/>
          <w:sz w:val="24"/>
          <w:szCs w:val="24"/>
        </w:rPr>
        <w:t xml:space="preserve">dos se quedan en apreciaciones subjetivas de la </w:t>
      </w:r>
      <w:r w:rsidR="000F636A">
        <w:rPr>
          <w:bCs/>
          <w:sz w:val="24"/>
          <w:szCs w:val="24"/>
        </w:rPr>
        <w:t>accionante</w:t>
      </w:r>
      <w:r w:rsidR="006A62B6" w:rsidRPr="007148B2">
        <w:rPr>
          <w:bCs/>
          <w:sz w:val="24"/>
          <w:szCs w:val="24"/>
        </w:rPr>
        <w:t xml:space="preserve"> y</w:t>
      </w:r>
      <w:r w:rsidR="001A736E" w:rsidRPr="007148B2">
        <w:rPr>
          <w:bCs/>
          <w:sz w:val="24"/>
          <w:szCs w:val="24"/>
        </w:rPr>
        <w:t xml:space="preserve"> no consiste</w:t>
      </w:r>
      <w:r w:rsidR="006A62B6" w:rsidRPr="007148B2">
        <w:rPr>
          <w:bCs/>
          <w:sz w:val="24"/>
          <w:szCs w:val="24"/>
        </w:rPr>
        <w:t>n</w:t>
      </w:r>
      <w:r w:rsidR="001A736E" w:rsidRPr="007148B2">
        <w:rPr>
          <w:bCs/>
          <w:sz w:val="24"/>
          <w:szCs w:val="24"/>
        </w:rPr>
        <w:t xml:space="preserve"> en la posible vulneración de derechos fundamentales con ocasión de la configuración de alguna de las causales de procedencia de la acción de tutela</w:t>
      </w:r>
      <w:r w:rsidR="006A62B6" w:rsidRPr="007148B2">
        <w:rPr>
          <w:bCs/>
          <w:sz w:val="24"/>
          <w:szCs w:val="24"/>
        </w:rPr>
        <w:t xml:space="preserve"> contra providencia judicial.</w:t>
      </w:r>
    </w:p>
    <w:p w14:paraId="5ED49857" w14:textId="77777777" w:rsidR="002C2628" w:rsidRPr="007148B2" w:rsidRDefault="002C2628" w:rsidP="007148B2">
      <w:pPr>
        <w:tabs>
          <w:tab w:val="left" w:pos="0"/>
        </w:tabs>
        <w:contextualSpacing/>
        <w:rPr>
          <w:sz w:val="24"/>
          <w:szCs w:val="24"/>
        </w:rPr>
      </w:pPr>
    </w:p>
    <w:p w14:paraId="00AD2E20" w14:textId="0D4019CF" w:rsidR="003D0403" w:rsidRPr="009617E4" w:rsidRDefault="00D627C3" w:rsidP="003D0403">
      <w:pPr>
        <w:tabs>
          <w:tab w:val="left" w:pos="0"/>
        </w:tabs>
        <w:contextualSpacing/>
        <w:rPr>
          <w:sz w:val="24"/>
          <w:szCs w:val="24"/>
        </w:rPr>
      </w:pPr>
      <w:r w:rsidRPr="009617E4">
        <w:rPr>
          <w:b/>
          <w:sz w:val="24"/>
          <w:szCs w:val="24"/>
        </w:rPr>
        <w:t>2.2.2</w:t>
      </w:r>
      <w:r w:rsidR="0019789B" w:rsidRPr="009617E4">
        <w:rPr>
          <w:b/>
          <w:sz w:val="24"/>
          <w:szCs w:val="24"/>
        </w:rPr>
        <w:t xml:space="preserve">. </w:t>
      </w:r>
      <w:r w:rsidR="008E0DAF" w:rsidRPr="009617E4">
        <w:rPr>
          <w:sz w:val="24"/>
          <w:szCs w:val="24"/>
        </w:rPr>
        <w:t>De</w:t>
      </w:r>
      <w:r w:rsidR="006C713D" w:rsidRPr="009617E4">
        <w:rPr>
          <w:sz w:val="24"/>
          <w:szCs w:val="24"/>
        </w:rPr>
        <w:t xml:space="preserve"> otra</w:t>
      </w:r>
      <w:r w:rsidR="00456FC3" w:rsidRPr="009617E4">
        <w:rPr>
          <w:sz w:val="24"/>
          <w:szCs w:val="24"/>
        </w:rPr>
        <w:t xml:space="preserve"> parte</w:t>
      </w:r>
      <w:r w:rsidR="006C713D" w:rsidRPr="009617E4">
        <w:rPr>
          <w:sz w:val="24"/>
          <w:szCs w:val="24"/>
        </w:rPr>
        <w:t xml:space="preserve">, la actora </w:t>
      </w:r>
      <w:r w:rsidR="003D0403" w:rsidRPr="009617E4">
        <w:rPr>
          <w:sz w:val="24"/>
          <w:szCs w:val="24"/>
        </w:rPr>
        <w:t>indicó que la orden de pedir disculpas</w:t>
      </w:r>
      <w:r w:rsidR="00FB491A" w:rsidRPr="009617E4">
        <w:rPr>
          <w:sz w:val="24"/>
          <w:szCs w:val="24"/>
        </w:rPr>
        <w:t xml:space="preserve"> de la </w:t>
      </w:r>
      <w:r w:rsidR="000E3243" w:rsidRPr="009617E4">
        <w:rPr>
          <w:sz w:val="24"/>
          <w:szCs w:val="24"/>
        </w:rPr>
        <w:t>sentencia del 23 de abril de 2020</w:t>
      </w:r>
      <w:r w:rsidR="00FB491A" w:rsidRPr="009617E4">
        <w:rPr>
          <w:sz w:val="24"/>
          <w:szCs w:val="24"/>
        </w:rPr>
        <w:t xml:space="preserve"> </w:t>
      </w:r>
      <w:r w:rsidR="003D0403" w:rsidRPr="009617E4">
        <w:rPr>
          <w:sz w:val="24"/>
          <w:szCs w:val="24"/>
        </w:rPr>
        <w:t>careció de motivación legal, jurisprudencial y probatoria que explicara las razones por las que la autoridad judicial acudió a este tipo de reparación y la concedió, con desconocimiento de los parámetros contenidos en la sentencia del 28 de agosto de 2014</w:t>
      </w:r>
      <w:r w:rsidR="003D0403" w:rsidRPr="009617E4">
        <w:rPr>
          <w:rStyle w:val="Refdenotaalpie"/>
          <w:rFonts w:eastAsia="Times New Roman"/>
          <w:sz w:val="24"/>
          <w:szCs w:val="24"/>
          <w:lang w:eastAsia="es-ES"/>
        </w:rPr>
        <w:footnoteReference w:id="24"/>
      </w:r>
      <w:r w:rsidR="003D0403" w:rsidRPr="009617E4">
        <w:rPr>
          <w:sz w:val="24"/>
          <w:szCs w:val="24"/>
        </w:rPr>
        <w:t xml:space="preserve">, que, precisamente, están relacionados con la concreción de ese daño y su procedencia. </w:t>
      </w:r>
    </w:p>
    <w:p w14:paraId="0ECF424B" w14:textId="77777777" w:rsidR="003D0403" w:rsidRPr="009617E4" w:rsidRDefault="003D0403" w:rsidP="003D0403">
      <w:pPr>
        <w:tabs>
          <w:tab w:val="left" w:pos="0"/>
        </w:tabs>
        <w:contextualSpacing/>
        <w:rPr>
          <w:sz w:val="24"/>
          <w:szCs w:val="24"/>
        </w:rPr>
      </w:pPr>
    </w:p>
    <w:p w14:paraId="32A0C8C7" w14:textId="77777777" w:rsidR="003D0403" w:rsidRPr="009617E4" w:rsidRDefault="003D0403" w:rsidP="006C713D">
      <w:pPr>
        <w:tabs>
          <w:tab w:val="left" w:pos="0"/>
        </w:tabs>
        <w:contextualSpacing/>
        <w:rPr>
          <w:sz w:val="24"/>
          <w:szCs w:val="24"/>
        </w:rPr>
      </w:pPr>
    </w:p>
    <w:p w14:paraId="48629E7E" w14:textId="07531D86" w:rsidR="003D0403" w:rsidRPr="009617E4" w:rsidRDefault="00FB491A" w:rsidP="006C713D">
      <w:pPr>
        <w:tabs>
          <w:tab w:val="left" w:pos="0"/>
        </w:tabs>
        <w:contextualSpacing/>
        <w:rPr>
          <w:sz w:val="24"/>
          <w:szCs w:val="24"/>
        </w:rPr>
      </w:pPr>
      <w:r w:rsidRPr="009617E4">
        <w:rPr>
          <w:sz w:val="24"/>
          <w:szCs w:val="24"/>
        </w:rPr>
        <w:t xml:space="preserve">Además, la accionante </w:t>
      </w:r>
      <w:r w:rsidR="006C713D" w:rsidRPr="009617E4">
        <w:rPr>
          <w:sz w:val="24"/>
          <w:szCs w:val="24"/>
        </w:rPr>
        <w:t xml:space="preserve">manifestó que </w:t>
      </w:r>
      <w:r w:rsidR="00FC7C32" w:rsidRPr="009617E4">
        <w:rPr>
          <w:sz w:val="24"/>
          <w:szCs w:val="24"/>
        </w:rPr>
        <w:t>la Subsección B de la Sección Tercera del Consejo de Estado, en la providencia reprochada, vulneró los principios de congruencia procesal, justicia rogada y legalidad, en la medida en que ordenó al director de la DEAJ que ofreciera disculpas a la víctima de la privación de la libertad y a su familia, para re</w:t>
      </w:r>
      <w:r w:rsidR="00B00060" w:rsidRPr="009617E4">
        <w:rPr>
          <w:sz w:val="24"/>
          <w:szCs w:val="24"/>
        </w:rPr>
        <w:t>parar el derecho al buen nombre</w:t>
      </w:r>
      <w:r w:rsidR="00FC7C32" w:rsidRPr="009617E4">
        <w:rPr>
          <w:sz w:val="24"/>
          <w:szCs w:val="24"/>
        </w:rPr>
        <w:t>.</w:t>
      </w:r>
    </w:p>
    <w:p w14:paraId="1AD2ECD0" w14:textId="77777777" w:rsidR="00FB491A" w:rsidRPr="009617E4" w:rsidRDefault="00FB491A" w:rsidP="006C713D">
      <w:pPr>
        <w:tabs>
          <w:tab w:val="left" w:pos="0"/>
        </w:tabs>
        <w:contextualSpacing/>
        <w:rPr>
          <w:sz w:val="24"/>
          <w:szCs w:val="24"/>
        </w:rPr>
      </w:pPr>
    </w:p>
    <w:p w14:paraId="285E9D65" w14:textId="0E1D10B3" w:rsidR="001A7068" w:rsidRPr="009617E4" w:rsidRDefault="00FB491A" w:rsidP="007148B2">
      <w:pPr>
        <w:tabs>
          <w:tab w:val="left" w:pos="0"/>
        </w:tabs>
        <w:contextualSpacing/>
        <w:rPr>
          <w:sz w:val="24"/>
          <w:szCs w:val="24"/>
        </w:rPr>
      </w:pPr>
      <w:r w:rsidRPr="009617E4">
        <w:rPr>
          <w:sz w:val="24"/>
          <w:szCs w:val="24"/>
        </w:rPr>
        <w:t>De lo expuesto, la Sala observa que,</w:t>
      </w:r>
      <w:r w:rsidR="00C71783" w:rsidRPr="009617E4">
        <w:rPr>
          <w:sz w:val="24"/>
          <w:szCs w:val="24"/>
        </w:rPr>
        <w:t xml:space="preserve"> </w:t>
      </w:r>
      <w:r w:rsidR="00357050" w:rsidRPr="009617E4">
        <w:rPr>
          <w:sz w:val="24"/>
          <w:szCs w:val="24"/>
        </w:rPr>
        <w:t>si bien en principio</w:t>
      </w:r>
      <w:r w:rsidR="00C71783" w:rsidRPr="009617E4">
        <w:rPr>
          <w:sz w:val="24"/>
          <w:szCs w:val="24"/>
        </w:rPr>
        <w:t xml:space="preserve"> la falta de congruencia</w:t>
      </w:r>
      <w:r w:rsidR="00357050" w:rsidRPr="009617E4">
        <w:rPr>
          <w:sz w:val="24"/>
          <w:szCs w:val="24"/>
        </w:rPr>
        <w:t xml:space="preserve"> tiene la apariencia de ser </w:t>
      </w:r>
      <w:r w:rsidR="00C71783" w:rsidRPr="009617E4">
        <w:rPr>
          <w:sz w:val="24"/>
          <w:szCs w:val="24"/>
        </w:rPr>
        <w:t xml:space="preserve">un reproche </w:t>
      </w:r>
      <w:r w:rsidR="00357050" w:rsidRPr="009617E4">
        <w:rPr>
          <w:sz w:val="24"/>
          <w:szCs w:val="24"/>
        </w:rPr>
        <w:t>autónomo, l</w:t>
      </w:r>
      <w:r w:rsidRPr="009617E4">
        <w:rPr>
          <w:sz w:val="24"/>
          <w:szCs w:val="24"/>
        </w:rPr>
        <w:t>o cierto es que está sustentada</w:t>
      </w:r>
      <w:r w:rsidR="00357050" w:rsidRPr="009617E4">
        <w:rPr>
          <w:sz w:val="24"/>
          <w:szCs w:val="24"/>
        </w:rPr>
        <w:t xml:space="preserve"> en el escrito de tutela en </w:t>
      </w:r>
      <w:r w:rsidR="0019789B" w:rsidRPr="009617E4">
        <w:rPr>
          <w:sz w:val="24"/>
          <w:szCs w:val="24"/>
        </w:rPr>
        <w:t>la</w:t>
      </w:r>
      <w:r w:rsidR="00C71783" w:rsidRPr="009617E4">
        <w:rPr>
          <w:sz w:val="24"/>
          <w:szCs w:val="24"/>
        </w:rPr>
        <w:t xml:space="preserve"> referida </w:t>
      </w:r>
      <w:r w:rsidRPr="009617E4">
        <w:rPr>
          <w:sz w:val="24"/>
          <w:szCs w:val="24"/>
        </w:rPr>
        <w:t>ausencia</w:t>
      </w:r>
      <w:r w:rsidR="00C71783" w:rsidRPr="009617E4">
        <w:rPr>
          <w:sz w:val="24"/>
          <w:szCs w:val="24"/>
        </w:rPr>
        <w:t xml:space="preserve"> de motivación</w:t>
      </w:r>
      <w:r w:rsidR="00ED3E97" w:rsidRPr="009617E4">
        <w:rPr>
          <w:sz w:val="24"/>
          <w:szCs w:val="24"/>
        </w:rPr>
        <w:t>, ya que es la cuestión que en esencia recoge la inconformidad de la tutelante, entendida esta, a la luz del artículo 86 Supe</w:t>
      </w:r>
      <w:r w:rsidR="001A61C7" w:rsidRPr="009617E4">
        <w:rPr>
          <w:sz w:val="24"/>
          <w:szCs w:val="24"/>
        </w:rPr>
        <w:t>rior, como la acción u omisión</w:t>
      </w:r>
      <w:r w:rsidR="00ED3E97" w:rsidRPr="009617E4">
        <w:rPr>
          <w:sz w:val="24"/>
          <w:szCs w:val="24"/>
        </w:rPr>
        <w:t xml:space="preserve"> del </w:t>
      </w:r>
      <w:r w:rsidR="00ED3E97" w:rsidRPr="009617E4">
        <w:rPr>
          <w:i/>
          <w:sz w:val="24"/>
          <w:szCs w:val="24"/>
        </w:rPr>
        <w:t xml:space="preserve">ad </w:t>
      </w:r>
      <w:proofErr w:type="spellStart"/>
      <w:r w:rsidR="00ED3E97" w:rsidRPr="009617E4">
        <w:rPr>
          <w:i/>
          <w:sz w:val="24"/>
          <w:szCs w:val="24"/>
        </w:rPr>
        <w:t>quem</w:t>
      </w:r>
      <w:proofErr w:type="spellEnd"/>
      <w:r w:rsidR="00ED3E97" w:rsidRPr="009617E4">
        <w:rPr>
          <w:i/>
          <w:sz w:val="24"/>
          <w:szCs w:val="24"/>
        </w:rPr>
        <w:t xml:space="preserve"> </w:t>
      </w:r>
      <w:r w:rsidR="00ED3E97" w:rsidRPr="009617E4">
        <w:rPr>
          <w:sz w:val="24"/>
          <w:szCs w:val="24"/>
        </w:rPr>
        <w:t>ordinario que se acusa de violar garantías constitucionales.</w:t>
      </w:r>
    </w:p>
    <w:p w14:paraId="463A39E1" w14:textId="77777777" w:rsidR="001A7068" w:rsidRPr="009617E4" w:rsidRDefault="001A7068" w:rsidP="007148B2">
      <w:pPr>
        <w:tabs>
          <w:tab w:val="left" w:pos="0"/>
        </w:tabs>
        <w:contextualSpacing/>
        <w:rPr>
          <w:sz w:val="24"/>
          <w:szCs w:val="24"/>
        </w:rPr>
      </w:pPr>
    </w:p>
    <w:p w14:paraId="2D1BCCBE" w14:textId="5E7C034C" w:rsidR="00ED3E97" w:rsidRPr="009617E4" w:rsidRDefault="001A7068" w:rsidP="007148B2">
      <w:pPr>
        <w:tabs>
          <w:tab w:val="left" w:pos="0"/>
        </w:tabs>
        <w:contextualSpacing/>
        <w:rPr>
          <w:sz w:val="24"/>
          <w:szCs w:val="24"/>
        </w:rPr>
      </w:pPr>
      <w:r w:rsidRPr="009617E4">
        <w:rPr>
          <w:sz w:val="24"/>
          <w:szCs w:val="24"/>
        </w:rPr>
        <w:t>En consecuencia</w:t>
      </w:r>
      <w:r w:rsidR="00ED3E97" w:rsidRPr="009617E4">
        <w:rPr>
          <w:sz w:val="24"/>
          <w:szCs w:val="24"/>
        </w:rPr>
        <w:t xml:space="preserve">, los </w:t>
      </w:r>
      <w:r w:rsidR="00954306" w:rsidRPr="009617E4">
        <w:rPr>
          <w:sz w:val="24"/>
          <w:szCs w:val="24"/>
        </w:rPr>
        <w:t xml:space="preserve">reproches </w:t>
      </w:r>
      <w:r w:rsidR="00ED3E97" w:rsidRPr="009617E4">
        <w:rPr>
          <w:sz w:val="24"/>
          <w:szCs w:val="24"/>
        </w:rPr>
        <w:t xml:space="preserve">así comprendidos, están contenidos dentro de lo que la jurisprudencia constitucional ha denominado un defecto por falta de motivación, razón por la que serán analizados bajo esta categoría. </w:t>
      </w:r>
    </w:p>
    <w:p w14:paraId="65D424C0" w14:textId="77777777" w:rsidR="001A61C7" w:rsidRPr="009617E4" w:rsidRDefault="001A61C7" w:rsidP="007148B2">
      <w:pPr>
        <w:tabs>
          <w:tab w:val="left" w:pos="0"/>
        </w:tabs>
        <w:contextualSpacing/>
        <w:rPr>
          <w:sz w:val="24"/>
          <w:szCs w:val="24"/>
        </w:rPr>
      </w:pPr>
    </w:p>
    <w:p w14:paraId="0323D529" w14:textId="6F2AC4D5" w:rsidR="0019789B" w:rsidRPr="009617E4" w:rsidRDefault="001A61C7" w:rsidP="007148B2">
      <w:pPr>
        <w:tabs>
          <w:tab w:val="left" w:pos="0"/>
        </w:tabs>
        <w:contextualSpacing/>
        <w:rPr>
          <w:sz w:val="24"/>
          <w:szCs w:val="24"/>
        </w:rPr>
      </w:pPr>
      <w:r w:rsidRPr="009617E4">
        <w:rPr>
          <w:sz w:val="24"/>
          <w:szCs w:val="24"/>
        </w:rPr>
        <w:t>E</w:t>
      </w:r>
      <w:r w:rsidR="00ED3E97" w:rsidRPr="009617E4">
        <w:rPr>
          <w:sz w:val="24"/>
          <w:szCs w:val="24"/>
        </w:rPr>
        <w:t>n los anteriores términos, los argumentos</w:t>
      </w:r>
      <w:r w:rsidR="00C4550C" w:rsidRPr="009617E4">
        <w:rPr>
          <w:sz w:val="24"/>
          <w:szCs w:val="24"/>
        </w:rPr>
        <w:t xml:space="preserve"> del cargo</w:t>
      </w:r>
      <w:r w:rsidR="00ED3E97" w:rsidRPr="009617E4">
        <w:rPr>
          <w:sz w:val="24"/>
          <w:szCs w:val="24"/>
        </w:rPr>
        <w:t xml:space="preserve"> </w:t>
      </w:r>
      <w:r w:rsidR="00954306" w:rsidRPr="009617E4">
        <w:rPr>
          <w:sz w:val="24"/>
          <w:szCs w:val="24"/>
        </w:rPr>
        <w:t>superan los requisitos de carga argumentativa y de relevancia constitucional, por cuanto</w:t>
      </w:r>
      <w:r w:rsidR="00357050" w:rsidRPr="009617E4">
        <w:rPr>
          <w:sz w:val="24"/>
          <w:szCs w:val="24"/>
        </w:rPr>
        <w:t xml:space="preserve"> proponen la </w:t>
      </w:r>
      <w:r w:rsidR="002A5510" w:rsidRPr="009617E4">
        <w:rPr>
          <w:sz w:val="24"/>
          <w:szCs w:val="24"/>
        </w:rPr>
        <w:t>vulneración</w:t>
      </w:r>
      <w:r w:rsidR="000850C0" w:rsidRPr="009617E4">
        <w:rPr>
          <w:sz w:val="24"/>
          <w:szCs w:val="24"/>
        </w:rPr>
        <w:t xml:space="preserve"> de derechos fundamentales a partir de</w:t>
      </w:r>
      <w:r w:rsidR="004D5621" w:rsidRPr="009617E4">
        <w:rPr>
          <w:sz w:val="24"/>
          <w:szCs w:val="24"/>
        </w:rPr>
        <w:t>l</w:t>
      </w:r>
      <w:r w:rsidR="00ED3E97" w:rsidRPr="009617E4">
        <w:rPr>
          <w:sz w:val="24"/>
          <w:szCs w:val="24"/>
        </w:rPr>
        <w:t xml:space="preserve"> posible</w:t>
      </w:r>
      <w:r w:rsidR="004D5621" w:rsidRPr="009617E4">
        <w:rPr>
          <w:sz w:val="24"/>
          <w:szCs w:val="24"/>
        </w:rPr>
        <w:t xml:space="preserve"> incumplimi</w:t>
      </w:r>
      <w:r w:rsidR="006057A0" w:rsidRPr="009617E4">
        <w:rPr>
          <w:sz w:val="24"/>
          <w:szCs w:val="24"/>
        </w:rPr>
        <w:t xml:space="preserve">ento </w:t>
      </w:r>
      <w:r w:rsidR="003E278A" w:rsidRPr="009617E4">
        <w:rPr>
          <w:sz w:val="24"/>
          <w:szCs w:val="24"/>
        </w:rPr>
        <w:t xml:space="preserve">de la Subsección B de la Sección Tercera del Consejo de Estado </w:t>
      </w:r>
      <w:r w:rsidR="006057A0" w:rsidRPr="009617E4">
        <w:rPr>
          <w:sz w:val="24"/>
          <w:szCs w:val="24"/>
        </w:rPr>
        <w:t xml:space="preserve">de motivar </w:t>
      </w:r>
      <w:r w:rsidR="003E278A" w:rsidRPr="009617E4">
        <w:rPr>
          <w:sz w:val="24"/>
          <w:szCs w:val="24"/>
        </w:rPr>
        <w:t>su</w:t>
      </w:r>
      <w:r w:rsidR="006057A0" w:rsidRPr="009617E4">
        <w:rPr>
          <w:sz w:val="24"/>
          <w:szCs w:val="24"/>
        </w:rPr>
        <w:t>s decisiones</w:t>
      </w:r>
      <w:r w:rsidR="00DF3831" w:rsidRPr="009617E4">
        <w:rPr>
          <w:sz w:val="24"/>
          <w:szCs w:val="24"/>
        </w:rPr>
        <w:t>, y su</w:t>
      </w:r>
      <w:r w:rsidR="00C11F0C" w:rsidRPr="009617E4">
        <w:rPr>
          <w:sz w:val="24"/>
          <w:szCs w:val="24"/>
        </w:rPr>
        <w:t xml:space="preserve"> configuración</w:t>
      </w:r>
      <w:r w:rsidR="00954306" w:rsidRPr="009617E4">
        <w:rPr>
          <w:sz w:val="24"/>
          <w:szCs w:val="24"/>
        </w:rPr>
        <w:t xml:space="preserve"> </w:t>
      </w:r>
      <w:r w:rsidR="00A71B9B" w:rsidRPr="009617E4">
        <w:rPr>
          <w:sz w:val="24"/>
          <w:szCs w:val="24"/>
        </w:rPr>
        <w:t xml:space="preserve">es un aspecto definitivo para la protección del derecho al debido proceso en su dimensión constitucional. </w:t>
      </w:r>
    </w:p>
    <w:p w14:paraId="231C5FEF" w14:textId="77777777" w:rsidR="00A71B9B" w:rsidRPr="009617E4" w:rsidRDefault="00A71B9B" w:rsidP="007148B2">
      <w:pPr>
        <w:tabs>
          <w:tab w:val="left" w:pos="0"/>
        </w:tabs>
        <w:contextualSpacing/>
        <w:rPr>
          <w:sz w:val="24"/>
          <w:szCs w:val="24"/>
        </w:rPr>
      </w:pPr>
    </w:p>
    <w:p w14:paraId="21393A13" w14:textId="3E663D99" w:rsidR="00A71B9B" w:rsidRPr="007148B2" w:rsidRDefault="005F37AF" w:rsidP="007148B2">
      <w:pPr>
        <w:tabs>
          <w:tab w:val="left" w:pos="0"/>
        </w:tabs>
        <w:contextualSpacing/>
        <w:rPr>
          <w:sz w:val="24"/>
          <w:szCs w:val="24"/>
        </w:rPr>
      </w:pPr>
      <w:r w:rsidRPr="009617E4">
        <w:rPr>
          <w:sz w:val="24"/>
          <w:szCs w:val="24"/>
          <w:lang w:val="es-ES_tradnl"/>
        </w:rPr>
        <w:t xml:space="preserve">El presupuesto de </w:t>
      </w:r>
      <w:r w:rsidR="00A71B9B" w:rsidRPr="009617E4">
        <w:rPr>
          <w:b/>
          <w:sz w:val="24"/>
          <w:szCs w:val="24"/>
          <w:lang w:val="es-ES_tradnl"/>
        </w:rPr>
        <w:t>subsidiariedad</w:t>
      </w:r>
      <w:r w:rsidR="00A71B9B" w:rsidRPr="009617E4">
        <w:rPr>
          <w:sz w:val="24"/>
          <w:szCs w:val="24"/>
          <w:lang w:val="es-ES_tradnl"/>
        </w:rPr>
        <w:t xml:space="preserve"> </w:t>
      </w:r>
      <w:r w:rsidR="00A71B9B" w:rsidRPr="009617E4">
        <w:rPr>
          <w:sz w:val="24"/>
          <w:szCs w:val="24"/>
        </w:rPr>
        <w:t>también se encuentra satisfech</w:t>
      </w:r>
      <w:r w:rsidRPr="009617E4">
        <w:rPr>
          <w:sz w:val="24"/>
          <w:szCs w:val="24"/>
        </w:rPr>
        <w:t>o</w:t>
      </w:r>
      <w:r w:rsidR="00A71B9B" w:rsidRPr="009617E4">
        <w:rPr>
          <w:sz w:val="24"/>
          <w:szCs w:val="24"/>
        </w:rPr>
        <w:t>, porque no procede mecanismo judicial ordinario o extraordinario alguno para controvertir la</w:t>
      </w:r>
      <w:r w:rsidR="00A71B9B" w:rsidRPr="007148B2">
        <w:rPr>
          <w:sz w:val="24"/>
          <w:szCs w:val="24"/>
        </w:rPr>
        <w:t xml:space="preserve"> providencia a través</w:t>
      </w:r>
      <w:r w:rsidR="00DF3831">
        <w:rPr>
          <w:sz w:val="24"/>
          <w:szCs w:val="24"/>
        </w:rPr>
        <w:t xml:space="preserve"> del</w:t>
      </w:r>
      <w:r w:rsidR="00A71B9B" w:rsidRPr="007148B2">
        <w:rPr>
          <w:sz w:val="24"/>
          <w:szCs w:val="24"/>
        </w:rPr>
        <w:t xml:space="preserve"> defec</w:t>
      </w:r>
      <w:r w:rsidR="00DF3831">
        <w:rPr>
          <w:sz w:val="24"/>
          <w:szCs w:val="24"/>
        </w:rPr>
        <w:t>to</w:t>
      </w:r>
      <w:r w:rsidR="00E93DDE">
        <w:rPr>
          <w:sz w:val="24"/>
          <w:szCs w:val="24"/>
        </w:rPr>
        <w:t xml:space="preserve"> de falta de motivación</w:t>
      </w:r>
      <w:r w:rsidR="00A71B9B" w:rsidRPr="007148B2">
        <w:rPr>
          <w:sz w:val="24"/>
          <w:szCs w:val="24"/>
        </w:rPr>
        <w:t>, proferida en segunda instancia y objeto de la presente solicitud de tutela, que resolvió de fondo el asunto. En consecuencia, la Sala continuará con el examen de los demás requisitos generales y, de ser superados, procederá a emitir un pronunciamiento de fondo.</w:t>
      </w:r>
    </w:p>
    <w:p w14:paraId="1DBA2AE0" w14:textId="77777777" w:rsidR="00A71B9B" w:rsidRPr="007148B2" w:rsidRDefault="00A71B9B" w:rsidP="007148B2">
      <w:pPr>
        <w:tabs>
          <w:tab w:val="left" w:pos="0"/>
        </w:tabs>
        <w:contextualSpacing/>
        <w:rPr>
          <w:sz w:val="24"/>
          <w:szCs w:val="24"/>
        </w:rPr>
      </w:pPr>
    </w:p>
    <w:p w14:paraId="223B51D4" w14:textId="43AF0CA3" w:rsidR="00A71B9B" w:rsidRDefault="00A71B9B" w:rsidP="007148B2">
      <w:pPr>
        <w:contextualSpacing/>
        <w:rPr>
          <w:rFonts w:eastAsia="Verdana"/>
          <w:sz w:val="24"/>
          <w:szCs w:val="24"/>
          <w:lang w:val="es-ES"/>
        </w:rPr>
      </w:pPr>
      <w:r w:rsidRPr="007148B2">
        <w:rPr>
          <w:b/>
          <w:sz w:val="24"/>
          <w:szCs w:val="24"/>
        </w:rPr>
        <w:t xml:space="preserve">2.3. </w:t>
      </w:r>
      <w:r w:rsidRPr="007148B2">
        <w:rPr>
          <w:sz w:val="24"/>
          <w:szCs w:val="24"/>
        </w:rPr>
        <w:t xml:space="preserve">La acción de tutela se instauró oportunamente, en términos del requisito de la </w:t>
      </w:r>
      <w:r w:rsidRPr="007148B2">
        <w:rPr>
          <w:b/>
          <w:sz w:val="24"/>
          <w:szCs w:val="24"/>
        </w:rPr>
        <w:t>inmediatez</w:t>
      </w:r>
      <w:r w:rsidRPr="007148B2">
        <w:rPr>
          <w:sz w:val="24"/>
          <w:szCs w:val="24"/>
        </w:rPr>
        <w:t xml:space="preserve">, porque la sentencia reprochada de la Subsección B de la </w:t>
      </w:r>
      <w:r w:rsidRPr="007148B2">
        <w:rPr>
          <w:bCs/>
          <w:sz w:val="24"/>
          <w:szCs w:val="24"/>
        </w:rPr>
        <w:t>Sala Tercera del Consejo</w:t>
      </w:r>
      <w:r w:rsidRPr="007148B2">
        <w:rPr>
          <w:rFonts w:eastAsia="Arial"/>
          <w:sz w:val="24"/>
          <w:szCs w:val="24"/>
        </w:rPr>
        <w:t xml:space="preserve">, fue notificada el </w:t>
      </w:r>
      <w:r w:rsidR="00EB55D6" w:rsidRPr="007148B2">
        <w:rPr>
          <w:rFonts w:eastAsia="Arial"/>
          <w:sz w:val="24"/>
          <w:szCs w:val="24"/>
        </w:rPr>
        <w:t>22 de octubre de 2020</w:t>
      </w:r>
      <w:r w:rsidR="00DF3831">
        <w:rPr>
          <w:rStyle w:val="Refdenotaalpie"/>
          <w:rFonts w:eastAsia="Arial"/>
          <w:sz w:val="24"/>
          <w:szCs w:val="24"/>
        </w:rPr>
        <w:footnoteReference w:id="25"/>
      </w:r>
      <w:r w:rsidR="00EB55D6" w:rsidRPr="007148B2">
        <w:rPr>
          <w:rFonts w:eastAsia="Arial"/>
          <w:sz w:val="24"/>
          <w:szCs w:val="24"/>
        </w:rPr>
        <w:t>,</w:t>
      </w:r>
      <w:r w:rsidRPr="007148B2">
        <w:rPr>
          <w:sz w:val="24"/>
          <w:szCs w:val="24"/>
        </w:rPr>
        <w:t xml:space="preserve"> y el actor presentó la solicitud de amparo el </w:t>
      </w:r>
      <w:r w:rsidR="00EB55D6" w:rsidRPr="007148B2">
        <w:rPr>
          <w:sz w:val="24"/>
          <w:szCs w:val="24"/>
        </w:rPr>
        <w:t>28</w:t>
      </w:r>
      <w:r w:rsidRPr="007148B2">
        <w:rPr>
          <w:sz w:val="24"/>
          <w:szCs w:val="24"/>
        </w:rPr>
        <w:t xml:space="preserve"> de </w:t>
      </w:r>
      <w:r w:rsidR="00EB55D6" w:rsidRPr="007148B2">
        <w:rPr>
          <w:sz w:val="24"/>
          <w:szCs w:val="24"/>
        </w:rPr>
        <w:t>octubre</w:t>
      </w:r>
      <w:r w:rsidRPr="007148B2">
        <w:rPr>
          <w:sz w:val="24"/>
          <w:szCs w:val="24"/>
        </w:rPr>
        <w:t xml:space="preserve"> de</w:t>
      </w:r>
      <w:r w:rsidR="00EB55D6" w:rsidRPr="007148B2">
        <w:rPr>
          <w:sz w:val="24"/>
          <w:szCs w:val="24"/>
        </w:rPr>
        <w:t>l mismo año</w:t>
      </w:r>
      <w:r w:rsidRPr="007148B2">
        <w:rPr>
          <w:sz w:val="24"/>
          <w:szCs w:val="24"/>
        </w:rPr>
        <w:t xml:space="preserve">, </w:t>
      </w:r>
      <w:r w:rsidRPr="007148B2">
        <w:rPr>
          <w:rFonts w:eastAsia="Verdana"/>
          <w:sz w:val="24"/>
          <w:szCs w:val="24"/>
          <w:lang w:val="es-ES"/>
        </w:rPr>
        <w:t>es decir, dentro del término razonable que la jurisprudencia constitucional ha previsto y que esta Corporación ha establecido de manera general en seis meses</w:t>
      </w:r>
      <w:r w:rsidRPr="007148B2">
        <w:rPr>
          <w:rFonts w:eastAsia="Verdana"/>
          <w:sz w:val="24"/>
          <w:szCs w:val="24"/>
          <w:vertAlign w:val="superscript"/>
          <w:lang w:val="es-ES"/>
        </w:rPr>
        <w:footnoteReference w:id="26"/>
      </w:r>
      <w:r w:rsidRPr="007148B2">
        <w:rPr>
          <w:rFonts w:eastAsia="Verdana"/>
          <w:sz w:val="24"/>
          <w:szCs w:val="24"/>
          <w:lang w:val="es-ES"/>
        </w:rPr>
        <w:t>.</w:t>
      </w:r>
    </w:p>
    <w:p w14:paraId="00AC615A" w14:textId="77777777" w:rsidR="00DF3831" w:rsidRPr="007148B2" w:rsidRDefault="00DF3831" w:rsidP="007148B2">
      <w:pPr>
        <w:contextualSpacing/>
        <w:rPr>
          <w:rFonts w:eastAsia="Verdana"/>
          <w:sz w:val="24"/>
          <w:szCs w:val="24"/>
          <w:lang w:val="es-ES"/>
        </w:rPr>
      </w:pPr>
    </w:p>
    <w:p w14:paraId="62FB68B3" w14:textId="5914F003" w:rsidR="00A71B9B" w:rsidRDefault="00EB55D6" w:rsidP="007148B2">
      <w:pPr>
        <w:tabs>
          <w:tab w:val="left" w:pos="0"/>
        </w:tabs>
        <w:contextualSpacing/>
        <w:rPr>
          <w:sz w:val="24"/>
          <w:szCs w:val="24"/>
          <w:lang w:val="es-ES_tradnl"/>
        </w:rPr>
      </w:pPr>
      <w:r w:rsidRPr="007148B2">
        <w:rPr>
          <w:b/>
          <w:sz w:val="24"/>
          <w:szCs w:val="24"/>
        </w:rPr>
        <w:t>2.4</w:t>
      </w:r>
      <w:r w:rsidR="00A71B9B" w:rsidRPr="007148B2">
        <w:rPr>
          <w:b/>
          <w:sz w:val="24"/>
          <w:szCs w:val="24"/>
        </w:rPr>
        <w:t xml:space="preserve">. </w:t>
      </w:r>
      <w:r w:rsidR="00A71B9B" w:rsidRPr="007148B2">
        <w:rPr>
          <w:sz w:val="24"/>
          <w:szCs w:val="24"/>
          <w:lang w:val="es-ES_tradnl"/>
        </w:rPr>
        <w:t xml:space="preserve">Finalmente, </w:t>
      </w:r>
      <w:r w:rsidR="006954CD">
        <w:rPr>
          <w:sz w:val="24"/>
          <w:szCs w:val="24"/>
          <w:lang w:val="es-ES_tradnl"/>
        </w:rPr>
        <w:t>como</w:t>
      </w:r>
      <w:r w:rsidR="004E44CE">
        <w:rPr>
          <w:sz w:val="24"/>
          <w:szCs w:val="24"/>
          <w:lang w:val="es-ES_tradnl"/>
        </w:rPr>
        <w:t xml:space="preserve"> en</w:t>
      </w:r>
      <w:r w:rsidR="00A71B9B" w:rsidRPr="007148B2">
        <w:rPr>
          <w:sz w:val="24"/>
          <w:szCs w:val="24"/>
          <w:lang w:val="es-ES_tradnl"/>
        </w:rPr>
        <w:t xml:space="preserve"> la solicitud de amparo no se argumentó la existencia de alguna irregularidad procesal, ni la providencia cuestionada es una sentencia de tutela</w:t>
      </w:r>
      <w:r w:rsidR="006954CD">
        <w:rPr>
          <w:sz w:val="24"/>
          <w:szCs w:val="24"/>
          <w:lang w:val="es-ES_tradnl"/>
        </w:rPr>
        <w:t xml:space="preserve">, y </w:t>
      </w:r>
      <w:r w:rsidR="00A71B9B" w:rsidRPr="007148B2">
        <w:rPr>
          <w:sz w:val="24"/>
          <w:szCs w:val="24"/>
          <w:lang w:val="es-ES_tradnl"/>
        </w:rPr>
        <w:t xml:space="preserve"> la Sala </w:t>
      </w:r>
      <w:r w:rsidR="00253166">
        <w:rPr>
          <w:sz w:val="24"/>
          <w:szCs w:val="24"/>
          <w:lang w:val="es-ES_tradnl"/>
        </w:rPr>
        <w:t>encuentra</w:t>
      </w:r>
      <w:r w:rsidR="00A71B9B" w:rsidRPr="007148B2">
        <w:rPr>
          <w:sz w:val="24"/>
          <w:szCs w:val="24"/>
          <w:lang w:val="es-ES_tradnl"/>
        </w:rPr>
        <w:t xml:space="preserve"> satisfechos los requisitos generales de </w:t>
      </w:r>
      <w:proofErr w:type="spellStart"/>
      <w:r w:rsidR="00A71B9B" w:rsidRPr="007148B2">
        <w:rPr>
          <w:sz w:val="24"/>
          <w:szCs w:val="24"/>
          <w:lang w:val="es-ES_tradnl"/>
        </w:rPr>
        <w:t>procedibilidad</w:t>
      </w:r>
      <w:proofErr w:type="spellEnd"/>
      <w:r w:rsidR="00A71B9B" w:rsidRPr="007148B2">
        <w:rPr>
          <w:sz w:val="24"/>
          <w:szCs w:val="24"/>
          <w:lang w:val="es-ES_tradnl"/>
        </w:rPr>
        <w:t xml:space="preserve"> de la acción</w:t>
      </w:r>
      <w:r w:rsidR="006954CD">
        <w:rPr>
          <w:sz w:val="24"/>
          <w:szCs w:val="24"/>
          <w:lang w:val="es-ES_tradnl"/>
        </w:rPr>
        <w:t xml:space="preserve">, hay lugar a </w:t>
      </w:r>
      <w:r w:rsidR="00A71B9B" w:rsidRPr="007148B2">
        <w:rPr>
          <w:sz w:val="24"/>
          <w:szCs w:val="24"/>
          <w:lang w:val="es-ES_tradnl"/>
        </w:rPr>
        <w:t>avanza</w:t>
      </w:r>
      <w:r w:rsidR="006954CD">
        <w:rPr>
          <w:sz w:val="24"/>
          <w:szCs w:val="24"/>
          <w:lang w:val="es-ES_tradnl"/>
        </w:rPr>
        <w:t xml:space="preserve">r al </w:t>
      </w:r>
      <w:r w:rsidR="00A71B9B" w:rsidRPr="007148B2">
        <w:rPr>
          <w:sz w:val="24"/>
          <w:szCs w:val="24"/>
          <w:lang w:val="es-ES_tradnl"/>
        </w:rPr>
        <w:t>an</w:t>
      </w:r>
      <w:r w:rsidR="006954CD">
        <w:rPr>
          <w:sz w:val="24"/>
          <w:szCs w:val="24"/>
          <w:lang w:val="es-ES_tradnl"/>
        </w:rPr>
        <w:t>á</w:t>
      </w:r>
      <w:r w:rsidR="00A71B9B" w:rsidRPr="007148B2">
        <w:rPr>
          <w:sz w:val="24"/>
          <w:szCs w:val="24"/>
          <w:lang w:val="es-ES_tradnl"/>
        </w:rPr>
        <w:t>li</w:t>
      </w:r>
      <w:r w:rsidR="006954CD">
        <w:rPr>
          <w:sz w:val="24"/>
          <w:szCs w:val="24"/>
          <w:lang w:val="es-ES_tradnl"/>
        </w:rPr>
        <w:t>sis de</w:t>
      </w:r>
      <w:r w:rsidR="00A71B9B" w:rsidRPr="007148B2">
        <w:rPr>
          <w:sz w:val="24"/>
          <w:szCs w:val="24"/>
          <w:lang w:val="es-ES_tradnl"/>
        </w:rPr>
        <w:t xml:space="preserve"> los requisitos específicos de procedencia.</w:t>
      </w:r>
    </w:p>
    <w:p w14:paraId="46B89317" w14:textId="77777777" w:rsidR="008607CA" w:rsidRDefault="008607CA" w:rsidP="007148B2">
      <w:pPr>
        <w:tabs>
          <w:tab w:val="left" w:pos="0"/>
        </w:tabs>
        <w:contextualSpacing/>
        <w:rPr>
          <w:sz w:val="24"/>
          <w:szCs w:val="24"/>
          <w:lang w:val="es-ES_tradnl"/>
        </w:rPr>
      </w:pPr>
    </w:p>
    <w:p w14:paraId="31EFC029" w14:textId="77777777" w:rsidR="008607CA" w:rsidRDefault="008607CA" w:rsidP="007148B2">
      <w:pPr>
        <w:tabs>
          <w:tab w:val="left" w:pos="0"/>
        </w:tabs>
        <w:contextualSpacing/>
        <w:rPr>
          <w:sz w:val="24"/>
          <w:szCs w:val="24"/>
          <w:lang w:val="es-ES_tradnl"/>
        </w:rPr>
      </w:pPr>
    </w:p>
    <w:p w14:paraId="55ABA076" w14:textId="77777777" w:rsidR="008607CA" w:rsidRDefault="008607CA" w:rsidP="007148B2">
      <w:pPr>
        <w:tabs>
          <w:tab w:val="left" w:pos="0"/>
        </w:tabs>
        <w:contextualSpacing/>
        <w:rPr>
          <w:sz w:val="24"/>
          <w:szCs w:val="24"/>
          <w:lang w:val="es-ES_tradnl"/>
        </w:rPr>
      </w:pPr>
    </w:p>
    <w:p w14:paraId="3437B838" w14:textId="77777777" w:rsidR="008607CA" w:rsidRDefault="008607CA" w:rsidP="007148B2">
      <w:pPr>
        <w:tabs>
          <w:tab w:val="left" w:pos="0"/>
        </w:tabs>
        <w:contextualSpacing/>
        <w:rPr>
          <w:sz w:val="24"/>
          <w:szCs w:val="24"/>
          <w:lang w:val="es-ES_tradnl"/>
        </w:rPr>
      </w:pPr>
    </w:p>
    <w:p w14:paraId="0A152EBB" w14:textId="6E47388D" w:rsidR="00A71B9B" w:rsidRPr="007148B2" w:rsidRDefault="00EB55D6" w:rsidP="007148B2">
      <w:pPr>
        <w:tabs>
          <w:tab w:val="left" w:pos="0"/>
        </w:tabs>
        <w:contextualSpacing/>
        <w:rPr>
          <w:b/>
          <w:sz w:val="24"/>
          <w:szCs w:val="24"/>
        </w:rPr>
      </w:pPr>
      <w:r w:rsidRPr="007148B2">
        <w:rPr>
          <w:b/>
          <w:sz w:val="24"/>
          <w:szCs w:val="24"/>
        </w:rPr>
        <w:lastRenderedPageBreak/>
        <w:t>3. Problema jurídico</w:t>
      </w:r>
    </w:p>
    <w:p w14:paraId="04132A37" w14:textId="77777777" w:rsidR="00EB55D6" w:rsidRPr="007148B2" w:rsidRDefault="00EB55D6" w:rsidP="007148B2">
      <w:pPr>
        <w:tabs>
          <w:tab w:val="left" w:pos="0"/>
        </w:tabs>
        <w:contextualSpacing/>
        <w:rPr>
          <w:b/>
          <w:sz w:val="24"/>
          <w:szCs w:val="24"/>
        </w:rPr>
      </w:pPr>
    </w:p>
    <w:p w14:paraId="1C6CCBEF" w14:textId="3C2966D5" w:rsidR="00EB55D6" w:rsidRPr="007148B2" w:rsidRDefault="00EB55D6" w:rsidP="007148B2">
      <w:pPr>
        <w:tabs>
          <w:tab w:val="left" w:pos="0"/>
        </w:tabs>
        <w:contextualSpacing/>
        <w:rPr>
          <w:sz w:val="24"/>
          <w:szCs w:val="24"/>
        </w:rPr>
      </w:pPr>
      <w:r w:rsidRPr="007148B2">
        <w:rPr>
          <w:sz w:val="24"/>
          <w:szCs w:val="24"/>
        </w:rPr>
        <w:t>A la Sala le corresponde establecer si la Subsección B de la Sección Tercera del Consejo de Estado vulneró el derecho fundamental al debido proceso de la Nación, Rama Judicial, Consejo Superior de la Judicatura, Dirección Ejecutiva de Administración Judicial, con la se</w:t>
      </w:r>
      <w:r w:rsidR="00FA4041">
        <w:rPr>
          <w:sz w:val="24"/>
          <w:szCs w:val="24"/>
        </w:rPr>
        <w:t>ntencia del 23 de abril de 2020.</w:t>
      </w:r>
      <w:r w:rsidRPr="007148B2">
        <w:rPr>
          <w:sz w:val="24"/>
          <w:szCs w:val="24"/>
        </w:rPr>
        <w:t xml:space="preserve"> En particular, se deberá determinar si </w:t>
      </w:r>
      <w:r w:rsidR="00CF07B0" w:rsidRPr="007148B2">
        <w:rPr>
          <w:sz w:val="24"/>
          <w:szCs w:val="24"/>
        </w:rPr>
        <w:t xml:space="preserve">la autoridad enjuiciada, al imponer </w:t>
      </w:r>
      <w:r w:rsidR="00253166">
        <w:rPr>
          <w:sz w:val="24"/>
          <w:szCs w:val="24"/>
        </w:rPr>
        <w:t>la orden de reparar el</w:t>
      </w:r>
      <w:r w:rsidR="00253166" w:rsidRPr="007148B2">
        <w:rPr>
          <w:sz w:val="24"/>
          <w:szCs w:val="24"/>
        </w:rPr>
        <w:t xml:space="preserve"> buen nombre de los de</w:t>
      </w:r>
      <w:r w:rsidR="00FA4041">
        <w:rPr>
          <w:sz w:val="24"/>
          <w:szCs w:val="24"/>
        </w:rPr>
        <w:t xml:space="preserve">mandantes del proceso ordinario a través de </w:t>
      </w:r>
      <w:r w:rsidR="00C11F0C">
        <w:rPr>
          <w:sz w:val="24"/>
          <w:szCs w:val="24"/>
        </w:rPr>
        <w:t xml:space="preserve">la orden de </w:t>
      </w:r>
      <w:r w:rsidR="00FA4041">
        <w:rPr>
          <w:sz w:val="24"/>
          <w:szCs w:val="24"/>
        </w:rPr>
        <w:t>pedir</w:t>
      </w:r>
      <w:r w:rsidR="00253166" w:rsidRPr="007148B2">
        <w:rPr>
          <w:sz w:val="24"/>
          <w:szCs w:val="24"/>
        </w:rPr>
        <w:t xml:space="preserve"> disculpas</w:t>
      </w:r>
      <w:r w:rsidR="00CF07B0" w:rsidRPr="007148B2">
        <w:rPr>
          <w:sz w:val="24"/>
          <w:szCs w:val="24"/>
        </w:rPr>
        <w:t xml:space="preserve">, incurrió en un defecto por </w:t>
      </w:r>
      <w:r w:rsidR="00670785">
        <w:rPr>
          <w:sz w:val="24"/>
          <w:szCs w:val="24"/>
        </w:rPr>
        <w:t>decisión sin</w:t>
      </w:r>
      <w:r w:rsidR="00CF07B0" w:rsidRPr="007148B2">
        <w:rPr>
          <w:sz w:val="24"/>
          <w:szCs w:val="24"/>
        </w:rPr>
        <w:t xml:space="preserve"> motivación</w:t>
      </w:r>
      <w:r w:rsidR="004F3195">
        <w:rPr>
          <w:sz w:val="24"/>
          <w:szCs w:val="24"/>
        </w:rPr>
        <w:t>.</w:t>
      </w:r>
    </w:p>
    <w:p w14:paraId="24AC27DA" w14:textId="77777777" w:rsidR="00CF07B0" w:rsidRPr="007148B2" w:rsidRDefault="00CF07B0" w:rsidP="007148B2">
      <w:pPr>
        <w:tabs>
          <w:tab w:val="left" w:pos="0"/>
        </w:tabs>
        <w:contextualSpacing/>
        <w:rPr>
          <w:sz w:val="24"/>
          <w:szCs w:val="24"/>
        </w:rPr>
      </w:pPr>
    </w:p>
    <w:p w14:paraId="39147D66" w14:textId="5E32B018" w:rsidR="00CF07B0" w:rsidRPr="007148B2" w:rsidRDefault="00CF07B0" w:rsidP="007148B2">
      <w:pPr>
        <w:tabs>
          <w:tab w:val="left" w:pos="0"/>
        </w:tabs>
        <w:contextualSpacing/>
        <w:rPr>
          <w:sz w:val="24"/>
          <w:szCs w:val="24"/>
        </w:rPr>
      </w:pPr>
      <w:r w:rsidRPr="007148B2">
        <w:rPr>
          <w:sz w:val="24"/>
          <w:szCs w:val="24"/>
        </w:rPr>
        <w:t>Para dar solución al problema jurídico, la Sala hará unas precisiones, en primer lugar,</w:t>
      </w:r>
      <w:r w:rsidR="004F3195">
        <w:rPr>
          <w:sz w:val="24"/>
          <w:szCs w:val="24"/>
        </w:rPr>
        <w:t xml:space="preserve"> (3.1.)</w:t>
      </w:r>
      <w:r w:rsidRPr="007148B2">
        <w:rPr>
          <w:sz w:val="24"/>
          <w:szCs w:val="24"/>
        </w:rPr>
        <w:t xml:space="preserve"> relaciona</w:t>
      </w:r>
      <w:r w:rsidR="004F3195">
        <w:rPr>
          <w:sz w:val="24"/>
          <w:szCs w:val="24"/>
        </w:rPr>
        <w:t>das con el mencionado defecto</w:t>
      </w:r>
      <w:r w:rsidR="009667AF">
        <w:rPr>
          <w:sz w:val="24"/>
          <w:szCs w:val="24"/>
        </w:rPr>
        <w:t>;</w:t>
      </w:r>
      <w:r w:rsidRPr="007148B2">
        <w:rPr>
          <w:sz w:val="24"/>
          <w:szCs w:val="24"/>
        </w:rPr>
        <w:t xml:space="preserve"> posteriormente, </w:t>
      </w:r>
      <w:r w:rsidR="004F3195">
        <w:rPr>
          <w:sz w:val="24"/>
          <w:szCs w:val="24"/>
        </w:rPr>
        <w:t xml:space="preserve">(3.2.) </w:t>
      </w:r>
      <w:r w:rsidRPr="007148B2">
        <w:rPr>
          <w:sz w:val="24"/>
          <w:szCs w:val="24"/>
        </w:rPr>
        <w:t>co</w:t>
      </w:r>
      <w:r w:rsidRPr="00760F45">
        <w:rPr>
          <w:sz w:val="24"/>
          <w:szCs w:val="24"/>
        </w:rPr>
        <w:t>n</w:t>
      </w:r>
      <w:r w:rsidR="009667AF">
        <w:rPr>
          <w:sz w:val="24"/>
          <w:szCs w:val="24"/>
        </w:rPr>
        <w:t xml:space="preserve"> los</w:t>
      </w:r>
      <w:r w:rsidR="00760F45" w:rsidRPr="00760F45">
        <w:rPr>
          <w:sz w:val="24"/>
          <w:szCs w:val="24"/>
        </w:rPr>
        <w:t xml:space="preserve"> daños inmateriales derivados de </w:t>
      </w:r>
      <w:r w:rsidR="00FA4041">
        <w:rPr>
          <w:sz w:val="24"/>
          <w:szCs w:val="24"/>
        </w:rPr>
        <w:t>a</w:t>
      </w:r>
      <w:r w:rsidR="00760F45" w:rsidRPr="00760F45">
        <w:rPr>
          <w:sz w:val="24"/>
          <w:szCs w:val="24"/>
        </w:rPr>
        <w:t>fectaciones relevantes a bienes o derechos convencional y constitucionalmente</w:t>
      </w:r>
      <w:r w:rsidR="009667AF" w:rsidRPr="00760F45">
        <w:rPr>
          <w:sz w:val="24"/>
          <w:szCs w:val="24"/>
        </w:rPr>
        <w:t xml:space="preserve"> amparados</w:t>
      </w:r>
      <w:r w:rsidR="009667AF">
        <w:rPr>
          <w:sz w:val="24"/>
          <w:szCs w:val="24"/>
        </w:rPr>
        <w:t xml:space="preserve">, en razón a que la vulneración del buen nombre está </w:t>
      </w:r>
      <w:r w:rsidR="00FA4041">
        <w:rPr>
          <w:sz w:val="24"/>
          <w:szCs w:val="24"/>
        </w:rPr>
        <w:t xml:space="preserve">contenida </w:t>
      </w:r>
      <w:r w:rsidR="009667AF">
        <w:rPr>
          <w:sz w:val="24"/>
          <w:szCs w:val="24"/>
        </w:rPr>
        <w:t>en dicha categoría,</w:t>
      </w:r>
      <w:r w:rsidRPr="00760F45">
        <w:rPr>
          <w:sz w:val="24"/>
          <w:szCs w:val="24"/>
        </w:rPr>
        <w:t xml:space="preserve"> para</w:t>
      </w:r>
      <w:r w:rsidR="00951CA1">
        <w:rPr>
          <w:sz w:val="24"/>
          <w:szCs w:val="24"/>
        </w:rPr>
        <w:t>;</w:t>
      </w:r>
      <w:r w:rsidRPr="00760F45">
        <w:rPr>
          <w:sz w:val="24"/>
          <w:szCs w:val="24"/>
        </w:rPr>
        <w:t xml:space="preserve"> finalm</w:t>
      </w:r>
      <w:r w:rsidR="00951CA1">
        <w:rPr>
          <w:sz w:val="24"/>
          <w:szCs w:val="24"/>
        </w:rPr>
        <w:t>ente,</w:t>
      </w:r>
      <w:r w:rsidRPr="007148B2">
        <w:rPr>
          <w:sz w:val="24"/>
          <w:szCs w:val="24"/>
        </w:rPr>
        <w:t xml:space="preserve"> </w:t>
      </w:r>
      <w:r w:rsidR="004F3195">
        <w:rPr>
          <w:sz w:val="24"/>
          <w:szCs w:val="24"/>
        </w:rPr>
        <w:t xml:space="preserve">(3.3.) </w:t>
      </w:r>
      <w:r w:rsidRPr="007148B2">
        <w:rPr>
          <w:sz w:val="24"/>
          <w:szCs w:val="24"/>
        </w:rPr>
        <w:t>analizar el caso concreto.</w:t>
      </w:r>
    </w:p>
    <w:p w14:paraId="632C4FEA" w14:textId="77777777" w:rsidR="00BD0116" w:rsidRPr="007148B2" w:rsidRDefault="00BD0116" w:rsidP="007148B2">
      <w:pPr>
        <w:tabs>
          <w:tab w:val="left" w:pos="0"/>
        </w:tabs>
        <w:contextualSpacing/>
        <w:rPr>
          <w:sz w:val="24"/>
          <w:szCs w:val="24"/>
        </w:rPr>
      </w:pPr>
    </w:p>
    <w:p w14:paraId="36029E13" w14:textId="061B02C9" w:rsidR="00BD0116" w:rsidRPr="007148B2" w:rsidRDefault="00BD0116" w:rsidP="007148B2">
      <w:pPr>
        <w:tabs>
          <w:tab w:val="left" w:pos="0"/>
        </w:tabs>
        <w:contextualSpacing/>
        <w:rPr>
          <w:b/>
          <w:sz w:val="24"/>
          <w:szCs w:val="24"/>
        </w:rPr>
      </w:pPr>
      <w:r w:rsidRPr="007148B2">
        <w:rPr>
          <w:b/>
          <w:sz w:val="24"/>
          <w:szCs w:val="24"/>
        </w:rPr>
        <w:t xml:space="preserve">3.1. Defecto </w:t>
      </w:r>
      <w:r w:rsidR="004F3195">
        <w:rPr>
          <w:b/>
          <w:sz w:val="24"/>
          <w:szCs w:val="24"/>
        </w:rPr>
        <w:t>por</w:t>
      </w:r>
      <w:r w:rsidRPr="007148B2">
        <w:rPr>
          <w:b/>
          <w:sz w:val="24"/>
          <w:szCs w:val="24"/>
        </w:rPr>
        <w:t xml:space="preserve"> </w:t>
      </w:r>
      <w:r w:rsidR="00B0456E">
        <w:rPr>
          <w:b/>
          <w:sz w:val="24"/>
          <w:szCs w:val="24"/>
        </w:rPr>
        <w:t>decisión sin</w:t>
      </w:r>
      <w:r w:rsidRPr="007148B2">
        <w:rPr>
          <w:b/>
          <w:sz w:val="24"/>
          <w:szCs w:val="24"/>
        </w:rPr>
        <w:t xml:space="preserve"> motivación</w:t>
      </w:r>
    </w:p>
    <w:p w14:paraId="394D1664" w14:textId="77777777" w:rsidR="00BD0116" w:rsidRPr="007148B2" w:rsidRDefault="00BD0116" w:rsidP="007148B2">
      <w:pPr>
        <w:rPr>
          <w:b/>
          <w:sz w:val="24"/>
          <w:szCs w:val="24"/>
          <w:lang w:val="es-ES"/>
        </w:rPr>
      </w:pPr>
    </w:p>
    <w:p w14:paraId="4782915B" w14:textId="1C481944" w:rsidR="00BD0116" w:rsidRPr="007148B2" w:rsidRDefault="00B0456E" w:rsidP="007148B2">
      <w:pPr>
        <w:overflowPunct w:val="0"/>
        <w:autoSpaceDE w:val="0"/>
        <w:autoSpaceDN w:val="0"/>
        <w:adjustRightInd w:val="0"/>
        <w:rPr>
          <w:sz w:val="24"/>
          <w:szCs w:val="24"/>
        </w:rPr>
      </w:pPr>
      <w:r>
        <w:rPr>
          <w:sz w:val="24"/>
          <w:szCs w:val="24"/>
        </w:rPr>
        <w:t xml:space="preserve">El defecto por </w:t>
      </w:r>
      <w:r>
        <w:rPr>
          <w:b/>
          <w:sz w:val="24"/>
          <w:szCs w:val="24"/>
        </w:rPr>
        <w:t>decisión sin</w:t>
      </w:r>
      <w:r w:rsidR="00BD0116" w:rsidRPr="007148B2">
        <w:rPr>
          <w:b/>
          <w:sz w:val="24"/>
          <w:szCs w:val="24"/>
        </w:rPr>
        <w:t xml:space="preserve"> motivación</w:t>
      </w:r>
      <w:r w:rsidR="00C11F0C">
        <w:rPr>
          <w:rStyle w:val="Refdenotaalpie"/>
          <w:sz w:val="24"/>
          <w:szCs w:val="24"/>
        </w:rPr>
        <w:footnoteReference w:id="27"/>
      </w:r>
      <w:r w:rsidR="00BD0116" w:rsidRPr="007148B2">
        <w:rPr>
          <w:sz w:val="24"/>
          <w:szCs w:val="24"/>
        </w:rPr>
        <w:t xml:space="preserve"> tiene sustento en el </w:t>
      </w:r>
      <w:r w:rsidR="00BD0116" w:rsidRPr="009617E4">
        <w:rPr>
          <w:sz w:val="24"/>
          <w:szCs w:val="24"/>
        </w:rPr>
        <w:t>derech</w:t>
      </w:r>
      <w:r w:rsidR="00BD0116" w:rsidRPr="007148B2">
        <w:rPr>
          <w:sz w:val="24"/>
          <w:szCs w:val="24"/>
        </w:rPr>
        <w:t xml:space="preserve">o que tienen los sujetos procesales, dentro de un Estado social de </w:t>
      </w:r>
      <w:r w:rsidR="00BD0116" w:rsidRPr="009617E4">
        <w:rPr>
          <w:sz w:val="24"/>
          <w:szCs w:val="24"/>
        </w:rPr>
        <w:t>derecho</w:t>
      </w:r>
      <w:r w:rsidR="00BD0116" w:rsidRPr="007148B2">
        <w:rPr>
          <w:sz w:val="24"/>
          <w:szCs w:val="24"/>
        </w:rPr>
        <w:t xml:space="preserve">, de obtener una explicación de las decisiones judiciales como resultado de aplicar en el caso concreto las normas que el juez considera son pertinentes, en atención a los hechos probados. </w:t>
      </w:r>
    </w:p>
    <w:p w14:paraId="770F36C8" w14:textId="77777777" w:rsidR="00BD0116" w:rsidRPr="007148B2" w:rsidRDefault="00BD0116" w:rsidP="007148B2">
      <w:pPr>
        <w:overflowPunct w:val="0"/>
        <w:autoSpaceDE w:val="0"/>
        <w:autoSpaceDN w:val="0"/>
        <w:adjustRightInd w:val="0"/>
        <w:rPr>
          <w:sz w:val="24"/>
          <w:szCs w:val="24"/>
        </w:rPr>
      </w:pPr>
    </w:p>
    <w:p w14:paraId="1DB597FC" w14:textId="70C86ECD" w:rsidR="00BD0116" w:rsidRPr="007148B2" w:rsidRDefault="00BD0116" w:rsidP="007148B2">
      <w:pPr>
        <w:overflowPunct w:val="0"/>
        <w:autoSpaceDE w:val="0"/>
        <w:autoSpaceDN w:val="0"/>
        <w:adjustRightInd w:val="0"/>
        <w:rPr>
          <w:sz w:val="24"/>
          <w:szCs w:val="24"/>
        </w:rPr>
      </w:pPr>
      <w:r w:rsidRPr="007148B2">
        <w:rPr>
          <w:sz w:val="24"/>
          <w:szCs w:val="24"/>
        </w:rPr>
        <w:t xml:space="preserve">Esta obligación, impide cualquier tipo de arbitrariedad y capricho en las autoridades judiciales, garantiza la tutela judicial efectiva, especialmente, de quienes resultan afectados de forma negativa con las providencias, soporta la justicia material y otorga validez a las resoluciones. Ahora bien, este defecto, consiste en la </w:t>
      </w:r>
      <w:r w:rsidR="00B0456E">
        <w:rPr>
          <w:sz w:val="24"/>
          <w:szCs w:val="24"/>
        </w:rPr>
        <w:t>ausencia</w:t>
      </w:r>
      <w:r w:rsidRPr="007148B2">
        <w:rPr>
          <w:sz w:val="24"/>
          <w:szCs w:val="24"/>
        </w:rPr>
        <w:t xml:space="preserve"> de motivación y no en la controversia con su contenido. </w:t>
      </w:r>
    </w:p>
    <w:p w14:paraId="5A9465CD" w14:textId="77777777" w:rsidR="00BD0116" w:rsidRPr="007148B2" w:rsidRDefault="00BD0116" w:rsidP="007148B2">
      <w:pPr>
        <w:overflowPunct w:val="0"/>
        <w:autoSpaceDE w:val="0"/>
        <w:autoSpaceDN w:val="0"/>
        <w:adjustRightInd w:val="0"/>
        <w:rPr>
          <w:sz w:val="24"/>
          <w:szCs w:val="24"/>
        </w:rPr>
      </w:pPr>
    </w:p>
    <w:p w14:paraId="0A125FB7" w14:textId="77777777" w:rsidR="00BD0116" w:rsidRPr="007148B2" w:rsidRDefault="00BD0116" w:rsidP="007148B2">
      <w:pPr>
        <w:overflowPunct w:val="0"/>
        <w:autoSpaceDE w:val="0"/>
        <w:autoSpaceDN w:val="0"/>
        <w:adjustRightInd w:val="0"/>
        <w:rPr>
          <w:sz w:val="24"/>
          <w:szCs w:val="24"/>
        </w:rPr>
      </w:pPr>
      <w:r w:rsidRPr="007148B2">
        <w:rPr>
          <w:sz w:val="24"/>
          <w:szCs w:val="24"/>
        </w:rPr>
        <w:t>La jurisprudencia constitucional</w:t>
      </w:r>
      <w:r w:rsidRPr="007148B2">
        <w:rPr>
          <w:rStyle w:val="Refdenotaalpie"/>
          <w:sz w:val="24"/>
          <w:szCs w:val="24"/>
        </w:rPr>
        <w:footnoteReference w:id="28"/>
      </w:r>
      <w:r w:rsidRPr="007148B2">
        <w:rPr>
          <w:sz w:val="24"/>
          <w:szCs w:val="24"/>
        </w:rPr>
        <w:t xml:space="preserve"> lo ha definido, entre otras, como “un ejercicio argumentativo por medio del cual el juez establece la interpretación de las disposiciones normativas, de una parte, y determina cómo, a partir de los elementos de convicción aportados al proceso y la hipótesis de hecho que se construye con base en esos elementos, es posible subsumir el caso concreto en el supuesto de hecho de una regla jurídica aplicable al caso”; y la tarea del juez de “exponer cómo, mediante el uso de reglas de la experiencia, puede inferir la existencia de hechos pasados a partir de determinados hechos presentes recaudados mediante las vías legales de decreto y práctica de pruebas”. Finalmente, la Corte Constitucional manifestó respecto del referido defecto: </w:t>
      </w:r>
    </w:p>
    <w:p w14:paraId="7DEE94B7" w14:textId="77777777" w:rsidR="00BD0116" w:rsidRPr="007148B2" w:rsidRDefault="00BD0116" w:rsidP="007148B2">
      <w:pPr>
        <w:overflowPunct w:val="0"/>
        <w:autoSpaceDE w:val="0"/>
        <w:autoSpaceDN w:val="0"/>
        <w:adjustRightInd w:val="0"/>
        <w:rPr>
          <w:sz w:val="24"/>
          <w:szCs w:val="24"/>
        </w:rPr>
      </w:pPr>
    </w:p>
    <w:p w14:paraId="44CC3B3F" w14:textId="77777777" w:rsidR="00BD0116" w:rsidRPr="007148B2" w:rsidRDefault="00BD0116" w:rsidP="007148B2">
      <w:pPr>
        <w:overflowPunct w:val="0"/>
        <w:autoSpaceDE w:val="0"/>
        <w:autoSpaceDN w:val="0"/>
        <w:adjustRightInd w:val="0"/>
        <w:ind w:left="708"/>
        <w:rPr>
          <w:sz w:val="22"/>
          <w:szCs w:val="22"/>
          <w:lang w:val="es-ES_tradnl"/>
        </w:rPr>
      </w:pPr>
      <w:r w:rsidRPr="007148B2">
        <w:rPr>
          <w:sz w:val="22"/>
          <w:szCs w:val="22"/>
          <w:lang w:val="es-ES_tradnl"/>
        </w:rPr>
        <w:t xml:space="preserve">“Así pues, la motivación de las decisiones judiciales resulta crucial y necesaria para el adecuado entendimiento de ellas, y la cabal protección de los derechos de las partes en el respectivo proceso. </w:t>
      </w:r>
      <w:r w:rsidRPr="00CC1E34">
        <w:rPr>
          <w:b/>
          <w:sz w:val="22"/>
          <w:szCs w:val="22"/>
          <w:lang w:val="es-ES_tradnl"/>
        </w:rPr>
        <w:t>Es claro, además, que el cumplimiento de este deber no se agota con la mera inclusión de reflexiones más o menos amplias, a través de las cuales se pretenda apenas, llenar una formalidad.</w:t>
      </w:r>
      <w:r w:rsidRPr="007148B2">
        <w:rPr>
          <w:sz w:val="22"/>
          <w:szCs w:val="22"/>
          <w:lang w:val="es-ES_tradnl"/>
        </w:rPr>
        <w:t xml:space="preserve"> Sin embargo, es así mismo evidente, que solo podrá hablarse de ausencia de motivación cuando, en efecto, el juez omita explicar las razones de su decisión, de tal manera que para el ciudadano no resulte posible entender los fundamentos en que aquella se hubiere basado, situación </w:t>
      </w:r>
      <w:r w:rsidRPr="007148B2">
        <w:rPr>
          <w:sz w:val="22"/>
          <w:szCs w:val="22"/>
          <w:lang w:val="es-ES_tradnl"/>
        </w:rPr>
        <w:lastRenderedPageBreak/>
        <w:t>que debe diferenciarse de la que se presenta cuando el juez cumple con su deber de informar los motivos o razones que respaldan su decisión, pero los sujetos procesales no los comparten, o no los aceptan, al punto de llegar a afirmar que la decisión carece de motivación. Ciertamente, en este caso, no podría abrirse paso este pretendido defecto, pues en tal evento la controversia radica en realidad en el contenido de la motivación, más que en la supuesta ausencia de ella”</w:t>
      </w:r>
      <w:r w:rsidRPr="007148B2">
        <w:rPr>
          <w:rStyle w:val="Refdenotaalpie"/>
          <w:sz w:val="22"/>
          <w:szCs w:val="22"/>
        </w:rPr>
        <w:footnoteReference w:id="29"/>
      </w:r>
      <w:r w:rsidRPr="007148B2">
        <w:rPr>
          <w:sz w:val="22"/>
          <w:szCs w:val="22"/>
          <w:lang w:val="es-ES_tradnl"/>
        </w:rPr>
        <w:t>.</w:t>
      </w:r>
    </w:p>
    <w:p w14:paraId="17ACF998" w14:textId="3A3041E9" w:rsidR="00851ED2" w:rsidRPr="007148B2" w:rsidRDefault="00851ED2" w:rsidP="00851ED2">
      <w:pPr>
        <w:tabs>
          <w:tab w:val="left" w:pos="0"/>
          <w:tab w:val="left" w:pos="2677"/>
        </w:tabs>
        <w:contextualSpacing/>
        <w:rPr>
          <w:b/>
          <w:sz w:val="24"/>
          <w:szCs w:val="24"/>
        </w:rPr>
      </w:pPr>
      <w:r>
        <w:rPr>
          <w:b/>
          <w:sz w:val="24"/>
          <w:szCs w:val="24"/>
        </w:rPr>
        <w:tab/>
      </w:r>
    </w:p>
    <w:p w14:paraId="7C31F1F6" w14:textId="44E392BD" w:rsidR="00A71B9B" w:rsidRPr="007148B2" w:rsidRDefault="002D03A5" w:rsidP="007148B2">
      <w:pPr>
        <w:tabs>
          <w:tab w:val="left" w:pos="0"/>
        </w:tabs>
        <w:contextualSpacing/>
        <w:rPr>
          <w:b/>
          <w:sz w:val="24"/>
          <w:szCs w:val="24"/>
        </w:rPr>
      </w:pPr>
      <w:r w:rsidRPr="007148B2">
        <w:rPr>
          <w:b/>
          <w:sz w:val="24"/>
          <w:szCs w:val="24"/>
        </w:rPr>
        <w:t>3.2. Daños inmateriales derivados de vulneraciones o afectaciones relevantes a bienes o derechos convencional y constitucionalmente amparados</w:t>
      </w:r>
    </w:p>
    <w:p w14:paraId="1BFDCAB8" w14:textId="77777777" w:rsidR="002D03A5" w:rsidRPr="007148B2" w:rsidRDefault="002D03A5" w:rsidP="007148B2">
      <w:pPr>
        <w:tabs>
          <w:tab w:val="left" w:pos="0"/>
        </w:tabs>
        <w:contextualSpacing/>
        <w:rPr>
          <w:b/>
          <w:sz w:val="24"/>
          <w:szCs w:val="24"/>
        </w:rPr>
      </w:pPr>
    </w:p>
    <w:p w14:paraId="022BEC0A" w14:textId="69278B19" w:rsidR="00670785" w:rsidRDefault="002D03A5" w:rsidP="006513B3">
      <w:pPr>
        <w:tabs>
          <w:tab w:val="left" w:pos="0"/>
        </w:tabs>
        <w:contextualSpacing/>
        <w:rPr>
          <w:sz w:val="24"/>
          <w:szCs w:val="24"/>
        </w:rPr>
      </w:pPr>
      <w:r w:rsidRPr="007148B2">
        <w:rPr>
          <w:sz w:val="24"/>
          <w:szCs w:val="24"/>
        </w:rPr>
        <w:t>La Sala Plena de la Sección Tercera del Consejo de Estado, en sentencia de unificación del 28 de agosto de 2014</w:t>
      </w:r>
      <w:r w:rsidR="00851ED2">
        <w:rPr>
          <w:rStyle w:val="Refdenotaalpie"/>
          <w:rFonts w:eastAsia="Times New Roman"/>
          <w:sz w:val="24"/>
          <w:szCs w:val="24"/>
          <w:lang w:eastAsia="es-ES"/>
        </w:rPr>
        <w:footnoteReference w:id="30"/>
      </w:r>
      <w:r w:rsidRPr="007148B2">
        <w:rPr>
          <w:sz w:val="24"/>
          <w:szCs w:val="24"/>
        </w:rPr>
        <w:t>, reiteró los criterios jurisprudenciales del fallo del 14 de septiembre de 2011</w:t>
      </w:r>
      <w:r w:rsidR="00851ED2">
        <w:rPr>
          <w:rStyle w:val="Refdenotaalpie"/>
          <w:bCs/>
          <w:sz w:val="24"/>
          <w:szCs w:val="24"/>
        </w:rPr>
        <w:footnoteReference w:id="31"/>
      </w:r>
      <w:r w:rsidRPr="007148B2">
        <w:rPr>
          <w:sz w:val="24"/>
          <w:szCs w:val="24"/>
        </w:rPr>
        <w:t xml:space="preserve"> proferido por la misma autoridad, </w:t>
      </w:r>
      <w:r w:rsidR="009E7FE0">
        <w:rPr>
          <w:sz w:val="24"/>
          <w:szCs w:val="24"/>
        </w:rPr>
        <w:t>en el sentido de que mantuvo</w:t>
      </w:r>
      <w:r w:rsidRPr="007148B2">
        <w:rPr>
          <w:sz w:val="24"/>
          <w:szCs w:val="24"/>
        </w:rPr>
        <w:t xml:space="preserve"> </w:t>
      </w:r>
      <w:r w:rsidR="007148B2">
        <w:rPr>
          <w:sz w:val="24"/>
          <w:szCs w:val="24"/>
        </w:rPr>
        <w:t xml:space="preserve">la posición de </w:t>
      </w:r>
      <w:r w:rsidRPr="007148B2">
        <w:rPr>
          <w:sz w:val="24"/>
          <w:szCs w:val="24"/>
        </w:rPr>
        <w:t>apartarse de la tipología de</w:t>
      </w:r>
      <w:r w:rsidR="00670785">
        <w:rPr>
          <w:sz w:val="24"/>
          <w:szCs w:val="24"/>
        </w:rPr>
        <w:t>l</w:t>
      </w:r>
      <w:r w:rsidRPr="007148B2">
        <w:rPr>
          <w:sz w:val="24"/>
          <w:szCs w:val="24"/>
        </w:rPr>
        <w:t xml:space="preserve"> perjuicio inmaterial llamado perjuicio fisiológico o daño a la vida en relación, para</w:t>
      </w:r>
      <w:r w:rsidR="007148B2">
        <w:rPr>
          <w:sz w:val="24"/>
          <w:szCs w:val="24"/>
        </w:rPr>
        <w:t>,</w:t>
      </w:r>
      <w:r w:rsidRPr="007148B2">
        <w:rPr>
          <w:sz w:val="24"/>
          <w:szCs w:val="24"/>
        </w:rPr>
        <w:t xml:space="preserve"> en su lugar</w:t>
      </w:r>
      <w:r w:rsidR="007148B2">
        <w:rPr>
          <w:sz w:val="24"/>
          <w:szCs w:val="24"/>
        </w:rPr>
        <w:t>,</w:t>
      </w:r>
      <w:r w:rsidRPr="007148B2">
        <w:rPr>
          <w:sz w:val="24"/>
          <w:szCs w:val="24"/>
        </w:rPr>
        <w:t xml:space="preserve"> reconocer las categorías de</w:t>
      </w:r>
      <w:r w:rsidR="006513B3">
        <w:rPr>
          <w:sz w:val="24"/>
          <w:szCs w:val="24"/>
        </w:rPr>
        <w:t>: i)</w:t>
      </w:r>
      <w:r w:rsidRPr="007148B2">
        <w:rPr>
          <w:sz w:val="24"/>
          <w:szCs w:val="24"/>
        </w:rPr>
        <w:t xml:space="preserve"> daño a la salud</w:t>
      </w:r>
      <w:r w:rsidR="006513B3">
        <w:rPr>
          <w:sz w:val="24"/>
          <w:szCs w:val="24"/>
        </w:rPr>
        <w:t>;</w:t>
      </w:r>
      <w:r w:rsidRPr="007148B2">
        <w:rPr>
          <w:sz w:val="24"/>
          <w:szCs w:val="24"/>
        </w:rPr>
        <w:t xml:space="preserve"> y </w:t>
      </w:r>
      <w:r w:rsidR="00DA76C2" w:rsidRPr="00DA76C2">
        <w:rPr>
          <w:sz w:val="24"/>
          <w:szCs w:val="24"/>
        </w:rPr>
        <w:t xml:space="preserve">de </w:t>
      </w:r>
      <w:r w:rsidR="006513B3">
        <w:rPr>
          <w:sz w:val="24"/>
          <w:szCs w:val="24"/>
        </w:rPr>
        <w:t xml:space="preserve">ii) </w:t>
      </w:r>
      <w:r w:rsidRPr="00F64448">
        <w:rPr>
          <w:sz w:val="24"/>
          <w:szCs w:val="24"/>
          <w:u w:val="single"/>
        </w:rPr>
        <w:t>afectación relevante a bienes o derechos con</w:t>
      </w:r>
      <w:r w:rsidR="007366D6" w:rsidRPr="00F64448">
        <w:rPr>
          <w:sz w:val="24"/>
          <w:szCs w:val="24"/>
          <w:u w:val="single"/>
        </w:rPr>
        <w:t>vencional y const</w:t>
      </w:r>
      <w:r w:rsidR="00760F45" w:rsidRPr="00F64448">
        <w:rPr>
          <w:sz w:val="24"/>
          <w:szCs w:val="24"/>
          <w:u w:val="single"/>
        </w:rPr>
        <w:t>itucionalmente protegidos</w:t>
      </w:r>
      <w:r w:rsidR="006513B3">
        <w:rPr>
          <w:sz w:val="24"/>
          <w:szCs w:val="24"/>
          <w:u w:val="single"/>
        </w:rPr>
        <w:t>, dentro de los que se encuentran los derechos al buen nombre, al honor y a la honra.</w:t>
      </w:r>
      <w:r w:rsidR="00670785">
        <w:rPr>
          <w:sz w:val="24"/>
          <w:szCs w:val="24"/>
        </w:rPr>
        <w:t xml:space="preserve"> </w:t>
      </w:r>
    </w:p>
    <w:p w14:paraId="2D10215D" w14:textId="77777777" w:rsidR="00A64313" w:rsidRDefault="00A64313" w:rsidP="006513B3">
      <w:pPr>
        <w:tabs>
          <w:tab w:val="left" w:pos="0"/>
        </w:tabs>
        <w:contextualSpacing/>
        <w:rPr>
          <w:sz w:val="24"/>
          <w:szCs w:val="24"/>
        </w:rPr>
      </w:pPr>
    </w:p>
    <w:p w14:paraId="33B05636" w14:textId="5065C455" w:rsidR="006513B3" w:rsidRPr="00670785" w:rsidRDefault="00670785" w:rsidP="006513B3">
      <w:pPr>
        <w:tabs>
          <w:tab w:val="left" w:pos="0"/>
        </w:tabs>
        <w:contextualSpacing/>
        <w:rPr>
          <w:sz w:val="24"/>
          <w:szCs w:val="24"/>
        </w:rPr>
      </w:pPr>
      <w:r>
        <w:rPr>
          <w:sz w:val="24"/>
          <w:szCs w:val="24"/>
        </w:rPr>
        <w:t>En la sentencia de unificación, l</w:t>
      </w:r>
      <w:r w:rsidR="003F6853">
        <w:rPr>
          <w:sz w:val="24"/>
          <w:szCs w:val="24"/>
        </w:rPr>
        <w:t xml:space="preserve">a autoridad judicial </w:t>
      </w:r>
      <w:r w:rsidR="00A324F9">
        <w:rPr>
          <w:sz w:val="24"/>
          <w:szCs w:val="24"/>
        </w:rPr>
        <w:t>definió</w:t>
      </w:r>
      <w:r w:rsidR="00F64448">
        <w:rPr>
          <w:sz w:val="24"/>
          <w:szCs w:val="24"/>
        </w:rPr>
        <w:t xml:space="preserve"> </w:t>
      </w:r>
      <w:r w:rsidR="00760F45">
        <w:rPr>
          <w:sz w:val="24"/>
          <w:szCs w:val="24"/>
        </w:rPr>
        <w:t>esta última categoría de perjuicios</w:t>
      </w:r>
      <w:r w:rsidR="00A324F9">
        <w:rPr>
          <w:sz w:val="24"/>
          <w:szCs w:val="24"/>
        </w:rPr>
        <w:t xml:space="preserve">, a partir de las </w:t>
      </w:r>
      <w:r w:rsidR="001C740B">
        <w:rPr>
          <w:sz w:val="24"/>
          <w:szCs w:val="24"/>
        </w:rPr>
        <w:t>características del daño</w:t>
      </w:r>
      <w:r w:rsidR="001C740B">
        <w:rPr>
          <w:rStyle w:val="Refdenotaalpie"/>
          <w:sz w:val="24"/>
          <w:szCs w:val="24"/>
        </w:rPr>
        <w:footnoteReference w:id="32"/>
      </w:r>
      <w:r w:rsidR="001C740B">
        <w:rPr>
          <w:sz w:val="24"/>
          <w:szCs w:val="24"/>
        </w:rPr>
        <w:t>, de lo que este comprende</w:t>
      </w:r>
      <w:r w:rsidR="001C740B">
        <w:rPr>
          <w:rStyle w:val="Refdenotaalpie"/>
          <w:sz w:val="24"/>
          <w:szCs w:val="24"/>
        </w:rPr>
        <w:footnoteReference w:id="33"/>
      </w:r>
      <w:r w:rsidR="006954CD">
        <w:rPr>
          <w:sz w:val="24"/>
          <w:szCs w:val="24"/>
        </w:rPr>
        <w:t>,</w:t>
      </w:r>
      <w:r w:rsidR="001C740B">
        <w:rPr>
          <w:sz w:val="24"/>
          <w:szCs w:val="24"/>
        </w:rPr>
        <w:t xml:space="preserve"> y </w:t>
      </w:r>
      <w:r w:rsidR="006513B3">
        <w:rPr>
          <w:sz w:val="24"/>
          <w:szCs w:val="24"/>
        </w:rPr>
        <w:t xml:space="preserve">de lo que </w:t>
      </w:r>
      <w:r w:rsidR="006513B3" w:rsidRPr="007148B2">
        <w:rPr>
          <w:rFonts w:eastAsia="Times New Roman"/>
          <w:sz w:val="24"/>
          <w:szCs w:val="24"/>
          <w:lang w:eastAsia="es-ES"/>
        </w:rPr>
        <w:t xml:space="preserve">al juez le corresponde verificar </w:t>
      </w:r>
      <w:r w:rsidR="006513B3" w:rsidRPr="007148B2">
        <w:rPr>
          <w:rFonts w:eastAsia="Times New Roman"/>
          <w:i/>
          <w:iCs/>
          <w:sz w:val="24"/>
          <w:szCs w:val="24"/>
          <w:lang w:eastAsia="es-ES"/>
        </w:rPr>
        <w:t>ex ante</w:t>
      </w:r>
      <w:r w:rsidR="009667AF">
        <w:rPr>
          <w:rFonts w:eastAsia="Times New Roman"/>
          <w:i/>
          <w:iCs/>
          <w:sz w:val="24"/>
          <w:szCs w:val="24"/>
          <w:lang w:eastAsia="es-ES"/>
        </w:rPr>
        <w:t xml:space="preserve"> </w:t>
      </w:r>
      <w:r w:rsidR="009667AF">
        <w:rPr>
          <w:rFonts w:eastAsia="Times New Roman"/>
          <w:iCs/>
          <w:sz w:val="24"/>
          <w:szCs w:val="24"/>
          <w:lang w:eastAsia="es-ES"/>
        </w:rPr>
        <w:t>de su reconocimiento</w:t>
      </w:r>
      <w:r w:rsidR="006513B3" w:rsidRPr="006513B3">
        <w:rPr>
          <w:rStyle w:val="Refdenotaalpie"/>
          <w:rFonts w:eastAsia="Times New Roman"/>
          <w:iCs/>
          <w:sz w:val="24"/>
          <w:szCs w:val="24"/>
          <w:lang w:eastAsia="es-ES"/>
        </w:rPr>
        <w:footnoteReference w:id="34"/>
      </w:r>
      <w:r w:rsidR="006513B3" w:rsidRPr="006513B3">
        <w:rPr>
          <w:rFonts w:eastAsia="Times New Roman"/>
          <w:iCs/>
          <w:sz w:val="24"/>
          <w:szCs w:val="24"/>
          <w:lang w:eastAsia="es-ES"/>
        </w:rPr>
        <w:t>.</w:t>
      </w:r>
    </w:p>
    <w:p w14:paraId="027706CB" w14:textId="77777777" w:rsidR="009667AF" w:rsidRPr="006513B3" w:rsidRDefault="009667AF" w:rsidP="006513B3">
      <w:pPr>
        <w:tabs>
          <w:tab w:val="left" w:pos="0"/>
        </w:tabs>
        <w:contextualSpacing/>
        <w:rPr>
          <w:sz w:val="24"/>
          <w:szCs w:val="24"/>
        </w:rPr>
      </w:pPr>
    </w:p>
    <w:p w14:paraId="7FE28F55" w14:textId="19DF4FD5" w:rsidR="003F6853" w:rsidRDefault="003F6853" w:rsidP="007148B2">
      <w:pPr>
        <w:ind w:right="-93"/>
        <w:rPr>
          <w:rFonts w:eastAsia="Times New Roman"/>
          <w:sz w:val="24"/>
          <w:szCs w:val="24"/>
          <w:lang w:eastAsia="es-ES"/>
        </w:rPr>
      </w:pPr>
      <w:r>
        <w:rPr>
          <w:rFonts w:eastAsia="Times New Roman"/>
          <w:sz w:val="24"/>
          <w:szCs w:val="24"/>
          <w:lang w:eastAsia="es-ES"/>
        </w:rPr>
        <w:t xml:space="preserve">En particular, en relación </w:t>
      </w:r>
      <w:r w:rsidR="00DA76C2">
        <w:rPr>
          <w:rFonts w:eastAsia="Times New Roman"/>
          <w:sz w:val="24"/>
          <w:szCs w:val="24"/>
          <w:lang w:eastAsia="es-ES"/>
        </w:rPr>
        <w:t>con lo</w:t>
      </w:r>
      <w:r w:rsidR="009667AF">
        <w:rPr>
          <w:rFonts w:eastAsia="Times New Roman"/>
          <w:sz w:val="24"/>
          <w:szCs w:val="24"/>
          <w:lang w:eastAsia="es-ES"/>
        </w:rPr>
        <w:t xml:space="preserve"> </w:t>
      </w:r>
      <w:r w:rsidR="00DA76C2">
        <w:rPr>
          <w:rFonts w:eastAsia="Times New Roman"/>
          <w:sz w:val="24"/>
          <w:szCs w:val="24"/>
          <w:lang w:eastAsia="es-ES"/>
        </w:rPr>
        <w:t>autónomo</w:t>
      </w:r>
      <w:r>
        <w:rPr>
          <w:rFonts w:eastAsia="Times New Roman"/>
          <w:sz w:val="24"/>
          <w:szCs w:val="24"/>
          <w:lang w:eastAsia="es-ES"/>
        </w:rPr>
        <w:t xml:space="preserve"> de este daño y su reparación dispositiva, la Sección Tercera de esta Corporación</w:t>
      </w:r>
      <w:r w:rsidR="00F64448">
        <w:rPr>
          <w:rFonts w:eastAsia="Times New Roman"/>
          <w:sz w:val="24"/>
          <w:szCs w:val="24"/>
          <w:lang w:eastAsia="es-ES"/>
        </w:rPr>
        <w:t>,</w:t>
      </w:r>
      <w:r>
        <w:rPr>
          <w:rFonts w:eastAsia="Times New Roman"/>
          <w:sz w:val="24"/>
          <w:szCs w:val="24"/>
          <w:lang w:eastAsia="es-ES"/>
        </w:rPr>
        <w:t xml:space="preserve"> indicó</w:t>
      </w:r>
      <w:r w:rsidR="00F64448">
        <w:rPr>
          <w:rFonts w:eastAsia="Times New Roman"/>
          <w:sz w:val="24"/>
          <w:szCs w:val="24"/>
          <w:lang w:eastAsia="es-ES"/>
        </w:rPr>
        <w:t xml:space="preserve"> en la mencionada providencia</w:t>
      </w:r>
      <w:r>
        <w:rPr>
          <w:rFonts w:eastAsia="Times New Roman"/>
          <w:sz w:val="24"/>
          <w:szCs w:val="24"/>
          <w:lang w:eastAsia="es-ES"/>
        </w:rPr>
        <w:t xml:space="preserve">: </w:t>
      </w:r>
    </w:p>
    <w:p w14:paraId="6ECAA7C3" w14:textId="77777777" w:rsidR="003F6853" w:rsidRDefault="003F6853" w:rsidP="007148B2">
      <w:pPr>
        <w:ind w:right="-93"/>
        <w:rPr>
          <w:rFonts w:eastAsia="Times New Roman"/>
          <w:sz w:val="24"/>
          <w:szCs w:val="24"/>
          <w:lang w:eastAsia="es-ES"/>
        </w:rPr>
      </w:pPr>
    </w:p>
    <w:p w14:paraId="685BA907" w14:textId="7A408668" w:rsidR="00A324F9" w:rsidRPr="00F64448" w:rsidRDefault="003F6853" w:rsidP="003F6853">
      <w:pPr>
        <w:ind w:left="708" w:right="-93"/>
        <w:rPr>
          <w:rFonts w:eastAsia="Times New Roman"/>
          <w:sz w:val="22"/>
          <w:szCs w:val="22"/>
          <w:lang w:eastAsia="es-ES"/>
        </w:rPr>
      </w:pPr>
      <w:r w:rsidRPr="00F64448">
        <w:rPr>
          <w:rFonts w:eastAsia="Times New Roman"/>
          <w:sz w:val="22"/>
          <w:szCs w:val="22"/>
          <w:lang w:eastAsia="es-ES"/>
        </w:rPr>
        <w:t>“</w:t>
      </w:r>
      <w:r w:rsidR="00A324F9" w:rsidRPr="00F64448">
        <w:rPr>
          <w:rFonts w:eastAsia="Times New Roman"/>
          <w:sz w:val="22"/>
          <w:szCs w:val="22"/>
          <w:lang w:eastAsia="es-ES"/>
        </w:rPr>
        <w:t>15.4.1. El daño a bienes o derechos convencional y constitucionalmente amparados tiene las siguientes características:</w:t>
      </w:r>
    </w:p>
    <w:p w14:paraId="18712C89" w14:textId="3098816B" w:rsidR="00A324F9" w:rsidRPr="00F64448" w:rsidRDefault="00A324F9" w:rsidP="003F6853">
      <w:pPr>
        <w:ind w:left="708" w:right="-93"/>
        <w:rPr>
          <w:rFonts w:eastAsia="Times New Roman"/>
          <w:sz w:val="22"/>
          <w:szCs w:val="22"/>
          <w:lang w:eastAsia="es-ES"/>
        </w:rPr>
      </w:pPr>
      <w:r w:rsidRPr="00F64448">
        <w:rPr>
          <w:rFonts w:eastAsia="Times New Roman"/>
          <w:sz w:val="22"/>
          <w:szCs w:val="22"/>
          <w:lang w:eastAsia="es-ES"/>
        </w:rPr>
        <w:t>[…]</w:t>
      </w:r>
    </w:p>
    <w:p w14:paraId="175AFA96" w14:textId="1F706097" w:rsidR="003F6853" w:rsidRPr="00F64448" w:rsidRDefault="00A324F9" w:rsidP="003F6853">
      <w:pPr>
        <w:ind w:left="708" w:right="-93"/>
        <w:rPr>
          <w:sz w:val="22"/>
          <w:szCs w:val="22"/>
          <w:u w:val="single"/>
          <w:lang w:val="es-MX"/>
        </w:rPr>
      </w:pPr>
      <w:r w:rsidRPr="00F64448">
        <w:rPr>
          <w:rFonts w:eastAsia="Times New Roman"/>
          <w:sz w:val="22"/>
          <w:szCs w:val="22"/>
          <w:lang w:eastAsia="es-ES"/>
        </w:rPr>
        <w:t xml:space="preserve">iii) Es un daño autónomo: </w:t>
      </w:r>
      <w:r w:rsidR="003F6853" w:rsidRPr="00F64448">
        <w:rPr>
          <w:sz w:val="22"/>
          <w:szCs w:val="22"/>
          <w:lang w:val="es-MX"/>
        </w:rPr>
        <w:t xml:space="preserve">no depende de otras categorías de daños, porque no está condicionado a la configuración de otros tradicionalmente reconocidos, como los perjuicios materiales, el daño a la salud y el daño moral, ni depende del agotamiento previo de otros requisitos, </w:t>
      </w:r>
      <w:r w:rsidR="003F6853" w:rsidRPr="00F64448">
        <w:rPr>
          <w:sz w:val="22"/>
          <w:szCs w:val="22"/>
          <w:u w:val="single"/>
          <w:lang w:val="es-MX"/>
        </w:rPr>
        <w:t>ya que su concreción se realiza mediante presupuestos de configuración propios, que se comprueban o acreditan en cada situación fáctica particular</w:t>
      </w:r>
    </w:p>
    <w:p w14:paraId="7644D377" w14:textId="77777777" w:rsidR="003F6853" w:rsidRPr="00F64448" w:rsidRDefault="003F6853" w:rsidP="003F6853">
      <w:pPr>
        <w:ind w:left="708" w:right="-93"/>
        <w:rPr>
          <w:sz w:val="22"/>
          <w:szCs w:val="22"/>
          <w:lang w:val="es-MX"/>
        </w:rPr>
      </w:pPr>
      <w:r w:rsidRPr="00F64448">
        <w:rPr>
          <w:sz w:val="22"/>
          <w:szCs w:val="22"/>
          <w:lang w:val="es-MX"/>
        </w:rPr>
        <w:t>[…]</w:t>
      </w:r>
    </w:p>
    <w:p w14:paraId="3C6411F7" w14:textId="40C094D3" w:rsidR="00A324F9" w:rsidRPr="00F64448" w:rsidRDefault="00A324F9" w:rsidP="003F6853">
      <w:pPr>
        <w:ind w:left="708" w:right="-93"/>
        <w:rPr>
          <w:sz w:val="22"/>
          <w:szCs w:val="22"/>
          <w:lang w:val="es-MX"/>
        </w:rPr>
      </w:pPr>
      <w:r w:rsidRPr="00F64448">
        <w:rPr>
          <w:sz w:val="22"/>
          <w:szCs w:val="22"/>
          <w:lang w:val="es-MX"/>
        </w:rPr>
        <w:lastRenderedPageBreak/>
        <w:t>15.4.2. La reparación del referido daño abarca los siguientes aspectos:</w:t>
      </w:r>
    </w:p>
    <w:p w14:paraId="6611FF41" w14:textId="28C05F2B" w:rsidR="00A324F9" w:rsidRPr="00F64448" w:rsidRDefault="00A324F9" w:rsidP="003F6853">
      <w:pPr>
        <w:ind w:left="708" w:right="-93"/>
        <w:rPr>
          <w:sz w:val="22"/>
          <w:szCs w:val="22"/>
          <w:lang w:val="es-MX"/>
        </w:rPr>
      </w:pPr>
      <w:r w:rsidRPr="00F64448">
        <w:rPr>
          <w:sz w:val="22"/>
          <w:szCs w:val="22"/>
          <w:lang w:val="es-MX"/>
        </w:rPr>
        <w:t>[…]</w:t>
      </w:r>
    </w:p>
    <w:p w14:paraId="78217706" w14:textId="232ACF6B" w:rsidR="003F6C71" w:rsidRPr="00F64448" w:rsidRDefault="00A324F9" w:rsidP="003F6853">
      <w:pPr>
        <w:ind w:left="708" w:right="-93"/>
        <w:rPr>
          <w:sz w:val="22"/>
          <w:szCs w:val="22"/>
          <w:u w:val="single"/>
          <w:lang w:val="es-MX"/>
        </w:rPr>
      </w:pPr>
      <w:r w:rsidRPr="00F64448">
        <w:rPr>
          <w:sz w:val="22"/>
          <w:szCs w:val="22"/>
          <w:lang w:val="es-MX"/>
        </w:rPr>
        <w:t xml:space="preserve">ii) </w:t>
      </w:r>
      <w:r w:rsidR="003F6853" w:rsidRPr="00F64448">
        <w:rPr>
          <w:sz w:val="22"/>
          <w:szCs w:val="22"/>
          <w:lang w:val="es-MX"/>
        </w:rPr>
        <w:t xml:space="preserve">La reparación del daño es dispositiva: si bien las medidas de reparación de este tipo de daños pueden serlo a petición de parte, también operan de oficio, </w:t>
      </w:r>
      <w:r w:rsidR="003F6853" w:rsidRPr="00F64448">
        <w:rPr>
          <w:sz w:val="22"/>
          <w:szCs w:val="22"/>
          <w:u w:val="single"/>
          <w:lang w:val="es-MX"/>
        </w:rPr>
        <w:t>siempre y cuando aparezca acreditada su existencia</w:t>
      </w:r>
    </w:p>
    <w:p w14:paraId="6C25CEFE" w14:textId="3806E0F8" w:rsidR="003F6C71" w:rsidRDefault="003F6C71" w:rsidP="003F6853">
      <w:pPr>
        <w:ind w:left="708" w:right="-93"/>
        <w:rPr>
          <w:sz w:val="22"/>
          <w:szCs w:val="22"/>
          <w:u w:val="single"/>
          <w:lang w:val="es-MX"/>
        </w:rPr>
      </w:pPr>
      <w:r w:rsidRPr="00F64448">
        <w:rPr>
          <w:sz w:val="22"/>
          <w:szCs w:val="22"/>
          <w:u w:val="single"/>
          <w:lang w:val="es-MX"/>
        </w:rPr>
        <w:t>[…]</w:t>
      </w:r>
    </w:p>
    <w:p w14:paraId="5C620F47" w14:textId="77777777" w:rsidR="00AB1528" w:rsidRPr="00F64448" w:rsidRDefault="00AB1528" w:rsidP="003F6853">
      <w:pPr>
        <w:ind w:left="708" w:right="-93"/>
        <w:rPr>
          <w:sz w:val="22"/>
          <w:szCs w:val="22"/>
          <w:u w:val="single"/>
          <w:lang w:val="es-MX"/>
        </w:rPr>
      </w:pPr>
    </w:p>
    <w:tbl>
      <w:tblPr>
        <w:tblW w:w="793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843"/>
        <w:gridCol w:w="3260"/>
      </w:tblGrid>
      <w:tr w:rsidR="003F6C71" w:rsidRPr="00F64448" w14:paraId="42B903B7" w14:textId="77777777" w:rsidTr="003720BB">
        <w:trPr>
          <w:jc w:val="right"/>
        </w:trPr>
        <w:tc>
          <w:tcPr>
            <w:tcW w:w="7938" w:type="dxa"/>
            <w:gridSpan w:val="3"/>
            <w:shd w:val="clear" w:color="auto" w:fill="auto"/>
          </w:tcPr>
          <w:p w14:paraId="4D7954DA" w14:textId="77777777" w:rsidR="003F6C71" w:rsidRPr="00AB1528" w:rsidRDefault="003F6C71" w:rsidP="00713740">
            <w:pPr>
              <w:spacing w:line="360" w:lineRule="auto"/>
              <w:jc w:val="center"/>
              <w:rPr>
                <w:b/>
                <w:sz w:val="22"/>
                <w:szCs w:val="22"/>
              </w:rPr>
            </w:pPr>
            <w:r w:rsidRPr="00AB1528">
              <w:rPr>
                <w:b/>
                <w:sz w:val="22"/>
                <w:szCs w:val="22"/>
              </w:rPr>
              <w:t>REPARACIÓN NO PECUNIARIA</w:t>
            </w:r>
          </w:p>
        </w:tc>
      </w:tr>
      <w:tr w:rsidR="003F6C71" w:rsidRPr="00F64448" w14:paraId="29F7EBB4" w14:textId="77777777" w:rsidTr="003720BB">
        <w:trPr>
          <w:jc w:val="right"/>
        </w:trPr>
        <w:tc>
          <w:tcPr>
            <w:tcW w:w="7938" w:type="dxa"/>
            <w:gridSpan w:val="3"/>
            <w:shd w:val="clear" w:color="auto" w:fill="auto"/>
          </w:tcPr>
          <w:p w14:paraId="4ED0591F" w14:textId="77777777" w:rsidR="003F6C71" w:rsidRPr="00AB1528" w:rsidRDefault="003F6C71" w:rsidP="00713740">
            <w:pPr>
              <w:spacing w:line="360" w:lineRule="auto"/>
              <w:jc w:val="center"/>
              <w:rPr>
                <w:b/>
                <w:sz w:val="22"/>
                <w:szCs w:val="22"/>
              </w:rPr>
            </w:pPr>
            <w:r w:rsidRPr="00AB1528">
              <w:rPr>
                <w:b/>
                <w:sz w:val="22"/>
                <w:szCs w:val="22"/>
              </w:rPr>
              <w:t>AFECTACIÓN O VULNERACIÓN RELEVANTE DE BIENES O DERECHOS CONVENCIONAL Y CONSTITUCIONALMENTE AMPARADOS</w:t>
            </w:r>
          </w:p>
        </w:tc>
      </w:tr>
      <w:tr w:rsidR="003F6C71" w:rsidRPr="00F64448" w14:paraId="4227EF29" w14:textId="77777777" w:rsidTr="003720BB">
        <w:trPr>
          <w:jc w:val="right"/>
        </w:trPr>
        <w:tc>
          <w:tcPr>
            <w:tcW w:w="2835" w:type="dxa"/>
            <w:shd w:val="clear" w:color="auto" w:fill="auto"/>
          </w:tcPr>
          <w:p w14:paraId="271A3262" w14:textId="77777777" w:rsidR="003F6C71" w:rsidRPr="00F64448" w:rsidRDefault="003F6C71" w:rsidP="00713740">
            <w:pPr>
              <w:spacing w:line="360" w:lineRule="auto"/>
              <w:jc w:val="center"/>
              <w:rPr>
                <w:b/>
                <w:sz w:val="22"/>
                <w:szCs w:val="22"/>
              </w:rPr>
            </w:pPr>
            <w:r w:rsidRPr="00F64448">
              <w:rPr>
                <w:b/>
                <w:sz w:val="22"/>
                <w:szCs w:val="22"/>
              </w:rPr>
              <w:t>Criterio</w:t>
            </w:r>
          </w:p>
        </w:tc>
        <w:tc>
          <w:tcPr>
            <w:tcW w:w="1843" w:type="dxa"/>
            <w:shd w:val="clear" w:color="auto" w:fill="auto"/>
          </w:tcPr>
          <w:p w14:paraId="330B92D9" w14:textId="77777777" w:rsidR="003F6C71" w:rsidRPr="00F64448" w:rsidRDefault="003F6C71" w:rsidP="00713740">
            <w:pPr>
              <w:spacing w:line="360" w:lineRule="auto"/>
              <w:rPr>
                <w:b/>
                <w:sz w:val="22"/>
                <w:szCs w:val="22"/>
              </w:rPr>
            </w:pPr>
            <w:r w:rsidRPr="00F64448">
              <w:rPr>
                <w:b/>
                <w:sz w:val="22"/>
                <w:szCs w:val="22"/>
              </w:rPr>
              <w:t xml:space="preserve">Tipo de medida </w:t>
            </w:r>
          </w:p>
        </w:tc>
        <w:tc>
          <w:tcPr>
            <w:tcW w:w="3260" w:type="dxa"/>
            <w:shd w:val="clear" w:color="auto" w:fill="auto"/>
          </w:tcPr>
          <w:p w14:paraId="5E0D5FFA" w14:textId="77777777" w:rsidR="003F6C71" w:rsidRPr="00F64448" w:rsidRDefault="003F6C71" w:rsidP="00713740">
            <w:pPr>
              <w:spacing w:line="360" w:lineRule="auto"/>
              <w:jc w:val="center"/>
              <w:rPr>
                <w:b/>
                <w:sz w:val="22"/>
                <w:szCs w:val="22"/>
              </w:rPr>
            </w:pPr>
            <w:r w:rsidRPr="00F64448">
              <w:rPr>
                <w:b/>
                <w:sz w:val="22"/>
                <w:szCs w:val="22"/>
              </w:rPr>
              <w:t>Modulación</w:t>
            </w:r>
          </w:p>
        </w:tc>
      </w:tr>
      <w:tr w:rsidR="003F6C71" w:rsidRPr="00F64448" w14:paraId="4B35DB2B" w14:textId="77777777" w:rsidTr="003720BB">
        <w:trPr>
          <w:jc w:val="right"/>
        </w:trPr>
        <w:tc>
          <w:tcPr>
            <w:tcW w:w="2835" w:type="dxa"/>
            <w:shd w:val="clear" w:color="auto" w:fill="auto"/>
          </w:tcPr>
          <w:p w14:paraId="110EBC9B" w14:textId="77777777" w:rsidR="003F6C71" w:rsidRPr="00F64448" w:rsidRDefault="003F6C71" w:rsidP="00F64448">
            <w:pPr>
              <w:rPr>
                <w:sz w:val="22"/>
                <w:szCs w:val="22"/>
              </w:rPr>
            </w:pPr>
            <w:r w:rsidRPr="00F64448">
              <w:rPr>
                <w:sz w:val="22"/>
                <w:szCs w:val="22"/>
              </w:rPr>
              <w:t>En caso de vulneraciones o afectaciones relevantes a bienes o derechos convencional y constitucionalmente amparados.</w:t>
            </w:r>
          </w:p>
        </w:tc>
        <w:tc>
          <w:tcPr>
            <w:tcW w:w="1843" w:type="dxa"/>
            <w:shd w:val="clear" w:color="auto" w:fill="auto"/>
          </w:tcPr>
          <w:p w14:paraId="7D664F6F" w14:textId="77777777" w:rsidR="003F6C71" w:rsidRPr="00F64448" w:rsidRDefault="003F6C71" w:rsidP="00713740">
            <w:pPr>
              <w:rPr>
                <w:sz w:val="22"/>
                <w:szCs w:val="22"/>
              </w:rPr>
            </w:pPr>
            <w:r w:rsidRPr="00F64448">
              <w:rPr>
                <w:sz w:val="22"/>
                <w:szCs w:val="22"/>
              </w:rPr>
              <w:t xml:space="preserve">Medidas de reparación integral no pecuniarias </w:t>
            </w:r>
          </w:p>
        </w:tc>
        <w:tc>
          <w:tcPr>
            <w:tcW w:w="3260" w:type="dxa"/>
            <w:shd w:val="clear" w:color="auto" w:fill="auto"/>
          </w:tcPr>
          <w:p w14:paraId="59026051" w14:textId="77777777" w:rsidR="003F6C71" w:rsidRPr="00F64448" w:rsidRDefault="003F6C71" w:rsidP="00713740">
            <w:pPr>
              <w:rPr>
                <w:sz w:val="22"/>
                <w:szCs w:val="22"/>
              </w:rPr>
            </w:pPr>
            <w:r w:rsidRPr="00F64448">
              <w:rPr>
                <w:sz w:val="22"/>
                <w:szCs w:val="22"/>
                <w:u w:val="single"/>
              </w:rPr>
              <w:t>De acuerdo con los hechos probados,</w:t>
            </w:r>
            <w:r w:rsidRPr="00F64448">
              <w:rPr>
                <w:sz w:val="22"/>
                <w:szCs w:val="22"/>
              </w:rPr>
              <w:t xml:space="preserve"> la oportunidad y pertinencia de los mismos, se ordenará medidas </w:t>
            </w:r>
            <w:proofErr w:type="spellStart"/>
            <w:r w:rsidRPr="00F64448">
              <w:rPr>
                <w:sz w:val="22"/>
                <w:szCs w:val="22"/>
              </w:rPr>
              <w:t>reparatorias</w:t>
            </w:r>
            <w:proofErr w:type="spellEnd"/>
            <w:r w:rsidRPr="00F64448">
              <w:rPr>
                <w:sz w:val="22"/>
                <w:szCs w:val="22"/>
              </w:rPr>
              <w:t xml:space="preserve"> no indemnizatorias a favor de la víctima directa y de su núcleo familiar más cercano.</w:t>
            </w:r>
          </w:p>
        </w:tc>
      </w:tr>
    </w:tbl>
    <w:p w14:paraId="720F62A2" w14:textId="33B88008" w:rsidR="003F6853" w:rsidRPr="003F6853" w:rsidRDefault="003F6C71" w:rsidP="003F6853">
      <w:pPr>
        <w:ind w:left="708" w:right="-93"/>
        <w:rPr>
          <w:rFonts w:eastAsia="Times New Roman"/>
          <w:sz w:val="22"/>
          <w:szCs w:val="22"/>
          <w:lang w:eastAsia="es-ES"/>
        </w:rPr>
      </w:pPr>
      <w:r w:rsidRPr="00F64448">
        <w:rPr>
          <w:sz w:val="22"/>
          <w:szCs w:val="22"/>
          <w:lang w:val="es-MX"/>
        </w:rPr>
        <w:t>[…]</w:t>
      </w:r>
      <w:r w:rsidR="003F6853" w:rsidRPr="00F64448">
        <w:rPr>
          <w:sz w:val="22"/>
          <w:szCs w:val="22"/>
          <w:lang w:val="es-MX"/>
        </w:rPr>
        <w:t>”</w:t>
      </w:r>
      <w:r w:rsidR="00F2795A" w:rsidRPr="00F64448">
        <w:rPr>
          <w:sz w:val="22"/>
          <w:szCs w:val="22"/>
          <w:lang w:val="es-MX"/>
        </w:rPr>
        <w:t xml:space="preserve"> (La Sala subraya)</w:t>
      </w:r>
      <w:r w:rsidR="003F6853" w:rsidRPr="00F64448">
        <w:rPr>
          <w:sz w:val="22"/>
          <w:szCs w:val="22"/>
          <w:lang w:val="es-MX"/>
        </w:rPr>
        <w:t>.</w:t>
      </w:r>
    </w:p>
    <w:p w14:paraId="55BD815E" w14:textId="77777777" w:rsidR="007148B2" w:rsidRDefault="007148B2" w:rsidP="007148B2">
      <w:pPr>
        <w:ind w:right="-93"/>
        <w:rPr>
          <w:rFonts w:eastAsia="Times New Roman"/>
          <w:sz w:val="24"/>
          <w:szCs w:val="24"/>
          <w:lang w:eastAsia="es-ES"/>
        </w:rPr>
      </w:pPr>
    </w:p>
    <w:p w14:paraId="72339A7A" w14:textId="428B8BAA" w:rsidR="008B7868" w:rsidRDefault="003720BB" w:rsidP="003720BB">
      <w:pPr>
        <w:ind w:right="-93"/>
        <w:rPr>
          <w:rFonts w:eastAsia="Times New Roman"/>
          <w:sz w:val="24"/>
          <w:szCs w:val="24"/>
          <w:lang w:val="es-ES" w:eastAsia="es-ES"/>
        </w:rPr>
      </w:pPr>
      <w:r>
        <w:rPr>
          <w:rFonts w:eastAsia="Times New Roman"/>
          <w:sz w:val="24"/>
          <w:szCs w:val="24"/>
          <w:lang w:val="es-ES" w:eastAsia="es-ES"/>
        </w:rPr>
        <w:t>Los anteriores parámetros sobre la clasificación de daños</w:t>
      </w:r>
      <w:r w:rsidR="009667AF">
        <w:rPr>
          <w:rFonts w:eastAsia="Times New Roman"/>
          <w:sz w:val="24"/>
          <w:szCs w:val="24"/>
          <w:lang w:val="es-ES" w:eastAsia="es-ES"/>
        </w:rPr>
        <w:t xml:space="preserve"> inmateriales</w:t>
      </w:r>
      <w:r>
        <w:rPr>
          <w:rFonts w:eastAsia="Times New Roman"/>
          <w:sz w:val="24"/>
          <w:szCs w:val="24"/>
          <w:lang w:val="es-ES" w:eastAsia="es-ES"/>
        </w:rPr>
        <w:t xml:space="preserve">, si bien en un principio fueron </w:t>
      </w:r>
      <w:r w:rsidR="00AB1528">
        <w:rPr>
          <w:rFonts w:eastAsia="Times New Roman"/>
          <w:sz w:val="24"/>
          <w:szCs w:val="24"/>
          <w:lang w:val="es-ES" w:eastAsia="es-ES"/>
        </w:rPr>
        <w:t>desarrollados</w:t>
      </w:r>
      <w:r>
        <w:rPr>
          <w:rFonts w:eastAsia="Times New Roman"/>
          <w:sz w:val="24"/>
          <w:szCs w:val="24"/>
          <w:lang w:val="es-ES" w:eastAsia="es-ES"/>
        </w:rPr>
        <w:t xml:space="preserve"> en asuntos en los que se abordaron graves violaciones de derechos humanos</w:t>
      </w:r>
      <w:r>
        <w:rPr>
          <w:rStyle w:val="Refdenotaalpie"/>
          <w:rFonts w:eastAsia="Times New Roman"/>
          <w:sz w:val="24"/>
          <w:szCs w:val="24"/>
          <w:lang w:val="es-ES" w:eastAsia="es-ES"/>
        </w:rPr>
        <w:footnoteReference w:id="35"/>
      </w:r>
      <w:r>
        <w:rPr>
          <w:rFonts w:eastAsia="Times New Roman"/>
          <w:sz w:val="24"/>
          <w:szCs w:val="24"/>
          <w:lang w:val="es-ES" w:eastAsia="es-ES"/>
        </w:rPr>
        <w:t>, lo cierto es que la Sección Tercera los ha acogido de manera reiterada</w:t>
      </w:r>
      <w:r w:rsidR="00AB1528">
        <w:rPr>
          <w:rStyle w:val="Refdenotaalpie"/>
          <w:rFonts w:eastAsia="Times New Roman"/>
          <w:sz w:val="24"/>
          <w:szCs w:val="24"/>
          <w:lang w:val="es-ES" w:eastAsia="es-ES"/>
        </w:rPr>
        <w:footnoteReference w:id="36"/>
      </w:r>
      <w:r>
        <w:rPr>
          <w:rFonts w:eastAsia="Times New Roman"/>
          <w:sz w:val="24"/>
          <w:szCs w:val="24"/>
          <w:lang w:val="es-ES" w:eastAsia="es-ES"/>
        </w:rPr>
        <w:t xml:space="preserve"> como criterios para analizar </w:t>
      </w:r>
      <w:r w:rsidR="00755B84">
        <w:rPr>
          <w:rFonts w:eastAsia="Times New Roman"/>
          <w:sz w:val="24"/>
          <w:szCs w:val="24"/>
          <w:lang w:val="es-ES" w:eastAsia="es-ES"/>
        </w:rPr>
        <w:t xml:space="preserve">las </w:t>
      </w:r>
      <w:r>
        <w:rPr>
          <w:rFonts w:eastAsia="Times New Roman"/>
          <w:sz w:val="24"/>
          <w:szCs w:val="24"/>
          <w:lang w:val="es-ES" w:eastAsia="es-ES"/>
        </w:rPr>
        <w:t>pretensiones de</w:t>
      </w:r>
      <w:r w:rsidR="00755B84">
        <w:rPr>
          <w:rFonts w:eastAsia="Times New Roman"/>
          <w:sz w:val="24"/>
          <w:szCs w:val="24"/>
          <w:lang w:val="es-ES" w:eastAsia="es-ES"/>
        </w:rPr>
        <w:t xml:space="preserve"> los</w:t>
      </w:r>
      <w:r>
        <w:rPr>
          <w:rFonts w:eastAsia="Times New Roman"/>
          <w:sz w:val="24"/>
          <w:szCs w:val="24"/>
          <w:lang w:val="es-ES" w:eastAsia="es-ES"/>
        </w:rPr>
        <w:t xml:space="preserve"> demandantes que involucran est</w:t>
      </w:r>
      <w:r w:rsidR="00A64313">
        <w:rPr>
          <w:rFonts w:eastAsia="Times New Roman"/>
          <w:sz w:val="24"/>
          <w:szCs w:val="24"/>
          <w:lang w:val="es-ES" w:eastAsia="es-ES"/>
        </w:rPr>
        <w:t>a</w:t>
      </w:r>
      <w:r>
        <w:rPr>
          <w:rFonts w:eastAsia="Times New Roman"/>
          <w:sz w:val="24"/>
          <w:szCs w:val="24"/>
          <w:lang w:val="es-ES" w:eastAsia="es-ES"/>
        </w:rPr>
        <w:t xml:space="preserve"> clase de perjuicios</w:t>
      </w:r>
      <w:r w:rsidR="006513B3">
        <w:rPr>
          <w:rFonts w:eastAsia="Times New Roman"/>
          <w:sz w:val="24"/>
          <w:szCs w:val="24"/>
          <w:lang w:val="es-ES" w:eastAsia="es-ES"/>
        </w:rPr>
        <w:t>,</w:t>
      </w:r>
      <w:r w:rsidR="00755B84">
        <w:rPr>
          <w:rFonts w:eastAsia="Times New Roman"/>
          <w:sz w:val="24"/>
          <w:szCs w:val="24"/>
          <w:lang w:val="es-ES" w:eastAsia="es-ES"/>
        </w:rPr>
        <w:t xml:space="preserve"> en cualquier asunto. </w:t>
      </w:r>
    </w:p>
    <w:p w14:paraId="26B80D54" w14:textId="77777777" w:rsidR="009667AF" w:rsidRDefault="009667AF" w:rsidP="003720BB">
      <w:pPr>
        <w:ind w:right="-93"/>
        <w:rPr>
          <w:rFonts w:eastAsia="Times New Roman"/>
          <w:sz w:val="24"/>
          <w:szCs w:val="24"/>
          <w:lang w:val="es-ES" w:eastAsia="es-ES"/>
        </w:rPr>
      </w:pPr>
    </w:p>
    <w:p w14:paraId="296E68FA" w14:textId="624FCB02" w:rsidR="008B7868" w:rsidRDefault="008B7868" w:rsidP="003720BB">
      <w:pPr>
        <w:ind w:right="-93"/>
        <w:rPr>
          <w:rFonts w:eastAsia="Times New Roman"/>
          <w:sz w:val="24"/>
          <w:szCs w:val="24"/>
          <w:lang w:val="es-ES" w:eastAsia="es-ES"/>
        </w:rPr>
      </w:pPr>
      <w:r>
        <w:rPr>
          <w:rFonts w:eastAsia="Times New Roman"/>
          <w:sz w:val="24"/>
          <w:szCs w:val="24"/>
          <w:lang w:val="es-ES" w:eastAsia="es-ES"/>
        </w:rPr>
        <w:t xml:space="preserve">En especial, </w:t>
      </w:r>
      <w:r w:rsidR="006623F8">
        <w:rPr>
          <w:rFonts w:eastAsia="Times New Roman"/>
          <w:sz w:val="24"/>
          <w:szCs w:val="24"/>
          <w:lang w:val="es-ES" w:eastAsia="es-ES"/>
        </w:rPr>
        <w:t>la autoridad judicial referida</w:t>
      </w:r>
      <w:r>
        <w:rPr>
          <w:rFonts w:eastAsia="Times New Roman"/>
          <w:sz w:val="24"/>
          <w:szCs w:val="24"/>
          <w:lang w:val="es-ES" w:eastAsia="es-ES"/>
        </w:rPr>
        <w:t xml:space="preserve"> ha destacado</w:t>
      </w:r>
      <w:r w:rsidR="006513B3">
        <w:rPr>
          <w:rFonts w:eastAsia="Times New Roman"/>
          <w:sz w:val="24"/>
          <w:szCs w:val="24"/>
          <w:lang w:val="es-ES" w:eastAsia="es-ES"/>
        </w:rPr>
        <w:t xml:space="preserve"> como </w:t>
      </w:r>
      <w:r>
        <w:rPr>
          <w:rFonts w:eastAsia="Times New Roman"/>
          <w:sz w:val="24"/>
          <w:szCs w:val="24"/>
          <w:lang w:val="es-ES" w:eastAsia="es-ES"/>
        </w:rPr>
        <w:t>requisito necesario para proceder al reconocimiento de las afectaciones relevante</w:t>
      </w:r>
      <w:r w:rsidR="00276FCE">
        <w:rPr>
          <w:rFonts w:eastAsia="Times New Roman"/>
          <w:sz w:val="24"/>
          <w:szCs w:val="24"/>
          <w:lang w:val="es-ES" w:eastAsia="es-ES"/>
        </w:rPr>
        <w:t>s</w:t>
      </w:r>
      <w:r>
        <w:rPr>
          <w:rFonts w:eastAsia="Times New Roman"/>
          <w:sz w:val="24"/>
          <w:szCs w:val="24"/>
          <w:lang w:val="es-ES" w:eastAsia="es-ES"/>
        </w:rPr>
        <w:t xml:space="preserve"> de bienes o derechos convencional y constitucionalmente amparados, que </w:t>
      </w:r>
      <w:r w:rsidR="008B2AF3">
        <w:rPr>
          <w:rFonts w:eastAsia="Times New Roman"/>
          <w:sz w:val="24"/>
          <w:szCs w:val="24"/>
          <w:lang w:val="es-ES" w:eastAsia="es-ES"/>
        </w:rPr>
        <w:t xml:space="preserve">el perjuicio </w:t>
      </w:r>
      <w:r>
        <w:rPr>
          <w:rFonts w:eastAsia="Times New Roman"/>
          <w:sz w:val="24"/>
          <w:szCs w:val="24"/>
          <w:lang w:val="es-ES" w:eastAsia="es-ES"/>
        </w:rPr>
        <w:t xml:space="preserve">se encuentre </w:t>
      </w:r>
      <w:r w:rsidR="008B2AF3">
        <w:rPr>
          <w:rFonts w:eastAsia="Times New Roman"/>
          <w:sz w:val="24"/>
          <w:szCs w:val="24"/>
          <w:lang w:val="es-ES" w:eastAsia="es-ES"/>
        </w:rPr>
        <w:t>acreditado</w:t>
      </w:r>
      <w:r w:rsidR="00AB1528">
        <w:rPr>
          <w:rFonts w:eastAsia="Times New Roman"/>
          <w:sz w:val="24"/>
          <w:szCs w:val="24"/>
          <w:lang w:val="es-ES" w:eastAsia="es-ES"/>
        </w:rPr>
        <w:t xml:space="preserve"> dentro </w:t>
      </w:r>
      <w:r w:rsidR="00D11E2D">
        <w:rPr>
          <w:rFonts w:eastAsia="Times New Roman"/>
          <w:sz w:val="24"/>
          <w:szCs w:val="24"/>
          <w:lang w:val="es-ES" w:eastAsia="es-ES"/>
        </w:rPr>
        <w:t>del proceso, es decir</w:t>
      </w:r>
      <w:r w:rsidR="00670785">
        <w:rPr>
          <w:rFonts w:eastAsia="Times New Roman"/>
          <w:sz w:val="24"/>
          <w:szCs w:val="24"/>
          <w:lang w:val="es-ES" w:eastAsia="es-ES"/>
        </w:rPr>
        <w:t xml:space="preserve"> que</w:t>
      </w:r>
      <w:r w:rsidR="00D11E2D">
        <w:rPr>
          <w:rFonts w:eastAsia="Times New Roman"/>
          <w:sz w:val="24"/>
          <w:szCs w:val="24"/>
          <w:lang w:val="es-ES" w:eastAsia="es-ES"/>
        </w:rPr>
        <w:t xml:space="preserve">, no acudió </w:t>
      </w:r>
      <w:r w:rsidR="00AB1528">
        <w:rPr>
          <w:rFonts w:eastAsia="Times New Roman"/>
          <w:sz w:val="24"/>
          <w:szCs w:val="24"/>
          <w:lang w:val="es-ES" w:eastAsia="es-ES"/>
        </w:rPr>
        <w:t>a algún tipo de presunción sobre este daño.</w:t>
      </w:r>
      <w:r>
        <w:rPr>
          <w:rFonts w:eastAsia="Times New Roman"/>
          <w:sz w:val="24"/>
          <w:szCs w:val="24"/>
          <w:lang w:val="es-ES" w:eastAsia="es-ES"/>
        </w:rPr>
        <w:t xml:space="preserve"> </w:t>
      </w:r>
    </w:p>
    <w:p w14:paraId="1294AD4F" w14:textId="77777777" w:rsidR="008B7868" w:rsidRDefault="008B7868" w:rsidP="003720BB">
      <w:pPr>
        <w:ind w:right="-93"/>
        <w:rPr>
          <w:rFonts w:eastAsia="Times New Roman"/>
          <w:sz w:val="24"/>
          <w:szCs w:val="24"/>
          <w:lang w:val="es-ES" w:eastAsia="es-ES"/>
        </w:rPr>
      </w:pPr>
    </w:p>
    <w:p w14:paraId="46831A67" w14:textId="3BB0E293" w:rsidR="003720BB" w:rsidRDefault="008B7868" w:rsidP="003720BB">
      <w:pPr>
        <w:ind w:right="-93"/>
        <w:rPr>
          <w:rFonts w:eastAsia="Times New Roman"/>
          <w:sz w:val="24"/>
          <w:szCs w:val="24"/>
          <w:lang w:val="es-ES" w:eastAsia="es-ES"/>
        </w:rPr>
      </w:pPr>
      <w:r>
        <w:rPr>
          <w:rFonts w:eastAsia="Times New Roman"/>
          <w:sz w:val="24"/>
          <w:szCs w:val="24"/>
          <w:lang w:val="es-ES" w:eastAsia="es-ES"/>
        </w:rPr>
        <w:t xml:space="preserve">Así, por ejemplo, </w:t>
      </w:r>
      <w:r w:rsidR="005F37AF">
        <w:rPr>
          <w:rFonts w:eastAsia="Times New Roman"/>
          <w:sz w:val="24"/>
          <w:szCs w:val="24"/>
          <w:lang w:val="es-ES" w:eastAsia="es-ES"/>
        </w:rPr>
        <w:t>la Subsección A de la Sección Tercera del Consejo de Estado</w:t>
      </w:r>
      <w:r w:rsidR="005F37AF">
        <w:rPr>
          <w:rStyle w:val="Refdenotaalpie"/>
          <w:rFonts w:eastAsia="Times New Roman"/>
          <w:sz w:val="24"/>
          <w:szCs w:val="24"/>
          <w:lang w:val="es-ES" w:eastAsia="es-ES"/>
        </w:rPr>
        <w:footnoteReference w:id="37"/>
      </w:r>
      <w:r w:rsidR="005F37AF">
        <w:rPr>
          <w:rFonts w:eastAsia="Times New Roman"/>
          <w:sz w:val="24"/>
          <w:szCs w:val="24"/>
          <w:lang w:val="es-ES" w:eastAsia="es-ES"/>
        </w:rPr>
        <w:t xml:space="preserve">, </w:t>
      </w:r>
      <w:r>
        <w:rPr>
          <w:rFonts w:eastAsia="Times New Roman"/>
          <w:sz w:val="24"/>
          <w:szCs w:val="24"/>
          <w:lang w:val="es-ES" w:eastAsia="es-ES"/>
        </w:rPr>
        <w:t xml:space="preserve">en </w:t>
      </w:r>
      <w:r w:rsidR="005F37AF">
        <w:rPr>
          <w:rFonts w:eastAsia="Times New Roman"/>
          <w:sz w:val="24"/>
          <w:szCs w:val="24"/>
          <w:lang w:val="es-ES" w:eastAsia="es-ES"/>
        </w:rPr>
        <w:t xml:space="preserve">la </w:t>
      </w:r>
      <w:r>
        <w:rPr>
          <w:rFonts w:eastAsia="Times New Roman"/>
          <w:sz w:val="24"/>
          <w:szCs w:val="24"/>
          <w:lang w:val="es-ES" w:eastAsia="es-ES"/>
        </w:rPr>
        <w:t xml:space="preserve">sentencia </w:t>
      </w:r>
      <w:r w:rsidR="005F37AF">
        <w:rPr>
          <w:rFonts w:eastAsia="Times New Roman"/>
          <w:sz w:val="24"/>
          <w:szCs w:val="24"/>
          <w:lang w:val="es-ES" w:eastAsia="es-ES"/>
        </w:rPr>
        <w:t xml:space="preserve">proferida </w:t>
      </w:r>
      <w:r>
        <w:rPr>
          <w:rFonts w:eastAsia="Times New Roman"/>
          <w:sz w:val="24"/>
          <w:szCs w:val="24"/>
          <w:lang w:val="es-ES" w:eastAsia="es-ES"/>
        </w:rPr>
        <w:t>el 6 de julio de 2020</w:t>
      </w:r>
      <w:r w:rsidR="005F37AF">
        <w:rPr>
          <w:rFonts w:eastAsia="Times New Roman"/>
          <w:sz w:val="24"/>
          <w:szCs w:val="24"/>
          <w:lang w:val="es-ES" w:eastAsia="es-ES"/>
        </w:rPr>
        <w:t>,</w:t>
      </w:r>
      <w:r w:rsidR="00670785">
        <w:rPr>
          <w:rFonts w:eastAsia="Times New Roman"/>
          <w:sz w:val="24"/>
          <w:szCs w:val="24"/>
          <w:lang w:val="es-ES" w:eastAsia="es-ES"/>
        </w:rPr>
        <w:t xml:space="preserve"> </w:t>
      </w:r>
      <w:r>
        <w:rPr>
          <w:rFonts w:eastAsia="Times New Roman"/>
          <w:sz w:val="24"/>
          <w:szCs w:val="24"/>
          <w:lang w:val="es-ES" w:eastAsia="es-ES"/>
        </w:rPr>
        <w:t xml:space="preserve">analizó la pretensión de </w:t>
      </w:r>
      <w:r w:rsidR="00AB1528">
        <w:rPr>
          <w:rFonts w:eastAsia="Times New Roman"/>
          <w:sz w:val="24"/>
          <w:szCs w:val="24"/>
          <w:lang w:val="es-ES" w:eastAsia="es-ES"/>
        </w:rPr>
        <w:t>resarcimiento</w:t>
      </w:r>
      <w:r>
        <w:rPr>
          <w:rFonts w:eastAsia="Times New Roman"/>
          <w:sz w:val="24"/>
          <w:szCs w:val="24"/>
          <w:lang w:val="es-ES" w:eastAsia="es-ES"/>
        </w:rPr>
        <w:t xml:space="preserve"> </w:t>
      </w:r>
      <w:r w:rsidR="009667AF">
        <w:rPr>
          <w:rFonts w:eastAsia="Times New Roman"/>
          <w:sz w:val="24"/>
          <w:szCs w:val="24"/>
          <w:lang w:val="es-ES" w:eastAsia="es-ES"/>
        </w:rPr>
        <w:t xml:space="preserve">al buen nombre </w:t>
      </w:r>
      <w:r>
        <w:rPr>
          <w:rFonts w:eastAsia="Times New Roman"/>
          <w:sz w:val="24"/>
          <w:szCs w:val="24"/>
          <w:lang w:val="es-ES" w:eastAsia="es-ES"/>
        </w:rPr>
        <w:t xml:space="preserve">en un proceso de reparación directa iniciado por privación injusta de la libertad, </w:t>
      </w:r>
      <w:r w:rsidR="005F37AF">
        <w:rPr>
          <w:rFonts w:eastAsia="Times New Roman"/>
          <w:sz w:val="24"/>
          <w:szCs w:val="24"/>
          <w:lang w:val="es-ES" w:eastAsia="es-ES"/>
        </w:rPr>
        <w:t xml:space="preserve">y </w:t>
      </w:r>
      <w:r>
        <w:rPr>
          <w:rFonts w:eastAsia="Times New Roman"/>
          <w:sz w:val="24"/>
          <w:szCs w:val="24"/>
          <w:lang w:val="es-ES" w:eastAsia="es-ES"/>
        </w:rPr>
        <w:t xml:space="preserve">manifestó: </w:t>
      </w:r>
    </w:p>
    <w:p w14:paraId="3F1C311A" w14:textId="77777777" w:rsidR="008B7868" w:rsidRDefault="008B7868" w:rsidP="003720BB">
      <w:pPr>
        <w:ind w:right="-93"/>
        <w:rPr>
          <w:rFonts w:eastAsia="Times New Roman"/>
          <w:sz w:val="24"/>
          <w:szCs w:val="24"/>
          <w:lang w:val="es-ES" w:eastAsia="es-ES"/>
        </w:rPr>
      </w:pPr>
    </w:p>
    <w:p w14:paraId="379482FE" w14:textId="0CC205D3" w:rsidR="008B7868" w:rsidRPr="008B7868" w:rsidRDefault="008B7868" w:rsidP="008B7868">
      <w:pPr>
        <w:ind w:left="708" w:right="-93"/>
        <w:rPr>
          <w:rFonts w:eastAsia="Times New Roman"/>
          <w:sz w:val="22"/>
          <w:szCs w:val="22"/>
          <w:lang w:val="es-ES" w:eastAsia="es-ES"/>
        </w:rPr>
      </w:pPr>
      <w:r w:rsidRPr="008B7868">
        <w:rPr>
          <w:rFonts w:eastAsia="Times New Roman"/>
          <w:sz w:val="22"/>
          <w:szCs w:val="22"/>
          <w:lang w:val="es-ES" w:eastAsia="es-ES"/>
        </w:rPr>
        <w:t xml:space="preserve">“Para resolver sobre este aspecto, es oportuno manifestar que la jurisprudencia de esta Sección, siguiendo los lineamientos planteados en sus sentencias de unificación, se </w:t>
      </w:r>
      <w:r w:rsidRPr="008B7868">
        <w:rPr>
          <w:rFonts w:eastAsia="Times New Roman"/>
          <w:sz w:val="22"/>
          <w:szCs w:val="22"/>
          <w:lang w:val="es-ES" w:eastAsia="es-ES"/>
        </w:rPr>
        <w:lastRenderedPageBreak/>
        <w:t>apartó de la tipología de perjuicio inmaterial denominado perjuicio fisiológico o daño a la vida de relación, para en su lugar reconocer las categorías de daño a la salud (cuando estos provengan de una lesión a la integridad psicofísica de la persona) y de afectación relevante a bienes o derechos convencional y constitucionalmente amparado</w:t>
      </w:r>
      <w:r w:rsidR="00CF7981">
        <w:rPr>
          <w:rFonts w:eastAsia="Times New Roman"/>
          <w:sz w:val="22"/>
          <w:szCs w:val="22"/>
          <w:lang w:val="es-ES" w:eastAsia="es-ES"/>
        </w:rPr>
        <w:t>s</w:t>
      </w:r>
      <w:r w:rsidR="00CF7981" w:rsidRPr="00CF7981">
        <w:rPr>
          <w:rStyle w:val="Refdenotaalpie"/>
          <w:sz w:val="22"/>
          <w:szCs w:val="22"/>
        </w:rPr>
        <w:footnoteReference w:id="38"/>
      </w:r>
      <w:r w:rsidRPr="008B7868">
        <w:rPr>
          <w:rFonts w:eastAsia="Times New Roman"/>
          <w:sz w:val="22"/>
          <w:szCs w:val="22"/>
          <w:lang w:val="es-ES" w:eastAsia="es-ES"/>
        </w:rPr>
        <w:t>, estos últimos que se reconocerán siempre y cuando su concreción se encuentre acreditada dentro del proceso y se precise su reparación integral, teniendo en cuenta la relevancia del caso y la gravedad de los hechos”.</w:t>
      </w:r>
    </w:p>
    <w:p w14:paraId="0A124D5F" w14:textId="77777777" w:rsidR="00911651" w:rsidRDefault="00911651" w:rsidP="007148B2">
      <w:pPr>
        <w:ind w:right="-93"/>
        <w:rPr>
          <w:rFonts w:eastAsia="Times New Roman"/>
          <w:sz w:val="24"/>
          <w:szCs w:val="24"/>
          <w:lang w:eastAsia="es-ES"/>
        </w:rPr>
      </w:pPr>
    </w:p>
    <w:p w14:paraId="7B2EE923" w14:textId="193B8981" w:rsidR="00911651" w:rsidRDefault="00CF7981" w:rsidP="007148B2">
      <w:pPr>
        <w:ind w:right="-93"/>
        <w:rPr>
          <w:rFonts w:eastAsia="Times New Roman"/>
          <w:sz w:val="24"/>
          <w:szCs w:val="24"/>
          <w:lang w:eastAsia="es-ES"/>
        </w:rPr>
      </w:pPr>
      <w:r>
        <w:rPr>
          <w:rFonts w:eastAsia="Times New Roman"/>
          <w:sz w:val="24"/>
          <w:szCs w:val="24"/>
          <w:lang w:eastAsia="es-ES"/>
        </w:rPr>
        <w:t xml:space="preserve">En otra oportunidad, la Subsección B de la Sección Tercera del Consejo de Estado, en sentencia del </w:t>
      </w:r>
      <w:r w:rsidRPr="00CF7981">
        <w:rPr>
          <w:rFonts w:eastAsia="Times New Roman"/>
          <w:sz w:val="24"/>
          <w:szCs w:val="24"/>
          <w:lang w:eastAsia="es-ES"/>
        </w:rPr>
        <w:t>3 de abril de 2020</w:t>
      </w:r>
      <w:r w:rsidR="00112150">
        <w:rPr>
          <w:rStyle w:val="Refdenotaalpie"/>
          <w:rFonts w:eastAsia="Times New Roman"/>
          <w:sz w:val="24"/>
          <w:szCs w:val="24"/>
          <w:lang w:val="es-ES" w:eastAsia="es-ES"/>
        </w:rPr>
        <w:footnoteReference w:id="39"/>
      </w:r>
      <w:r w:rsidR="00670785">
        <w:rPr>
          <w:rFonts w:eastAsia="Times New Roman"/>
          <w:sz w:val="24"/>
          <w:szCs w:val="24"/>
          <w:lang w:eastAsia="es-ES"/>
        </w:rPr>
        <w:t>,</w:t>
      </w:r>
      <w:r>
        <w:rPr>
          <w:rFonts w:eastAsia="Times New Roman"/>
          <w:sz w:val="24"/>
          <w:szCs w:val="24"/>
          <w:lang w:eastAsia="es-ES"/>
        </w:rPr>
        <w:t xml:space="preserve"> resolvió un proceso de reparación di</w:t>
      </w:r>
      <w:r w:rsidR="00670785">
        <w:rPr>
          <w:rFonts w:eastAsia="Times New Roman"/>
          <w:sz w:val="24"/>
          <w:szCs w:val="24"/>
          <w:lang w:eastAsia="es-ES"/>
        </w:rPr>
        <w:t xml:space="preserve">recta por error judicial, </w:t>
      </w:r>
      <w:r w:rsidR="005F37AF">
        <w:rPr>
          <w:rFonts w:eastAsia="Times New Roman"/>
          <w:sz w:val="24"/>
          <w:szCs w:val="24"/>
          <w:lang w:eastAsia="es-ES"/>
        </w:rPr>
        <w:t>y,</w:t>
      </w:r>
      <w:r w:rsidR="00670785">
        <w:rPr>
          <w:rFonts w:eastAsia="Times New Roman"/>
          <w:sz w:val="24"/>
          <w:szCs w:val="24"/>
          <w:lang w:eastAsia="es-ES"/>
        </w:rPr>
        <w:t xml:space="preserve"> </w:t>
      </w:r>
      <w:r w:rsidR="004F3195">
        <w:rPr>
          <w:rFonts w:eastAsia="Times New Roman"/>
          <w:sz w:val="24"/>
          <w:szCs w:val="24"/>
          <w:lang w:eastAsia="es-ES"/>
        </w:rPr>
        <w:t>en relación con la</w:t>
      </w:r>
      <w:r w:rsidR="00287F46">
        <w:rPr>
          <w:rFonts w:eastAsia="Times New Roman"/>
          <w:sz w:val="24"/>
          <w:szCs w:val="24"/>
          <w:lang w:eastAsia="es-ES"/>
        </w:rPr>
        <w:t xml:space="preserve"> manifestación del demandante de su afectación al buen nombre</w:t>
      </w:r>
      <w:r w:rsidR="005F37AF">
        <w:rPr>
          <w:rFonts w:eastAsia="Times New Roman"/>
          <w:sz w:val="24"/>
          <w:szCs w:val="24"/>
          <w:lang w:eastAsia="es-ES"/>
        </w:rPr>
        <w:t>,</w:t>
      </w:r>
      <w:r w:rsidR="005F37AF" w:rsidRPr="005F37AF">
        <w:rPr>
          <w:rFonts w:eastAsia="Times New Roman"/>
          <w:sz w:val="24"/>
          <w:szCs w:val="24"/>
          <w:lang w:eastAsia="es-ES"/>
        </w:rPr>
        <w:t xml:space="preserve"> </w:t>
      </w:r>
      <w:r w:rsidR="005F37AF">
        <w:rPr>
          <w:rFonts w:eastAsia="Times New Roman"/>
          <w:sz w:val="24"/>
          <w:szCs w:val="24"/>
          <w:lang w:eastAsia="es-ES"/>
        </w:rPr>
        <w:t>indicó</w:t>
      </w:r>
      <w:r w:rsidR="008B2AF3">
        <w:rPr>
          <w:rFonts w:eastAsia="Times New Roman"/>
          <w:sz w:val="24"/>
          <w:szCs w:val="24"/>
          <w:lang w:eastAsia="es-ES"/>
        </w:rPr>
        <w:t>:</w:t>
      </w:r>
    </w:p>
    <w:p w14:paraId="5F48B545" w14:textId="77777777" w:rsidR="00CF7981" w:rsidRDefault="00CF7981" w:rsidP="007148B2">
      <w:pPr>
        <w:ind w:right="-93"/>
        <w:rPr>
          <w:rFonts w:eastAsia="Times New Roman"/>
          <w:sz w:val="24"/>
          <w:szCs w:val="24"/>
          <w:lang w:eastAsia="es-ES"/>
        </w:rPr>
      </w:pPr>
    </w:p>
    <w:p w14:paraId="035EEE50" w14:textId="100BB8E9" w:rsidR="00CF7981" w:rsidRPr="00CF7981" w:rsidRDefault="00CF7981" w:rsidP="00CF7981">
      <w:pPr>
        <w:ind w:left="708" w:right="-93"/>
        <w:rPr>
          <w:rFonts w:eastAsia="Times New Roman"/>
          <w:sz w:val="22"/>
          <w:szCs w:val="22"/>
          <w:lang w:eastAsia="es-ES"/>
        </w:rPr>
      </w:pPr>
      <w:r w:rsidRPr="00CF7981">
        <w:rPr>
          <w:rFonts w:eastAsia="Times New Roman"/>
          <w:sz w:val="22"/>
          <w:szCs w:val="22"/>
          <w:lang w:eastAsia="es-ES"/>
        </w:rPr>
        <w:t>“80. Ahora bien, la sola enunciación del daño presuntamente causado, no es motivo suficiente para continuar con el estudio de los demás elementos de responsabilidad, toda vez que, además, ese daño debe encontrarse probado dentro del proceso. Así, la Sala comparte la tesis que ha sostenido esta Sección</w:t>
      </w:r>
      <w:r w:rsidRPr="00CF7981">
        <w:rPr>
          <w:rStyle w:val="Refdenotaalpie"/>
          <w:sz w:val="22"/>
          <w:szCs w:val="22"/>
        </w:rPr>
        <w:footnoteReference w:id="40"/>
      </w:r>
      <w:r w:rsidRPr="00CF7981">
        <w:rPr>
          <w:rFonts w:eastAsia="Times New Roman"/>
          <w:sz w:val="22"/>
          <w:szCs w:val="22"/>
          <w:lang w:eastAsia="es-ES"/>
        </w:rPr>
        <w:t>, según la cual el daño al buen nombre se reconocerá siempre que sea plenamente demostrado en el proceso, como uno de los elementos de la responsabilidad”.</w:t>
      </w:r>
    </w:p>
    <w:p w14:paraId="51B2DA51" w14:textId="77777777" w:rsidR="00911651" w:rsidRDefault="00911651" w:rsidP="007148B2">
      <w:pPr>
        <w:ind w:right="-93"/>
        <w:rPr>
          <w:rFonts w:eastAsia="Times New Roman"/>
          <w:sz w:val="24"/>
          <w:szCs w:val="24"/>
          <w:lang w:eastAsia="es-ES"/>
        </w:rPr>
      </w:pPr>
    </w:p>
    <w:p w14:paraId="19A89FE0" w14:textId="3AEE346B" w:rsidR="008F0C16" w:rsidRDefault="004F3195" w:rsidP="004F3195">
      <w:pPr>
        <w:tabs>
          <w:tab w:val="left" w:pos="0"/>
        </w:tabs>
        <w:contextualSpacing/>
        <w:rPr>
          <w:bCs/>
          <w:sz w:val="24"/>
          <w:szCs w:val="24"/>
        </w:rPr>
      </w:pPr>
      <w:r>
        <w:rPr>
          <w:rFonts w:eastAsiaTheme="minorHAnsi"/>
          <w:b/>
          <w:sz w:val="24"/>
          <w:szCs w:val="24"/>
          <w:lang w:val="es-ES_tradnl"/>
        </w:rPr>
        <w:t xml:space="preserve">3.3. En el caso concreto, </w:t>
      </w:r>
      <w:r w:rsidR="00CC1E34">
        <w:rPr>
          <w:rFonts w:eastAsiaTheme="minorHAnsi"/>
          <w:sz w:val="24"/>
          <w:szCs w:val="24"/>
          <w:lang w:val="es-ES_tradnl"/>
        </w:rPr>
        <w:t>la Dirección Ejecutiva de Administración Judicial, como parte demandada en el proceso ordinario de reparación directa, aseguró en su escrito de tutela que la autoridad judicial accionada</w:t>
      </w:r>
      <w:r w:rsidR="00CC1E34" w:rsidRPr="00CC1E34">
        <w:rPr>
          <w:rFonts w:eastAsiaTheme="minorHAnsi"/>
          <w:sz w:val="24"/>
          <w:szCs w:val="24"/>
          <w:lang w:val="es-ES_tradnl"/>
        </w:rPr>
        <w:t xml:space="preserve"> </w:t>
      </w:r>
      <w:r w:rsidR="00CC1E34">
        <w:rPr>
          <w:rFonts w:eastAsiaTheme="minorHAnsi"/>
          <w:sz w:val="24"/>
          <w:szCs w:val="24"/>
          <w:lang w:val="es-ES_tradnl"/>
        </w:rPr>
        <w:t>vulneró su derecho fundamental al debido proceso, en la medida en que</w:t>
      </w:r>
      <w:r w:rsidR="003A72C2">
        <w:rPr>
          <w:rFonts w:eastAsiaTheme="minorHAnsi"/>
          <w:sz w:val="24"/>
          <w:szCs w:val="24"/>
          <w:lang w:val="es-ES_tradnl"/>
        </w:rPr>
        <w:t xml:space="preserve"> le</w:t>
      </w:r>
      <w:r w:rsidR="00CC1E34">
        <w:rPr>
          <w:rFonts w:eastAsiaTheme="minorHAnsi"/>
          <w:sz w:val="24"/>
          <w:szCs w:val="24"/>
          <w:lang w:val="es-ES_tradnl"/>
        </w:rPr>
        <w:t xml:space="preserve"> ordenó en la sentencia del 23 de abril de 202</w:t>
      </w:r>
      <w:r w:rsidR="003A72C2">
        <w:rPr>
          <w:rFonts w:eastAsiaTheme="minorHAnsi"/>
          <w:sz w:val="24"/>
          <w:szCs w:val="24"/>
          <w:lang w:val="es-ES_tradnl"/>
        </w:rPr>
        <w:t>0 que ofreciera</w:t>
      </w:r>
      <w:r w:rsidR="002E6314">
        <w:rPr>
          <w:rFonts w:eastAsiaTheme="minorHAnsi"/>
          <w:sz w:val="24"/>
          <w:szCs w:val="24"/>
          <w:lang w:val="es-ES_tradnl"/>
        </w:rPr>
        <w:t xml:space="preserve"> disculpas a quien estuvo </w:t>
      </w:r>
      <w:r w:rsidR="007416B4">
        <w:rPr>
          <w:rFonts w:eastAsiaTheme="minorHAnsi"/>
          <w:sz w:val="24"/>
          <w:szCs w:val="24"/>
          <w:lang w:val="es-ES_tradnl"/>
        </w:rPr>
        <w:t>privado de la libertad y</w:t>
      </w:r>
      <w:r w:rsidR="003A72C2">
        <w:rPr>
          <w:rFonts w:eastAsiaTheme="minorHAnsi"/>
          <w:sz w:val="24"/>
          <w:szCs w:val="24"/>
          <w:lang w:val="es-ES_tradnl"/>
        </w:rPr>
        <w:t xml:space="preserve"> a</w:t>
      </w:r>
      <w:r w:rsidR="007416B4">
        <w:rPr>
          <w:rFonts w:eastAsiaTheme="minorHAnsi"/>
          <w:sz w:val="24"/>
          <w:szCs w:val="24"/>
          <w:lang w:val="es-ES_tradnl"/>
        </w:rPr>
        <w:t xml:space="preserve"> su núcleo familiar</w:t>
      </w:r>
      <w:r w:rsidR="003A72C2">
        <w:rPr>
          <w:rFonts w:eastAsiaTheme="minorHAnsi"/>
          <w:sz w:val="24"/>
          <w:szCs w:val="24"/>
          <w:lang w:val="es-ES_tradnl"/>
        </w:rPr>
        <w:t xml:space="preserve">, no obstante, omitió su obligación de sustentar dicha decisión </w:t>
      </w:r>
      <w:r w:rsidR="003A72C2">
        <w:rPr>
          <w:bCs/>
          <w:sz w:val="24"/>
          <w:szCs w:val="24"/>
        </w:rPr>
        <w:t>en criterios</w:t>
      </w:r>
      <w:r w:rsidR="009667AF">
        <w:rPr>
          <w:bCs/>
          <w:sz w:val="24"/>
          <w:szCs w:val="24"/>
        </w:rPr>
        <w:t xml:space="preserve"> facticos,</w:t>
      </w:r>
      <w:r w:rsidR="003A72C2">
        <w:rPr>
          <w:bCs/>
          <w:sz w:val="24"/>
          <w:szCs w:val="24"/>
        </w:rPr>
        <w:t xml:space="preserve"> probatorios y jurídicos.</w:t>
      </w:r>
    </w:p>
    <w:p w14:paraId="311F0AC6" w14:textId="77777777" w:rsidR="003A72C2" w:rsidRDefault="003A72C2" w:rsidP="004F3195">
      <w:pPr>
        <w:tabs>
          <w:tab w:val="left" w:pos="0"/>
        </w:tabs>
        <w:contextualSpacing/>
        <w:rPr>
          <w:bCs/>
          <w:sz w:val="24"/>
          <w:szCs w:val="24"/>
        </w:rPr>
      </w:pPr>
    </w:p>
    <w:p w14:paraId="0EED25D3" w14:textId="05B0C849" w:rsidR="003A72C2" w:rsidRPr="00CC1E34" w:rsidRDefault="00BB5197" w:rsidP="004F3195">
      <w:pPr>
        <w:tabs>
          <w:tab w:val="left" w:pos="0"/>
        </w:tabs>
        <w:contextualSpacing/>
        <w:rPr>
          <w:rFonts w:eastAsiaTheme="minorHAnsi"/>
          <w:sz w:val="24"/>
          <w:szCs w:val="24"/>
          <w:lang w:val="es-ES_tradnl"/>
        </w:rPr>
      </w:pPr>
      <w:r>
        <w:rPr>
          <w:rFonts w:eastAsiaTheme="minorHAnsi"/>
          <w:sz w:val="24"/>
          <w:szCs w:val="24"/>
          <w:lang w:val="es-ES_tradnl"/>
        </w:rPr>
        <w:t>Una vez fue revisada la providencia cuestionada en sede con</w:t>
      </w:r>
      <w:r w:rsidR="00670785">
        <w:rPr>
          <w:rFonts w:eastAsiaTheme="minorHAnsi"/>
          <w:sz w:val="24"/>
          <w:szCs w:val="24"/>
          <w:lang w:val="es-ES_tradnl"/>
        </w:rPr>
        <w:t>stitucional, esta Subsección encontró</w:t>
      </w:r>
      <w:r>
        <w:rPr>
          <w:rFonts w:eastAsiaTheme="minorHAnsi"/>
          <w:sz w:val="24"/>
          <w:szCs w:val="24"/>
          <w:lang w:val="es-ES_tradnl"/>
        </w:rPr>
        <w:t xml:space="preserve"> que el juez ordinario de segunda instancia, para </w:t>
      </w:r>
      <w:r w:rsidR="004C2E8B">
        <w:rPr>
          <w:rFonts w:eastAsiaTheme="minorHAnsi"/>
          <w:sz w:val="24"/>
          <w:szCs w:val="24"/>
          <w:lang w:val="es-ES_tradnl"/>
        </w:rPr>
        <w:t>fundamentar</w:t>
      </w:r>
      <w:r>
        <w:rPr>
          <w:rFonts w:eastAsiaTheme="minorHAnsi"/>
          <w:sz w:val="24"/>
          <w:szCs w:val="24"/>
          <w:lang w:val="es-ES_tradnl"/>
        </w:rPr>
        <w:t xml:space="preserve"> la orden de pedir disculpas, solo manifestó que “</w:t>
      </w:r>
      <w:r>
        <w:rPr>
          <w:rFonts w:eastAsia="Arial"/>
          <w:color w:val="000000"/>
          <w:sz w:val="24"/>
          <w:szCs w:val="24"/>
        </w:rPr>
        <w:t>[r]</w:t>
      </w:r>
      <w:proofErr w:type="spellStart"/>
      <w:r w:rsidRPr="007148B2">
        <w:rPr>
          <w:rFonts w:eastAsia="Arial"/>
          <w:color w:val="000000"/>
          <w:sz w:val="24"/>
          <w:szCs w:val="24"/>
        </w:rPr>
        <w:t>ecientemente</w:t>
      </w:r>
      <w:proofErr w:type="spellEnd"/>
      <w:r w:rsidRPr="007148B2">
        <w:rPr>
          <w:rFonts w:eastAsia="Arial"/>
          <w:color w:val="000000"/>
          <w:sz w:val="24"/>
          <w:szCs w:val="24"/>
        </w:rPr>
        <w:t xml:space="preserve"> la Sala ha considerado que la sola privación de la libertad de una persona genera en </w:t>
      </w:r>
      <w:r w:rsidRPr="009617E4">
        <w:rPr>
          <w:rFonts w:eastAsia="Arial"/>
          <w:color w:val="000000"/>
          <w:sz w:val="24"/>
          <w:szCs w:val="24"/>
        </w:rPr>
        <w:t>ésta</w:t>
      </w:r>
      <w:r w:rsidR="009617E4">
        <w:rPr>
          <w:rFonts w:eastAsia="Arial"/>
          <w:color w:val="000000"/>
          <w:sz w:val="24"/>
          <w:szCs w:val="24"/>
        </w:rPr>
        <w:t xml:space="preserve"> (sic) </w:t>
      </w:r>
      <w:r w:rsidRPr="007148B2">
        <w:rPr>
          <w:rFonts w:eastAsia="Arial"/>
          <w:color w:val="000000"/>
          <w:sz w:val="24"/>
          <w:szCs w:val="24"/>
        </w:rPr>
        <w:t>un</w:t>
      </w:r>
      <w:r w:rsidRPr="00B21436">
        <w:rPr>
          <w:rFonts w:eastAsia="Arial"/>
          <w:color w:val="000000"/>
          <w:sz w:val="24"/>
          <w:szCs w:val="24"/>
        </w:rPr>
        <w:t>a afectación en su buen nombre que debe ser reparado incluso de manera oficiosa […]”.</w:t>
      </w:r>
      <w:r>
        <w:rPr>
          <w:rFonts w:eastAsia="Arial"/>
          <w:color w:val="000000"/>
          <w:sz w:val="24"/>
          <w:szCs w:val="24"/>
        </w:rPr>
        <w:t xml:space="preserve"> </w:t>
      </w:r>
    </w:p>
    <w:p w14:paraId="750A246F" w14:textId="77777777" w:rsidR="008F0C16" w:rsidRDefault="008F0C16" w:rsidP="007148B2">
      <w:pPr>
        <w:tabs>
          <w:tab w:val="left" w:pos="0"/>
        </w:tabs>
        <w:contextualSpacing/>
        <w:rPr>
          <w:rFonts w:eastAsiaTheme="minorHAnsi"/>
          <w:sz w:val="24"/>
          <w:szCs w:val="24"/>
          <w:lang w:val="es-ES_tradnl"/>
        </w:rPr>
      </w:pPr>
    </w:p>
    <w:p w14:paraId="0F9BEA15" w14:textId="3C6FB0BC" w:rsidR="00B21436" w:rsidRDefault="006954CD" w:rsidP="007148B2">
      <w:pPr>
        <w:tabs>
          <w:tab w:val="left" w:pos="0"/>
        </w:tabs>
        <w:contextualSpacing/>
        <w:rPr>
          <w:rFonts w:eastAsiaTheme="minorHAnsi"/>
          <w:sz w:val="24"/>
          <w:szCs w:val="24"/>
          <w:lang w:val="es-ES_tradnl"/>
        </w:rPr>
      </w:pPr>
      <w:r>
        <w:rPr>
          <w:rFonts w:eastAsiaTheme="minorHAnsi"/>
          <w:sz w:val="24"/>
          <w:szCs w:val="24"/>
          <w:lang w:val="es-ES_tradnl"/>
        </w:rPr>
        <w:t>L</w:t>
      </w:r>
      <w:r w:rsidR="00BB5197">
        <w:rPr>
          <w:rFonts w:eastAsiaTheme="minorHAnsi"/>
          <w:sz w:val="24"/>
          <w:szCs w:val="24"/>
          <w:lang w:val="es-ES_tradnl"/>
        </w:rPr>
        <w:t xml:space="preserve">a autoridad </w:t>
      </w:r>
      <w:r w:rsidR="004D16DC">
        <w:rPr>
          <w:rFonts w:eastAsiaTheme="minorHAnsi"/>
          <w:sz w:val="24"/>
          <w:szCs w:val="24"/>
          <w:lang w:val="es-ES_tradnl"/>
        </w:rPr>
        <w:t>accionada</w:t>
      </w:r>
      <w:r w:rsidR="00842483" w:rsidRPr="00842483">
        <w:rPr>
          <w:rFonts w:eastAsiaTheme="minorHAnsi"/>
          <w:sz w:val="24"/>
          <w:szCs w:val="24"/>
          <w:lang w:val="es-ES_tradnl"/>
        </w:rPr>
        <w:t xml:space="preserve"> </w:t>
      </w:r>
      <w:r w:rsidR="00842483">
        <w:rPr>
          <w:rFonts w:eastAsiaTheme="minorHAnsi"/>
          <w:sz w:val="24"/>
          <w:szCs w:val="24"/>
          <w:lang w:val="es-ES_tradnl"/>
        </w:rPr>
        <w:t xml:space="preserve">no realizó un ejercicio de concreción del perjuicio que permitiera comprender que, </w:t>
      </w:r>
      <w:r w:rsidR="00842483" w:rsidRPr="007148B2">
        <w:rPr>
          <w:sz w:val="24"/>
          <w:szCs w:val="24"/>
          <w:lang w:val="es-MX" w:eastAsia="ja-JP"/>
        </w:rPr>
        <w:t xml:space="preserve">Edgar Montaña </w:t>
      </w:r>
      <w:proofErr w:type="spellStart"/>
      <w:r w:rsidR="00842483" w:rsidRPr="007148B2">
        <w:rPr>
          <w:sz w:val="24"/>
          <w:szCs w:val="24"/>
          <w:lang w:val="es-MX" w:eastAsia="ja-JP"/>
        </w:rPr>
        <w:t>Rodelo</w:t>
      </w:r>
      <w:proofErr w:type="spellEnd"/>
      <w:r w:rsidR="00842483" w:rsidRPr="007148B2">
        <w:rPr>
          <w:sz w:val="24"/>
          <w:szCs w:val="24"/>
          <w:lang w:val="es-MX" w:eastAsia="ja-JP"/>
        </w:rPr>
        <w:t xml:space="preserve"> y su núcleo familiar</w:t>
      </w:r>
      <w:r w:rsidR="00842483">
        <w:rPr>
          <w:sz w:val="24"/>
          <w:szCs w:val="24"/>
          <w:lang w:val="es-MX" w:eastAsia="ja-JP"/>
        </w:rPr>
        <w:t>, vieron afectados su derecho al buen nombre</w:t>
      </w:r>
      <w:r w:rsidR="00842483">
        <w:rPr>
          <w:rFonts w:eastAsiaTheme="minorHAnsi"/>
          <w:sz w:val="24"/>
          <w:szCs w:val="24"/>
          <w:lang w:val="es-ES_tradnl"/>
        </w:rPr>
        <w:t>, a partir del material probatorio aportado al expediente de reparación directa</w:t>
      </w:r>
      <w:r w:rsidR="004D16DC">
        <w:rPr>
          <w:rFonts w:eastAsiaTheme="minorHAnsi"/>
          <w:sz w:val="24"/>
          <w:szCs w:val="24"/>
          <w:lang w:val="es-ES_tradnl"/>
        </w:rPr>
        <w:t xml:space="preserve">, </w:t>
      </w:r>
      <w:r w:rsidR="00B21436">
        <w:rPr>
          <w:rFonts w:eastAsiaTheme="minorHAnsi"/>
          <w:sz w:val="24"/>
          <w:szCs w:val="24"/>
          <w:lang w:val="es-ES_tradnl"/>
        </w:rPr>
        <w:t>en atención a los criterios jurisprudenciales desarrollados para la modalidad de</w:t>
      </w:r>
      <w:r w:rsidR="009667AF">
        <w:rPr>
          <w:rFonts w:eastAsiaTheme="minorHAnsi"/>
          <w:sz w:val="24"/>
          <w:szCs w:val="24"/>
          <w:lang w:val="es-ES_tradnl"/>
        </w:rPr>
        <w:t>l</w:t>
      </w:r>
      <w:r w:rsidR="00B21436">
        <w:rPr>
          <w:rFonts w:eastAsiaTheme="minorHAnsi"/>
          <w:sz w:val="24"/>
          <w:szCs w:val="24"/>
          <w:lang w:val="es-ES_tradnl"/>
        </w:rPr>
        <w:t xml:space="preserve"> daño denominado </w:t>
      </w:r>
      <w:r w:rsidR="00B21436" w:rsidRPr="009667AF">
        <w:rPr>
          <w:rFonts w:eastAsiaTheme="minorHAnsi"/>
          <w:i/>
          <w:sz w:val="24"/>
          <w:szCs w:val="24"/>
          <w:lang w:val="es-ES_tradnl"/>
        </w:rPr>
        <w:t>afectación o vulneración relevante de bienes o derechos convencional y constitucionalmente amparados</w:t>
      </w:r>
      <w:r w:rsidR="00842483">
        <w:rPr>
          <w:rFonts w:eastAsiaTheme="minorHAnsi"/>
          <w:sz w:val="24"/>
          <w:szCs w:val="24"/>
          <w:lang w:val="es-ES_tradnl"/>
        </w:rPr>
        <w:t>.</w:t>
      </w:r>
    </w:p>
    <w:p w14:paraId="50F297D7" w14:textId="77777777" w:rsidR="00A207AF" w:rsidRDefault="00A207AF" w:rsidP="007148B2">
      <w:pPr>
        <w:tabs>
          <w:tab w:val="left" w:pos="0"/>
        </w:tabs>
        <w:contextualSpacing/>
        <w:rPr>
          <w:rFonts w:eastAsiaTheme="minorHAnsi"/>
          <w:sz w:val="24"/>
          <w:szCs w:val="24"/>
          <w:lang w:val="es-ES_tradnl"/>
        </w:rPr>
      </w:pPr>
    </w:p>
    <w:p w14:paraId="05B7E754" w14:textId="6A005B34" w:rsidR="00A207AF" w:rsidRDefault="00A207AF" w:rsidP="007148B2">
      <w:pPr>
        <w:tabs>
          <w:tab w:val="left" w:pos="0"/>
        </w:tabs>
        <w:contextualSpacing/>
        <w:rPr>
          <w:rFonts w:eastAsiaTheme="minorHAnsi"/>
          <w:sz w:val="24"/>
          <w:szCs w:val="24"/>
          <w:lang w:val="es-ES_tradnl"/>
        </w:rPr>
      </w:pPr>
      <w:r>
        <w:rPr>
          <w:rFonts w:eastAsiaTheme="minorHAnsi"/>
          <w:sz w:val="24"/>
          <w:szCs w:val="24"/>
          <w:lang w:val="es-ES_tradnl"/>
        </w:rPr>
        <w:t>Es decir, en la sentencia reprochada no se identificó</w:t>
      </w:r>
      <w:r w:rsidR="00C65BC5">
        <w:rPr>
          <w:rFonts w:eastAsiaTheme="minorHAnsi"/>
          <w:sz w:val="24"/>
          <w:szCs w:val="24"/>
          <w:lang w:val="es-ES_tradnl"/>
        </w:rPr>
        <w:t>, desde el plano f</w:t>
      </w:r>
      <w:r w:rsidR="00A64313">
        <w:rPr>
          <w:rFonts w:eastAsiaTheme="minorHAnsi"/>
          <w:sz w:val="24"/>
          <w:szCs w:val="24"/>
          <w:lang w:val="es-ES_tradnl"/>
        </w:rPr>
        <w:t>á</w:t>
      </w:r>
      <w:r w:rsidR="00C65BC5">
        <w:rPr>
          <w:rFonts w:eastAsiaTheme="minorHAnsi"/>
          <w:sz w:val="24"/>
          <w:szCs w:val="24"/>
          <w:lang w:val="es-ES_tradnl"/>
        </w:rPr>
        <w:t>ctico y con respaldo probatorio, qué</w:t>
      </w:r>
      <w:r>
        <w:rPr>
          <w:rFonts w:eastAsiaTheme="minorHAnsi"/>
          <w:sz w:val="24"/>
          <w:szCs w:val="24"/>
          <w:lang w:val="es-ES_tradnl"/>
        </w:rPr>
        <w:t xml:space="preserve"> circunstancia atribuibl</w:t>
      </w:r>
      <w:r w:rsidR="00C65BC5">
        <w:rPr>
          <w:rFonts w:eastAsiaTheme="minorHAnsi"/>
          <w:sz w:val="24"/>
          <w:szCs w:val="24"/>
          <w:lang w:val="es-ES_tradnl"/>
        </w:rPr>
        <w:t xml:space="preserve">e a las entidades demandadas, por </w:t>
      </w:r>
      <w:r w:rsidR="00C65BC5">
        <w:rPr>
          <w:rFonts w:eastAsiaTheme="minorHAnsi"/>
          <w:sz w:val="24"/>
          <w:szCs w:val="24"/>
          <w:lang w:val="es-ES_tradnl"/>
        </w:rPr>
        <w:lastRenderedPageBreak/>
        <w:t>acción u omisión, ocasionó el daño</w:t>
      </w:r>
      <w:r w:rsidR="009667AF">
        <w:rPr>
          <w:rFonts w:eastAsiaTheme="minorHAnsi"/>
          <w:sz w:val="24"/>
          <w:szCs w:val="24"/>
          <w:lang w:val="es-ES_tradnl"/>
        </w:rPr>
        <w:t xml:space="preserve"> al derecho al buen nombre de</w:t>
      </w:r>
      <w:r w:rsidR="00C65BC5">
        <w:rPr>
          <w:rFonts w:eastAsiaTheme="minorHAnsi"/>
          <w:sz w:val="24"/>
          <w:szCs w:val="24"/>
          <w:lang w:val="es-ES_tradnl"/>
        </w:rPr>
        <w:t xml:space="preserve"> los demandantes</w:t>
      </w:r>
      <w:r w:rsidR="00A64313">
        <w:rPr>
          <w:rFonts w:eastAsiaTheme="minorHAnsi"/>
          <w:sz w:val="24"/>
          <w:szCs w:val="24"/>
          <w:lang w:val="es-ES_tradnl"/>
        </w:rPr>
        <w:t>,</w:t>
      </w:r>
      <w:r w:rsidR="00C65BC5">
        <w:rPr>
          <w:rFonts w:eastAsiaTheme="minorHAnsi"/>
          <w:sz w:val="24"/>
          <w:szCs w:val="24"/>
          <w:lang w:val="es-ES_tradnl"/>
        </w:rPr>
        <w:t xml:space="preserve"> que la jurisprudencia ha </w:t>
      </w:r>
      <w:r w:rsidR="00773572">
        <w:rPr>
          <w:rFonts w:eastAsiaTheme="minorHAnsi"/>
          <w:sz w:val="24"/>
          <w:szCs w:val="24"/>
          <w:lang w:val="es-ES_tradnl"/>
        </w:rPr>
        <w:t>caracterizado</w:t>
      </w:r>
      <w:r w:rsidR="00842483">
        <w:rPr>
          <w:rFonts w:eastAsiaTheme="minorHAnsi"/>
          <w:sz w:val="24"/>
          <w:szCs w:val="24"/>
          <w:lang w:val="es-ES_tradnl"/>
        </w:rPr>
        <w:t xml:space="preserve"> como autónomo, y que por su relevancia</w:t>
      </w:r>
      <w:r w:rsidR="00C65BC5">
        <w:rPr>
          <w:rFonts w:eastAsiaTheme="minorHAnsi"/>
          <w:sz w:val="24"/>
          <w:szCs w:val="24"/>
          <w:lang w:val="es-ES_tradnl"/>
        </w:rPr>
        <w:t xml:space="preserve">, </w:t>
      </w:r>
      <w:r w:rsidR="009667AF">
        <w:rPr>
          <w:rFonts w:eastAsiaTheme="minorHAnsi"/>
          <w:sz w:val="24"/>
          <w:szCs w:val="24"/>
          <w:lang w:val="es-ES_tradnl"/>
        </w:rPr>
        <w:t>debía</w:t>
      </w:r>
      <w:r w:rsidR="00C65BC5">
        <w:rPr>
          <w:rFonts w:eastAsiaTheme="minorHAnsi"/>
          <w:sz w:val="24"/>
          <w:szCs w:val="24"/>
          <w:lang w:val="es-ES_tradnl"/>
        </w:rPr>
        <w:t xml:space="preserve"> ser reparado.</w:t>
      </w:r>
    </w:p>
    <w:p w14:paraId="3DA8674F" w14:textId="77777777" w:rsidR="00B21436" w:rsidRDefault="00B21436" w:rsidP="007148B2">
      <w:pPr>
        <w:tabs>
          <w:tab w:val="left" w:pos="0"/>
        </w:tabs>
        <w:contextualSpacing/>
        <w:rPr>
          <w:rFonts w:eastAsiaTheme="minorHAnsi"/>
          <w:sz w:val="24"/>
          <w:szCs w:val="24"/>
          <w:lang w:val="es-ES_tradnl"/>
        </w:rPr>
      </w:pPr>
    </w:p>
    <w:p w14:paraId="78A3F179" w14:textId="684272E4" w:rsidR="00D8138F" w:rsidRDefault="00B21436" w:rsidP="007148B2">
      <w:pPr>
        <w:tabs>
          <w:tab w:val="left" w:pos="0"/>
        </w:tabs>
        <w:contextualSpacing/>
        <w:rPr>
          <w:rFonts w:eastAsiaTheme="minorHAnsi"/>
          <w:sz w:val="24"/>
          <w:szCs w:val="24"/>
          <w:lang w:val="es-ES_tradnl"/>
        </w:rPr>
      </w:pPr>
      <w:r>
        <w:rPr>
          <w:rFonts w:eastAsiaTheme="minorHAnsi"/>
          <w:sz w:val="24"/>
          <w:szCs w:val="24"/>
          <w:lang w:val="es-ES_tradnl"/>
        </w:rPr>
        <w:t>Ahora bien, el juez de segunda instancia ordinario</w:t>
      </w:r>
      <w:r w:rsidR="00D8138F">
        <w:rPr>
          <w:rFonts w:eastAsiaTheme="minorHAnsi"/>
          <w:sz w:val="24"/>
          <w:szCs w:val="24"/>
          <w:lang w:val="es-ES_tradnl"/>
        </w:rPr>
        <w:t xml:space="preserve"> afirmó que en</w:t>
      </w:r>
      <w:r w:rsidR="00EF6B7E">
        <w:rPr>
          <w:rFonts w:eastAsiaTheme="minorHAnsi"/>
          <w:sz w:val="24"/>
          <w:szCs w:val="24"/>
          <w:lang w:val="es-ES_tradnl"/>
        </w:rPr>
        <w:t xml:space="preserve"> otras ocasiones ha considerado </w:t>
      </w:r>
      <w:r w:rsidR="00EF6B7E" w:rsidRPr="007148B2">
        <w:rPr>
          <w:rFonts w:eastAsia="Arial"/>
          <w:color w:val="000000"/>
          <w:sz w:val="24"/>
          <w:szCs w:val="24"/>
        </w:rPr>
        <w:t xml:space="preserve">que la sola privación de la libertad de una persona genera en </w:t>
      </w:r>
      <w:r w:rsidR="009617E4">
        <w:rPr>
          <w:rFonts w:eastAsia="Arial"/>
          <w:color w:val="000000"/>
          <w:sz w:val="24"/>
          <w:szCs w:val="24"/>
        </w:rPr>
        <w:t>e</w:t>
      </w:r>
      <w:r w:rsidR="00EF6B7E" w:rsidRPr="009617E4">
        <w:rPr>
          <w:rFonts w:eastAsia="Arial"/>
          <w:color w:val="000000"/>
          <w:sz w:val="24"/>
          <w:szCs w:val="24"/>
        </w:rPr>
        <w:t>sta</w:t>
      </w:r>
      <w:r w:rsidR="00EF6B7E" w:rsidRPr="007148B2">
        <w:rPr>
          <w:rFonts w:eastAsia="Arial"/>
          <w:color w:val="000000"/>
          <w:sz w:val="24"/>
          <w:szCs w:val="24"/>
        </w:rPr>
        <w:t xml:space="preserve"> un</w:t>
      </w:r>
      <w:r w:rsidR="00EF6B7E" w:rsidRPr="00B21436">
        <w:rPr>
          <w:rFonts w:eastAsia="Arial"/>
          <w:color w:val="000000"/>
          <w:sz w:val="24"/>
          <w:szCs w:val="24"/>
        </w:rPr>
        <w:t>a afectación en su buen nombre</w:t>
      </w:r>
      <w:r w:rsidR="00EF6B7E">
        <w:rPr>
          <w:rFonts w:eastAsia="Arial"/>
          <w:color w:val="000000"/>
          <w:sz w:val="24"/>
          <w:szCs w:val="24"/>
        </w:rPr>
        <w:t>. Empero,</w:t>
      </w:r>
      <w:r>
        <w:rPr>
          <w:rFonts w:eastAsiaTheme="minorHAnsi"/>
          <w:sz w:val="24"/>
          <w:szCs w:val="24"/>
          <w:lang w:val="es-ES_tradnl"/>
        </w:rPr>
        <w:t xml:space="preserve"> </w:t>
      </w:r>
      <w:r w:rsidR="00D8138F">
        <w:rPr>
          <w:rFonts w:eastAsiaTheme="minorHAnsi"/>
          <w:sz w:val="24"/>
          <w:szCs w:val="24"/>
          <w:lang w:val="es-ES_tradnl"/>
        </w:rPr>
        <w:t xml:space="preserve">no </w:t>
      </w:r>
      <w:r w:rsidR="004D16DC">
        <w:rPr>
          <w:rFonts w:eastAsiaTheme="minorHAnsi"/>
          <w:sz w:val="24"/>
          <w:szCs w:val="24"/>
          <w:lang w:val="es-ES_tradnl"/>
        </w:rPr>
        <w:t xml:space="preserve">especificó en qué decisiones judiciales se ha </w:t>
      </w:r>
      <w:r w:rsidR="001C740B">
        <w:rPr>
          <w:rFonts w:eastAsiaTheme="minorHAnsi"/>
          <w:sz w:val="24"/>
          <w:szCs w:val="24"/>
          <w:lang w:val="es-ES_tradnl"/>
        </w:rPr>
        <w:t>determinado</w:t>
      </w:r>
      <w:r w:rsidR="004D16DC">
        <w:rPr>
          <w:rFonts w:eastAsiaTheme="minorHAnsi"/>
          <w:sz w:val="24"/>
          <w:szCs w:val="24"/>
          <w:lang w:val="es-ES_tradnl"/>
        </w:rPr>
        <w:t xml:space="preserve"> </w:t>
      </w:r>
      <w:r w:rsidR="00EF6B7E">
        <w:rPr>
          <w:rFonts w:eastAsiaTheme="minorHAnsi"/>
          <w:sz w:val="24"/>
          <w:szCs w:val="24"/>
          <w:lang w:val="es-ES_tradnl"/>
        </w:rPr>
        <w:t xml:space="preserve">esa </w:t>
      </w:r>
      <w:r w:rsidR="004D16DC">
        <w:rPr>
          <w:rFonts w:eastAsiaTheme="minorHAnsi"/>
          <w:sz w:val="24"/>
          <w:szCs w:val="24"/>
          <w:lang w:val="es-ES_tradnl"/>
        </w:rPr>
        <w:t>presunción</w:t>
      </w:r>
      <w:r w:rsidR="00EF6B7E">
        <w:rPr>
          <w:rFonts w:eastAsiaTheme="minorHAnsi"/>
          <w:sz w:val="24"/>
          <w:szCs w:val="24"/>
          <w:lang w:val="es-ES_tradnl"/>
        </w:rPr>
        <w:t xml:space="preserve"> y bajo </w:t>
      </w:r>
      <w:r w:rsidR="00D8138F">
        <w:rPr>
          <w:rFonts w:eastAsiaTheme="minorHAnsi"/>
          <w:sz w:val="24"/>
          <w:szCs w:val="24"/>
          <w:lang w:val="es-ES_tradnl"/>
        </w:rPr>
        <w:t>qué</w:t>
      </w:r>
      <w:r w:rsidR="00EF6B7E">
        <w:rPr>
          <w:rFonts w:eastAsiaTheme="minorHAnsi"/>
          <w:sz w:val="24"/>
          <w:szCs w:val="24"/>
          <w:lang w:val="es-ES_tradnl"/>
        </w:rPr>
        <w:t xml:space="preserve"> regla</w:t>
      </w:r>
      <w:r w:rsidR="006954CD">
        <w:rPr>
          <w:rFonts w:eastAsiaTheme="minorHAnsi"/>
          <w:sz w:val="24"/>
          <w:szCs w:val="24"/>
          <w:lang w:val="es-ES_tradnl"/>
        </w:rPr>
        <w:t xml:space="preserve"> dicha presunción</w:t>
      </w:r>
      <w:r w:rsidR="00EF6B7E">
        <w:rPr>
          <w:rFonts w:eastAsiaTheme="minorHAnsi"/>
          <w:sz w:val="24"/>
          <w:szCs w:val="24"/>
          <w:lang w:val="es-ES_tradnl"/>
        </w:rPr>
        <w:t xml:space="preserve"> resulta aplicable</w:t>
      </w:r>
      <w:r w:rsidR="00842483">
        <w:rPr>
          <w:rFonts w:eastAsiaTheme="minorHAnsi"/>
          <w:sz w:val="24"/>
          <w:szCs w:val="24"/>
          <w:lang w:val="es-ES_tradnl"/>
        </w:rPr>
        <w:t xml:space="preserve">. </w:t>
      </w:r>
    </w:p>
    <w:p w14:paraId="58C55612" w14:textId="77777777" w:rsidR="007416B4" w:rsidRDefault="007416B4" w:rsidP="007148B2">
      <w:pPr>
        <w:tabs>
          <w:tab w:val="left" w:pos="0"/>
        </w:tabs>
        <w:contextualSpacing/>
        <w:rPr>
          <w:rFonts w:eastAsiaTheme="minorHAnsi"/>
          <w:sz w:val="24"/>
          <w:szCs w:val="24"/>
          <w:lang w:val="es-ES_tradnl"/>
        </w:rPr>
      </w:pPr>
    </w:p>
    <w:p w14:paraId="31BE8E52" w14:textId="2DE7BDAB" w:rsidR="00AA37BD" w:rsidRPr="00B35F7E" w:rsidRDefault="00D210DA" w:rsidP="00AA37BD">
      <w:pPr>
        <w:overflowPunct w:val="0"/>
        <w:autoSpaceDE w:val="0"/>
        <w:autoSpaceDN w:val="0"/>
        <w:adjustRightInd w:val="0"/>
        <w:rPr>
          <w:sz w:val="24"/>
          <w:szCs w:val="24"/>
        </w:rPr>
      </w:pPr>
      <w:r>
        <w:rPr>
          <w:sz w:val="24"/>
          <w:szCs w:val="24"/>
        </w:rPr>
        <w:t>Las anteriores</w:t>
      </w:r>
      <w:r w:rsidRPr="00B35F7E">
        <w:rPr>
          <w:sz w:val="24"/>
          <w:szCs w:val="24"/>
        </w:rPr>
        <w:t xml:space="preserve"> </w:t>
      </w:r>
      <w:r>
        <w:rPr>
          <w:sz w:val="24"/>
          <w:szCs w:val="24"/>
        </w:rPr>
        <w:t>circunstancias permiten concluir que</w:t>
      </w:r>
      <w:r w:rsidR="00AA37BD" w:rsidRPr="00B35F7E">
        <w:rPr>
          <w:sz w:val="24"/>
          <w:szCs w:val="24"/>
        </w:rPr>
        <w:t xml:space="preserve"> se </w:t>
      </w:r>
      <w:r>
        <w:rPr>
          <w:sz w:val="24"/>
          <w:szCs w:val="24"/>
        </w:rPr>
        <w:t xml:space="preserve">configuró un </w:t>
      </w:r>
      <w:r w:rsidR="00413031">
        <w:rPr>
          <w:sz w:val="24"/>
          <w:szCs w:val="24"/>
        </w:rPr>
        <w:t>defecto de decisión</w:t>
      </w:r>
      <w:r w:rsidR="00AA37BD" w:rsidRPr="00B35F7E">
        <w:rPr>
          <w:sz w:val="24"/>
          <w:szCs w:val="24"/>
        </w:rPr>
        <w:t xml:space="preserve"> </w:t>
      </w:r>
      <w:r w:rsidR="00A64313">
        <w:rPr>
          <w:sz w:val="24"/>
          <w:szCs w:val="24"/>
        </w:rPr>
        <w:t>sin</w:t>
      </w:r>
      <w:r w:rsidR="00A64313" w:rsidRPr="00B35F7E">
        <w:rPr>
          <w:sz w:val="24"/>
          <w:szCs w:val="24"/>
        </w:rPr>
        <w:t xml:space="preserve"> </w:t>
      </w:r>
      <w:r w:rsidR="00AA37BD" w:rsidRPr="00B35F7E">
        <w:rPr>
          <w:sz w:val="24"/>
          <w:szCs w:val="24"/>
        </w:rPr>
        <w:t>motivación</w:t>
      </w:r>
      <w:r w:rsidR="00923373">
        <w:rPr>
          <w:sz w:val="24"/>
          <w:szCs w:val="24"/>
        </w:rPr>
        <w:t xml:space="preserve"> en la sentencia del 23 de abril de 2020</w:t>
      </w:r>
      <w:r w:rsidR="00AA37BD" w:rsidRPr="00B35F7E">
        <w:rPr>
          <w:sz w:val="24"/>
          <w:szCs w:val="24"/>
        </w:rPr>
        <w:t xml:space="preserve">, pues </w:t>
      </w:r>
      <w:r w:rsidR="00AA37BD">
        <w:rPr>
          <w:sz w:val="24"/>
          <w:szCs w:val="24"/>
        </w:rPr>
        <w:t>la Subsección B de la Sección Tercera del Consejo de Estado</w:t>
      </w:r>
      <w:r w:rsidR="00AA37BD" w:rsidRPr="00B35F7E">
        <w:rPr>
          <w:sz w:val="24"/>
          <w:szCs w:val="24"/>
        </w:rPr>
        <w:t xml:space="preserve"> no cumplió con su deber de justificar de manera razonada</w:t>
      </w:r>
      <w:r>
        <w:rPr>
          <w:sz w:val="24"/>
          <w:szCs w:val="24"/>
        </w:rPr>
        <w:t xml:space="preserve"> la</w:t>
      </w:r>
      <w:r w:rsidR="00AA37BD" w:rsidRPr="00B35F7E">
        <w:rPr>
          <w:sz w:val="24"/>
          <w:szCs w:val="24"/>
        </w:rPr>
        <w:t xml:space="preserve"> decisión</w:t>
      </w:r>
      <w:r w:rsidR="00AA37BD">
        <w:rPr>
          <w:sz w:val="24"/>
          <w:szCs w:val="24"/>
        </w:rPr>
        <w:t xml:space="preserve"> de reparar el buen nombre de los demandantes </w:t>
      </w:r>
      <w:r w:rsidR="00773572">
        <w:rPr>
          <w:sz w:val="24"/>
          <w:szCs w:val="24"/>
        </w:rPr>
        <w:t>dentro</w:t>
      </w:r>
      <w:r w:rsidR="00AA37BD">
        <w:rPr>
          <w:sz w:val="24"/>
          <w:szCs w:val="24"/>
        </w:rPr>
        <w:t xml:space="preserve"> proceso ordinario, mediante disculpas ofrecidas por la DEAJ</w:t>
      </w:r>
      <w:r>
        <w:rPr>
          <w:sz w:val="24"/>
          <w:szCs w:val="24"/>
        </w:rPr>
        <w:t>;</w:t>
      </w:r>
      <w:r w:rsidR="00AA37BD" w:rsidRPr="00B35F7E">
        <w:rPr>
          <w:sz w:val="24"/>
          <w:szCs w:val="24"/>
        </w:rPr>
        <w:t xml:space="preserve"> situación que se torna arbitraria y caprichosa y q</w:t>
      </w:r>
      <w:r w:rsidR="00AA37BD">
        <w:rPr>
          <w:sz w:val="24"/>
          <w:szCs w:val="24"/>
        </w:rPr>
        <w:t>ue vulnera el derecho</w:t>
      </w:r>
      <w:r w:rsidR="00AA37BD" w:rsidRPr="00B35F7E">
        <w:rPr>
          <w:sz w:val="24"/>
          <w:szCs w:val="24"/>
        </w:rPr>
        <w:t xml:space="preserve"> fundame</w:t>
      </w:r>
      <w:r w:rsidR="00AA37BD">
        <w:rPr>
          <w:sz w:val="24"/>
          <w:szCs w:val="24"/>
        </w:rPr>
        <w:t>ntal</w:t>
      </w:r>
      <w:r w:rsidR="00AA37BD" w:rsidRPr="00B35F7E">
        <w:rPr>
          <w:sz w:val="24"/>
          <w:szCs w:val="24"/>
        </w:rPr>
        <w:t xml:space="preserve"> al debido proceso</w:t>
      </w:r>
      <w:r w:rsidR="00773572">
        <w:rPr>
          <w:sz w:val="24"/>
          <w:szCs w:val="24"/>
        </w:rPr>
        <w:t xml:space="preserve"> de la accionante</w:t>
      </w:r>
      <w:r w:rsidR="00AA37BD" w:rsidRPr="00B35F7E">
        <w:rPr>
          <w:sz w:val="24"/>
          <w:szCs w:val="24"/>
        </w:rPr>
        <w:t>.</w:t>
      </w:r>
    </w:p>
    <w:p w14:paraId="5D360EC8" w14:textId="77777777" w:rsidR="00C65BC5" w:rsidRDefault="00C65BC5" w:rsidP="00AA37BD">
      <w:pPr>
        <w:rPr>
          <w:rFonts w:eastAsia="Dotum"/>
          <w:sz w:val="24"/>
          <w:szCs w:val="24"/>
        </w:rPr>
      </w:pPr>
    </w:p>
    <w:p w14:paraId="0B43213D" w14:textId="6AA1B125" w:rsidR="00EF76AC" w:rsidRDefault="00AA37BD" w:rsidP="00AA37BD">
      <w:pPr>
        <w:rPr>
          <w:rFonts w:eastAsia="Dotum"/>
          <w:sz w:val="24"/>
          <w:szCs w:val="24"/>
        </w:rPr>
      </w:pPr>
      <w:r w:rsidRPr="00B35F7E">
        <w:rPr>
          <w:rFonts w:eastAsia="Dotum"/>
          <w:sz w:val="24"/>
          <w:szCs w:val="24"/>
        </w:rPr>
        <w:t xml:space="preserve">Por lo tanto, la Sala dejará sin efectos </w:t>
      </w:r>
      <w:r w:rsidR="00D210DA">
        <w:rPr>
          <w:rFonts w:eastAsia="Dotum"/>
          <w:sz w:val="24"/>
          <w:szCs w:val="24"/>
        </w:rPr>
        <w:t xml:space="preserve">de </w:t>
      </w:r>
      <w:r w:rsidRPr="00B35F7E">
        <w:rPr>
          <w:rFonts w:eastAsia="Dotum"/>
          <w:sz w:val="24"/>
          <w:szCs w:val="24"/>
        </w:rPr>
        <w:t>la sentencia mencionada</w:t>
      </w:r>
      <w:r w:rsidR="00923373">
        <w:rPr>
          <w:rFonts w:eastAsia="Dotum"/>
          <w:sz w:val="24"/>
          <w:szCs w:val="24"/>
        </w:rPr>
        <w:t>, únicamente</w:t>
      </w:r>
      <w:r w:rsidR="00BB361E">
        <w:rPr>
          <w:rFonts w:eastAsia="Dotum"/>
          <w:sz w:val="24"/>
          <w:szCs w:val="24"/>
        </w:rPr>
        <w:t xml:space="preserve"> en</w:t>
      </w:r>
      <w:r w:rsidR="00923373">
        <w:rPr>
          <w:rFonts w:eastAsia="Dotum"/>
          <w:sz w:val="24"/>
          <w:szCs w:val="24"/>
        </w:rPr>
        <w:t xml:space="preserve"> lo </w:t>
      </w:r>
      <w:r w:rsidR="00D210DA">
        <w:rPr>
          <w:rFonts w:eastAsia="Dotum"/>
          <w:sz w:val="24"/>
          <w:szCs w:val="24"/>
        </w:rPr>
        <w:t>que tiene que ver con e</w:t>
      </w:r>
      <w:r w:rsidR="00923373">
        <w:rPr>
          <w:rFonts w:eastAsia="Dotum"/>
          <w:sz w:val="24"/>
          <w:szCs w:val="24"/>
        </w:rPr>
        <w:t xml:space="preserve">l ítem </w:t>
      </w:r>
      <w:r w:rsidR="00773572">
        <w:rPr>
          <w:rFonts w:eastAsia="Dotum"/>
          <w:sz w:val="24"/>
          <w:szCs w:val="24"/>
        </w:rPr>
        <w:t xml:space="preserve">denominado </w:t>
      </w:r>
      <w:r w:rsidR="00923373">
        <w:rPr>
          <w:rFonts w:eastAsia="Dotum"/>
          <w:sz w:val="24"/>
          <w:szCs w:val="24"/>
        </w:rPr>
        <w:t>“Derecho al buen nombre” correspondiente al párrafo 58</w:t>
      </w:r>
      <w:r w:rsidR="00773572">
        <w:rPr>
          <w:rFonts w:eastAsia="Dotum"/>
          <w:sz w:val="24"/>
          <w:szCs w:val="24"/>
        </w:rPr>
        <w:t xml:space="preserve"> de la providencia</w:t>
      </w:r>
      <w:r w:rsidR="00EF76AC">
        <w:rPr>
          <w:rFonts w:eastAsia="Dotum"/>
          <w:sz w:val="24"/>
          <w:szCs w:val="24"/>
        </w:rPr>
        <w:t>, y con e</w:t>
      </w:r>
      <w:r w:rsidR="00D210DA">
        <w:rPr>
          <w:rFonts w:eastAsia="Dotum"/>
          <w:sz w:val="24"/>
          <w:szCs w:val="24"/>
        </w:rPr>
        <w:t>l numeral cuarto de su</w:t>
      </w:r>
      <w:r w:rsidR="00923373">
        <w:rPr>
          <w:rFonts w:eastAsia="Dotum"/>
          <w:sz w:val="24"/>
          <w:szCs w:val="24"/>
        </w:rPr>
        <w:t xml:space="preserve"> parte resolutiva,</w:t>
      </w:r>
      <w:r w:rsidRPr="00B35F7E">
        <w:rPr>
          <w:rFonts w:eastAsia="Dotum"/>
          <w:sz w:val="24"/>
          <w:szCs w:val="24"/>
        </w:rPr>
        <w:t xml:space="preserve"> para que, en su lugar, </w:t>
      </w:r>
      <w:r w:rsidR="00923373">
        <w:rPr>
          <w:rFonts w:eastAsia="Dotum"/>
          <w:sz w:val="24"/>
          <w:szCs w:val="24"/>
        </w:rPr>
        <w:t xml:space="preserve">la Subsección B de la Sección Tercera del Consejo de Estado </w:t>
      </w:r>
      <w:r w:rsidRPr="00B35F7E">
        <w:rPr>
          <w:rFonts w:eastAsia="Dotum"/>
          <w:sz w:val="24"/>
          <w:szCs w:val="24"/>
        </w:rPr>
        <w:t>profiera una nueva decisión</w:t>
      </w:r>
      <w:r w:rsidR="007E5EA7">
        <w:rPr>
          <w:rFonts w:eastAsia="Dotum"/>
          <w:sz w:val="24"/>
          <w:szCs w:val="24"/>
        </w:rPr>
        <w:t>, a través de sentencia complementaria,</w:t>
      </w:r>
      <w:r w:rsidRPr="00B35F7E">
        <w:rPr>
          <w:rFonts w:eastAsia="Dotum"/>
          <w:sz w:val="24"/>
          <w:szCs w:val="24"/>
        </w:rPr>
        <w:t xml:space="preserve"> en la que tenga en cuenta las consideracione</w:t>
      </w:r>
      <w:r w:rsidR="007A3F17">
        <w:rPr>
          <w:rFonts w:eastAsia="Dotum"/>
          <w:sz w:val="24"/>
          <w:szCs w:val="24"/>
        </w:rPr>
        <w:t xml:space="preserve">s expuestas en esta providencia, dentro del término de </w:t>
      </w:r>
      <w:r w:rsidR="00526281">
        <w:rPr>
          <w:rFonts w:eastAsia="Dotum"/>
          <w:sz w:val="24"/>
          <w:szCs w:val="24"/>
        </w:rPr>
        <w:t>cuarenta y cinco (</w:t>
      </w:r>
      <w:r w:rsidR="007A3F17">
        <w:rPr>
          <w:rFonts w:eastAsia="Dotum"/>
          <w:sz w:val="24"/>
          <w:szCs w:val="24"/>
        </w:rPr>
        <w:t>45</w:t>
      </w:r>
      <w:r w:rsidR="00526281">
        <w:rPr>
          <w:rFonts w:eastAsia="Dotum"/>
          <w:sz w:val="24"/>
          <w:szCs w:val="24"/>
        </w:rPr>
        <w:t>)</w:t>
      </w:r>
      <w:r w:rsidR="007A3F17">
        <w:rPr>
          <w:rFonts w:eastAsia="Dotum"/>
          <w:sz w:val="24"/>
          <w:szCs w:val="24"/>
        </w:rPr>
        <w:t xml:space="preserve"> d</w:t>
      </w:r>
      <w:r w:rsidR="007E5EA7">
        <w:rPr>
          <w:rFonts w:eastAsia="Dotum"/>
          <w:sz w:val="24"/>
          <w:szCs w:val="24"/>
        </w:rPr>
        <w:t>ías hábiles contados a partir de la notificación de la presente providencia.</w:t>
      </w:r>
      <w:r w:rsidR="00EF76AC">
        <w:rPr>
          <w:rFonts w:eastAsia="Dotum"/>
          <w:sz w:val="24"/>
          <w:szCs w:val="24"/>
        </w:rPr>
        <w:t xml:space="preserve"> </w:t>
      </w:r>
    </w:p>
    <w:p w14:paraId="3421D922" w14:textId="77777777" w:rsidR="00EF76AC" w:rsidRDefault="00EF76AC" w:rsidP="00AA37BD">
      <w:pPr>
        <w:rPr>
          <w:rFonts w:eastAsia="Dotum"/>
          <w:sz w:val="24"/>
          <w:szCs w:val="24"/>
        </w:rPr>
      </w:pPr>
    </w:p>
    <w:p w14:paraId="5A62AFE6" w14:textId="7F4DBC82" w:rsidR="00AA37BD" w:rsidRPr="00B35F7E" w:rsidRDefault="00EF76AC" w:rsidP="00AA37BD">
      <w:pPr>
        <w:rPr>
          <w:rFonts w:eastAsia="Dotum"/>
          <w:sz w:val="24"/>
          <w:szCs w:val="24"/>
        </w:rPr>
      </w:pPr>
      <w:r>
        <w:rPr>
          <w:rFonts w:eastAsia="Dotum"/>
          <w:sz w:val="24"/>
          <w:szCs w:val="24"/>
        </w:rPr>
        <w:t>En cuanto a los demás argumentos de tutela, serán declarados improcedentes por no superar los requisitos generales de subsidiariedad, de exposición de hechos y argumentos y de relevancia constitucional, conforme a las razones expuestas en esta sentencia.</w:t>
      </w:r>
    </w:p>
    <w:p w14:paraId="1702DDCE" w14:textId="77777777" w:rsidR="00AA37BD" w:rsidRPr="00B35F7E" w:rsidRDefault="00AA37BD" w:rsidP="00AA37BD">
      <w:pPr>
        <w:overflowPunct w:val="0"/>
        <w:autoSpaceDE w:val="0"/>
        <w:autoSpaceDN w:val="0"/>
        <w:adjustRightInd w:val="0"/>
        <w:rPr>
          <w:sz w:val="24"/>
          <w:szCs w:val="24"/>
        </w:rPr>
      </w:pPr>
    </w:p>
    <w:p w14:paraId="6403D3BE" w14:textId="597B4DA4" w:rsidR="00AA37BD" w:rsidRPr="00B35F7E" w:rsidRDefault="00AA37BD" w:rsidP="00AA37BD">
      <w:pPr>
        <w:rPr>
          <w:rFonts w:eastAsia="Times New Roman"/>
          <w:sz w:val="24"/>
          <w:szCs w:val="24"/>
          <w:lang w:eastAsia="es-CO"/>
        </w:rPr>
      </w:pPr>
      <w:r w:rsidRPr="00B35F7E">
        <w:rPr>
          <w:rFonts w:eastAsia="Times New Roman"/>
          <w:sz w:val="24"/>
          <w:szCs w:val="24"/>
          <w:lang w:eastAsia="es-CO"/>
        </w:rPr>
        <w:t>En mérito de lo expuesto, el Consejo de Estado en Sala de lo Contencioso Administrativo, Sección Tercera, Subsección C</w:t>
      </w:r>
      <w:r w:rsidR="00AB06D6">
        <w:rPr>
          <w:rFonts w:eastAsia="Times New Roman"/>
          <w:sz w:val="24"/>
          <w:szCs w:val="24"/>
          <w:lang w:eastAsia="es-CO"/>
        </w:rPr>
        <w:t>,</w:t>
      </w:r>
      <w:r w:rsidRPr="00B35F7E">
        <w:rPr>
          <w:rFonts w:eastAsia="Times New Roman"/>
          <w:sz w:val="24"/>
          <w:szCs w:val="24"/>
          <w:lang w:eastAsia="es-CO"/>
        </w:rPr>
        <w:t xml:space="preserve"> administrando justicia en nombre de la República y por autoridad de la ley,</w:t>
      </w:r>
    </w:p>
    <w:p w14:paraId="6977CAC2" w14:textId="77777777" w:rsidR="0022658D" w:rsidRPr="007148B2" w:rsidRDefault="0022658D" w:rsidP="007148B2">
      <w:pPr>
        <w:pStyle w:val="Prrafodelista"/>
        <w:ind w:left="0"/>
        <w:rPr>
          <w:rFonts w:ascii="Arial" w:hAnsi="Arial" w:cs="Arial"/>
        </w:rPr>
      </w:pPr>
    </w:p>
    <w:p w14:paraId="33AA52AA" w14:textId="77777777" w:rsidR="0022658D" w:rsidRPr="007148B2" w:rsidRDefault="0022658D" w:rsidP="007148B2">
      <w:pPr>
        <w:pStyle w:val="RESUELVE"/>
        <w:spacing w:before="0" w:after="0" w:line="240" w:lineRule="auto"/>
        <w:rPr>
          <w:rFonts w:cs="Arial"/>
          <w:szCs w:val="24"/>
        </w:rPr>
      </w:pPr>
      <w:r w:rsidRPr="007148B2">
        <w:rPr>
          <w:rFonts w:cs="Arial"/>
          <w:szCs w:val="24"/>
        </w:rPr>
        <w:t>RESUELVE</w:t>
      </w:r>
    </w:p>
    <w:p w14:paraId="28320399" w14:textId="77777777" w:rsidR="0022658D" w:rsidRPr="007148B2" w:rsidRDefault="0022658D" w:rsidP="007148B2">
      <w:pPr>
        <w:pStyle w:val="RESUELVE"/>
        <w:spacing w:before="0" w:after="0" w:line="240" w:lineRule="auto"/>
        <w:rPr>
          <w:rFonts w:cs="Arial"/>
          <w:szCs w:val="24"/>
        </w:rPr>
      </w:pPr>
    </w:p>
    <w:p w14:paraId="166CB48E" w14:textId="51315395" w:rsidR="008F41C2" w:rsidRPr="00240628" w:rsidRDefault="00BB361E" w:rsidP="00BB361E">
      <w:pPr>
        <w:tabs>
          <w:tab w:val="left" w:pos="851"/>
        </w:tabs>
        <w:rPr>
          <w:rFonts w:eastAsia="Verdana"/>
          <w:sz w:val="24"/>
          <w:szCs w:val="24"/>
        </w:rPr>
      </w:pPr>
      <w:r w:rsidRPr="00B35F7E">
        <w:rPr>
          <w:rFonts w:eastAsia="Verdana"/>
          <w:b/>
          <w:sz w:val="24"/>
          <w:szCs w:val="24"/>
        </w:rPr>
        <w:t xml:space="preserve">PRIMERO: </w:t>
      </w:r>
      <w:r w:rsidR="00240628">
        <w:rPr>
          <w:rFonts w:eastAsia="Verdana"/>
          <w:b/>
          <w:sz w:val="24"/>
          <w:szCs w:val="24"/>
        </w:rPr>
        <w:t xml:space="preserve">RECONOCER </w:t>
      </w:r>
      <w:r w:rsidR="00240628">
        <w:rPr>
          <w:rFonts w:eastAsia="Verdana"/>
          <w:sz w:val="24"/>
          <w:szCs w:val="24"/>
        </w:rPr>
        <w:t xml:space="preserve">a la Fiscalía General de la Nación como coadyuvante de la Nación, Rama Judicial, Consejo Superior de la Judicatura, Dirección Ejecutiva de Administración Judicial, únicamente en relación con los argumentos dirigidos a cuestionar la orden de pedir disculpas contenida en el numeral 4 de la sentencia del 23 de abril de 2020. </w:t>
      </w:r>
    </w:p>
    <w:p w14:paraId="2BA16692" w14:textId="77777777" w:rsidR="008F41C2" w:rsidRDefault="008F41C2" w:rsidP="00BB361E">
      <w:pPr>
        <w:tabs>
          <w:tab w:val="left" w:pos="851"/>
        </w:tabs>
        <w:rPr>
          <w:rFonts w:eastAsia="Verdana"/>
          <w:b/>
          <w:sz w:val="24"/>
          <w:szCs w:val="24"/>
        </w:rPr>
      </w:pPr>
    </w:p>
    <w:p w14:paraId="406D53A0" w14:textId="3E9D3986" w:rsidR="00BB361E" w:rsidRDefault="00240628" w:rsidP="00BB361E">
      <w:pPr>
        <w:tabs>
          <w:tab w:val="left" w:pos="851"/>
        </w:tabs>
        <w:rPr>
          <w:rFonts w:eastAsia="Times New Roman"/>
          <w:sz w:val="24"/>
          <w:szCs w:val="24"/>
          <w:lang w:val="es-ES_tradnl" w:eastAsia="es-ES"/>
        </w:rPr>
      </w:pPr>
      <w:r w:rsidRPr="00B35F7E">
        <w:rPr>
          <w:rFonts w:eastAsia="Verdana"/>
          <w:b/>
          <w:sz w:val="24"/>
          <w:szCs w:val="24"/>
        </w:rPr>
        <w:t>SEGUNDO:</w:t>
      </w:r>
      <w:r>
        <w:rPr>
          <w:rFonts w:eastAsia="Verdana"/>
          <w:b/>
          <w:sz w:val="24"/>
          <w:szCs w:val="24"/>
        </w:rPr>
        <w:t xml:space="preserve"> </w:t>
      </w:r>
      <w:r w:rsidR="00BB361E" w:rsidRPr="00B35F7E">
        <w:rPr>
          <w:rFonts w:eastAsia="Verdana"/>
          <w:b/>
          <w:sz w:val="24"/>
          <w:szCs w:val="24"/>
        </w:rPr>
        <w:t xml:space="preserve">CONCEDER </w:t>
      </w:r>
      <w:r w:rsidR="00BB361E">
        <w:rPr>
          <w:rFonts w:eastAsia="Verdana"/>
          <w:sz w:val="24"/>
          <w:szCs w:val="24"/>
        </w:rPr>
        <w:t>el amparo de tutela del derecho fundamental</w:t>
      </w:r>
      <w:r w:rsidR="00BB361E" w:rsidRPr="00B35F7E">
        <w:rPr>
          <w:rFonts w:eastAsia="Verdana"/>
          <w:sz w:val="24"/>
          <w:szCs w:val="24"/>
        </w:rPr>
        <w:t xml:space="preserve"> al debido proces</w:t>
      </w:r>
      <w:r w:rsidR="00BB361E">
        <w:rPr>
          <w:rFonts w:eastAsia="Verdana"/>
          <w:sz w:val="24"/>
          <w:szCs w:val="24"/>
        </w:rPr>
        <w:t xml:space="preserve">o de </w:t>
      </w:r>
      <w:r w:rsidR="00BB361E" w:rsidRPr="00B35F7E">
        <w:rPr>
          <w:rFonts w:eastAsia="Verdana"/>
          <w:sz w:val="24"/>
          <w:szCs w:val="24"/>
        </w:rPr>
        <w:t>la Nación,</w:t>
      </w:r>
      <w:r w:rsidR="00BB361E">
        <w:rPr>
          <w:rFonts w:eastAsia="Verdana"/>
          <w:sz w:val="24"/>
          <w:szCs w:val="24"/>
        </w:rPr>
        <w:t xml:space="preserve"> Rama Judicial, Consejo Superior de la Judicatura, Dirección Ejecutiva de Administración Judicial</w:t>
      </w:r>
      <w:r w:rsidR="00BB361E" w:rsidRPr="00B35F7E">
        <w:rPr>
          <w:rFonts w:eastAsia="Times New Roman"/>
          <w:sz w:val="24"/>
          <w:szCs w:val="24"/>
          <w:lang w:val="es-ES_tradnl" w:eastAsia="es-ES"/>
        </w:rPr>
        <w:t>.</w:t>
      </w:r>
    </w:p>
    <w:p w14:paraId="65B359A7" w14:textId="77777777" w:rsidR="00BB361E" w:rsidRPr="00B35F7E" w:rsidRDefault="00BB361E" w:rsidP="00BB361E">
      <w:pPr>
        <w:tabs>
          <w:tab w:val="left" w:pos="851"/>
        </w:tabs>
        <w:rPr>
          <w:rFonts w:eastAsia="Times New Roman"/>
          <w:sz w:val="24"/>
          <w:szCs w:val="24"/>
          <w:lang w:val="es-ES_tradnl" w:eastAsia="es-ES"/>
        </w:rPr>
      </w:pPr>
    </w:p>
    <w:p w14:paraId="3D2DEDD8" w14:textId="6BD29F66" w:rsidR="00BB361E" w:rsidRPr="00B35F7E" w:rsidRDefault="00240628" w:rsidP="00BB361E">
      <w:pPr>
        <w:rPr>
          <w:rFonts w:eastAsia="Verdana"/>
          <w:sz w:val="24"/>
          <w:szCs w:val="24"/>
        </w:rPr>
      </w:pPr>
      <w:r w:rsidRPr="00B35F7E">
        <w:rPr>
          <w:rFonts w:eastAsia="Verdana"/>
          <w:b/>
          <w:sz w:val="24"/>
          <w:szCs w:val="24"/>
        </w:rPr>
        <w:t>TERCERO:</w:t>
      </w:r>
      <w:r>
        <w:rPr>
          <w:rFonts w:eastAsia="Verdana"/>
          <w:b/>
          <w:sz w:val="24"/>
          <w:szCs w:val="24"/>
        </w:rPr>
        <w:t xml:space="preserve"> </w:t>
      </w:r>
      <w:r w:rsidR="00BB361E" w:rsidRPr="00B35F7E">
        <w:rPr>
          <w:rFonts w:eastAsia="Verdana"/>
          <w:b/>
          <w:sz w:val="24"/>
          <w:szCs w:val="24"/>
        </w:rPr>
        <w:t xml:space="preserve">DEJAR SIN EFECTOS </w:t>
      </w:r>
      <w:r w:rsidR="00BB361E">
        <w:rPr>
          <w:rFonts w:eastAsia="Verdana"/>
          <w:sz w:val="24"/>
          <w:szCs w:val="24"/>
        </w:rPr>
        <w:t>la sentencia del 23</w:t>
      </w:r>
      <w:r w:rsidR="00BB361E" w:rsidRPr="00B35F7E">
        <w:rPr>
          <w:rFonts w:eastAsia="Verdana"/>
          <w:sz w:val="24"/>
          <w:szCs w:val="24"/>
        </w:rPr>
        <w:t xml:space="preserve"> de </w:t>
      </w:r>
      <w:r w:rsidR="00BB361E">
        <w:rPr>
          <w:rFonts w:eastAsia="Verdana"/>
          <w:sz w:val="24"/>
          <w:szCs w:val="24"/>
        </w:rPr>
        <w:t>abril del 2020</w:t>
      </w:r>
      <w:r w:rsidR="00BB361E" w:rsidRPr="00B35F7E">
        <w:rPr>
          <w:rFonts w:eastAsia="Verdana"/>
          <w:sz w:val="24"/>
          <w:szCs w:val="24"/>
        </w:rPr>
        <w:t>, proferida por</w:t>
      </w:r>
      <w:r w:rsidR="00BB361E">
        <w:rPr>
          <w:rFonts w:eastAsia="Verdana"/>
          <w:sz w:val="24"/>
          <w:szCs w:val="24"/>
        </w:rPr>
        <w:t xml:space="preserve"> la subsección B de la Sección Tercera del Consejo de Estado</w:t>
      </w:r>
      <w:r w:rsidR="00BB361E" w:rsidRPr="00B35F7E">
        <w:rPr>
          <w:rFonts w:eastAsia="Verdana"/>
          <w:sz w:val="24"/>
          <w:szCs w:val="24"/>
        </w:rPr>
        <w:t>, dentro del proceso</w:t>
      </w:r>
      <w:r w:rsidR="00BB361E">
        <w:rPr>
          <w:rFonts w:eastAsia="Verdana"/>
          <w:sz w:val="24"/>
          <w:szCs w:val="24"/>
        </w:rPr>
        <w:t xml:space="preserve"> de reparación directa con radicado </w:t>
      </w:r>
      <w:r w:rsidR="00BB361E">
        <w:rPr>
          <w:sz w:val="24"/>
          <w:szCs w:val="24"/>
        </w:rPr>
        <w:t>1300133310000201000783</w:t>
      </w:r>
      <w:r w:rsidR="00BB361E" w:rsidRPr="007148B2">
        <w:rPr>
          <w:sz w:val="24"/>
          <w:szCs w:val="24"/>
        </w:rPr>
        <w:t>01</w:t>
      </w:r>
      <w:r w:rsidR="00BB361E" w:rsidRPr="00B35F7E">
        <w:rPr>
          <w:sz w:val="24"/>
          <w:szCs w:val="24"/>
        </w:rPr>
        <w:t>,</w:t>
      </w:r>
      <w:r w:rsidR="00BB361E">
        <w:rPr>
          <w:sz w:val="24"/>
          <w:szCs w:val="24"/>
        </w:rPr>
        <w:t xml:space="preserve"> </w:t>
      </w:r>
      <w:r w:rsidR="00BB361E">
        <w:rPr>
          <w:rFonts w:eastAsia="Dotum"/>
          <w:sz w:val="24"/>
          <w:szCs w:val="24"/>
        </w:rPr>
        <w:t xml:space="preserve">únicamente en lo que tiene que ver con el ítem denominado “Derecho al buen nombre” correspondiente al </w:t>
      </w:r>
      <w:r w:rsidR="00BB361E">
        <w:rPr>
          <w:rFonts w:eastAsia="Dotum"/>
          <w:sz w:val="24"/>
          <w:szCs w:val="24"/>
        </w:rPr>
        <w:lastRenderedPageBreak/>
        <w:t>párrafo 58 de la providencia, y con el numeral cuarto de su parte resolutiva,</w:t>
      </w:r>
      <w:r w:rsidR="00BB361E" w:rsidRPr="00B35F7E">
        <w:rPr>
          <w:sz w:val="24"/>
          <w:szCs w:val="24"/>
        </w:rPr>
        <w:t xml:space="preserve"> por las razones expuestas en esta providencia.</w:t>
      </w:r>
    </w:p>
    <w:p w14:paraId="260A4206" w14:textId="77777777" w:rsidR="00BB361E" w:rsidRPr="00B35F7E" w:rsidRDefault="00BB361E" w:rsidP="00BB361E">
      <w:pPr>
        <w:rPr>
          <w:rFonts w:eastAsia="Verdana"/>
          <w:b/>
          <w:sz w:val="24"/>
          <w:szCs w:val="24"/>
        </w:rPr>
      </w:pPr>
    </w:p>
    <w:p w14:paraId="7293AFC0" w14:textId="7210BAC9" w:rsidR="00BB361E" w:rsidRPr="00B35F7E" w:rsidRDefault="00240628" w:rsidP="00BB361E">
      <w:pPr>
        <w:rPr>
          <w:szCs w:val="24"/>
        </w:rPr>
      </w:pPr>
      <w:r w:rsidRPr="00B35F7E">
        <w:rPr>
          <w:rFonts w:eastAsia="Verdana"/>
          <w:b/>
          <w:sz w:val="24"/>
          <w:szCs w:val="24"/>
        </w:rPr>
        <w:t>TERCERO:</w:t>
      </w:r>
      <w:r>
        <w:rPr>
          <w:rFonts w:eastAsia="Verdana"/>
          <w:b/>
          <w:sz w:val="24"/>
          <w:szCs w:val="24"/>
        </w:rPr>
        <w:t xml:space="preserve"> </w:t>
      </w:r>
      <w:r w:rsidR="00BB361E" w:rsidRPr="00B35F7E">
        <w:rPr>
          <w:rFonts w:eastAsia="Verdana"/>
          <w:b/>
          <w:sz w:val="24"/>
          <w:szCs w:val="24"/>
        </w:rPr>
        <w:t>ORDENAR</w:t>
      </w:r>
      <w:r w:rsidR="00BB361E">
        <w:rPr>
          <w:rFonts w:eastAsia="Verdana"/>
          <w:sz w:val="24"/>
          <w:szCs w:val="24"/>
        </w:rPr>
        <w:t xml:space="preserve"> a la Subsección B de la Sección Tercera del Consejo de Estado</w:t>
      </w:r>
      <w:r w:rsidR="00BB361E" w:rsidRPr="00B35F7E">
        <w:rPr>
          <w:rFonts w:eastAsia="Verdana"/>
          <w:sz w:val="24"/>
          <w:szCs w:val="24"/>
        </w:rPr>
        <w:t xml:space="preserve">, que en el término de cuarenta </w:t>
      </w:r>
      <w:r w:rsidR="00BB361E">
        <w:rPr>
          <w:rFonts w:eastAsia="Verdana"/>
          <w:sz w:val="24"/>
          <w:szCs w:val="24"/>
        </w:rPr>
        <w:t>y cinco (45</w:t>
      </w:r>
      <w:r w:rsidR="00BB361E" w:rsidRPr="00B35F7E">
        <w:rPr>
          <w:rFonts w:eastAsia="Verdana"/>
          <w:sz w:val="24"/>
          <w:szCs w:val="24"/>
        </w:rPr>
        <w:t xml:space="preserve">) días </w:t>
      </w:r>
      <w:r w:rsidR="00BB361E">
        <w:rPr>
          <w:rFonts w:eastAsia="Verdana"/>
          <w:sz w:val="24"/>
          <w:szCs w:val="24"/>
        </w:rPr>
        <w:t xml:space="preserve">hábiles </w:t>
      </w:r>
      <w:r w:rsidR="00BB361E" w:rsidRPr="00B35F7E">
        <w:rPr>
          <w:rFonts w:eastAsia="Verdana"/>
          <w:sz w:val="24"/>
          <w:szCs w:val="24"/>
        </w:rPr>
        <w:t>contados a partir de la notificación de esta providencia</w:t>
      </w:r>
      <w:r w:rsidR="00BB361E" w:rsidRPr="00B35F7E">
        <w:rPr>
          <w:sz w:val="24"/>
          <w:szCs w:val="24"/>
        </w:rPr>
        <w:t xml:space="preserve">, profiera </w:t>
      </w:r>
      <w:r w:rsidR="00903324">
        <w:rPr>
          <w:sz w:val="24"/>
          <w:szCs w:val="24"/>
        </w:rPr>
        <w:t xml:space="preserve">una </w:t>
      </w:r>
      <w:r w:rsidR="00BB361E" w:rsidRPr="00B35F7E">
        <w:rPr>
          <w:sz w:val="24"/>
          <w:szCs w:val="24"/>
        </w:rPr>
        <w:t xml:space="preserve">nueva decisión, </w:t>
      </w:r>
      <w:r w:rsidR="00BB361E">
        <w:rPr>
          <w:sz w:val="24"/>
          <w:szCs w:val="24"/>
        </w:rPr>
        <w:t xml:space="preserve">a través de sentencia complementaria, </w:t>
      </w:r>
      <w:r w:rsidR="00BB361E" w:rsidRPr="00B35F7E">
        <w:rPr>
          <w:sz w:val="24"/>
          <w:szCs w:val="24"/>
        </w:rPr>
        <w:t>en la que se tenga en cuenta lo indicado en la parte motiva de esta providencia.</w:t>
      </w:r>
    </w:p>
    <w:p w14:paraId="26CA5535" w14:textId="77777777" w:rsidR="00BB361E" w:rsidRPr="00B35F7E" w:rsidRDefault="00BB361E" w:rsidP="00BB361E">
      <w:pPr>
        <w:rPr>
          <w:rFonts w:eastAsia="Verdana"/>
          <w:sz w:val="24"/>
          <w:szCs w:val="24"/>
        </w:rPr>
      </w:pPr>
    </w:p>
    <w:p w14:paraId="3B33A0DB" w14:textId="2F5F1F7C" w:rsidR="00BB361E" w:rsidRPr="00B35F7E" w:rsidRDefault="00240628" w:rsidP="00BB361E">
      <w:pPr>
        <w:tabs>
          <w:tab w:val="left" w:pos="709"/>
          <w:tab w:val="left" w:pos="9000"/>
        </w:tabs>
        <w:outlineLvl w:val="6"/>
        <w:rPr>
          <w:rFonts w:eastAsia="Verdana"/>
          <w:sz w:val="24"/>
          <w:szCs w:val="24"/>
        </w:rPr>
      </w:pPr>
      <w:r>
        <w:rPr>
          <w:rFonts w:eastAsia="Verdana"/>
          <w:b/>
          <w:sz w:val="24"/>
          <w:szCs w:val="24"/>
        </w:rPr>
        <w:t xml:space="preserve">CUARTO: </w:t>
      </w:r>
      <w:r w:rsidR="00BB361E" w:rsidRPr="00B35F7E">
        <w:rPr>
          <w:rFonts w:eastAsia="Verdana"/>
          <w:b/>
          <w:sz w:val="24"/>
          <w:szCs w:val="24"/>
        </w:rPr>
        <w:t xml:space="preserve">DECLARAR IMPROCEDENTE </w:t>
      </w:r>
      <w:r w:rsidR="00BB361E" w:rsidRPr="00B35F7E">
        <w:rPr>
          <w:rFonts w:eastAsia="Verdana"/>
          <w:sz w:val="24"/>
          <w:szCs w:val="24"/>
        </w:rPr>
        <w:t>la solicitud de ampa</w:t>
      </w:r>
      <w:r w:rsidR="00E3460D">
        <w:rPr>
          <w:rFonts w:eastAsia="Verdana"/>
          <w:sz w:val="24"/>
          <w:szCs w:val="24"/>
        </w:rPr>
        <w:t>ro de tutela, en relación con lo</w:t>
      </w:r>
      <w:r w:rsidR="00BB361E" w:rsidRPr="00B35F7E">
        <w:rPr>
          <w:rFonts w:eastAsia="Verdana"/>
          <w:sz w:val="24"/>
          <w:szCs w:val="24"/>
        </w:rPr>
        <w:t>s demás argumentos de esta acción, por las razones expuestas en la presente providencia.</w:t>
      </w:r>
    </w:p>
    <w:p w14:paraId="46AEB9CA" w14:textId="77777777" w:rsidR="00BB361E" w:rsidRPr="00B35F7E" w:rsidRDefault="00BB361E" w:rsidP="00BB361E">
      <w:pPr>
        <w:tabs>
          <w:tab w:val="left" w:pos="709"/>
          <w:tab w:val="left" w:pos="9000"/>
        </w:tabs>
        <w:outlineLvl w:val="6"/>
        <w:rPr>
          <w:rFonts w:eastAsia="Verdana"/>
          <w:b/>
          <w:sz w:val="24"/>
          <w:szCs w:val="24"/>
        </w:rPr>
      </w:pPr>
    </w:p>
    <w:p w14:paraId="381A581E" w14:textId="61CF783A" w:rsidR="00BB361E" w:rsidRPr="00B35F7E" w:rsidRDefault="00240628" w:rsidP="00BB361E">
      <w:pPr>
        <w:tabs>
          <w:tab w:val="left" w:pos="709"/>
          <w:tab w:val="left" w:pos="9000"/>
        </w:tabs>
        <w:outlineLvl w:val="6"/>
        <w:rPr>
          <w:rFonts w:eastAsia="Verdana"/>
          <w:sz w:val="24"/>
          <w:szCs w:val="24"/>
        </w:rPr>
      </w:pPr>
      <w:r>
        <w:rPr>
          <w:rFonts w:eastAsia="Verdana"/>
          <w:b/>
          <w:sz w:val="24"/>
          <w:szCs w:val="24"/>
        </w:rPr>
        <w:t>QUINTO</w:t>
      </w:r>
      <w:r w:rsidR="00BB361E" w:rsidRPr="00B35F7E">
        <w:rPr>
          <w:rFonts w:eastAsia="Verdana"/>
          <w:b/>
          <w:sz w:val="24"/>
          <w:szCs w:val="24"/>
        </w:rPr>
        <w:t>: REMITIR</w:t>
      </w:r>
      <w:r w:rsidR="00BB361E" w:rsidRPr="00B35F7E">
        <w:rPr>
          <w:rFonts w:eastAsia="Verdana"/>
          <w:sz w:val="24"/>
          <w:szCs w:val="24"/>
        </w:rPr>
        <w:t xml:space="preserve"> el expediente del presente proceso de tutela a la Corte Constitucional para su eventual revisión, en caso</w:t>
      </w:r>
      <w:r w:rsidR="00295B2A">
        <w:rPr>
          <w:rFonts w:eastAsia="Verdana"/>
          <w:sz w:val="24"/>
          <w:szCs w:val="24"/>
        </w:rPr>
        <w:t xml:space="preserve"> de</w:t>
      </w:r>
      <w:r w:rsidR="00BB361E" w:rsidRPr="00B35F7E">
        <w:rPr>
          <w:rFonts w:eastAsia="Verdana"/>
          <w:sz w:val="24"/>
          <w:szCs w:val="24"/>
        </w:rPr>
        <w:t xml:space="preserve"> que el fallo no sea impugnado.</w:t>
      </w:r>
    </w:p>
    <w:p w14:paraId="506ED52B" w14:textId="77777777" w:rsidR="0022658D" w:rsidRPr="007148B2" w:rsidRDefault="0022658D" w:rsidP="00903324">
      <w:pPr>
        <w:contextualSpacing/>
        <w:jc w:val="center"/>
        <w:rPr>
          <w:rFonts w:eastAsia="Verdana"/>
          <w:b/>
          <w:sz w:val="24"/>
          <w:szCs w:val="24"/>
          <w:lang w:val="es-ES_tradnl"/>
        </w:rPr>
      </w:pPr>
    </w:p>
    <w:p w14:paraId="46F4BA52" w14:textId="77777777" w:rsidR="0022658D" w:rsidRDefault="0022658D" w:rsidP="00903324">
      <w:pPr>
        <w:contextualSpacing/>
        <w:jc w:val="center"/>
        <w:rPr>
          <w:rFonts w:eastAsia="Verdana"/>
          <w:b/>
          <w:sz w:val="24"/>
          <w:szCs w:val="24"/>
          <w:lang w:val="es-ES_tradnl"/>
        </w:rPr>
      </w:pPr>
    </w:p>
    <w:p w14:paraId="012188C4" w14:textId="77777777" w:rsidR="00903324" w:rsidRDefault="00903324" w:rsidP="00903324">
      <w:pPr>
        <w:contextualSpacing/>
        <w:jc w:val="center"/>
        <w:rPr>
          <w:rFonts w:eastAsia="Verdana"/>
          <w:b/>
          <w:sz w:val="24"/>
          <w:szCs w:val="24"/>
          <w:lang w:val="es-ES_tradnl"/>
        </w:rPr>
      </w:pPr>
    </w:p>
    <w:p w14:paraId="7E888803" w14:textId="77777777" w:rsidR="00903324" w:rsidRPr="007148B2" w:rsidRDefault="00903324" w:rsidP="00903324">
      <w:pPr>
        <w:contextualSpacing/>
        <w:jc w:val="center"/>
        <w:rPr>
          <w:rFonts w:eastAsia="Verdana"/>
          <w:b/>
          <w:sz w:val="24"/>
          <w:szCs w:val="24"/>
          <w:lang w:val="es-ES_tradnl"/>
        </w:rPr>
      </w:pPr>
    </w:p>
    <w:p w14:paraId="5A2F994B" w14:textId="77777777" w:rsidR="0022658D" w:rsidRPr="007148B2" w:rsidRDefault="0022658D" w:rsidP="00903324">
      <w:pPr>
        <w:contextualSpacing/>
        <w:jc w:val="center"/>
        <w:rPr>
          <w:rFonts w:eastAsia="Verdana"/>
          <w:b/>
          <w:sz w:val="24"/>
          <w:szCs w:val="24"/>
          <w:lang w:val="es-ES_tradnl"/>
        </w:rPr>
      </w:pPr>
      <w:r w:rsidRPr="007148B2">
        <w:rPr>
          <w:rFonts w:eastAsia="Verdana"/>
          <w:b/>
          <w:sz w:val="24"/>
          <w:szCs w:val="24"/>
          <w:lang w:val="es-ES_tradnl"/>
        </w:rPr>
        <w:t>GUILLERMO SÁNCHEZ LUQUE</w:t>
      </w:r>
    </w:p>
    <w:p w14:paraId="6F18BF6A" w14:textId="77777777" w:rsidR="0022658D" w:rsidRDefault="0022658D" w:rsidP="00903324">
      <w:pPr>
        <w:contextualSpacing/>
        <w:jc w:val="center"/>
        <w:rPr>
          <w:rFonts w:eastAsia="Verdana"/>
          <w:b/>
          <w:sz w:val="24"/>
          <w:szCs w:val="24"/>
          <w:lang w:val="es-ES_tradnl"/>
        </w:rPr>
      </w:pPr>
      <w:r w:rsidRPr="007148B2">
        <w:rPr>
          <w:rFonts w:eastAsia="Verdana"/>
          <w:b/>
          <w:sz w:val="24"/>
          <w:szCs w:val="24"/>
          <w:lang w:val="es-ES_tradnl"/>
        </w:rPr>
        <w:t>Presidente de Sala</w:t>
      </w:r>
    </w:p>
    <w:p w14:paraId="2E6422BD" w14:textId="1CD00EF5" w:rsidR="00F26B9C" w:rsidRPr="007148B2" w:rsidRDefault="00F26B9C" w:rsidP="00903324">
      <w:pPr>
        <w:contextualSpacing/>
        <w:jc w:val="center"/>
        <w:rPr>
          <w:rFonts w:eastAsia="Verdana"/>
          <w:b/>
          <w:sz w:val="24"/>
          <w:szCs w:val="24"/>
          <w:lang w:val="es-ES_tradnl"/>
        </w:rPr>
      </w:pPr>
      <w:r w:rsidRPr="00F26B9C">
        <w:rPr>
          <w:rFonts w:eastAsia="Verdana"/>
          <w:b/>
          <w:sz w:val="24"/>
          <w:szCs w:val="24"/>
          <w:lang w:val="es-ES_tradnl"/>
        </w:rPr>
        <w:t>Salvamento de voto Cfr. Rad. 68001-23-33-000-2018-00940-01</w:t>
      </w:r>
    </w:p>
    <w:p w14:paraId="3CA09FF0" w14:textId="77777777" w:rsidR="0022658D" w:rsidRPr="00F26B9C" w:rsidRDefault="0022658D" w:rsidP="00903324">
      <w:pPr>
        <w:contextualSpacing/>
        <w:jc w:val="center"/>
        <w:rPr>
          <w:rFonts w:eastAsia="Verdana"/>
          <w:b/>
          <w:sz w:val="24"/>
          <w:szCs w:val="24"/>
          <w:lang w:val="es-ES_tradnl"/>
        </w:rPr>
      </w:pPr>
    </w:p>
    <w:p w14:paraId="636FA298" w14:textId="77777777" w:rsidR="0077612B" w:rsidRPr="007148B2" w:rsidRDefault="0077612B" w:rsidP="00903324">
      <w:pPr>
        <w:contextualSpacing/>
        <w:jc w:val="center"/>
        <w:rPr>
          <w:rFonts w:eastAsia="Verdana"/>
          <w:b/>
          <w:sz w:val="24"/>
          <w:szCs w:val="24"/>
        </w:rPr>
      </w:pPr>
    </w:p>
    <w:p w14:paraId="4CBD8FBD" w14:textId="77777777" w:rsidR="0077612B" w:rsidRPr="007148B2" w:rsidRDefault="0077612B" w:rsidP="00903324">
      <w:pPr>
        <w:contextualSpacing/>
        <w:jc w:val="center"/>
        <w:rPr>
          <w:rFonts w:eastAsia="Verdana"/>
          <w:b/>
          <w:sz w:val="24"/>
          <w:szCs w:val="24"/>
          <w:lang w:val="es-ES_tradnl"/>
        </w:rPr>
      </w:pPr>
    </w:p>
    <w:p w14:paraId="79249C57" w14:textId="77777777" w:rsidR="0022658D" w:rsidRPr="007148B2" w:rsidRDefault="0022658D" w:rsidP="00903324">
      <w:pPr>
        <w:contextualSpacing/>
        <w:jc w:val="center"/>
        <w:rPr>
          <w:rFonts w:eastAsia="Verdana"/>
          <w:b/>
          <w:sz w:val="24"/>
          <w:szCs w:val="24"/>
          <w:lang w:val="es-ES_tradnl"/>
        </w:rPr>
      </w:pPr>
    </w:p>
    <w:p w14:paraId="0C8EB3DD" w14:textId="77777777" w:rsidR="0022658D" w:rsidRPr="007148B2" w:rsidRDefault="0022658D" w:rsidP="00903324">
      <w:pPr>
        <w:contextualSpacing/>
        <w:jc w:val="center"/>
        <w:rPr>
          <w:rFonts w:eastAsia="Verdana"/>
          <w:b/>
          <w:sz w:val="24"/>
          <w:szCs w:val="24"/>
          <w:lang w:val="es-ES_tradnl"/>
        </w:rPr>
      </w:pPr>
      <w:r w:rsidRPr="007148B2">
        <w:rPr>
          <w:rFonts w:eastAsia="Verdana"/>
          <w:b/>
          <w:sz w:val="24"/>
          <w:szCs w:val="24"/>
          <w:lang w:val="es-ES_tradnl"/>
        </w:rPr>
        <w:t>JAIME ENRIQUE RODRÍGUEZ NAVAS</w:t>
      </w:r>
    </w:p>
    <w:p w14:paraId="5996DB4F" w14:textId="77777777" w:rsidR="0022658D" w:rsidRPr="007148B2" w:rsidRDefault="0022658D" w:rsidP="00903324">
      <w:pPr>
        <w:contextualSpacing/>
        <w:jc w:val="center"/>
        <w:rPr>
          <w:rFonts w:eastAsia="Verdana"/>
          <w:b/>
          <w:sz w:val="24"/>
          <w:szCs w:val="24"/>
          <w:lang w:val="es-ES_tradnl"/>
        </w:rPr>
      </w:pPr>
      <w:r w:rsidRPr="007148B2">
        <w:rPr>
          <w:rFonts w:eastAsia="Verdana"/>
          <w:b/>
          <w:sz w:val="24"/>
          <w:szCs w:val="24"/>
          <w:lang w:val="es-ES_tradnl"/>
        </w:rPr>
        <w:t>Magistrado</w:t>
      </w:r>
    </w:p>
    <w:p w14:paraId="0B683E1E" w14:textId="77777777" w:rsidR="0022658D" w:rsidRPr="007148B2" w:rsidRDefault="0022658D" w:rsidP="00903324">
      <w:pPr>
        <w:contextualSpacing/>
        <w:jc w:val="center"/>
        <w:rPr>
          <w:rFonts w:eastAsia="Verdana"/>
          <w:b/>
          <w:sz w:val="24"/>
          <w:szCs w:val="24"/>
          <w:lang w:val="es-ES_tradnl"/>
        </w:rPr>
      </w:pPr>
    </w:p>
    <w:p w14:paraId="07742971" w14:textId="77777777" w:rsidR="00992771" w:rsidRPr="007148B2" w:rsidRDefault="00992771" w:rsidP="00903324">
      <w:pPr>
        <w:contextualSpacing/>
        <w:jc w:val="center"/>
        <w:rPr>
          <w:rFonts w:eastAsia="Verdana"/>
          <w:b/>
          <w:sz w:val="24"/>
          <w:szCs w:val="24"/>
          <w:lang w:val="es-ES_tradnl"/>
        </w:rPr>
      </w:pPr>
    </w:p>
    <w:p w14:paraId="3923C543" w14:textId="77777777" w:rsidR="0022658D" w:rsidRPr="007148B2" w:rsidRDefault="0022658D" w:rsidP="00903324">
      <w:pPr>
        <w:contextualSpacing/>
        <w:jc w:val="center"/>
        <w:rPr>
          <w:rFonts w:eastAsia="Verdana"/>
          <w:b/>
          <w:sz w:val="24"/>
          <w:szCs w:val="24"/>
          <w:lang w:val="es-ES_tradnl"/>
        </w:rPr>
      </w:pPr>
    </w:p>
    <w:p w14:paraId="2C53764E" w14:textId="77777777" w:rsidR="0022658D" w:rsidRPr="007148B2" w:rsidRDefault="0022658D" w:rsidP="00903324">
      <w:pPr>
        <w:contextualSpacing/>
        <w:jc w:val="center"/>
        <w:rPr>
          <w:rFonts w:eastAsia="Verdana"/>
          <w:b/>
          <w:sz w:val="24"/>
          <w:szCs w:val="24"/>
          <w:lang w:val="es-ES_tradnl"/>
        </w:rPr>
      </w:pPr>
    </w:p>
    <w:p w14:paraId="18EE5572" w14:textId="77777777" w:rsidR="0022658D" w:rsidRPr="007148B2" w:rsidRDefault="0022658D" w:rsidP="00903324">
      <w:pPr>
        <w:contextualSpacing/>
        <w:jc w:val="center"/>
        <w:rPr>
          <w:rFonts w:eastAsia="Verdana"/>
          <w:b/>
          <w:sz w:val="24"/>
          <w:szCs w:val="24"/>
          <w:lang w:val="es-ES_tradnl"/>
        </w:rPr>
      </w:pPr>
      <w:r w:rsidRPr="007148B2">
        <w:rPr>
          <w:rFonts w:eastAsia="Verdana"/>
          <w:b/>
          <w:sz w:val="24"/>
          <w:szCs w:val="24"/>
          <w:lang w:val="es-ES_tradnl"/>
        </w:rPr>
        <w:t>NICOLÁS YEPES CORRALES</w:t>
      </w:r>
    </w:p>
    <w:p w14:paraId="0A50B85B" w14:textId="77777777" w:rsidR="0022658D" w:rsidRDefault="0022658D" w:rsidP="00903324">
      <w:pPr>
        <w:contextualSpacing/>
        <w:jc w:val="center"/>
        <w:rPr>
          <w:rFonts w:eastAsia="Verdana"/>
          <w:b/>
          <w:sz w:val="24"/>
          <w:szCs w:val="24"/>
          <w:lang w:val="es-ES_tradnl"/>
        </w:rPr>
      </w:pPr>
      <w:r w:rsidRPr="007148B2">
        <w:rPr>
          <w:rFonts w:eastAsia="Verdana"/>
          <w:b/>
          <w:sz w:val="24"/>
          <w:szCs w:val="24"/>
          <w:lang w:val="es-ES_tradnl"/>
        </w:rPr>
        <w:t>Magistrado</w:t>
      </w:r>
    </w:p>
    <w:p w14:paraId="4DC13786" w14:textId="13365673" w:rsidR="00146799" w:rsidRPr="007148B2" w:rsidRDefault="00146799" w:rsidP="00903324">
      <w:pPr>
        <w:contextualSpacing/>
        <w:jc w:val="center"/>
        <w:rPr>
          <w:rFonts w:eastAsia="Verdana"/>
          <w:b/>
          <w:sz w:val="24"/>
          <w:szCs w:val="24"/>
          <w:lang w:val="es-ES_tradnl"/>
        </w:rPr>
      </w:pPr>
      <w:r>
        <w:rPr>
          <w:rFonts w:eastAsia="Verdana"/>
          <w:b/>
          <w:sz w:val="24"/>
          <w:szCs w:val="24"/>
          <w:lang w:val="es-ES_tradnl"/>
        </w:rPr>
        <w:t>Aclaración de voto</w:t>
      </w:r>
      <w:bookmarkStart w:id="3" w:name="_GoBack"/>
      <w:bookmarkEnd w:id="3"/>
    </w:p>
    <w:p w14:paraId="42B69CFA" w14:textId="77777777" w:rsidR="0022658D" w:rsidRPr="007148B2" w:rsidRDefault="0022658D" w:rsidP="007148B2">
      <w:pPr>
        <w:contextualSpacing/>
        <w:rPr>
          <w:rFonts w:eastAsia="Arial"/>
          <w:sz w:val="24"/>
          <w:szCs w:val="24"/>
          <w:lang w:val="es-MX"/>
        </w:rPr>
      </w:pPr>
    </w:p>
    <w:p w14:paraId="6605C1B2" w14:textId="77777777" w:rsidR="002E65D8" w:rsidRPr="007148B2" w:rsidRDefault="002E65D8" w:rsidP="007148B2">
      <w:pPr>
        <w:pStyle w:val="Textodecuerpo31"/>
        <w:widowControl w:val="0"/>
        <w:tabs>
          <w:tab w:val="left" w:pos="708"/>
        </w:tabs>
        <w:spacing w:line="240" w:lineRule="auto"/>
        <w:ind w:right="51"/>
        <w:jc w:val="center"/>
        <w:rPr>
          <w:rFonts w:cs="Arial"/>
          <w:b/>
          <w:szCs w:val="24"/>
        </w:rPr>
      </w:pPr>
    </w:p>
    <w:sectPr w:rsidR="002E65D8" w:rsidRPr="007148B2" w:rsidSect="006C2508">
      <w:headerReference w:type="default" r:id="rId11"/>
      <w:footerReference w:type="default" r:id="rId12"/>
      <w:headerReference w:type="first" r:id="rId13"/>
      <w:footerReference w:type="first" r:id="rId14"/>
      <w:pgSz w:w="12247" w:h="18711" w:code="119"/>
      <w:pgMar w:top="2495" w:right="1418" w:bottom="2410" w:left="1701" w:header="709" w:footer="97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6764C" w16cex:dateUtc="2021-02-16T21:50:00Z"/>
  <w16cex:commentExtensible w16cex:durableId="23D67685" w16cex:dateUtc="2021-02-16T21:51:00Z"/>
  <w16cex:commentExtensible w16cex:durableId="23D676AD" w16cex:dateUtc="2021-02-16T21:51:00Z"/>
  <w16cex:commentExtensible w16cex:durableId="23D67033" w16cex:dateUtc="2021-02-16T21:24:00Z"/>
  <w16cex:commentExtensible w16cex:durableId="23D670EC" w16cex:dateUtc="2021-02-16T21: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C305097" w16cid:durableId="23D6764C"/>
  <w16cid:commentId w16cid:paraId="0992F761" w16cid:durableId="23D67685"/>
  <w16cid:commentId w16cid:paraId="7C68F1B2" w16cid:durableId="23D676AD"/>
  <w16cid:commentId w16cid:paraId="2DC10F2F" w16cid:durableId="23D67033"/>
  <w16cid:commentId w16cid:paraId="668CF6C2" w16cid:durableId="23D670E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D1D20B" w14:textId="77777777" w:rsidR="00D04365" w:rsidRDefault="00D04365" w:rsidP="00117091">
      <w:r>
        <w:separator/>
      </w:r>
    </w:p>
  </w:endnote>
  <w:endnote w:type="continuationSeparator" w:id="0">
    <w:p w14:paraId="5A1CB898" w14:textId="77777777" w:rsidR="00D04365" w:rsidRDefault="00D04365" w:rsidP="0011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Dotum">
    <w:altName w:val="돋움"/>
    <w:panose1 w:val="020B0600000101010101"/>
    <w:charset w:val="81"/>
    <w:family w:val="modern"/>
    <w:notTrueType/>
    <w:pitch w:val="fixed"/>
    <w:sig w:usb0="00000001" w:usb1="09060000" w:usb2="00000010" w:usb3="00000000" w:csb0="00080000"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8672"/>
      <w:gridCol w:w="456"/>
    </w:tblGrid>
    <w:tr w:rsidR="00F87CD9" w14:paraId="4830A873" w14:textId="77777777" w:rsidTr="00B6429B">
      <w:trPr>
        <w:jc w:val="right"/>
      </w:trPr>
      <w:tc>
        <w:tcPr>
          <w:tcW w:w="4795" w:type="dxa"/>
          <w:vAlign w:val="center"/>
        </w:tcPr>
        <w:p w14:paraId="0C43E376" w14:textId="77777777" w:rsidR="00F87CD9" w:rsidRDefault="00F87CD9" w:rsidP="00B6429B">
          <w:pPr>
            <w:pStyle w:val="Encabezado"/>
            <w:jc w:val="center"/>
            <w:rPr>
              <w:color w:val="767171"/>
              <w:sz w:val="20"/>
              <w:szCs w:val="20"/>
            </w:rPr>
          </w:pPr>
          <w:r w:rsidRPr="00A21194">
            <w:rPr>
              <w:color w:val="767171"/>
              <w:sz w:val="20"/>
              <w:szCs w:val="20"/>
            </w:rPr>
            <w:t>Calle 12 No. 7-65 – Tel: (57-1) 350-6700 – Bogotá D.C. – Colombia</w:t>
          </w:r>
        </w:p>
        <w:p w14:paraId="4007CEC6" w14:textId="77777777" w:rsidR="00F87CD9" w:rsidRPr="00A21194" w:rsidRDefault="00F87CD9"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075C4ADA" w14:textId="77777777" w:rsidR="00F87CD9" w:rsidRPr="00B6429B" w:rsidRDefault="00F87CD9" w:rsidP="00B6429B">
          <w:pPr>
            <w:pStyle w:val="Piedepgina"/>
            <w:jc w:val="center"/>
          </w:pPr>
          <w:r w:rsidRPr="00B6429B">
            <w:fldChar w:fldCharType="begin"/>
          </w:r>
          <w:r w:rsidRPr="00B6429B">
            <w:instrText>PAGE   \* MERGEFORMAT</w:instrText>
          </w:r>
          <w:r w:rsidRPr="00B6429B">
            <w:fldChar w:fldCharType="separate"/>
          </w:r>
          <w:r w:rsidR="00146799" w:rsidRPr="00146799">
            <w:rPr>
              <w:noProof/>
              <w:lang w:val="es-ES"/>
            </w:rPr>
            <w:t>15</w:t>
          </w:r>
          <w:r w:rsidRPr="00B6429B">
            <w:fldChar w:fldCharType="end"/>
          </w:r>
        </w:p>
      </w:tc>
    </w:tr>
  </w:tbl>
  <w:p w14:paraId="17AD93B2" w14:textId="77777777" w:rsidR="00F87CD9" w:rsidRPr="008C0DBE" w:rsidRDefault="00F87CD9" w:rsidP="00394A69">
    <w:pPr>
      <w:pStyle w:val="Piedepgina"/>
      <w:jc w:val="center"/>
      <w:rPr>
        <w:color w:val="767171"/>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8672"/>
      <w:gridCol w:w="456"/>
    </w:tblGrid>
    <w:tr w:rsidR="00F87CD9" w14:paraId="7BC39794" w14:textId="77777777" w:rsidTr="00B6429B">
      <w:trPr>
        <w:jc w:val="right"/>
      </w:trPr>
      <w:tc>
        <w:tcPr>
          <w:tcW w:w="4795" w:type="dxa"/>
          <w:vAlign w:val="center"/>
        </w:tcPr>
        <w:p w14:paraId="60E1FF49" w14:textId="77777777" w:rsidR="00F87CD9" w:rsidRDefault="00F87CD9" w:rsidP="00B6429B">
          <w:pPr>
            <w:pStyle w:val="Encabezado"/>
            <w:jc w:val="center"/>
            <w:rPr>
              <w:color w:val="767171"/>
              <w:sz w:val="20"/>
              <w:szCs w:val="20"/>
            </w:rPr>
          </w:pPr>
          <w:r w:rsidRPr="00A21194">
            <w:rPr>
              <w:color w:val="767171"/>
              <w:sz w:val="20"/>
              <w:szCs w:val="20"/>
            </w:rPr>
            <w:t>Calle 12 No. 7-65 – Tel: (57-1) 350-6700 – Bogotá D.C. – Colombia</w:t>
          </w:r>
        </w:p>
        <w:p w14:paraId="1601DE47" w14:textId="77777777" w:rsidR="00F87CD9" w:rsidRPr="00A21194" w:rsidRDefault="00F87CD9"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407CE2FB" w14:textId="77777777" w:rsidR="00F87CD9" w:rsidRPr="00B6429B" w:rsidRDefault="00F87CD9">
          <w:pPr>
            <w:pStyle w:val="Piedepgina"/>
            <w:jc w:val="center"/>
          </w:pPr>
          <w:r w:rsidRPr="00B6429B">
            <w:fldChar w:fldCharType="begin"/>
          </w:r>
          <w:r w:rsidRPr="00B6429B">
            <w:instrText>PAGE   \* MERGEFORMAT</w:instrText>
          </w:r>
          <w:r w:rsidRPr="00B6429B">
            <w:fldChar w:fldCharType="separate"/>
          </w:r>
          <w:r w:rsidR="00146799" w:rsidRPr="00146799">
            <w:rPr>
              <w:noProof/>
              <w:lang w:val="es-ES"/>
            </w:rPr>
            <w:t>1</w:t>
          </w:r>
          <w:r w:rsidRPr="00B6429B">
            <w:fldChar w:fldCharType="end"/>
          </w:r>
        </w:p>
      </w:tc>
    </w:tr>
  </w:tbl>
  <w:p w14:paraId="5630AD66" w14:textId="77777777" w:rsidR="00F87CD9" w:rsidRDefault="00F87CD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40AA5D" w14:textId="77777777" w:rsidR="00D04365" w:rsidRDefault="00D04365" w:rsidP="00117091">
      <w:r>
        <w:separator/>
      </w:r>
    </w:p>
  </w:footnote>
  <w:footnote w:type="continuationSeparator" w:id="0">
    <w:p w14:paraId="04036190" w14:textId="77777777" w:rsidR="00D04365" w:rsidRDefault="00D04365" w:rsidP="00117091">
      <w:r>
        <w:continuationSeparator/>
      </w:r>
    </w:p>
  </w:footnote>
  <w:footnote w:id="1">
    <w:p w14:paraId="0482BD33" w14:textId="196B2D83" w:rsidR="00F87CD9" w:rsidRPr="00150F4F" w:rsidRDefault="00F87CD9" w:rsidP="00DF3831">
      <w:pPr>
        <w:pStyle w:val="Textonotapie"/>
      </w:pPr>
      <w:r w:rsidRPr="00027C9A">
        <w:rPr>
          <w:rStyle w:val="Refdenotaalpie"/>
        </w:rPr>
        <w:footnoteRef/>
      </w:r>
      <w:r w:rsidRPr="00027C9A">
        <w:t xml:space="preserve"> Documento visible en el expediente digital de tutela, con certificado </w:t>
      </w:r>
      <w:r w:rsidRPr="00150F4F">
        <w:t>F1DB95A631FEE6AC 3283207893AE99D5 1178CB7C86470E83 8F178BC43B5BD349</w:t>
      </w:r>
      <w:r w:rsidRPr="00027C9A">
        <w:t>.</w:t>
      </w:r>
    </w:p>
  </w:footnote>
  <w:footnote w:id="2">
    <w:p w14:paraId="52BBED49" w14:textId="77777777" w:rsidR="00F87CD9" w:rsidRPr="00027C9A" w:rsidRDefault="00F87CD9" w:rsidP="00DF3831">
      <w:pPr>
        <w:pStyle w:val="Textonotapie"/>
      </w:pPr>
      <w:r w:rsidRPr="00027C9A">
        <w:rPr>
          <w:rStyle w:val="Refdenotaalpie"/>
        </w:rPr>
        <w:footnoteRef/>
      </w:r>
      <w:r w:rsidRPr="00027C9A">
        <w:t xml:space="preserve"> Salarios mínimos legales mensuales vigentes.</w:t>
      </w:r>
    </w:p>
  </w:footnote>
  <w:footnote w:id="3">
    <w:p w14:paraId="1D572A8F" w14:textId="450C305C" w:rsidR="00F87CD9" w:rsidRPr="00150F4F" w:rsidRDefault="00F87CD9" w:rsidP="00150F4F">
      <w:pPr>
        <w:pStyle w:val="Textonotapie"/>
      </w:pPr>
      <w:r w:rsidRPr="00027C9A">
        <w:rPr>
          <w:rStyle w:val="Refdenotaalpie"/>
        </w:rPr>
        <w:footnoteRef/>
      </w:r>
      <w:r w:rsidRPr="00027C9A">
        <w:t xml:space="preserve"> Documento visible en el expediente digital de tutela, con certificado </w:t>
      </w:r>
      <w:r w:rsidRPr="00150F4F">
        <w:t>8A5420AEB380D219 B599286782B68EDA 4FE487E818D731A4 6EF141B26013F4E0</w:t>
      </w:r>
      <w:r w:rsidRPr="00027C9A">
        <w:t>.</w:t>
      </w:r>
    </w:p>
  </w:footnote>
  <w:footnote w:id="4">
    <w:p w14:paraId="09F4638D" w14:textId="31603637" w:rsidR="00F87CD9" w:rsidRPr="00150F4F" w:rsidRDefault="00F87CD9" w:rsidP="00150F4F">
      <w:pPr>
        <w:pStyle w:val="Textonotapie"/>
      </w:pPr>
      <w:r w:rsidRPr="00027C9A">
        <w:rPr>
          <w:rStyle w:val="Refdenotaalpie"/>
        </w:rPr>
        <w:footnoteRef/>
      </w:r>
      <w:r w:rsidRPr="00027C9A">
        <w:t xml:space="preserve"> Documento visible en el expediente digital de tutela, con certificado </w:t>
      </w:r>
      <w:r w:rsidRPr="00150F4F">
        <w:t>6724E99D314CD180 CF565EF1FEC9B935 1522406EF8ABDB2A 22426C21057AA965</w:t>
      </w:r>
      <w:r w:rsidRPr="00027C9A">
        <w:t>.</w:t>
      </w:r>
    </w:p>
  </w:footnote>
  <w:footnote w:id="5">
    <w:p w14:paraId="7DF1DBFE" w14:textId="5F16B2AE" w:rsidR="00F87CD9" w:rsidRPr="00027C9A" w:rsidRDefault="00F87CD9" w:rsidP="00DF3831">
      <w:pPr>
        <w:pStyle w:val="Textonotapie"/>
        <w:rPr>
          <w:i/>
          <w:u w:val="single"/>
        </w:rPr>
      </w:pPr>
      <w:r w:rsidRPr="00027C9A">
        <w:rPr>
          <w:rStyle w:val="Refdenotaalpie"/>
        </w:rPr>
        <w:footnoteRef/>
      </w:r>
      <w:r w:rsidRPr="00027C9A">
        <w:t xml:space="preserve"> </w:t>
      </w:r>
      <w:r w:rsidRPr="00150F4F">
        <w:t xml:space="preserve">Documento </w:t>
      </w:r>
      <w:r>
        <w:t>visible en la página web de consulta de procesos judiciales de la rama judicial.</w:t>
      </w:r>
      <w:r w:rsidRPr="00027C9A">
        <w:rPr>
          <w:i/>
          <w:u w:val="single"/>
        </w:rPr>
        <w:t xml:space="preserve"> </w:t>
      </w:r>
    </w:p>
  </w:footnote>
  <w:footnote w:id="6">
    <w:p w14:paraId="5150B816" w14:textId="6227838D" w:rsidR="00F87CD9" w:rsidRPr="00027C9A" w:rsidRDefault="00F87CD9" w:rsidP="00DF3831">
      <w:pPr>
        <w:pStyle w:val="Textonotapie"/>
      </w:pPr>
      <w:r w:rsidRPr="00027C9A">
        <w:rPr>
          <w:rStyle w:val="Refdenotaalpie"/>
        </w:rPr>
        <w:footnoteRef/>
      </w:r>
      <w:r w:rsidRPr="00027C9A">
        <w:t xml:space="preserve"> Documento visible en el expediente digital de tutela, con certificado 85FB8DD40FD4B9C2 246175725F46414C 457F18629CC6F596 B01ADA0327B672BD.</w:t>
      </w:r>
    </w:p>
  </w:footnote>
  <w:footnote w:id="7">
    <w:p w14:paraId="63B22949" w14:textId="00F8DA6F" w:rsidR="00F87CD9" w:rsidRPr="00027C9A" w:rsidRDefault="00F87CD9" w:rsidP="00B42CB1">
      <w:pPr>
        <w:pStyle w:val="Textonotapie"/>
      </w:pPr>
      <w:r w:rsidRPr="00027C9A">
        <w:rPr>
          <w:rStyle w:val="Refdenotaalpie"/>
        </w:rPr>
        <w:footnoteRef/>
      </w:r>
      <w:r w:rsidRPr="00027C9A">
        <w:t xml:space="preserve"> </w:t>
      </w:r>
      <w:r>
        <w:t>Página 8 del d</w:t>
      </w:r>
      <w:r w:rsidRPr="00027C9A">
        <w:t>ocumento visible en el expediente digital de tutela, con certificado 85FB8DD40FD4B9C2 246175725F46414C 457F18629CC6F596 B01ADA0327B672BD.</w:t>
      </w:r>
    </w:p>
  </w:footnote>
  <w:footnote w:id="8">
    <w:p w14:paraId="78CC4A7C" w14:textId="77777777" w:rsidR="00F87CD9" w:rsidRPr="00027C9A" w:rsidRDefault="00F87CD9" w:rsidP="00DE403C">
      <w:pPr>
        <w:pStyle w:val="Textonotapie"/>
      </w:pPr>
      <w:r w:rsidRPr="00027C9A">
        <w:rPr>
          <w:rStyle w:val="Refdenotaalpie"/>
        </w:rPr>
        <w:footnoteRef/>
      </w:r>
      <w:r w:rsidRPr="00027C9A">
        <w:t xml:space="preserve"> </w:t>
      </w:r>
      <w:r>
        <w:t>Página 8 del d</w:t>
      </w:r>
      <w:r w:rsidRPr="00027C9A">
        <w:t>ocumento visible en el expediente digital de tutela, con certificado 85FB8DD40FD4B9C2 246175725F46414C 457F18629CC6F596 B01ADA0327B672BD.</w:t>
      </w:r>
    </w:p>
  </w:footnote>
  <w:footnote w:id="9">
    <w:p w14:paraId="75954F38" w14:textId="2BCE589D" w:rsidR="00F87CD9" w:rsidRPr="00027C9A" w:rsidRDefault="00F87CD9" w:rsidP="00DE403C">
      <w:pPr>
        <w:pStyle w:val="Textonotapie"/>
      </w:pPr>
      <w:r w:rsidRPr="00027C9A">
        <w:rPr>
          <w:rStyle w:val="Refdenotaalpie"/>
        </w:rPr>
        <w:footnoteRef/>
      </w:r>
      <w:r w:rsidRPr="00027C9A">
        <w:t xml:space="preserve"> </w:t>
      </w:r>
      <w:r>
        <w:t>Página 12 del d</w:t>
      </w:r>
      <w:r w:rsidRPr="00027C9A">
        <w:t>ocumento visible en el expediente digital de tutela, con certificado 85FB8DD40FD4B9C2 246175725F46414C 457F18629CC6F596 B01ADA0327B672BD.</w:t>
      </w:r>
    </w:p>
  </w:footnote>
  <w:footnote w:id="10">
    <w:p w14:paraId="4196F7D6" w14:textId="715144C7" w:rsidR="00F87CD9" w:rsidRPr="00027C9A" w:rsidRDefault="00F87CD9" w:rsidP="00DF3831">
      <w:pPr>
        <w:pStyle w:val="Textonotapie"/>
      </w:pPr>
      <w:r w:rsidRPr="00027C9A">
        <w:rPr>
          <w:rStyle w:val="Refdenotaalpie"/>
        </w:rPr>
        <w:footnoteRef/>
      </w:r>
      <w:r w:rsidRPr="00027C9A">
        <w:t xml:space="preserve"> Consejo de Estado, Sección Tercera, Subsección C, sentencia del 28 de febrero de 2020, radicado: 25000232600020120016201 (50520).</w:t>
      </w:r>
    </w:p>
  </w:footnote>
  <w:footnote w:id="11">
    <w:p w14:paraId="631DAC3B" w14:textId="6CBE732F" w:rsidR="00F87CD9" w:rsidRPr="00027C9A" w:rsidRDefault="00F87CD9" w:rsidP="00DF3831">
      <w:pPr>
        <w:pStyle w:val="Textonotapie"/>
      </w:pPr>
      <w:r w:rsidRPr="00027C9A">
        <w:rPr>
          <w:rStyle w:val="Refdenotaalpie"/>
        </w:rPr>
        <w:footnoteRef/>
      </w:r>
      <w:r w:rsidRPr="00027C9A">
        <w:t xml:space="preserve"> Consejo de Estado, Sección Tercera, Subsección C, sentencia del 28 de agosto de 2014, radicado: </w:t>
      </w:r>
      <w:r w:rsidRPr="00851ED2">
        <w:t>05001-23-25-000-1999-01063-01(32988)</w:t>
      </w:r>
      <w:r w:rsidRPr="00027C9A">
        <w:t>.</w:t>
      </w:r>
    </w:p>
  </w:footnote>
  <w:footnote w:id="12">
    <w:p w14:paraId="7B175F50" w14:textId="14BCA312" w:rsidR="00F87CD9" w:rsidRPr="00027C9A" w:rsidRDefault="00F87CD9" w:rsidP="00DF3831">
      <w:pPr>
        <w:pStyle w:val="Textonotapie"/>
      </w:pPr>
      <w:r w:rsidRPr="00027C9A">
        <w:rPr>
          <w:rStyle w:val="Refdenotaalpie"/>
        </w:rPr>
        <w:footnoteRef/>
      </w:r>
      <w:r w:rsidRPr="00027C9A">
        <w:t xml:space="preserve"> Consejo de Estado, sentencia de Sala Plena de la Sección Tercera del 14 de septiembre de 2011, rad. 19031 y 38222</w:t>
      </w:r>
      <w:r>
        <w:t>.</w:t>
      </w:r>
    </w:p>
  </w:footnote>
  <w:footnote w:id="13">
    <w:p w14:paraId="5C1ACB0C" w14:textId="6A86EFE5" w:rsidR="00F87CD9" w:rsidRPr="00027C9A" w:rsidRDefault="00F87CD9" w:rsidP="00DF3831">
      <w:pPr>
        <w:pStyle w:val="Textonotapie"/>
      </w:pPr>
      <w:r w:rsidRPr="00027C9A">
        <w:rPr>
          <w:rStyle w:val="Refdenotaalpie"/>
        </w:rPr>
        <w:footnoteRef/>
      </w:r>
      <w:r w:rsidRPr="00027C9A">
        <w:t xml:space="preserve"> Documento visible en el expediente digital de tutela, con certificado C26A2348C80CF8CE 0B9117EBB3355EDB 58F5439BE55DE79F 44BBC7A9FF1BB9FE. </w:t>
      </w:r>
    </w:p>
  </w:footnote>
  <w:footnote w:id="14">
    <w:p w14:paraId="22E98E26" w14:textId="7B690E16" w:rsidR="00F87CD9" w:rsidRDefault="00F87CD9" w:rsidP="00DF3831">
      <w:pPr>
        <w:pStyle w:val="Textoindependiente21"/>
        <w:spacing w:after="0"/>
        <w:ind w:left="0"/>
        <w:jc w:val="both"/>
        <w:rPr>
          <w:rFonts w:cs="Arial"/>
          <w:sz w:val="18"/>
          <w:szCs w:val="18"/>
        </w:rPr>
      </w:pPr>
      <w:r w:rsidRPr="00027C9A">
        <w:rPr>
          <w:rStyle w:val="Refdenotaalpie"/>
          <w:rFonts w:cs="Arial"/>
          <w:sz w:val="18"/>
          <w:szCs w:val="18"/>
        </w:rPr>
        <w:footnoteRef/>
      </w:r>
      <w:r w:rsidRPr="00027C9A">
        <w:rPr>
          <w:rFonts w:cs="Arial"/>
          <w:sz w:val="18"/>
          <w:szCs w:val="18"/>
        </w:rPr>
        <w:t xml:space="preserve"> Auto </w:t>
      </w:r>
      <w:proofErr w:type="spellStart"/>
      <w:r w:rsidRPr="00027C9A">
        <w:rPr>
          <w:rFonts w:cs="Arial"/>
          <w:sz w:val="18"/>
          <w:szCs w:val="18"/>
        </w:rPr>
        <w:t>admisor</w:t>
      </w:r>
      <w:r>
        <w:rPr>
          <w:rFonts w:cs="Arial"/>
          <w:sz w:val="18"/>
          <w:szCs w:val="18"/>
        </w:rPr>
        <w:t>io</w:t>
      </w:r>
      <w:proofErr w:type="spellEnd"/>
      <w:r>
        <w:rPr>
          <w:rFonts w:cs="Arial"/>
          <w:sz w:val="18"/>
          <w:szCs w:val="18"/>
        </w:rPr>
        <w:t xml:space="preserve"> del 5 de noviembre de 2020, numeral séptimo: “</w:t>
      </w:r>
      <w:r w:rsidRPr="00027C9A">
        <w:rPr>
          <w:rFonts w:cs="Arial"/>
          <w:sz w:val="18"/>
          <w:szCs w:val="18"/>
        </w:rPr>
        <w:t>ACCEDER a la solicitud de medida provisional, en el sentido de suspender los efectos del numeral cuarto de la sentencia proferida el 23 de abril de 2020 por la Subsección B de la Sección Tercera del Consejo de Estado dentro del expediente 13001-33-31-0000-2010-00783-01, por las razones expuestas en la parte motiva de esta providencia”.</w:t>
      </w:r>
    </w:p>
    <w:p w14:paraId="7CEA91AD" w14:textId="08DFAABB" w:rsidR="00F87CD9" w:rsidRPr="00E76FF4" w:rsidRDefault="00F87CD9" w:rsidP="00DF3831">
      <w:pPr>
        <w:pStyle w:val="Textoindependiente21"/>
        <w:spacing w:after="0"/>
        <w:ind w:left="0"/>
        <w:jc w:val="both"/>
        <w:rPr>
          <w:rFonts w:cs="Arial"/>
          <w:sz w:val="18"/>
          <w:szCs w:val="18"/>
        </w:rPr>
      </w:pPr>
      <w:r>
        <w:rPr>
          <w:rFonts w:cs="Arial"/>
          <w:sz w:val="18"/>
          <w:szCs w:val="18"/>
        </w:rPr>
        <w:t>Como fundamento de la decisión: “</w:t>
      </w:r>
      <w:r w:rsidRPr="00E76FF4">
        <w:rPr>
          <w:rFonts w:cs="Arial"/>
          <w:sz w:val="18"/>
          <w:szCs w:val="18"/>
        </w:rPr>
        <w:t xml:space="preserve">En el sub lite, la orden proferida por la Subsección B de la Sección Tercera del Consejo de Estado en el numeral cuarto de parte resolutiva de la sentencia del 23 de abril de 2020, de que las entidades referidas ofrezcan disculpas por la privación injusta de la libertad de Edgar Montaña </w:t>
      </w:r>
      <w:proofErr w:type="spellStart"/>
      <w:r w:rsidRPr="00E76FF4">
        <w:rPr>
          <w:rFonts w:cs="Arial"/>
          <w:sz w:val="18"/>
          <w:szCs w:val="18"/>
        </w:rPr>
        <w:t>Rodelo</w:t>
      </w:r>
      <w:proofErr w:type="spellEnd"/>
      <w:r w:rsidRPr="00E76FF4">
        <w:rPr>
          <w:rFonts w:cs="Arial"/>
          <w:sz w:val="18"/>
          <w:szCs w:val="18"/>
        </w:rPr>
        <w:t>, debe ser cumplida dentro de los treinta días siguientes a la ejecutoria de la sentencia del 23 de abril de 2020, que quedó notificada y en firme el 22 y 27 de octubre del mismo año. De manera que, en tanto que ese plazo ya se encuentra en curso, y el reproche constitucional recae justamente sobre esa orden, una eventual sentencia favorable a las pretensiones resultaría inane.</w:t>
      </w:r>
    </w:p>
    <w:p w14:paraId="208595D8" w14:textId="44840542" w:rsidR="00F87CD9" w:rsidRPr="00027C9A" w:rsidRDefault="00F87CD9" w:rsidP="00DF3831">
      <w:pPr>
        <w:pStyle w:val="Textoindependiente21"/>
        <w:spacing w:after="0"/>
        <w:ind w:left="0"/>
        <w:jc w:val="both"/>
        <w:rPr>
          <w:rFonts w:cs="Arial"/>
          <w:sz w:val="18"/>
          <w:szCs w:val="18"/>
        </w:rPr>
      </w:pPr>
      <w:r w:rsidRPr="00E76FF4">
        <w:rPr>
          <w:rFonts w:cs="Arial"/>
          <w:sz w:val="18"/>
          <w:szCs w:val="18"/>
        </w:rPr>
        <w:t>Lo anterior, teniendo en cuenta que por la naturaleza de la obligación que se deriva de la orden contenida en la sentencia del 23 de abril de 2020, su cumplimiento, esto es, el acto de pedir disculpas, llevaría a que, en el caso de que hubiera lugar al amparo de los derechos, este no podría concretarse en una orden por tratarse de una situación ya consumada</w:t>
      </w:r>
      <w:r>
        <w:rPr>
          <w:rFonts w:cs="Arial"/>
          <w:sz w:val="18"/>
          <w:szCs w:val="18"/>
        </w:rPr>
        <w:t>”</w:t>
      </w:r>
      <w:r w:rsidRPr="00E76FF4">
        <w:rPr>
          <w:rFonts w:cs="Arial"/>
          <w:sz w:val="18"/>
          <w:szCs w:val="18"/>
        </w:rPr>
        <w:t>.</w:t>
      </w:r>
    </w:p>
  </w:footnote>
  <w:footnote w:id="15">
    <w:p w14:paraId="6E180855" w14:textId="352B9B54" w:rsidR="00F87CD9" w:rsidRPr="00027C9A" w:rsidRDefault="00F87CD9" w:rsidP="00C722A8">
      <w:pPr>
        <w:pStyle w:val="Textonotapie"/>
      </w:pPr>
      <w:r w:rsidRPr="00027C9A">
        <w:rPr>
          <w:rStyle w:val="Refdenotaalpie"/>
        </w:rPr>
        <w:footnoteRef/>
      </w:r>
      <w:r w:rsidRPr="00027C9A">
        <w:t xml:space="preserve"> Documento visible en el expediente digital de tutela, con certificado </w:t>
      </w:r>
      <w:r w:rsidRPr="00F87CD9">
        <w:t>E4D7D28762B18C19 7059DB6C085B09E0 F49AEC1C39E4B741 0A9B254AB790574E</w:t>
      </w:r>
      <w:r w:rsidRPr="00027C9A">
        <w:t xml:space="preserve">. </w:t>
      </w:r>
    </w:p>
  </w:footnote>
  <w:footnote w:id="16">
    <w:p w14:paraId="5B337593" w14:textId="5D0BA0F0" w:rsidR="00F87CD9" w:rsidRPr="00027C9A" w:rsidRDefault="00F87CD9" w:rsidP="00DF3831">
      <w:pPr>
        <w:pStyle w:val="Textonotapie"/>
      </w:pPr>
      <w:r w:rsidRPr="00027C9A">
        <w:rPr>
          <w:rStyle w:val="Refdenotaalpie"/>
        </w:rPr>
        <w:footnoteRef/>
      </w:r>
      <w:r w:rsidRPr="00027C9A">
        <w:t xml:space="preserve"> Documento visible en el expediente digital de tutela, con certificado 584F205CC558376F 9441FBEE532D1670 CB84F5C6ABB91B2D D7DE3D48432309C8. </w:t>
      </w:r>
    </w:p>
  </w:footnote>
  <w:footnote w:id="17">
    <w:p w14:paraId="40020749" w14:textId="77777777" w:rsidR="00F87CD9" w:rsidRPr="00027C9A" w:rsidRDefault="00F87CD9" w:rsidP="00DF3831">
      <w:pPr>
        <w:pStyle w:val="Textonotapie"/>
      </w:pPr>
      <w:r w:rsidRPr="00027C9A">
        <w:rPr>
          <w:rStyle w:val="Refdenotaalpie"/>
        </w:rPr>
        <w:footnoteRef/>
      </w:r>
      <w:r w:rsidRPr="00027C9A">
        <w:t xml:space="preserve"> Publicado en el diario oficial 50.913 del 1 de abril de 2019.</w:t>
      </w:r>
    </w:p>
  </w:footnote>
  <w:footnote w:id="18">
    <w:p w14:paraId="11A21458" w14:textId="77777777" w:rsidR="00F87CD9" w:rsidRPr="00027C9A" w:rsidRDefault="00F87CD9" w:rsidP="00DF3831">
      <w:pPr>
        <w:pStyle w:val="Textonotapie"/>
      </w:pPr>
      <w:r w:rsidRPr="00027C9A">
        <w:rPr>
          <w:rStyle w:val="Refdenotaalpie"/>
        </w:rPr>
        <w:footnoteRef/>
      </w:r>
      <w:r w:rsidRPr="00027C9A">
        <w:t xml:space="preserve"> Las causales específicas de procedencia de la acción de tutela contra providencia judicial se concretan en los defectos o errores en que puede incurrir la decisión cuestionada, de modo que, si en una decisión judicial se presenta alguna de las causales específicas, podrá ser razón suficiente para el amparo constitucional. A saber: a) Defecto orgánico, que se presenta cuando el juez carece de competencia; b) defecto procedimental, que ocurre cuando la autoridad judicial actuó al margen del procedimiento establecido; c) defecto fáctico, esto es, cuando el juez no tuvo en cuenta el material de prueba obrante en el expediente para proferir decisión; d) defecto material o sustantivo, el que se origina en el evento en que se decida con fundamento en normas inexistentes o inconstitucionales, en contravía de ellas, o existe una evidente y grosera contradicción entre los fundamentos y la decisión; e) error inducido, cuando la autoridad judicial es víctima de engaño por terceros y el mismo lo condujo a tomar una decisión que afecta derechos fundamentales; f) decisión sin motivación, que implica el incumplimiento de los servidores judiciales de dar cuenta de los fundamentos fácticos y jurídicos de sus decisiones en el entendido que precisamente en esa motivación reposa la legitimidad de su órbita funcional; g) desconocimiento del precedente constitucional, cuando la Corte Constitucional establece el alcance de un derecho fundamental y el juez ordinario aplica una ley limitando sustancialmente dicho alcance y h) violación directa de la Constitución Política, cuando los jueces desconocen la aplicación de la Ley Fundamental, conforme al mandato consagrado en el artículo 4º de la Carta Política que antepone de manera preferente la aplicación de sus postulados.</w:t>
      </w:r>
    </w:p>
  </w:footnote>
  <w:footnote w:id="19">
    <w:p w14:paraId="0C8184D2" w14:textId="77777777" w:rsidR="002813A9" w:rsidRPr="0068068B" w:rsidRDefault="002813A9" w:rsidP="002813A9">
      <w:pPr>
        <w:pStyle w:val="Textonotapie"/>
        <w:rPr>
          <w:szCs w:val="16"/>
          <w:lang w:val="es-ES"/>
        </w:rPr>
      </w:pPr>
      <w:r w:rsidRPr="0068068B">
        <w:rPr>
          <w:rStyle w:val="Refdenotaalpie"/>
          <w:szCs w:val="16"/>
        </w:rPr>
        <w:footnoteRef/>
      </w:r>
      <w:r w:rsidRPr="0068068B">
        <w:rPr>
          <w:szCs w:val="16"/>
        </w:rPr>
        <w:t xml:space="preserve"> </w:t>
      </w:r>
      <w:r w:rsidRPr="0068068B">
        <w:rPr>
          <w:szCs w:val="16"/>
          <w:lang w:val="es-ES"/>
        </w:rPr>
        <w:t>Cfr. Corte Constitucional T-269 de 2012 y T-112 de 2104.</w:t>
      </w:r>
    </w:p>
  </w:footnote>
  <w:footnote w:id="20">
    <w:p w14:paraId="5FD11400" w14:textId="77777777" w:rsidR="002813A9" w:rsidRPr="0068068B" w:rsidRDefault="002813A9" w:rsidP="002813A9">
      <w:pPr>
        <w:pStyle w:val="Textonotapie"/>
        <w:rPr>
          <w:szCs w:val="16"/>
          <w:lang w:val="es-ES"/>
        </w:rPr>
      </w:pPr>
      <w:r w:rsidRPr="0068068B">
        <w:rPr>
          <w:rStyle w:val="Refdenotaalpie"/>
          <w:szCs w:val="16"/>
        </w:rPr>
        <w:footnoteRef/>
      </w:r>
      <w:r w:rsidRPr="0068068B">
        <w:rPr>
          <w:szCs w:val="16"/>
        </w:rPr>
        <w:t xml:space="preserve"> </w:t>
      </w:r>
      <w:r w:rsidRPr="0068068B">
        <w:rPr>
          <w:szCs w:val="16"/>
          <w:lang w:val="es-ES"/>
        </w:rPr>
        <w:t>Cfr. Corte Constitucional T-269 de 2012.</w:t>
      </w:r>
    </w:p>
  </w:footnote>
  <w:footnote w:id="21">
    <w:p w14:paraId="72F9282D" w14:textId="77777777" w:rsidR="002813A9" w:rsidRPr="0068068B" w:rsidRDefault="002813A9" w:rsidP="002813A9">
      <w:pPr>
        <w:pStyle w:val="Textonotapie"/>
        <w:rPr>
          <w:szCs w:val="16"/>
          <w:lang w:val="es-ES"/>
        </w:rPr>
      </w:pPr>
      <w:r w:rsidRPr="0068068B">
        <w:rPr>
          <w:rStyle w:val="Refdenotaalpie"/>
          <w:szCs w:val="16"/>
        </w:rPr>
        <w:footnoteRef/>
      </w:r>
      <w:r w:rsidRPr="0068068B">
        <w:rPr>
          <w:szCs w:val="16"/>
        </w:rPr>
        <w:t xml:space="preserve"> </w:t>
      </w:r>
      <w:r w:rsidRPr="0068068B">
        <w:rPr>
          <w:szCs w:val="16"/>
          <w:lang w:val="es-ES"/>
        </w:rPr>
        <w:t>Ibídem.</w:t>
      </w:r>
    </w:p>
  </w:footnote>
  <w:footnote w:id="22">
    <w:p w14:paraId="5B8740EE" w14:textId="77777777" w:rsidR="002813A9" w:rsidRPr="0068068B" w:rsidRDefault="002813A9" w:rsidP="002813A9">
      <w:pPr>
        <w:pStyle w:val="Textonotapie"/>
        <w:rPr>
          <w:szCs w:val="16"/>
          <w:lang w:val="es-ES"/>
        </w:rPr>
      </w:pPr>
      <w:r w:rsidRPr="0068068B">
        <w:rPr>
          <w:rStyle w:val="Refdenotaalpie"/>
          <w:szCs w:val="16"/>
        </w:rPr>
        <w:footnoteRef/>
      </w:r>
      <w:r w:rsidRPr="0068068B">
        <w:rPr>
          <w:szCs w:val="16"/>
        </w:rPr>
        <w:t xml:space="preserve"> </w:t>
      </w:r>
      <w:r w:rsidRPr="0068068B">
        <w:rPr>
          <w:szCs w:val="16"/>
          <w:lang w:val="es-ES"/>
        </w:rPr>
        <w:t>Ibídem.</w:t>
      </w:r>
    </w:p>
  </w:footnote>
  <w:footnote w:id="23">
    <w:p w14:paraId="3623F08C" w14:textId="63817387" w:rsidR="00F87CD9" w:rsidRPr="00027C9A" w:rsidRDefault="00F87CD9" w:rsidP="00DF3831">
      <w:pPr>
        <w:pStyle w:val="Textonotapie"/>
      </w:pPr>
      <w:r w:rsidRPr="00027C9A">
        <w:rPr>
          <w:rStyle w:val="Refdenotaalpie"/>
        </w:rPr>
        <w:footnoteRef/>
      </w:r>
      <w:r w:rsidRPr="00027C9A">
        <w:t xml:space="preserve"> Ver sentencia C-590 de 2005.</w:t>
      </w:r>
    </w:p>
  </w:footnote>
  <w:footnote w:id="24">
    <w:p w14:paraId="4453F4FB" w14:textId="77777777" w:rsidR="003D0403" w:rsidRPr="00027C9A" w:rsidRDefault="003D0403" w:rsidP="003D0403">
      <w:pPr>
        <w:pStyle w:val="Textonotapie"/>
      </w:pPr>
      <w:r w:rsidRPr="00027C9A">
        <w:rPr>
          <w:rStyle w:val="Refdenotaalpie"/>
        </w:rPr>
        <w:footnoteRef/>
      </w:r>
      <w:r w:rsidRPr="00027C9A">
        <w:t xml:space="preserve"> Consejo de Estado, Sección Tercera, Subsección C, sentencia del 28 de agosto de 2014, radicado: </w:t>
      </w:r>
      <w:r w:rsidRPr="00851ED2">
        <w:t>05001-23-25-000-1999-01063-01(32988)</w:t>
      </w:r>
      <w:r w:rsidRPr="00027C9A">
        <w:t>.</w:t>
      </w:r>
    </w:p>
  </w:footnote>
  <w:footnote w:id="25">
    <w:p w14:paraId="02A5EBE6" w14:textId="7E040652" w:rsidR="00F87CD9" w:rsidRDefault="00F87CD9">
      <w:pPr>
        <w:pStyle w:val="Textonotapie"/>
      </w:pPr>
      <w:r>
        <w:rPr>
          <w:rStyle w:val="Refdenotaalpie"/>
        </w:rPr>
        <w:footnoteRef/>
      </w:r>
      <w:r>
        <w:t xml:space="preserve"> Según consta en la página web de consulta de procesos de la rama judicial.</w:t>
      </w:r>
    </w:p>
  </w:footnote>
  <w:footnote w:id="26">
    <w:p w14:paraId="79BEA70C" w14:textId="77777777" w:rsidR="00F87CD9" w:rsidRPr="00027C9A" w:rsidRDefault="00F87CD9" w:rsidP="00DF3831">
      <w:pPr>
        <w:pStyle w:val="Textonotapie"/>
      </w:pPr>
      <w:r w:rsidRPr="00027C9A">
        <w:rPr>
          <w:rStyle w:val="Refdenotaalpie"/>
        </w:rPr>
        <w:footnoteRef/>
      </w:r>
      <w:r w:rsidRPr="00027C9A">
        <w:t xml:space="preserve"> </w:t>
      </w:r>
      <w:r w:rsidRPr="00027C9A">
        <w:rPr>
          <w:rFonts w:eastAsia="Verdana"/>
        </w:rPr>
        <w:t xml:space="preserve">Al respecto ver las sentencias </w:t>
      </w:r>
      <w:r w:rsidRPr="00027C9A">
        <w:t xml:space="preserve">SU-961de 1999 y </w:t>
      </w:r>
      <w:r w:rsidRPr="00027C9A">
        <w:rPr>
          <w:rFonts w:eastAsia="Verdana"/>
        </w:rPr>
        <w:t xml:space="preserve">T-031 de 2016 de la Corte Constitucional, y la sentencia </w:t>
      </w:r>
      <w:r w:rsidRPr="00027C9A">
        <w:t xml:space="preserve">proferida por la Sala Plena del Consejo de Estado el 5 de agosto del 2014. </w:t>
      </w:r>
    </w:p>
  </w:footnote>
  <w:footnote w:id="27">
    <w:p w14:paraId="5B004E39" w14:textId="3A804CD3" w:rsidR="00C11F0C" w:rsidRDefault="00C11F0C">
      <w:pPr>
        <w:pStyle w:val="Textonotapie"/>
      </w:pPr>
      <w:r>
        <w:rPr>
          <w:rStyle w:val="Refdenotaalpie"/>
        </w:rPr>
        <w:footnoteRef/>
      </w:r>
      <w:r>
        <w:t xml:space="preserve"> Ver sentencia T-296 de 2018.</w:t>
      </w:r>
    </w:p>
  </w:footnote>
  <w:footnote w:id="28">
    <w:p w14:paraId="6A09C902" w14:textId="77777777" w:rsidR="00F87CD9" w:rsidRPr="00027C9A" w:rsidRDefault="00F87CD9" w:rsidP="00DF3831">
      <w:pPr>
        <w:pStyle w:val="Textonotapie"/>
      </w:pPr>
      <w:r w:rsidRPr="00027C9A">
        <w:rPr>
          <w:rStyle w:val="Refdenotaalpie"/>
        </w:rPr>
        <w:footnoteRef/>
      </w:r>
      <w:r w:rsidRPr="00027C9A">
        <w:t xml:space="preserve"> Sentencia T-214 de 2012.</w:t>
      </w:r>
    </w:p>
  </w:footnote>
  <w:footnote w:id="29">
    <w:p w14:paraId="14714BDD" w14:textId="77777777" w:rsidR="00F87CD9" w:rsidRPr="00027C9A" w:rsidRDefault="00F87CD9" w:rsidP="00DF3831">
      <w:pPr>
        <w:pStyle w:val="Textonotapie"/>
      </w:pPr>
      <w:r w:rsidRPr="00027C9A">
        <w:rPr>
          <w:rStyle w:val="Refdenotaalpie"/>
        </w:rPr>
        <w:footnoteRef/>
      </w:r>
      <w:r w:rsidRPr="00027C9A">
        <w:t xml:space="preserve"> Sentencia SU-489 de 2016.</w:t>
      </w:r>
    </w:p>
  </w:footnote>
  <w:footnote w:id="30">
    <w:p w14:paraId="16B65235" w14:textId="77777777" w:rsidR="00F87CD9" w:rsidRPr="00027C9A" w:rsidRDefault="00F87CD9" w:rsidP="00851ED2">
      <w:pPr>
        <w:pStyle w:val="Textonotapie"/>
      </w:pPr>
      <w:r w:rsidRPr="00027C9A">
        <w:rPr>
          <w:rStyle w:val="Refdenotaalpie"/>
        </w:rPr>
        <w:footnoteRef/>
      </w:r>
      <w:r w:rsidRPr="00027C9A">
        <w:t xml:space="preserve"> Consejo de Estado, Sección Tercera, Subsección C, sentencia del 28 de agosto de 2014, radicado: </w:t>
      </w:r>
      <w:r w:rsidRPr="00851ED2">
        <w:t>05001-23-25-000-1999-01063-01(32988)</w:t>
      </w:r>
      <w:r w:rsidRPr="00027C9A">
        <w:t>.</w:t>
      </w:r>
    </w:p>
  </w:footnote>
  <w:footnote w:id="31">
    <w:p w14:paraId="333863A2" w14:textId="77777777" w:rsidR="00F87CD9" w:rsidRPr="00027C9A" w:rsidRDefault="00F87CD9" w:rsidP="00851ED2">
      <w:pPr>
        <w:pStyle w:val="Textonotapie"/>
      </w:pPr>
      <w:r w:rsidRPr="00027C9A">
        <w:rPr>
          <w:rStyle w:val="Refdenotaalpie"/>
        </w:rPr>
        <w:footnoteRef/>
      </w:r>
      <w:r w:rsidRPr="00027C9A">
        <w:t xml:space="preserve"> Consejo de Estado, sentencia de Sala Plena de la Sección Tercera del 14 de septiembre de 2011, rad. 19031 y 38222</w:t>
      </w:r>
      <w:r>
        <w:t>.</w:t>
      </w:r>
    </w:p>
  </w:footnote>
  <w:footnote w:id="32">
    <w:p w14:paraId="7E99D4D9" w14:textId="79872727" w:rsidR="00F87CD9" w:rsidRPr="00027C9A" w:rsidRDefault="00F87CD9" w:rsidP="00DF3831">
      <w:pPr>
        <w:pStyle w:val="Textonotapie"/>
      </w:pPr>
      <w:r w:rsidRPr="00027C9A">
        <w:rPr>
          <w:rStyle w:val="Refdenotaalpie"/>
        </w:rPr>
        <w:footnoteRef/>
      </w:r>
      <w:r w:rsidRPr="00027C9A">
        <w:t xml:space="preserve"> En primer lugar, las características del daño a bienes o derechos constitucional o convencionalmente amparados, son: (i) que es un tipo de perjuicio inmaterial; (ii) que trata de vulneraciones o afectaciones relevantes; (iii) que es autónomo porque no depende de otras categorías de daño; y iv) que puede ser temporal o definitivo.</w:t>
      </w:r>
    </w:p>
  </w:footnote>
  <w:footnote w:id="33">
    <w:p w14:paraId="66CFE1C5" w14:textId="227255F0" w:rsidR="00F87CD9" w:rsidRPr="00027C9A" w:rsidRDefault="00F87CD9" w:rsidP="00DF3831">
      <w:pPr>
        <w:pStyle w:val="Textonotapie"/>
      </w:pPr>
      <w:r w:rsidRPr="00027C9A">
        <w:rPr>
          <w:rStyle w:val="Refdenotaalpie"/>
        </w:rPr>
        <w:footnoteRef/>
      </w:r>
      <w:r w:rsidRPr="00027C9A">
        <w:t xml:space="preserve"> En segundo lugar, la reparación de esta categoría de daño, comprende: (i) el objetivo de restablecer plenamente a la víctima en el ejercicio de sus derechos; (ii) el carácter dispositivo, puesto que opera a petición de parte o de oficio; (iii) la legitimación de las víctimas; (iv) la indemnización principalmente con medidas de carácter no pecuniarios; (v) un presupuesto de declaración de responsabilidad del Estado por la presencia de un daño a bienes constitucionales y convencionales imputable a este; y (vi) el rol del juez de lo contencioso administrativo como reparador integral de las garantías vulneradas.</w:t>
      </w:r>
    </w:p>
  </w:footnote>
  <w:footnote w:id="34">
    <w:p w14:paraId="7A1B8813" w14:textId="43B26A55" w:rsidR="00F87CD9" w:rsidRPr="00027C9A" w:rsidRDefault="00F87CD9" w:rsidP="00DF3831">
      <w:pPr>
        <w:pStyle w:val="Textonotapie"/>
      </w:pPr>
      <w:r w:rsidRPr="00027C9A">
        <w:rPr>
          <w:rStyle w:val="Refdenotaalpie"/>
        </w:rPr>
        <w:footnoteRef/>
      </w:r>
      <w:r w:rsidRPr="00027C9A">
        <w:t xml:space="preserve"> En tercer lugar, que al juez le corresponde verificar ex ante: (i) que se trate de una vulneración o afectación relevante de un bien o derecho constitucional o convencionalmente amparado; (ii) que sea antijurídica; (iii) que en caso de ordenarse una indemnización excepcional, no esté comprendida dentro de los perjuicios materiales e inmateriales ya reconocidos; y (iv) que las medidas de reparación sean correlativas, oportunas, pertinentes y adecuadas al daño generado.</w:t>
      </w:r>
    </w:p>
  </w:footnote>
  <w:footnote w:id="35">
    <w:p w14:paraId="538FE3C6" w14:textId="0BC26D38" w:rsidR="00F87CD9" w:rsidRPr="00027C9A" w:rsidRDefault="00F87CD9" w:rsidP="00DF3831">
      <w:pPr>
        <w:rPr>
          <w:sz w:val="18"/>
          <w:szCs w:val="18"/>
          <w:lang w:eastAsia="es-ES"/>
        </w:rPr>
      </w:pPr>
      <w:r w:rsidRPr="00027C9A">
        <w:rPr>
          <w:rStyle w:val="Refdenotaalpie"/>
          <w:sz w:val="18"/>
          <w:szCs w:val="18"/>
        </w:rPr>
        <w:footnoteRef/>
      </w:r>
      <w:r w:rsidRPr="00027C9A">
        <w:rPr>
          <w:sz w:val="18"/>
          <w:szCs w:val="18"/>
        </w:rPr>
        <w:t xml:space="preserve"> Sentencia del 28 de agosto de 2014: “Las medidas de reparación integral operarán teniendo en cuenta la relevancia del caso y la gravedad de los hechos, todo con el propósito de restablecer la dignidad de las víctimas, reprobar las relevantes violaciones a los derechos humanos y concretar las medidas de garantía de verdad, justicia, reparación, no repetición y las demás definidas por el derecho internacional”. </w:t>
      </w:r>
    </w:p>
  </w:footnote>
  <w:footnote w:id="36">
    <w:p w14:paraId="15C1B710" w14:textId="51D84A21" w:rsidR="00F87CD9" w:rsidRPr="00027C9A" w:rsidRDefault="00F87CD9" w:rsidP="00AB1528">
      <w:pPr>
        <w:rPr>
          <w:sz w:val="18"/>
          <w:szCs w:val="18"/>
        </w:rPr>
      </w:pPr>
      <w:r w:rsidRPr="00027C9A">
        <w:rPr>
          <w:rStyle w:val="Refdenotaalpie"/>
          <w:sz w:val="18"/>
          <w:szCs w:val="18"/>
        </w:rPr>
        <w:footnoteRef/>
      </w:r>
      <w:r w:rsidRPr="00027C9A">
        <w:rPr>
          <w:sz w:val="18"/>
          <w:szCs w:val="18"/>
        </w:rPr>
        <w:t xml:space="preserve"> Consejo de Estado, Sección Tercera, Subsección A, sentencias del </w:t>
      </w:r>
      <w:r w:rsidRPr="00027C9A">
        <w:rPr>
          <w:sz w:val="18"/>
          <w:szCs w:val="18"/>
          <w:u w:val="single"/>
        </w:rPr>
        <w:t>6 de julio de 2020</w:t>
      </w:r>
      <w:r w:rsidRPr="00027C9A">
        <w:rPr>
          <w:sz w:val="18"/>
          <w:szCs w:val="18"/>
        </w:rPr>
        <w:t xml:space="preserve">, radicado 15001-23-31-000-2011-00634-01(58157), del </w:t>
      </w:r>
      <w:r w:rsidRPr="00027C9A">
        <w:rPr>
          <w:sz w:val="18"/>
          <w:szCs w:val="18"/>
          <w:u w:val="single"/>
        </w:rPr>
        <w:t>5 de marzo de 2020</w:t>
      </w:r>
      <w:r w:rsidRPr="00027C9A">
        <w:rPr>
          <w:sz w:val="18"/>
          <w:szCs w:val="18"/>
        </w:rPr>
        <w:t xml:space="preserve">, radicado 76001-23-31-000-2010-01983-01(50159), del </w:t>
      </w:r>
      <w:r w:rsidRPr="00027C9A">
        <w:rPr>
          <w:sz w:val="18"/>
          <w:szCs w:val="18"/>
          <w:u w:val="single"/>
        </w:rPr>
        <w:t>24 de abril de 2020</w:t>
      </w:r>
      <w:r w:rsidRPr="00027C9A">
        <w:rPr>
          <w:sz w:val="18"/>
          <w:szCs w:val="18"/>
        </w:rPr>
        <w:t xml:space="preserve">, radicado </w:t>
      </w:r>
      <w:r w:rsidRPr="00027C9A">
        <w:rPr>
          <w:bCs/>
          <w:sz w:val="18"/>
          <w:szCs w:val="18"/>
        </w:rPr>
        <w:t xml:space="preserve">17001-23-31-000-2010-00400-01(52866), y del </w:t>
      </w:r>
      <w:r w:rsidRPr="00027C9A">
        <w:rPr>
          <w:bCs/>
          <w:sz w:val="18"/>
          <w:szCs w:val="18"/>
          <w:u w:val="single"/>
        </w:rPr>
        <w:t>25 de octubre de 2019</w:t>
      </w:r>
      <w:r w:rsidRPr="00027C9A">
        <w:rPr>
          <w:bCs/>
          <w:sz w:val="18"/>
          <w:szCs w:val="18"/>
        </w:rPr>
        <w:t xml:space="preserve">, radicado </w:t>
      </w:r>
      <w:bookmarkStart w:id="1" w:name="OLE_LINK1"/>
      <w:r w:rsidRPr="00027C9A">
        <w:rPr>
          <w:rFonts w:eastAsia="Times New Roman"/>
          <w:sz w:val="18"/>
          <w:szCs w:val="18"/>
          <w:lang w:val="es-ES" w:eastAsia="es-ES"/>
        </w:rPr>
        <w:t>73001-23-31-000-2011-00462-01</w:t>
      </w:r>
      <w:bookmarkEnd w:id="1"/>
      <w:r w:rsidRPr="00027C9A">
        <w:rPr>
          <w:rFonts w:eastAsia="Times New Roman"/>
          <w:sz w:val="18"/>
          <w:szCs w:val="18"/>
          <w:lang w:val="es-ES" w:eastAsia="es-ES"/>
        </w:rPr>
        <w:t xml:space="preserve">(46256); de la Subsección B, del </w:t>
      </w:r>
      <w:r w:rsidRPr="00027C9A">
        <w:rPr>
          <w:rFonts w:eastAsia="Times New Roman"/>
          <w:sz w:val="18"/>
          <w:szCs w:val="18"/>
          <w:u w:val="single"/>
          <w:lang w:val="es-ES" w:eastAsia="es-ES"/>
        </w:rPr>
        <w:t>8 de mayo de 2020</w:t>
      </w:r>
      <w:r w:rsidRPr="00027C9A">
        <w:rPr>
          <w:rFonts w:eastAsia="Times New Roman"/>
          <w:sz w:val="18"/>
          <w:szCs w:val="18"/>
          <w:lang w:val="es-ES" w:eastAsia="es-ES"/>
        </w:rPr>
        <w:t xml:space="preserve">, radicado </w:t>
      </w:r>
      <w:r w:rsidRPr="00027C9A">
        <w:rPr>
          <w:sz w:val="18"/>
          <w:szCs w:val="18"/>
          <w:lang w:val="es-ES"/>
        </w:rPr>
        <w:t xml:space="preserve">20001-23-31-000-2011-00469-01(50138), y del </w:t>
      </w:r>
      <w:r w:rsidRPr="00027C9A">
        <w:rPr>
          <w:sz w:val="18"/>
          <w:szCs w:val="18"/>
          <w:u w:val="single"/>
          <w:lang w:val="es-ES"/>
        </w:rPr>
        <w:t>3 de abril de 2020</w:t>
      </w:r>
      <w:r w:rsidRPr="00027C9A">
        <w:rPr>
          <w:sz w:val="18"/>
          <w:szCs w:val="18"/>
          <w:lang w:val="es-ES"/>
        </w:rPr>
        <w:t xml:space="preserve">, </w:t>
      </w:r>
      <w:r w:rsidRPr="00027C9A">
        <w:rPr>
          <w:sz w:val="18"/>
          <w:szCs w:val="18"/>
        </w:rPr>
        <w:t>76001-23-31-010-2009-00574-00</w:t>
      </w:r>
      <w:r w:rsidR="00C75064">
        <w:rPr>
          <w:sz w:val="18"/>
          <w:szCs w:val="18"/>
        </w:rPr>
        <w:t xml:space="preserve"> </w:t>
      </w:r>
      <w:r w:rsidRPr="00027C9A">
        <w:rPr>
          <w:sz w:val="18"/>
          <w:szCs w:val="18"/>
        </w:rPr>
        <w:t xml:space="preserve">(46324); y de la Subsección C, del </w:t>
      </w:r>
      <w:r w:rsidRPr="00027C9A">
        <w:rPr>
          <w:sz w:val="18"/>
          <w:szCs w:val="18"/>
          <w:u w:val="single"/>
        </w:rPr>
        <w:t>1 de octubre de 2018</w:t>
      </w:r>
      <w:r w:rsidRPr="00027C9A">
        <w:rPr>
          <w:sz w:val="18"/>
          <w:szCs w:val="18"/>
        </w:rPr>
        <w:t xml:space="preserve">, radicado 63001-23-31-000-2009-00183-01(46064), y del </w:t>
      </w:r>
      <w:r w:rsidRPr="00027C9A">
        <w:rPr>
          <w:sz w:val="18"/>
          <w:szCs w:val="18"/>
          <w:u w:val="single"/>
        </w:rPr>
        <w:t>28 de febrero de 2020</w:t>
      </w:r>
      <w:r w:rsidRPr="00027C9A">
        <w:rPr>
          <w:sz w:val="18"/>
          <w:szCs w:val="18"/>
        </w:rPr>
        <w:t xml:space="preserve">, </w:t>
      </w:r>
      <w:bookmarkStart w:id="2" w:name="_Hlk45726184"/>
      <w:r w:rsidRPr="00027C9A">
        <w:rPr>
          <w:bCs/>
          <w:sz w:val="18"/>
          <w:szCs w:val="18"/>
          <w:lang w:val="es-ES" w:eastAsia="en-US"/>
        </w:rPr>
        <w:t>17001-23-31-000-2008-00255-01(50501)</w:t>
      </w:r>
      <w:bookmarkEnd w:id="2"/>
      <w:r w:rsidRPr="00027C9A">
        <w:rPr>
          <w:bCs/>
          <w:sz w:val="18"/>
          <w:szCs w:val="18"/>
          <w:lang w:val="es-ES" w:eastAsia="en-US"/>
        </w:rPr>
        <w:t>, entre otras.</w:t>
      </w:r>
    </w:p>
  </w:footnote>
  <w:footnote w:id="37">
    <w:p w14:paraId="07472432" w14:textId="06DAA217" w:rsidR="00F87CD9" w:rsidRPr="00112150" w:rsidRDefault="00F87CD9" w:rsidP="005F37AF">
      <w:pPr>
        <w:pStyle w:val="Textonotapie"/>
        <w:rPr>
          <w:lang w:val="es-ES"/>
        </w:rPr>
      </w:pPr>
      <w:r>
        <w:rPr>
          <w:rStyle w:val="Refdenotaalpie"/>
        </w:rPr>
        <w:footnoteRef/>
      </w:r>
      <w:r>
        <w:t xml:space="preserve"> </w:t>
      </w:r>
      <w:r w:rsidRPr="00027C9A">
        <w:t xml:space="preserve">Consejo de Estado, Sección Tercera, Subsección A, sentencia del </w:t>
      </w:r>
      <w:r w:rsidRPr="00027C9A">
        <w:rPr>
          <w:u w:val="single"/>
        </w:rPr>
        <w:t>6 de julio de 2020</w:t>
      </w:r>
      <w:r w:rsidRPr="00027C9A">
        <w:t>, radicado 15001-23-31-000-2011-00634-01(58157)</w:t>
      </w:r>
      <w:r>
        <w:t>.</w:t>
      </w:r>
    </w:p>
  </w:footnote>
  <w:footnote w:id="38">
    <w:p w14:paraId="0A663963" w14:textId="77777777" w:rsidR="00F87CD9" w:rsidRPr="00027C9A" w:rsidRDefault="00F87CD9" w:rsidP="00DF3831">
      <w:pPr>
        <w:pStyle w:val="Textonotapie"/>
      </w:pPr>
      <w:r w:rsidRPr="00027C9A">
        <w:rPr>
          <w:rStyle w:val="Refdenotaalpie"/>
        </w:rPr>
        <w:footnoteRef/>
      </w:r>
      <w:r w:rsidRPr="00027C9A">
        <w:t xml:space="preserve"> Consejo de Estado, Sala de lo Contencioso Administrativo, Sección Tercera, sentencias de unificación jurisprudencial del 28 de agosto de 2014, </w:t>
      </w:r>
      <w:proofErr w:type="spellStart"/>
      <w:r w:rsidRPr="00027C9A">
        <w:t>exp</w:t>
      </w:r>
      <w:proofErr w:type="spellEnd"/>
      <w:r w:rsidRPr="00027C9A">
        <w:t xml:space="preserve">. 32988 M.P. Ramiro Pazos Guerrero y </w:t>
      </w:r>
      <w:proofErr w:type="spellStart"/>
      <w:r w:rsidRPr="00027C9A">
        <w:t>exp</w:t>
      </w:r>
      <w:proofErr w:type="spellEnd"/>
      <w:r w:rsidRPr="00027C9A">
        <w:t xml:space="preserve">. 26251. M.P. Jaime Orlando </w:t>
      </w:r>
      <w:proofErr w:type="spellStart"/>
      <w:r w:rsidRPr="00027C9A">
        <w:t>Santofimio</w:t>
      </w:r>
      <w:proofErr w:type="spellEnd"/>
      <w:r w:rsidRPr="00027C9A">
        <w:t xml:space="preserve"> Gamboa. </w:t>
      </w:r>
    </w:p>
  </w:footnote>
  <w:footnote w:id="39">
    <w:p w14:paraId="4E3618C8" w14:textId="0C890395" w:rsidR="00F87CD9" w:rsidRPr="00112150" w:rsidRDefault="00F87CD9" w:rsidP="00112150">
      <w:pPr>
        <w:pStyle w:val="Textonotapie"/>
        <w:rPr>
          <w:lang w:val="es-ES"/>
        </w:rPr>
      </w:pPr>
      <w:r>
        <w:rPr>
          <w:rStyle w:val="Refdenotaalpie"/>
        </w:rPr>
        <w:footnoteRef/>
      </w:r>
      <w:r>
        <w:t xml:space="preserve"> </w:t>
      </w:r>
      <w:r w:rsidRPr="00027C9A">
        <w:t xml:space="preserve">Consejo de Estado, Sección Tercera, Subsección A, sentencia del </w:t>
      </w:r>
      <w:r w:rsidRPr="00027C9A">
        <w:rPr>
          <w:u w:val="single"/>
          <w:lang w:val="es-ES"/>
        </w:rPr>
        <w:t>3 de abril de 2020</w:t>
      </w:r>
      <w:r w:rsidRPr="00027C9A">
        <w:rPr>
          <w:lang w:val="es-ES"/>
        </w:rPr>
        <w:t xml:space="preserve">, </w:t>
      </w:r>
      <w:r w:rsidRPr="00027C9A">
        <w:t>76001-23-31-010-2009-00574-00(46324)</w:t>
      </w:r>
      <w:r>
        <w:t>.</w:t>
      </w:r>
    </w:p>
  </w:footnote>
  <w:footnote w:id="40">
    <w:p w14:paraId="789BEBD2" w14:textId="64F15AA5" w:rsidR="00F87CD9" w:rsidRPr="00027C9A" w:rsidRDefault="00F87CD9" w:rsidP="00DF3831">
      <w:pPr>
        <w:pStyle w:val="Textonotapie"/>
      </w:pPr>
      <w:r w:rsidRPr="00027C9A">
        <w:rPr>
          <w:rStyle w:val="Refdenotaalpie"/>
        </w:rPr>
        <w:footnoteRef/>
      </w:r>
      <w:r w:rsidRPr="00027C9A">
        <w:t xml:space="preserve"> Consejo </w:t>
      </w:r>
      <w:r w:rsidR="00C75064">
        <w:t>d</w:t>
      </w:r>
      <w:r w:rsidRPr="00027C9A">
        <w:t xml:space="preserve">e Estado, Sección Tercera, Subsección B. Sentencia de  20 de marzo de 2018 Radicación: 25000 2326 000 2005 01824 01 (40434). En lo pertinente estableció: “Así, el menoscabo del buen nombre y la honra como derechos constitucional y convencionalmente amparados desde la perspectiva de la responsabilidad del Estado -y </w:t>
      </w:r>
      <w:r w:rsidRPr="00027C9A">
        <w:rPr>
          <w:u w:val="single"/>
        </w:rPr>
        <w:t>siempre y cuando ello se encuentre plenamente demostrado en el proceso</w:t>
      </w:r>
      <w:r w:rsidRPr="00027C9A">
        <w: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36ABD7" w14:textId="77777777" w:rsidR="00F87CD9" w:rsidRPr="00A15ACE" w:rsidRDefault="00F87CD9">
    <w:pPr>
      <w:pStyle w:val="Encabezado"/>
    </w:pPr>
    <w:r>
      <w:rPr>
        <w:noProof/>
        <w:lang w:val="es-ES" w:eastAsia="es-ES"/>
      </w:rPr>
      <w:drawing>
        <wp:anchor distT="0" distB="0" distL="114300" distR="114300" simplePos="0" relativeHeight="251657728" behindDoc="0" locked="0" layoutInCell="1" allowOverlap="1" wp14:anchorId="23E92936" wp14:editId="07777777">
          <wp:simplePos x="0" y="0"/>
          <wp:positionH relativeFrom="column">
            <wp:posOffset>-474980</wp:posOffset>
          </wp:positionH>
          <wp:positionV relativeFrom="paragraph">
            <wp:posOffset>-127635</wp:posOffset>
          </wp:positionV>
          <wp:extent cx="1238250" cy="1152525"/>
          <wp:effectExtent l="0" t="0" r="0" b="0"/>
          <wp:wrapSquare wrapText="bothSides"/>
          <wp:docPr id="40" name="Imagen 40"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E4B5B7" w14:textId="77777777" w:rsidR="00F87CD9" w:rsidRPr="00A15ACE" w:rsidRDefault="00F87CD9">
    <w:pPr>
      <w:pStyle w:val="Encabezado"/>
    </w:pPr>
  </w:p>
  <w:p w14:paraId="4B90DC7A" w14:textId="77777777" w:rsidR="00F87CD9" w:rsidRPr="00A15ACE" w:rsidRDefault="00F87CD9">
    <w:pPr>
      <w:pStyle w:val="Encabezado"/>
    </w:pPr>
    <w:r w:rsidRPr="0070023E">
      <w:rPr>
        <w:noProof/>
        <w:sz w:val="20"/>
        <w:szCs w:val="20"/>
        <w:lang w:val="es-ES" w:eastAsia="es-ES"/>
      </w:rPr>
      <mc:AlternateContent>
        <mc:Choice Requires="wps">
          <w:drawing>
            <wp:anchor distT="0" distB="0" distL="114300" distR="114300" simplePos="0" relativeHeight="251656704" behindDoc="0" locked="0" layoutInCell="1" allowOverlap="1" wp14:anchorId="2805336D" wp14:editId="07777777">
              <wp:simplePos x="0" y="0"/>
              <wp:positionH relativeFrom="column">
                <wp:posOffset>1379855</wp:posOffset>
              </wp:positionH>
              <wp:positionV relativeFrom="paragraph">
                <wp:posOffset>60325</wp:posOffset>
              </wp:positionV>
              <wp:extent cx="5400040" cy="0"/>
              <wp:effectExtent l="17780" t="22225" r="20955" b="158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mo="http://schemas.microsoft.com/office/mac/office/2008/main" xmlns:mv="urn:schemas-microsoft-com:mac:vml" xmlns:a="http://schemas.openxmlformats.org/drawingml/2006/main" xmlns:pic="http://schemas.openxmlformats.org/drawingml/2006/picture" xmlns:a14="http://schemas.microsoft.com/office/drawing/2010/main" xmlns:wp14="http://schemas.microsoft.com/office/word/2010/wordml">
          <w:pict w14:anchorId="3A71A6FC">
            <v:shapetype id="_x0000_t32" coordsize="21600,21600" o:oned="t" filled="f" o:spt="32" path="m,l21600,21600e" w14:anchorId="78ABC559">
              <v:path fillok="f" arrowok="t" o:connecttype="none"/>
              <o:lock v:ext="edit" shapetype="t"/>
            </v:shapetype>
            <v:shape id="AutoShape 2" style="position:absolute;margin-left:108.65pt;margin-top:4.75pt;width:425.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">
              <v:shadow color="#1f3763" opacity=".5" offset="1pt"/>
            </v:shape>
          </w:pict>
        </mc:Fallback>
      </mc:AlternateContent>
    </w:r>
  </w:p>
  <w:p w14:paraId="7D508FF0" w14:textId="10844D49" w:rsidR="00F87CD9" w:rsidRPr="00F532EA" w:rsidRDefault="00F87CD9" w:rsidP="0054069D">
    <w:pPr>
      <w:pStyle w:val="Encabezado"/>
      <w:jc w:val="right"/>
      <w:rPr>
        <w:color w:val="767171"/>
        <w:sz w:val="20"/>
        <w:szCs w:val="20"/>
      </w:rPr>
    </w:pPr>
    <w:r w:rsidRPr="00F532EA">
      <w:rPr>
        <w:color w:val="767171"/>
        <w:sz w:val="20"/>
        <w:szCs w:val="20"/>
      </w:rPr>
      <w:t xml:space="preserve">Radicado: </w:t>
    </w:r>
    <w:r>
      <w:rPr>
        <w:color w:val="767171"/>
        <w:sz w:val="20"/>
        <w:szCs w:val="20"/>
      </w:rPr>
      <w:t>11001-03-15-000-2020-04595-00</w:t>
    </w:r>
  </w:p>
  <w:p w14:paraId="07B33FD0" w14:textId="0108F03B" w:rsidR="00F87CD9" w:rsidRPr="00F532EA" w:rsidRDefault="00F87CD9" w:rsidP="0054069D">
    <w:pPr>
      <w:pStyle w:val="Encabezado"/>
      <w:jc w:val="right"/>
      <w:rPr>
        <w:color w:val="767171"/>
        <w:sz w:val="20"/>
        <w:szCs w:val="20"/>
      </w:rPr>
    </w:pPr>
    <w:r w:rsidRPr="00F532EA">
      <w:rPr>
        <w:color w:val="767171"/>
        <w:sz w:val="20"/>
        <w:szCs w:val="20"/>
      </w:rPr>
      <w:tab/>
    </w:r>
    <w:r w:rsidRPr="00F532EA">
      <w:rPr>
        <w:color w:val="767171"/>
        <w:sz w:val="20"/>
        <w:szCs w:val="20"/>
      </w:rPr>
      <w:tab/>
    </w:r>
    <w:r>
      <w:rPr>
        <w:color w:val="767171"/>
        <w:sz w:val="20"/>
        <w:szCs w:val="20"/>
      </w:rPr>
      <w:t>Accion</w:t>
    </w:r>
    <w:r w:rsidRPr="00F532EA">
      <w:rPr>
        <w:color w:val="767171"/>
        <w:sz w:val="20"/>
        <w:szCs w:val="20"/>
      </w:rPr>
      <w:t>ante</w:t>
    </w:r>
    <w:r>
      <w:rPr>
        <w:color w:val="767171"/>
        <w:sz w:val="20"/>
        <w:szCs w:val="20"/>
      </w:rPr>
      <w:t>: Nación, Rama Judicial, Consejo Superior de la Judicatura, Dirección Ejecutiva de Administración Judicial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9D0D6" w14:textId="77777777" w:rsidR="00F87CD9" w:rsidRPr="00A15ACE" w:rsidRDefault="00F87CD9" w:rsidP="00F1441F">
    <w:pPr>
      <w:pStyle w:val="Encabezado"/>
    </w:pPr>
    <w:r>
      <w:rPr>
        <w:noProof/>
        <w:lang w:val="es-ES" w:eastAsia="es-ES"/>
      </w:rPr>
      <w:drawing>
        <wp:anchor distT="0" distB="0" distL="114300" distR="114300" simplePos="0" relativeHeight="251658752" behindDoc="1" locked="0" layoutInCell="1" allowOverlap="1" wp14:anchorId="25BA9CF7" wp14:editId="0DA23D22">
          <wp:simplePos x="0" y="0"/>
          <wp:positionH relativeFrom="column">
            <wp:posOffset>-473075</wp:posOffset>
          </wp:positionH>
          <wp:positionV relativeFrom="paragraph">
            <wp:posOffset>-128905</wp:posOffset>
          </wp:positionV>
          <wp:extent cx="1238250" cy="1152525"/>
          <wp:effectExtent l="0" t="0" r="0" b="0"/>
          <wp:wrapNone/>
          <wp:docPr id="41" name="Imagen 4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829076" w14:textId="77777777" w:rsidR="00F87CD9" w:rsidRPr="00A15ACE" w:rsidRDefault="00F87CD9" w:rsidP="00F1441F">
    <w:pPr>
      <w:pStyle w:val="Encabezado"/>
      <w:rPr>
        <w:color w:val="767171"/>
      </w:rPr>
    </w:pPr>
  </w:p>
  <w:p w14:paraId="3F3B7A5B" w14:textId="77777777" w:rsidR="00F87CD9" w:rsidRPr="007F276C" w:rsidRDefault="00F87CD9" w:rsidP="007F276C">
    <w:pPr>
      <w:pStyle w:val="Sinespaciado"/>
    </w:pPr>
    <w:r w:rsidRPr="007F276C">
      <w:t>CONSEJO DE ESTADO</w:t>
    </w:r>
  </w:p>
  <w:p w14:paraId="6EF027A0" w14:textId="77777777" w:rsidR="00F87CD9" w:rsidRPr="007F276C" w:rsidRDefault="00F87CD9" w:rsidP="007F276C">
    <w:pPr>
      <w:pStyle w:val="Sinespaciado"/>
    </w:pPr>
    <w:r w:rsidRPr="007F276C">
      <w:t>SALA DE LO CONTENCIOSO ADMINISTRATIVO</w:t>
    </w:r>
  </w:p>
  <w:p w14:paraId="2FC4305D" w14:textId="77777777" w:rsidR="00F87CD9" w:rsidRPr="007F276C" w:rsidRDefault="00F87CD9" w:rsidP="007F276C">
    <w:pPr>
      <w:pStyle w:val="Sinespaciado"/>
    </w:pPr>
    <w:r w:rsidRPr="007F276C">
      <w:t>SECCIÓN TERCERA – SUBSECCIÓN C</w:t>
    </w:r>
  </w:p>
  <w:p w14:paraId="2BA226A1" w14:textId="77777777" w:rsidR="00F87CD9" w:rsidRDefault="00F87CD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21E16"/>
    <w:multiLevelType w:val="multilevel"/>
    <w:tmpl w:val="E3908938"/>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14C20A76"/>
    <w:multiLevelType w:val="multilevel"/>
    <w:tmpl w:val="D9646B6A"/>
    <w:lvl w:ilvl="0">
      <w:start w:val="2"/>
      <w:numFmt w:val="decimal"/>
      <w:lvlText w:val="%1."/>
      <w:lvlJc w:val="left"/>
      <w:pPr>
        <w:ind w:left="400" w:hanging="400"/>
      </w:pPr>
      <w:rPr>
        <w:rFonts w:hint="default"/>
        <w:b/>
        <w:bCs/>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75B1A96"/>
    <w:multiLevelType w:val="multilevel"/>
    <w:tmpl w:val="F8F0C178"/>
    <w:lvl w:ilvl="0">
      <w:start w:val="6"/>
      <w:numFmt w:val="decimal"/>
      <w:lvlText w:val="%1."/>
      <w:lvlJc w:val="left"/>
      <w:pPr>
        <w:ind w:left="400" w:hanging="400"/>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D374F73"/>
    <w:multiLevelType w:val="hybridMultilevel"/>
    <w:tmpl w:val="84E859D6"/>
    <w:lvl w:ilvl="0" w:tplc="B6BC004A">
      <w:start w:val="1"/>
      <w:numFmt w:val="upperRoman"/>
      <w:pStyle w:val="Ttulo1"/>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D9C4E5A"/>
    <w:multiLevelType w:val="multilevel"/>
    <w:tmpl w:val="E3908938"/>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49C673A8"/>
    <w:multiLevelType w:val="multilevel"/>
    <w:tmpl w:val="ABBE40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537C0F3C"/>
    <w:multiLevelType w:val="multilevel"/>
    <w:tmpl w:val="84E859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AAB0CE7"/>
    <w:multiLevelType w:val="hybridMultilevel"/>
    <w:tmpl w:val="E904DD0C"/>
    <w:lvl w:ilvl="0" w:tplc="F00CB9D8">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99E67562">
      <w:start w:val="1"/>
      <w:numFmt w:val="decimal"/>
      <w:lvlText w:val="%4."/>
      <w:lvlJc w:val="left"/>
      <w:pPr>
        <w:ind w:left="360" w:hanging="360"/>
      </w:pPr>
      <w:rPr>
        <w:b/>
        <w:sz w:val="24"/>
        <w:szCs w:val="24"/>
      </w:r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
    <w:nsid w:val="6C891937"/>
    <w:multiLevelType w:val="hybridMultilevel"/>
    <w:tmpl w:val="00B699BA"/>
    <w:lvl w:ilvl="0" w:tplc="82744052">
      <w:start w:val="1"/>
      <w:numFmt w:val="decimal"/>
      <w:pStyle w:val="Ttulo2"/>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78B911D3"/>
    <w:multiLevelType w:val="multilevel"/>
    <w:tmpl w:val="D902C774"/>
    <w:lvl w:ilvl="0">
      <w:start w:val="20"/>
      <w:numFmt w:val="decimal"/>
      <w:lvlText w:val="%1."/>
      <w:lvlJc w:val="left"/>
      <w:pPr>
        <w:ind w:left="788" w:hanging="360"/>
      </w:pPr>
      <w:rPr>
        <w:rFonts w:ascii="Arial" w:eastAsia="Arial" w:hAnsi="Arial" w:cs="Arial"/>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CC15562"/>
    <w:multiLevelType w:val="hybridMultilevel"/>
    <w:tmpl w:val="8D9E53CA"/>
    <w:lvl w:ilvl="0" w:tplc="47109D8C">
      <w:start w:val="2"/>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3"/>
  </w:num>
  <w:num w:numId="6">
    <w:abstractNumId w:val="8"/>
  </w:num>
  <w:num w:numId="7">
    <w:abstractNumId w:val="6"/>
  </w:num>
  <w:num w:numId="8">
    <w:abstractNumId w:val="9"/>
  </w:num>
  <w:num w:numId="9">
    <w:abstractNumId w:val="5"/>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241"/>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286"/>
    <w:rsid w:val="0000069A"/>
    <w:rsid w:val="00000899"/>
    <w:rsid w:val="00001220"/>
    <w:rsid w:val="00002075"/>
    <w:rsid w:val="00004070"/>
    <w:rsid w:val="00004379"/>
    <w:rsid w:val="00004405"/>
    <w:rsid w:val="00004D80"/>
    <w:rsid w:val="00005B2C"/>
    <w:rsid w:val="00006D3C"/>
    <w:rsid w:val="0001012C"/>
    <w:rsid w:val="0001030E"/>
    <w:rsid w:val="00011344"/>
    <w:rsid w:val="00012249"/>
    <w:rsid w:val="00013AF5"/>
    <w:rsid w:val="0001454F"/>
    <w:rsid w:val="00014FA0"/>
    <w:rsid w:val="00016FD6"/>
    <w:rsid w:val="00017CB3"/>
    <w:rsid w:val="00023E74"/>
    <w:rsid w:val="0002471B"/>
    <w:rsid w:val="00026740"/>
    <w:rsid w:val="00027C9A"/>
    <w:rsid w:val="00031008"/>
    <w:rsid w:val="00035B36"/>
    <w:rsid w:val="00044E63"/>
    <w:rsid w:val="00045A3D"/>
    <w:rsid w:val="00047AD2"/>
    <w:rsid w:val="00050B31"/>
    <w:rsid w:val="000558C9"/>
    <w:rsid w:val="0005595B"/>
    <w:rsid w:val="000566B5"/>
    <w:rsid w:val="000572CE"/>
    <w:rsid w:val="000578BC"/>
    <w:rsid w:val="0006185D"/>
    <w:rsid w:val="00061B93"/>
    <w:rsid w:val="000640FF"/>
    <w:rsid w:val="00065048"/>
    <w:rsid w:val="00065263"/>
    <w:rsid w:val="000669E6"/>
    <w:rsid w:val="00071F03"/>
    <w:rsid w:val="00072695"/>
    <w:rsid w:val="000728E0"/>
    <w:rsid w:val="00073800"/>
    <w:rsid w:val="00073869"/>
    <w:rsid w:val="00074D00"/>
    <w:rsid w:val="00076747"/>
    <w:rsid w:val="00082A63"/>
    <w:rsid w:val="00082BE9"/>
    <w:rsid w:val="00083B8F"/>
    <w:rsid w:val="00084ACD"/>
    <w:rsid w:val="000850C0"/>
    <w:rsid w:val="0008675F"/>
    <w:rsid w:val="00086B66"/>
    <w:rsid w:val="00087BF8"/>
    <w:rsid w:val="000903AC"/>
    <w:rsid w:val="00094E7B"/>
    <w:rsid w:val="00094EAB"/>
    <w:rsid w:val="00095EDE"/>
    <w:rsid w:val="000A14D8"/>
    <w:rsid w:val="000A3CA1"/>
    <w:rsid w:val="000A428A"/>
    <w:rsid w:val="000A54E3"/>
    <w:rsid w:val="000B0A8D"/>
    <w:rsid w:val="000B71A7"/>
    <w:rsid w:val="000B71FD"/>
    <w:rsid w:val="000C18BD"/>
    <w:rsid w:val="000C2B43"/>
    <w:rsid w:val="000C341D"/>
    <w:rsid w:val="000C3525"/>
    <w:rsid w:val="000C5DB7"/>
    <w:rsid w:val="000C639A"/>
    <w:rsid w:val="000C7B4F"/>
    <w:rsid w:val="000D0E41"/>
    <w:rsid w:val="000D12BC"/>
    <w:rsid w:val="000D1A55"/>
    <w:rsid w:val="000D2A20"/>
    <w:rsid w:val="000D38FD"/>
    <w:rsid w:val="000D4AD7"/>
    <w:rsid w:val="000D5563"/>
    <w:rsid w:val="000D7042"/>
    <w:rsid w:val="000D7C4A"/>
    <w:rsid w:val="000E121D"/>
    <w:rsid w:val="000E2D62"/>
    <w:rsid w:val="000E3243"/>
    <w:rsid w:val="000E6372"/>
    <w:rsid w:val="000F189F"/>
    <w:rsid w:val="000F4A94"/>
    <w:rsid w:val="000F547F"/>
    <w:rsid w:val="000F636A"/>
    <w:rsid w:val="00100DE6"/>
    <w:rsid w:val="00101468"/>
    <w:rsid w:val="00101D3B"/>
    <w:rsid w:val="00102722"/>
    <w:rsid w:val="001064F3"/>
    <w:rsid w:val="00106D53"/>
    <w:rsid w:val="001073C5"/>
    <w:rsid w:val="001117E0"/>
    <w:rsid w:val="00111F8A"/>
    <w:rsid w:val="00112150"/>
    <w:rsid w:val="001121D7"/>
    <w:rsid w:val="00114418"/>
    <w:rsid w:val="001147AE"/>
    <w:rsid w:val="00114E48"/>
    <w:rsid w:val="0011700D"/>
    <w:rsid w:val="00117091"/>
    <w:rsid w:val="001173B6"/>
    <w:rsid w:val="0012059B"/>
    <w:rsid w:val="0012085E"/>
    <w:rsid w:val="00121C55"/>
    <w:rsid w:val="001225C4"/>
    <w:rsid w:val="00125394"/>
    <w:rsid w:val="001264E9"/>
    <w:rsid w:val="001314F6"/>
    <w:rsid w:val="001314FA"/>
    <w:rsid w:val="0013220A"/>
    <w:rsid w:val="0013280E"/>
    <w:rsid w:val="00132AB9"/>
    <w:rsid w:val="00133F91"/>
    <w:rsid w:val="001341B1"/>
    <w:rsid w:val="00135569"/>
    <w:rsid w:val="00135B29"/>
    <w:rsid w:val="00137D2F"/>
    <w:rsid w:val="00143CD4"/>
    <w:rsid w:val="001446EE"/>
    <w:rsid w:val="00146799"/>
    <w:rsid w:val="00146828"/>
    <w:rsid w:val="001501BB"/>
    <w:rsid w:val="001502BD"/>
    <w:rsid w:val="00150F4F"/>
    <w:rsid w:val="0015444A"/>
    <w:rsid w:val="00154D0E"/>
    <w:rsid w:val="00155E78"/>
    <w:rsid w:val="00155FE7"/>
    <w:rsid w:val="00161A22"/>
    <w:rsid w:val="00161EAA"/>
    <w:rsid w:val="0016208B"/>
    <w:rsid w:val="00162961"/>
    <w:rsid w:val="0016439C"/>
    <w:rsid w:val="001658C9"/>
    <w:rsid w:val="00165935"/>
    <w:rsid w:val="00165C5B"/>
    <w:rsid w:val="00166AF6"/>
    <w:rsid w:val="001674CF"/>
    <w:rsid w:val="001677B8"/>
    <w:rsid w:val="00170FE3"/>
    <w:rsid w:val="00171038"/>
    <w:rsid w:val="00171E2D"/>
    <w:rsid w:val="00171EF3"/>
    <w:rsid w:val="00174C02"/>
    <w:rsid w:val="00175282"/>
    <w:rsid w:val="001820A7"/>
    <w:rsid w:val="001838C6"/>
    <w:rsid w:val="00184593"/>
    <w:rsid w:val="00190924"/>
    <w:rsid w:val="001909A8"/>
    <w:rsid w:val="001915E1"/>
    <w:rsid w:val="00194CD0"/>
    <w:rsid w:val="0019789B"/>
    <w:rsid w:val="001A12BB"/>
    <w:rsid w:val="001A44C6"/>
    <w:rsid w:val="001A61C7"/>
    <w:rsid w:val="001A7068"/>
    <w:rsid w:val="001A736E"/>
    <w:rsid w:val="001B35D8"/>
    <w:rsid w:val="001B60B5"/>
    <w:rsid w:val="001B72F6"/>
    <w:rsid w:val="001C049C"/>
    <w:rsid w:val="001C29D8"/>
    <w:rsid w:val="001C319D"/>
    <w:rsid w:val="001C3C1F"/>
    <w:rsid w:val="001C4808"/>
    <w:rsid w:val="001C4D01"/>
    <w:rsid w:val="001C7132"/>
    <w:rsid w:val="001C740B"/>
    <w:rsid w:val="001D0208"/>
    <w:rsid w:val="001D4888"/>
    <w:rsid w:val="001D4E62"/>
    <w:rsid w:val="001D573C"/>
    <w:rsid w:val="001D5BEE"/>
    <w:rsid w:val="001D60C0"/>
    <w:rsid w:val="001D61E8"/>
    <w:rsid w:val="001D67F0"/>
    <w:rsid w:val="001F0E32"/>
    <w:rsid w:val="001F31C1"/>
    <w:rsid w:val="001F4B0A"/>
    <w:rsid w:val="001F6D2F"/>
    <w:rsid w:val="0020178C"/>
    <w:rsid w:val="00201EC3"/>
    <w:rsid w:val="002035BF"/>
    <w:rsid w:val="00207116"/>
    <w:rsid w:val="0021100C"/>
    <w:rsid w:val="00214D23"/>
    <w:rsid w:val="00216E40"/>
    <w:rsid w:val="002230E3"/>
    <w:rsid w:val="002232EB"/>
    <w:rsid w:val="00223E8F"/>
    <w:rsid w:val="002253B6"/>
    <w:rsid w:val="002255B3"/>
    <w:rsid w:val="00225FD3"/>
    <w:rsid w:val="0022658D"/>
    <w:rsid w:val="0023161F"/>
    <w:rsid w:val="002365FF"/>
    <w:rsid w:val="00240628"/>
    <w:rsid w:val="00241A20"/>
    <w:rsid w:val="00243E3F"/>
    <w:rsid w:val="00245202"/>
    <w:rsid w:val="00246239"/>
    <w:rsid w:val="002468A7"/>
    <w:rsid w:val="0025021D"/>
    <w:rsid w:val="002530CD"/>
    <w:rsid w:val="00253166"/>
    <w:rsid w:val="00254098"/>
    <w:rsid w:val="00255C63"/>
    <w:rsid w:val="002618FA"/>
    <w:rsid w:val="002652EE"/>
    <w:rsid w:val="0026613C"/>
    <w:rsid w:val="00266DCD"/>
    <w:rsid w:val="002715FF"/>
    <w:rsid w:val="0027248E"/>
    <w:rsid w:val="00273406"/>
    <w:rsid w:val="002753A1"/>
    <w:rsid w:val="00275638"/>
    <w:rsid w:val="00276E47"/>
    <w:rsid w:val="00276FCE"/>
    <w:rsid w:val="00277551"/>
    <w:rsid w:val="002813A9"/>
    <w:rsid w:val="00281874"/>
    <w:rsid w:val="0028309F"/>
    <w:rsid w:val="0028665C"/>
    <w:rsid w:val="00287048"/>
    <w:rsid w:val="002873C9"/>
    <w:rsid w:val="00287806"/>
    <w:rsid w:val="00287F46"/>
    <w:rsid w:val="00291407"/>
    <w:rsid w:val="00291E47"/>
    <w:rsid w:val="0029390A"/>
    <w:rsid w:val="00295308"/>
    <w:rsid w:val="002956F6"/>
    <w:rsid w:val="00295B2A"/>
    <w:rsid w:val="002A04D0"/>
    <w:rsid w:val="002A39C7"/>
    <w:rsid w:val="002A3BCF"/>
    <w:rsid w:val="002A5310"/>
    <w:rsid w:val="002A5510"/>
    <w:rsid w:val="002A6BED"/>
    <w:rsid w:val="002A7DC7"/>
    <w:rsid w:val="002B26F8"/>
    <w:rsid w:val="002B3E8E"/>
    <w:rsid w:val="002B5870"/>
    <w:rsid w:val="002B6FC2"/>
    <w:rsid w:val="002B7816"/>
    <w:rsid w:val="002C12BC"/>
    <w:rsid w:val="002C2628"/>
    <w:rsid w:val="002C4C34"/>
    <w:rsid w:val="002D033D"/>
    <w:rsid w:val="002D03A5"/>
    <w:rsid w:val="002D1219"/>
    <w:rsid w:val="002D1F32"/>
    <w:rsid w:val="002D2B80"/>
    <w:rsid w:val="002D3270"/>
    <w:rsid w:val="002D3CAC"/>
    <w:rsid w:val="002D480B"/>
    <w:rsid w:val="002E1978"/>
    <w:rsid w:val="002E4663"/>
    <w:rsid w:val="002E6314"/>
    <w:rsid w:val="002E65D8"/>
    <w:rsid w:val="002F29A7"/>
    <w:rsid w:val="002F4148"/>
    <w:rsid w:val="002F42B8"/>
    <w:rsid w:val="002F6F94"/>
    <w:rsid w:val="002F7E24"/>
    <w:rsid w:val="003007E6"/>
    <w:rsid w:val="00301EAE"/>
    <w:rsid w:val="00301FD7"/>
    <w:rsid w:val="0030212E"/>
    <w:rsid w:val="003026EB"/>
    <w:rsid w:val="00302CF5"/>
    <w:rsid w:val="003049C7"/>
    <w:rsid w:val="0031514A"/>
    <w:rsid w:val="0031562F"/>
    <w:rsid w:val="00316A7F"/>
    <w:rsid w:val="00320783"/>
    <w:rsid w:val="00322AE9"/>
    <w:rsid w:val="003260C7"/>
    <w:rsid w:val="0033117B"/>
    <w:rsid w:val="003336FD"/>
    <w:rsid w:val="0033395F"/>
    <w:rsid w:val="003353F5"/>
    <w:rsid w:val="00337155"/>
    <w:rsid w:val="00340AC8"/>
    <w:rsid w:val="0034201B"/>
    <w:rsid w:val="00342DF6"/>
    <w:rsid w:val="0034340E"/>
    <w:rsid w:val="00343766"/>
    <w:rsid w:val="00345E1C"/>
    <w:rsid w:val="00347076"/>
    <w:rsid w:val="00351B5E"/>
    <w:rsid w:val="003526C3"/>
    <w:rsid w:val="0035542D"/>
    <w:rsid w:val="00356CDD"/>
    <w:rsid w:val="00357050"/>
    <w:rsid w:val="00357E22"/>
    <w:rsid w:val="00360658"/>
    <w:rsid w:val="00361478"/>
    <w:rsid w:val="003628C8"/>
    <w:rsid w:val="0036383A"/>
    <w:rsid w:val="00366216"/>
    <w:rsid w:val="003674B8"/>
    <w:rsid w:val="003707A2"/>
    <w:rsid w:val="00371D29"/>
    <w:rsid w:val="003720BB"/>
    <w:rsid w:val="003727A7"/>
    <w:rsid w:val="003736AC"/>
    <w:rsid w:val="00374674"/>
    <w:rsid w:val="00377720"/>
    <w:rsid w:val="00377E1B"/>
    <w:rsid w:val="00380082"/>
    <w:rsid w:val="00382293"/>
    <w:rsid w:val="00383156"/>
    <w:rsid w:val="00383425"/>
    <w:rsid w:val="00384507"/>
    <w:rsid w:val="00386152"/>
    <w:rsid w:val="00386B09"/>
    <w:rsid w:val="00387BBC"/>
    <w:rsid w:val="00387CA1"/>
    <w:rsid w:val="00390428"/>
    <w:rsid w:val="00392C97"/>
    <w:rsid w:val="00392D66"/>
    <w:rsid w:val="00393843"/>
    <w:rsid w:val="00394A69"/>
    <w:rsid w:val="0039548C"/>
    <w:rsid w:val="003A0174"/>
    <w:rsid w:val="003A12C4"/>
    <w:rsid w:val="003A1C83"/>
    <w:rsid w:val="003A35B4"/>
    <w:rsid w:val="003A3FC4"/>
    <w:rsid w:val="003A4B37"/>
    <w:rsid w:val="003A72C2"/>
    <w:rsid w:val="003B1539"/>
    <w:rsid w:val="003B4515"/>
    <w:rsid w:val="003C24DE"/>
    <w:rsid w:val="003C78FA"/>
    <w:rsid w:val="003D0403"/>
    <w:rsid w:val="003D0F7C"/>
    <w:rsid w:val="003D1B94"/>
    <w:rsid w:val="003D1C60"/>
    <w:rsid w:val="003D1E80"/>
    <w:rsid w:val="003D44B8"/>
    <w:rsid w:val="003D4892"/>
    <w:rsid w:val="003D58E3"/>
    <w:rsid w:val="003D6548"/>
    <w:rsid w:val="003D7632"/>
    <w:rsid w:val="003E06B6"/>
    <w:rsid w:val="003E25FB"/>
    <w:rsid w:val="003E278A"/>
    <w:rsid w:val="003E4253"/>
    <w:rsid w:val="003E62BC"/>
    <w:rsid w:val="003E7A58"/>
    <w:rsid w:val="003F1C53"/>
    <w:rsid w:val="003F1DF9"/>
    <w:rsid w:val="003F2236"/>
    <w:rsid w:val="003F2BA3"/>
    <w:rsid w:val="003F31BD"/>
    <w:rsid w:val="003F4EE1"/>
    <w:rsid w:val="003F517F"/>
    <w:rsid w:val="003F6853"/>
    <w:rsid w:val="003F6C71"/>
    <w:rsid w:val="003F7144"/>
    <w:rsid w:val="003F7FF5"/>
    <w:rsid w:val="0040213E"/>
    <w:rsid w:val="00402998"/>
    <w:rsid w:val="00403493"/>
    <w:rsid w:val="00403849"/>
    <w:rsid w:val="00406772"/>
    <w:rsid w:val="00413031"/>
    <w:rsid w:val="004139B0"/>
    <w:rsid w:val="0041501C"/>
    <w:rsid w:val="004150BA"/>
    <w:rsid w:val="00415366"/>
    <w:rsid w:val="004168CB"/>
    <w:rsid w:val="00416A7B"/>
    <w:rsid w:val="004175FC"/>
    <w:rsid w:val="004211FA"/>
    <w:rsid w:val="0042227D"/>
    <w:rsid w:val="004224E1"/>
    <w:rsid w:val="004230AD"/>
    <w:rsid w:val="004232B9"/>
    <w:rsid w:val="00424723"/>
    <w:rsid w:val="00425815"/>
    <w:rsid w:val="004269E2"/>
    <w:rsid w:val="004270A8"/>
    <w:rsid w:val="00430389"/>
    <w:rsid w:val="00430D89"/>
    <w:rsid w:val="00432365"/>
    <w:rsid w:val="00432814"/>
    <w:rsid w:val="00432FAE"/>
    <w:rsid w:val="00433C67"/>
    <w:rsid w:val="00433E19"/>
    <w:rsid w:val="00440DE3"/>
    <w:rsid w:val="00447745"/>
    <w:rsid w:val="00447956"/>
    <w:rsid w:val="00450F08"/>
    <w:rsid w:val="00454FBA"/>
    <w:rsid w:val="00455545"/>
    <w:rsid w:val="00455A82"/>
    <w:rsid w:val="00456FC3"/>
    <w:rsid w:val="004579FB"/>
    <w:rsid w:val="004654A4"/>
    <w:rsid w:val="00465D19"/>
    <w:rsid w:val="00467F77"/>
    <w:rsid w:val="00471300"/>
    <w:rsid w:val="0047256F"/>
    <w:rsid w:val="004738B8"/>
    <w:rsid w:val="00475103"/>
    <w:rsid w:val="004758EB"/>
    <w:rsid w:val="00477A81"/>
    <w:rsid w:val="00477AD8"/>
    <w:rsid w:val="00477CD1"/>
    <w:rsid w:val="00480BDB"/>
    <w:rsid w:val="00483A7E"/>
    <w:rsid w:val="004849BB"/>
    <w:rsid w:val="00484DEF"/>
    <w:rsid w:val="004857F6"/>
    <w:rsid w:val="00486447"/>
    <w:rsid w:val="00490268"/>
    <w:rsid w:val="00491910"/>
    <w:rsid w:val="00491D4D"/>
    <w:rsid w:val="00494668"/>
    <w:rsid w:val="00494CC1"/>
    <w:rsid w:val="00494F5F"/>
    <w:rsid w:val="00496046"/>
    <w:rsid w:val="00497536"/>
    <w:rsid w:val="00497572"/>
    <w:rsid w:val="00497735"/>
    <w:rsid w:val="004A04BC"/>
    <w:rsid w:val="004A0E84"/>
    <w:rsid w:val="004A1D38"/>
    <w:rsid w:val="004A59E5"/>
    <w:rsid w:val="004A7C12"/>
    <w:rsid w:val="004B1658"/>
    <w:rsid w:val="004B48F9"/>
    <w:rsid w:val="004B4E43"/>
    <w:rsid w:val="004B546A"/>
    <w:rsid w:val="004B68A0"/>
    <w:rsid w:val="004B71FA"/>
    <w:rsid w:val="004B773D"/>
    <w:rsid w:val="004B7869"/>
    <w:rsid w:val="004C09AA"/>
    <w:rsid w:val="004C0BAB"/>
    <w:rsid w:val="004C2E8B"/>
    <w:rsid w:val="004C4E69"/>
    <w:rsid w:val="004C75AB"/>
    <w:rsid w:val="004D16DC"/>
    <w:rsid w:val="004D43F5"/>
    <w:rsid w:val="004D49EB"/>
    <w:rsid w:val="004D55D4"/>
    <w:rsid w:val="004D5621"/>
    <w:rsid w:val="004D5983"/>
    <w:rsid w:val="004D63F2"/>
    <w:rsid w:val="004D6555"/>
    <w:rsid w:val="004D6896"/>
    <w:rsid w:val="004E01C0"/>
    <w:rsid w:val="004E1BB1"/>
    <w:rsid w:val="004E2B86"/>
    <w:rsid w:val="004E30D9"/>
    <w:rsid w:val="004E36C6"/>
    <w:rsid w:val="004E3D73"/>
    <w:rsid w:val="004E44CE"/>
    <w:rsid w:val="004E60D4"/>
    <w:rsid w:val="004E6970"/>
    <w:rsid w:val="004E7976"/>
    <w:rsid w:val="004F1E10"/>
    <w:rsid w:val="004F2163"/>
    <w:rsid w:val="004F29EF"/>
    <w:rsid w:val="004F3056"/>
    <w:rsid w:val="004F3195"/>
    <w:rsid w:val="004F64C5"/>
    <w:rsid w:val="004F64E9"/>
    <w:rsid w:val="004F6E40"/>
    <w:rsid w:val="004F7002"/>
    <w:rsid w:val="00500786"/>
    <w:rsid w:val="00502ADE"/>
    <w:rsid w:val="00505263"/>
    <w:rsid w:val="0051090B"/>
    <w:rsid w:val="00510B0F"/>
    <w:rsid w:val="005113B7"/>
    <w:rsid w:val="005127CB"/>
    <w:rsid w:val="005211BD"/>
    <w:rsid w:val="00521C3D"/>
    <w:rsid w:val="00522073"/>
    <w:rsid w:val="005229CC"/>
    <w:rsid w:val="00522B4B"/>
    <w:rsid w:val="00523047"/>
    <w:rsid w:val="00523393"/>
    <w:rsid w:val="00523AF5"/>
    <w:rsid w:val="00525B66"/>
    <w:rsid w:val="00526281"/>
    <w:rsid w:val="00530450"/>
    <w:rsid w:val="00530CAD"/>
    <w:rsid w:val="00533EC6"/>
    <w:rsid w:val="0054069D"/>
    <w:rsid w:val="00540E31"/>
    <w:rsid w:val="00540F5C"/>
    <w:rsid w:val="005414C8"/>
    <w:rsid w:val="0054160F"/>
    <w:rsid w:val="00542050"/>
    <w:rsid w:val="0054247D"/>
    <w:rsid w:val="0054313B"/>
    <w:rsid w:val="00543FA4"/>
    <w:rsid w:val="00545CA7"/>
    <w:rsid w:val="005516D3"/>
    <w:rsid w:val="0055229B"/>
    <w:rsid w:val="005522BC"/>
    <w:rsid w:val="00553863"/>
    <w:rsid w:val="0055391D"/>
    <w:rsid w:val="00560C9F"/>
    <w:rsid w:val="005639E7"/>
    <w:rsid w:val="00564169"/>
    <w:rsid w:val="00565A93"/>
    <w:rsid w:val="00566726"/>
    <w:rsid w:val="00566F5D"/>
    <w:rsid w:val="005671A8"/>
    <w:rsid w:val="005702A7"/>
    <w:rsid w:val="0057157A"/>
    <w:rsid w:val="00576DFD"/>
    <w:rsid w:val="00577059"/>
    <w:rsid w:val="00585CA2"/>
    <w:rsid w:val="00586281"/>
    <w:rsid w:val="00586C2C"/>
    <w:rsid w:val="00586D06"/>
    <w:rsid w:val="00591F8F"/>
    <w:rsid w:val="0059201B"/>
    <w:rsid w:val="00592923"/>
    <w:rsid w:val="00593F37"/>
    <w:rsid w:val="00595248"/>
    <w:rsid w:val="00595F8B"/>
    <w:rsid w:val="00597938"/>
    <w:rsid w:val="005A0024"/>
    <w:rsid w:val="005A1C94"/>
    <w:rsid w:val="005A1D89"/>
    <w:rsid w:val="005A2030"/>
    <w:rsid w:val="005A236C"/>
    <w:rsid w:val="005A2EF5"/>
    <w:rsid w:val="005A358C"/>
    <w:rsid w:val="005A510D"/>
    <w:rsid w:val="005A6124"/>
    <w:rsid w:val="005A77E9"/>
    <w:rsid w:val="005A7E12"/>
    <w:rsid w:val="005B3AF1"/>
    <w:rsid w:val="005B4121"/>
    <w:rsid w:val="005B6A6F"/>
    <w:rsid w:val="005B7E46"/>
    <w:rsid w:val="005C0B29"/>
    <w:rsid w:val="005C1F30"/>
    <w:rsid w:val="005C3057"/>
    <w:rsid w:val="005C38DE"/>
    <w:rsid w:val="005C41D9"/>
    <w:rsid w:val="005C4D54"/>
    <w:rsid w:val="005C7059"/>
    <w:rsid w:val="005C72E5"/>
    <w:rsid w:val="005D1160"/>
    <w:rsid w:val="005D1791"/>
    <w:rsid w:val="005D6D4F"/>
    <w:rsid w:val="005D7E03"/>
    <w:rsid w:val="005F0AEA"/>
    <w:rsid w:val="005F2232"/>
    <w:rsid w:val="005F2A79"/>
    <w:rsid w:val="005F36CD"/>
    <w:rsid w:val="005F37AF"/>
    <w:rsid w:val="005F4B65"/>
    <w:rsid w:val="00600F5F"/>
    <w:rsid w:val="00601E44"/>
    <w:rsid w:val="006045FD"/>
    <w:rsid w:val="006057A0"/>
    <w:rsid w:val="00605A56"/>
    <w:rsid w:val="00606C5C"/>
    <w:rsid w:val="00606E0A"/>
    <w:rsid w:val="00606E3D"/>
    <w:rsid w:val="006070ED"/>
    <w:rsid w:val="0061110F"/>
    <w:rsid w:val="00611CF0"/>
    <w:rsid w:val="0061288C"/>
    <w:rsid w:val="006146CC"/>
    <w:rsid w:val="00614FB3"/>
    <w:rsid w:val="006155A3"/>
    <w:rsid w:val="00616D34"/>
    <w:rsid w:val="00617301"/>
    <w:rsid w:val="00617D85"/>
    <w:rsid w:val="00620227"/>
    <w:rsid w:val="00620DE7"/>
    <w:rsid w:val="00621F3E"/>
    <w:rsid w:val="00621F4B"/>
    <w:rsid w:val="00621F92"/>
    <w:rsid w:val="00623623"/>
    <w:rsid w:val="00624631"/>
    <w:rsid w:val="00627010"/>
    <w:rsid w:val="00630AE3"/>
    <w:rsid w:val="00631B95"/>
    <w:rsid w:val="00632DBD"/>
    <w:rsid w:val="006332F1"/>
    <w:rsid w:val="00634B10"/>
    <w:rsid w:val="006362F7"/>
    <w:rsid w:val="006371BF"/>
    <w:rsid w:val="006371C6"/>
    <w:rsid w:val="006422B2"/>
    <w:rsid w:val="0064439B"/>
    <w:rsid w:val="00644990"/>
    <w:rsid w:val="0064573D"/>
    <w:rsid w:val="00647B40"/>
    <w:rsid w:val="00651304"/>
    <w:rsid w:val="006513B3"/>
    <w:rsid w:val="00651F05"/>
    <w:rsid w:val="006529F1"/>
    <w:rsid w:val="006549D9"/>
    <w:rsid w:val="00657CCA"/>
    <w:rsid w:val="006613D9"/>
    <w:rsid w:val="006615F2"/>
    <w:rsid w:val="00661E21"/>
    <w:rsid w:val="006623F8"/>
    <w:rsid w:val="00663267"/>
    <w:rsid w:val="00664A8F"/>
    <w:rsid w:val="00664B82"/>
    <w:rsid w:val="006671DE"/>
    <w:rsid w:val="00670737"/>
    <w:rsid w:val="00670785"/>
    <w:rsid w:val="006733D3"/>
    <w:rsid w:val="00673AF4"/>
    <w:rsid w:val="00675394"/>
    <w:rsid w:val="00676069"/>
    <w:rsid w:val="00677791"/>
    <w:rsid w:val="006804E5"/>
    <w:rsid w:val="0068169A"/>
    <w:rsid w:val="006828FF"/>
    <w:rsid w:val="00685672"/>
    <w:rsid w:val="00687E32"/>
    <w:rsid w:val="00687E3A"/>
    <w:rsid w:val="00692C53"/>
    <w:rsid w:val="00693FE3"/>
    <w:rsid w:val="00694B53"/>
    <w:rsid w:val="00695217"/>
    <w:rsid w:val="006954CD"/>
    <w:rsid w:val="00695A87"/>
    <w:rsid w:val="00697008"/>
    <w:rsid w:val="00697934"/>
    <w:rsid w:val="006A02A8"/>
    <w:rsid w:val="006A0674"/>
    <w:rsid w:val="006A4C31"/>
    <w:rsid w:val="006A62B6"/>
    <w:rsid w:val="006B082C"/>
    <w:rsid w:val="006B0EC0"/>
    <w:rsid w:val="006B2A4A"/>
    <w:rsid w:val="006B3043"/>
    <w:rsid w:val="006B40AC"/>
    <w:rsid w:val="006B45C5"/>
    <w:rsid w:val="006B53D1"/>
    <w:rsid w:val="006B6837"/>
    <w:rsid w:val="006C2508"/>
    <w:rsid w:val="006C53D5"/>
    <w:rsid w:val="006C5B42"/>
    <w:rsid w:val="006C5DE5"/>
    <w:rsid w:val="006C713D"/>
    <w:rsid w:val="006D4799"/>
    <w:rsid w:val="006D4FDD"/>
    <w:rsid w:val="006D548B"/>
    <w:rsid w:val="006D574D"/>
    <w:rsid w:val="006D648A"/>
    <w:rsid w:val="006E1157"/>
    <w:rsid w:val="006E5E5C"/>
    <w:rsid w:val="006E742C"/>
    <w:rsid w:val="006F0A40"/>
    <w:rsid w:val="006F1879"/>
    <w:rsid w:val="006F52FC"/>
    <w:rsid w:val="006F5AF7"/>
    <w:rsid w:val="006F6047"/>
    <w:rsid w:val="0070023E"/>
    <w:rsid w:val="00700DB7"/>
    <w:rsid w:val="0070124D"/>
    <w:rsid w:val="00701255"/>
    <w:rsid w:val="00703DAC"/>
    <w:rsid w:val="007075E5"/>
    <w:rsid w:val="00710146"/>
    <w:rsid w:val="007102FC"/>
    <w:rsid w:val="00711538"/>
    <w:rsid w:val="00711880"/>
    <w:rsid w:val="0071195F"/>
    <w:rsid w:val="00711CA6"/>
    <w:rsid w:val="00711E02"/>
    <w:rsid w:val="007122E0"/>
    <w:rsid w:val="0071239E"/>
    <w:rsid w:val="00713740"/>
    <w:rsid w:val="007148B2"/>
    <w:rsid w:val="00714E71"/>
    <w:rsid w:val="007152BF"/>
    <w:rsid w:val="00715CC5"/>
    <w:rsid w:val="00716816"/>
    <w:rsid w:val="0072475A"/>
    <w:rsid w:val="00724EAF"/>
    <w:rsid w:val="00725404"/>
    <w:rsid w:val="00726694"/>
    <w:rsid w:val="007277C6"/>
    <w:rsid w:val="007306AA"/>
    <w:rsid w:val="007306BC"/>
    <w:rsid w:val="0073074A"/>
    <w:rsid w:val="00733784"/>
    <w:rsid w:val="00733E5F"/>
    <w:rsid w:val="007366D6"/>
    <w:rsid w:val="00737644"/>
    <w:rsid w:val="007403DB"/>
    <w:rsid w:val="007416B4"/>
    <w:rsid w:val="00741C24"/>
    <w:rsid w:val="00741CBE"/>
    <w:rsid w:val="0074235D"/>
    <w:rsid w:val="007423CB"/>
    <w:rsid w:val="00742806"/>
    <w:rsid w:val="00744CFE"/>
    <w:rsid w:val="00745D63"/>
    <w:rsid w:val="00746E9B"/>
    <w:rsid w:val="00750DB0"/>
    <w:rsid w:val="00751493"/>
    <w:rsid w:val="00751A87"/>
    <w:rsid w:val="00753538"/>
    <w:rsid w:val="00754423"/>
    <w:rsid w:val="00754FBF"/>
    <w:rsid w:val="00755B84"/>
    <w:rsid w:val="00757DD8"/>
    <w:rsid w:val="007601C6"/>
    <w:rsid w:val="00760DAF"/>
    <w:rsid w:val="00760F45"/>
    <w:rsid w:val="0076661A"/>
    <w:rsid w:val="007669D8"/>
    <w:rsid w:val="00770486"/>
    <w:rsid w:val="007706B2"/>
    <w:rsid w:val="0077139D"/>
    <w:rsid w:val="00772E54"/>
    <w:rsid w:val="00773572"/>
    <w:rsid w:val="00773796"/>
    <w:rsid w:val="00773A85"/>
    <w:rsid w:val="00775682"/>
    <w:rsid w:val="0077612B"/>
    <w:rsid w:val="00776ECF"/>
    <w:rsid w:val="00777293"/>
    <w:rsid w:val="00780216"/>
    <w:rsid w:val="00780252"/>
    <w:rsid w:val="0078120E"/>
    <w:rsid w:val="00781869"/>
    <w:rsid w:val="00782894"/>
    <w:rsid w:val="00787DF9"/>
    <w:rsid w:val="007904B6"/>
    <w:rsid w:val="007910FD"/>
    <w:rsid w:val="00791657"/>
    <w:rsid w:val="00792212"/>
    <w:rsid w:val="00794AE2"/>
    <w:rsid w:val="00794C39"/>
    <w:rsid w:val="00795009"/>
    <w:rsid w:val="007957B1"/>
    <w:rsid w:val="00796E22"/>
    <w:rsid w:val="007A35CB"/>
    <w:rsid w:val="007A39E5"/>
    <w:rsid w:val="007A3F17"/>
    <w:rsid w:val="007A430E"/>
    <w:rsid w:val="007A47BB"/>
    <w:rsid w:val="007A54A5"/>
    <w:rsid w:val="007A5AE1"/>
    <w:rsid w:val="007B1CC6"/>
    <w:rsid w:val="007B36DA"/>
    <w:rsid w:val="007B420C"/>
    <w:rsid w:val="007B6239"/>
    <w:rsid w:val="007B7D21"/>
    <w:rsid w:val="007C13BD"/>
    <w:rsid w:val="007C4AC9"/>
    <w:rsid w:val="007C5349"/>
    <w:rsid w:val="007C56F8"/>
    <w:rsid w:val="007C7E98"/>
    <w:rsid w:val="007D0457"/>
    <w:rsid w:val="007D061B"/>
    <w:rsid w:val="007D1DEB"/>
    <w:rsid w:val="007D39E2"/>
    <w:rsid w:val="007D3A5C"/>
    <w:rsid w:val="007D4A96"/>
    <w:rsid w:val="007D7257"/>
    <w:rsid w:val="007E1524"/>
    <w:rsid w:val="007E3C96"/>
    <w:rsid w:val="007E3D1B"/>
    <w:rsid w:val="007E409E"/>
    <w:rsid w:val="007E4422"/>
    <w:rsid w:val="007E5EA7"/>
    <w:rsid w:val="007E5F36"/>
    <w:rsid w:val="007F2052"/>
    <w:rsid w:val="007F276C"/>
    <w:rsid w:val="007F3540"/>
    <w:rsid w:val="007F5A5F"/>
    <w:rsid w:val="00800150"/>
    <w:rsid w:val="00802867"/>
    <w:rsid w:val="0080392B"/>
    <w:rsid w:val="008053FA"/>
    <w:rsid w:val="00806C81"/>
    <w:rsid w:val="00810080"/>
    <w:rsid w:val="00810A16"/>
    <w:rsid w:val="00812379"/>
    <w:rsid w:val="00814942"/>
    <w:rsid w:val="008158F2"/>
    <w:rsid w:val="008162D1"/>
    <w:rsid w:val="00816E4C"/>
    <w:rsid w:val="00817555"/>
    <w:rsid w:val="00817A38"/>
    <w:rsid w:val="00817D85"/>
    <w:rsid w:val="00822EDC"/>
    <w:rsid w:val="00823E1F"/>
    <w:rsid w:val="0082667C"/>
    <w:rsid w:val="00826D5A"/>
    <w:rsid w:val="0083034A"/>
    <w:rsid w:val="008310CF"/>
    <w:rsid w:val="00835345"/>
    <w:rsid w:val="008360AD"/>
    <w:rsid w:val="00837D7D"/>
    <w:rsid w:val="0084199E"/>
    <w:rsid w:val="0084204C"/>
    <w:rsid w:val="00842483"/>
    <w:rsid w:val="008435AD"/>
    <w:rsid w:val="008462F3"/>
    <w:rsid w:val="00851A98"/>
    <w:rsid w:val="00851ED2"/>
    <w:rsid w:val="0085388E"/>
    <w:rsid w:val="008567E3"/>
    <w:rsid w:val="0086059B"/>
    <w:rsid w:val="008607CA"/>
    <w:rsid w:val="00860E1C"/>
    <w:rsid w:val="008620F1"/>
    <w:rsid w:val="00862920"/>
    <w:rsid w:val="00863A28"/>
    <w:rsid w:val="00871943"/>
    <w:rsid w:val="008735EC"/>
    <w:rsid w:val="00873A63"/>
    <w:rsid w:val="00873E35"/>
    <w:rsid w:val="00873F56"/>
    <w:rsid w:val="008800C1"/>
    <w:rsid w:val="00880936"/>
    <w:rsid w:val="00880C45"/>
    <w:rsid w:val="00881684"/>
    <w:rsid w:val="00884392"/>
    <w:rsid w:val="008879C5"/>
    <w:rsid w:val="00893C32"/>
    <w:rsid w:val="008965F9"/>
    <w:rsid w:val="00897F89"/>
    <w:rsid w:val="008A0025"/>
    <w:rsid w:val="008A0CFA"/>
    <w:rsid w:val="008A0F13"/>
    <w:rsid w:val="008A2A69"/>
    <w:rsid w:val="008A3448"/>
    <w:rsid w:val="008A369C"/>
    <w:rsid w:val="008A3EA3"/>
    <w:rsid w:val="008A6D52"/>
    <w:rsid w:val="008B151E"/>
    <w:rsid w:val="008B1C62"/>
    <w:rsid w:val="008B2713"/>
    <w:rsid w:val="008B2AF3"/>
    <w:rsid w:val="008B46E5"/>
    <w:rsid w:val="008B4814"/>
    <w:rsid w:val="008B7429"/>
    <w:rsid w:val="008B7868"/>
    <w:rsid w:val="008C0DBE"/>
    <w:rsid w:val="008C29F3"/>
    <w:rsid w:val="008C3C3D"/>
    <w:rsid w:val="008C4606"/>
    <w:rsid w:val="008C5C9B"/>
    <w:rsid w:val="008C6367"/>
    <w:rsid w:val="008C64B2"/>
    <w:rsid w:val="008D0387"/>
    <w:rsid w:val="008D4DF3"/>
    <w:rsid w:val="008D566D"/>
    <w:rsid w:val="008D6969"/>
    <w:rsid w:val="008D7532"/>
    <w:rsid w:val="008E0A03"/>
    <w:rsid w:val="008E0DAF"/>
    <w:rsid w:val="008E4D34"/>
    <w:rsid w:val="008F026B"/>
    <w:rsid w:val="008F0C16"/>
    <w:rsid w:val="008F0E54"/>
    <w:rsid w:val="008F1B52"/>
    <w:rsid w:val="008F1C30"/>
    <w:rsid w:val="008F24EE"/>
    <w:rsid w:val="008F2652"/>
    <w:rsid w:val="008F2BA7"/>
    <w:rsid w:val="008F3A6D"/>
    <w:rsid w:val="008F41C2"/>
    <w:rsid w:val="008F4493"/>
    <w:rsid w:val="008F46EE"/>
    <w:rsid w:val="008F4E01"/>
    <w:rsid w:val="00900BD2"/>
    <w:rsid w:val="0090111E"/>
    <w:rsid w:val="00901557"/>
    <w:rsid w:val="00901676"/>
    <w:rsid w:val="00901E6A"/>
    <w:rsid w:val="00902E76"/>
    <w:rsid w:val="00902FC0"/>
    <w:rsid w:val="00903324"/>
    <w:rsid w:val="00904A3A"/>
    <w:rsid w:val="00911651"/>
    <w:rsid w:val="00911C03"/>
    <w:rsid w:val="00911C2B"/>
    <w:rsid w:val="0091212B"/>
    <w:rsid w:val="009123AE"/>
    <w:rsid w:val="009146FF"/>
    <w:rsid w:val="00920EA3"/>
    <w:rsid w:val="009210E8"/>
    <w:rsid w:val="009214E2"/>
    <w:rsid w:val="009221F1"/>
    <w:rsid w:val="00922625"/>
    <w:rsid w:val="009228F7"/>
    <w:rsid w:val="00923373"/>
    <w:rsid w:val="00924665"/>
    <w:rsid w:val="009277DB"/>
    <w:rsid w:val="00927F4D"/>
    <w:rsid w:val="009323BF"/>
    <w:rsid w:val="00933F80"/>
    <w:rsid w:val="0093434A"/>
    <w:rsid w:val="00935E4F"/>
    <w:rsid w:val="00936C7B"/>
    <w:rsid w:val="00940813"/>
    <w:rsid w:val="00941336"/>
    <w:rsid w:val="00941766"/>
    <w:rsid w:val="00942223"/>
    <w:rsid w:val="00951CA1"/>
    <w:rsid w:val="00952F8D"/>
    <w:rsid w:val="00954070"/>
    <w:rsid w:val="00954306"/>
    <w:rsid w:val="00956DA2"/>
    <w:rsid w:val="00957978"/>
    <w:rsid w:val="0096002D"/>
    <w:rsid w:val="009606BC"/>
    <w:rsid w:val="009617E4"/>
    <w:rsid w:val="0096193A"/>
    <w:rsid w:val="00961F77"/>
    <w:rsid w:val="00961F9A"/>
    <w:rsid w:val="0096256D"/>
    <w:rsid w:val="00963767"/>
    <w:rsid w:val="00965004"/>
    <w:rsid w:val="009658D0"/>
    <w:rsid w:val="009667AF"/>
    <w:rsid w:val="00967439"/>
    <w:rsid w:val="009705EE"/>
    <w:rsid w:val="009730CE"/>
    <w:rsid w:val="0097486A"/>
    <w:rsid w:val="00980220"/>
    <w:rsid w:val="00981205"/>
    <w:rsid w:val="009838A1"/>
    <w:rsid w:val="0098395F"/>
    <w:rsid w:val="009842D4"/>
    <w:rsid w:val="00984400"/>
    <w:rsid w:val="00986FEF"/>
    <w:rsid w:val="00992771"/>
    <w:rsid w:val="00996286"/>
    <w:rsid w:val="009A00E9"/>
    <w:rsid w:val="009A02A6"/>
    <w:rsid w:val="009A037F"/>
    <w:rsid w:val="009A3921"/>
    <w:rsid w:val="009A4799"/>
    <w:rsid w:val="009A5798"/>
    <w:rsid w:val="009A5E58"/>
    <w:rsid w:val="009A62D1"/>
    <w:rsid w:val="009B1A69"/>
    <w:rsid w:val="009B2771"/>
    <w:rsid w:val="009B561A"/>
    <w:rsid w:val="009B7F6D"/>
    <w:rsid w:val="009C12A7"/>
    <w:rsid w:val="009C4F09"/>
    <w:rsid w:val="009C7498"/>
    <w:rsid w:val="009D24AC"/>
    <w:rsid w:val="009D299C"/>
    <w:rsid w:val="009D2E91"/>
    <w:rsid w:val="009D3549"/>
    <w:rsid w:val="009D368B"/>
    <w:rsid w:val="009D5736"/>
    <w:rsid w:val="009E29A6"/>
    <w:rsid w:val="009E3ECE"/>
    <w:rsid w:val="009E510B"/>
    <w:rsid w:val="009E7CF6"/>
    <w:rsid w:val="009E7FE0"/>
    <w:rsid w:val="009F0873"/>
    <w:rsid w:val="009F0CAE"/>
    <w:rsid w:val="009F2E2B"/>
    <w:rsid w:val="009F3060"/>
    <w:rsid w:val="009F4A20"/>
    <w:rsid w:val="009F5813"/>
    <w:rsid w:val="009F7CEB"/>
    <w:rsid w:val="00A00356"/>
    <w:rsid w:val="00A034E5"/>
    <w:rsid w:val="00A0511A"/>
    <w:rsid w:val="00A06A1B"/>
    <w:rsid w:val="00A0768B"/>
    <w:rsid w:val="00A11441"/>
    <w:rsid w:val="00A147F6"/>
    <w:rsid w:val="00A15ACE"/>
    <w:rsid w:val="00A207AF"/>
    <w:rsid w:val="00A21194"/>
    <w:rsid w:val="00A220D4"/>
    <w:rsid w:val="00A24C22"/>
    <w:rsid w:val="00A25C52"/>
    <w:rsid w:val="00A26DB6"/>
    <w:rsid w:val="00A26DEE"/>
    <w:rsid w:val="00A2765D"/>
    <w:rsid w:val="00A30E3E"/>
    <w:rsid w:val="00A324F9"/>
    <w:rsid w:val="00A3456D"/>
    <w:rsid w:val="00A36D2B"/>
    <w:rsid w:val="00A37038"/>
    <w:rsid w:val="00A378E5"/>
    <w:rsid w:val="00A400E0"/>
    <w:rsid w:val="00A4379F"/>
    <w:rsid w:val="00A45ECE"/>
    <w:rsid w:val="00A467BD"/>
    <w:rsid w:val="00A50DEF"/>
    <w:rsid w:val="00A51BCE"/>
    <w:rsid w:val="00A526CB"/>
    <w:rsid w:val="00A52DAE"/>
    <w:rsid w:val="00A52F52"/>
    <w:rsid w:val="00A53225"/>
    <w:rsid w:val="00A558CB"/>
    <w:rsid w:val="00A61163"/>
    <w:rsid w:val="00A62736"/>
    <w:rsid w:val="00A63124"/>
    <w:rsid w:val="00A63F23"/>
    <w:rsid w:val="00A64313"/>
    <w:rsid w:val="00A64963"/>
    <w:rsid w:val="00A64CA8"/>
    <w:rsid w:val="00A64DC6"/>
    <w:rsid w:val="00A6558B"/>
    <w:rsid w:val="00A65B0C"/>
    <w:rsid w:val="00A6785F"/>
    <w:rsid w:val="00A70E6C"/>
    <w:rsid w:val="00A71B9B"/>
    <w:rsid w:val="00A7365C"/>
    <w:rsid w:val="00A73868"/>
    <w:rsid w:val="00A73F42"/>
    <w:rsid w:val="00A743C6"/>
    <w:rsid w:val="00A80795"/>
    <w:rsid w:val="00A8589E"/>
    <w:rsid w:val="00A8702B"/>
    <w:rsid w:val="00A92E3D"/>
    <w:rsid w:val="00A94D6E"/>
    <w:rsid w:val="00A96D47"/>
    <w:rsid w:val="00AA0388"/>
    <w:rsid w:val="00AA0793"/>
    <w:rsid w:val="00AA3029"/>
    <w:rsid w:val="00AA37BD"/>
    <w:rsid w:val="00AA70ED"/>
    <w:rsid w:val="00AA77B1"/>
    <w:rsid w:val="00AB06D6"/>
    <w:rsid w:val="00AB0A05"/>
    <w:rsid w:val="00AB0E06"/>
    <w:rsid w:val="00AB1528"/>
    <w:rsid w:val="00AB33F4"/>
    <w:rsid w:val="00AB5365"/>
    <w:rsid w:val="00AB5377"/>
    <w:rsid w:val="00AB66E1"/>
    <w:rsid w:val="00AB67D4"/>
    <w:rsid w:val="00AB7C4A"/>
    <w:rsid w:val="00AB7EEB"/>
    <w:rsid w:val="00AC0B9E"/>
    <w:rsid w:val="00AC27FC"/>
    <w:rsid w:val="00AC5598"/>
    <w:rsid w:val="00AC5837"/>
    <w:rsid w:val="00AC76A3"/>
    <w:rsid w:val="00AD24EF"/>
    <w:rsid w:val="00AD3B2F"/>
    <w:rsid w:val="00AD7BBC"/>
    <w:rsid w:val="00AE0092"/>
    <w:rsid w:val="00AE5822"/>
    <w:rsid w:val="00AE616C"/>
    <w:rsid w:val="00AE7A18"/>
    <w:rsid w:val="00AF1B5E"/>
    <w:rsid w:val="00AF2259"/>
    <w:rsid w:val="00AF3280"/>
    <w:rsid w:val="00AF634C"/>
    <w:rsid w:val="00B00060"/>
    <w:rsid w:val="00B00068"/>
    <w:rsid w:val="00B0456E"/>
    <w:rsid w:val="00B04B97"/>
    <w:rsid w:val="00B04EDB"/>
    <w:rsid w:val="00B05045"/>
    <w:rsid w:val="00B0514B"/>
    <w:rsid w:val="00B06A24"/>
    <w:rsid w:val="00B142B2"/>
    <w:rsid w:val="00B14389"/>
    <w:rsid w:val="00B144A3"/>
    <w:rsid w:val="00B14A51"/>
    <w:rsid w:val="00B16B0C"/>
    <w:rsid w:val="00B16D5A"/>
    <w:rsid w:val="00B209D5"/>
    <w:rsid w:val="00B21436"/>
    <w:rsid w:val="00B217A8"/>
    <w:rsid w:val="00B247CA"/>
    <w:rsid w:val="00B25052"/>
    <w:rsid w:val="00B251D5"/>
    <w:rsid w:val="00B32D00"/>
    <w:rsid w:val="00B339C2"/>
    <w:rsid w:val="00B34923"/>
    <w:rsid w:val="00B36950"/>
    <w:rsid w:val="00B409DA"/>
    <w:rsid w:val="00B40CD2"/>
    <w:rsid w:val="00B41CC3"/>
    <w:rsid w:val="00B42CB1"/>
    <w:rsid w:val="00B4332C"/>
    <w:rsid w:val="00B4406B"/>
    <w:rsid w:val="00B45272"/>
    <w:rsid w:val="00B521D8"/>
    <w:rsid w:val="00B552F3"/>
    <w:rsid w:val="00B60228"/>
    <w:rsid w:val="00B64080"/>
    <w:rsid w:val="00B6429B"/>
    <w:rsid w:val="00B717B2"/>
    <w:rsid w:val="00B741DB"/>
    <w:rsid w:val="00B76382"/>
    <w:rsid w:val="00B80F5D"/>
    <w:rsid w:val="00B83AFB"/>
    <w:rsid w:val="00B83F5F"/>
    <w:rsid w:val="00B866C5"/>
    <w:rsid w:val="00B87013"/>
    <w:rsid w:val="00B91AFC"/>
    <w:rsid w:val="00B91B67"/>
    <w:rsid w:val="00B9314A"/>
    <w:rsid w:val="00B95839"/>
    <w:rsid w:val="00B96299"/>
    <w:rsid w:val="00B96E71"/>
    <w:rsid w:val="00B97262"/>
    <w:rsid w:val="00B974B1"/>
    <w:rsid w:val="00B975F7"/>
    <w:rsid w:val="00B97E8B"/>
    <w:rsid w:val="00BA0095"/>
    <w:rsid w:val="00BA0FA6"/>
    <w:rsid w:val="00BA110E"/>
    <w:rsid w:val="00BA1C2A"/>
    <w:rsid w:val="00BA73DE"/>
    <w:rsid w:val="00BB066D"/>
    <w:rsid w:val="00BB0DD6"/>
    <w:rsid w:val="00BB121C"/>
    <w:rsid w:val="00BB15D7"/>
    <w:rsid w:val="00BB17EE"/>
    <w:rsid w:val="00BB1A92"/>
    <w:rsid w:val="00BB361E"/>
    <w:rsid w:val="00BB4668"/>
    <w:rsid w:val="00BB4C30"/>
    <w:rsid w:val="00BB4CB6"/>
    <w:rsid w:val="00BB5197"/>
    <w:rsid w:val="00BB5C27"/>
    <w:rsid w:val="00BB7430"/>
    <w:rsid w:val="00BB79AE"/>
    <w:rsid w:val="00BC016F"/>
    <w:rsid w:val="00BC02E8"/>
    <w:rsid w:val="00BC124A"/>
    <w:rsid w:val="00BC1331"/>
    <w:rsid w:val="00BC33E7"/>
    <w:rsid w:val="00BC39CD"/>
    <w:rsid w:val="00BC5AD6"/>
    <w:rsid w:val="00BC77DA"/>
    <w:rsid w:val="00BC7EE6"/>
    <w:rsid w:val="00BD0116"/>
    <w:rsid w:val="00BD13FF"/>
    <w:rsid w:val="00BD54BC"/>
    <w:rsid w:val="00BD6202"/>
    <w:rsid w:val="00BD64E9"/>
    <w:rsid w:val="00BD67B1"/>
    <w:rsid w:val="00BD6F20"/>
    <w:rsid w:val="00BE1F69"/>
    <w:rsid w:val="00BE4D56"/>
    <w:rsid w:val="00BE5A16"/>
    <w:rsid w:val="00BE6922"/>
    <w:rsid w:val="00BE70DA"/>
    <w:rsid w:val="00BF2ACB"/>
    <w:rsid w:val="00BF4D00"/>
    <w:rsid w:val="00BF6472"/>
    <w:rsid w:val="00BF7C11"/>
    <w:rsid w:val="00C00951"/>
    <w:rsid w:val="00C00F1C"/>
    <w:rsid w:val="00C018AC"/>
    <w:rsid w:val="00C01CE2"/>
    <w:rsid w:val="00C052A9"/>
    <w:rsid w:val="00C06A02"/>
    <w:rsid w:val="00C078E8"/>
    <w:rsid w:val="00C07F10"/>
    <w:rsid w:val="00C11F0C"/>
    <w:rsid w:val="00C12D0B"/>
    <w:rsid w:val="00C170E1"/>
    <w:rsid w:val="00C17A83"/>
    <w:rsid w:val="00C20B69"/>
    <w:rsid w:val="00C21BC2"/>
    <w:rsid w:val="00C2251F"/>
    <w:rsid w:val="00C23789"/>
    <w:rsid w:val="00C24A14"/>
    <w:rsid w:val="00C30BFB"/>
    <w:rsid w:val="00C31604"/>
    <w:rsid w:val="00C3395D"/>
    <w:rsid w:val="00C34ECD"/>
    <w:rsid w:val="00C37AB8"/>
    <w:rsid w:val="00C40ED5"/>
    <w:rsid w:val="00C41B92"/>
    <w:rsid w:val="00C42165"/>
    <w:rsid w:val="00C4241F"/>
    <w:rsid w:val="00C43CA0"/>
    <w:rsid w:val="00C4550C"/>
    <w:rsid w:val="00C47342"/>
    <w:rsid w:val="00C50A44"/>
    <w:rsid w:val="00C52BB4"/>
    <w:rsid w:val="00C52D83"/>
    <w:rsid w:val="00C53355"/>
    <w:rsid w:val="00C53C69"/>
    <w:rsid w:val="00C53C81"/>
    <w:rsid w:val="00C53EE6"/>
    <w:rsid w:val="00C54313"/>
    <w:rsid w:val="00C54A33"/>
    <w:rsid w:val="00C55060"/>
    <w:rsid w:val="00C57501"/>
    <w:rsid w:val="00C57607"/>
    <w:rsid w:val="00C57FA2"/>
    <w:rsid w:val="00C62B2C"/>
    <w:rsid w:val="00C62BDF"/>
    <w:rsid w:val="00C65BC5"/>
    <w:rsid w:val="00C661F4"/>
    <w:rsid w:val="00C66C39"/>
    <w:rsid w:val="00C70BC8"/>
    <w:rsid w:val="00C71783"/>
    <w:rsid w:val="00C722A8"/>
    <w:rsid w:val="00C728C6"/>
    <w:rsid w:val="00C75064"/>
    <w:rsid w:val="00C75430"/>
    <w:rsid w:val="00C7549A"/>
    <w:rsid w:val="00C76EED"/>
    <w:rsid w:val="00C77684"/>
    <w:rsid w:val="00C82DBD"/>
    <w:rsid w:val="00C84701"/>
    <w:rsid w:val="00C859EC"/>
    <w:rsid w:val="00C866D0"/>
    <w:rsid w:val="00C87516"/>
    <w:rsid w:val="00C91CDA"/>
    <w:rsid w:val="00C9265A"/>
    <w:rsid w:val="00C940C6"/>
    <w:rsid w:val="00C95440"/>
    <w:rsid w:val="00C969E0"/>
    <w:rsid w:val="00C97812"/>
    <w:rsid w:val="00CA3418"/>
    <w:rsid w:val="00CA55D2"/>
    <w:rsid w:val="00CA6674"/>
    <w:rsid w:val="00CA72B7"/>
    <w:rsid w:val="00CB08FF"/>
    <w:rsid w:val="00CB0BF1"/>
    <w:rsid w:val="00CB2314"/>
    <w:rsid w:val="00CB3811"/>
    <w:rsid w:val="00CB4C21"/>
    <w:rsid w:val="00CC0071"/>
    <w:rsid w:val="00CC041A"/>
    <w:rsid w:val="00CC1E34"/>
    <w:rsid w:val="00CC4EAF"/>
    <w:rsid w:val="00CC6CB4"/>
    <w:rsid w:val="00CC7C2E"/>
    <w:rsid w:val="00CD239A"/>
    <w:rsid w:val="00CD3696"/>
    <w:rsid w:val="00CD3FA2"/>
    <w:rsid w:val="00CD43AF"/>
    <w:rsid w:val="00CD59F2"/>
    <w:rsid w:val="00CD7E47"/>
    <w:rsid w:val="00CE12D5"/>
    <w:rsid w:val="00CE1432"/>
    <w:rsid w:val="00CE2C4C"/>
    <w:rsid w:val="00CE4DF7"/>
    <w:rsid w:val="00CE6AFE"/>
    <w:rsid w:val="00CF07B0"/>
    <w:rsid w:val="00CF1FB5"/>
    <w:rsid w:val="00CF26B6"/>
    <w:rsid w:val="00CF52EC"/>
    <w:rsid w:val="00CF5E1A"/>
    <w:rsid w:val="00CF69DF"/>
    <w:rsid w:val="00CF6F38"/>
    <w:rsid w:val="00CF7981"/>
    <w:rsid w:val="00D00D22"/>
    <w:rsid w:val="00D04365"/>
    <w:rsid w:val="00D049C6"/>
    <w:rsid w:val="00D069C9"/>
    <w:rsid w:val="00D10CEB"/>
    <w:rsid w:val="00D11E2D"/>
    <w:rsid w:val="00D163C7"/>
    <w:rsid w:val="00D16C4B"/>
    <w:rsid w:val="00D179E8"/>
    <w:rsid w:val="00D210DA"/>
    <w:rsid w:val="00D249DC"/>
    <w:rsid w:val="00D2756B"/>
    <w:rsid w:val="00D30A57"/>
    <w:rsid w:val="00D31837"/>
    <w:rsid w:val="00D33968"/>
    <w:rsid w:val="00D346D7"/>
    <w:rsid w:val="00D433A7"/>
    <w:rsid w:val="00D5033E"/>
    <w:rsid w:val="00D5086A"/>
    <w:rsid w:val="00D51DED"/>
    <w:rsid w:val="00D5277D"/>
    <w:rsid w:val="00D53A8F"/>
    <w:rsid w:val="00D56AAD"/>
    <w:rsid w:val="00D60586"/>
    <w:rsid w:val="00D627C3"/>
    <w:rsid w:val="00D64E8B"/>
    <w:rsid w:val="00D67159"/>
    <w:rsid w:val="00D67E46"/>
    <w:rsid w:val="00D70419"/>
    <w:rsid w:val="00D705F9"/>
    <w:rsid w:val="00D70D05"/>
    <w:rsid w:val="00D7283E"/>
    <w:rsid w:val="00D729A8"/>
    <w:rsid w:val="00D72EB2"/>
    <w:rsid w:val="00D75057"/>
    <w:rsid w:val="00D7551A"/>
    <w:rsid w:val="00D8059B"/>
    <w:rsid w:val="00D8138F"/>
    <w:rsid w:val="00D84355"/>
    <w:rsid w:val="00D862E7"/>
    <w:rsid w:val="00D873FC"/>
    <w:rsid w:val="00D87AA3"/>
    <w:rsid w:val="00D909ED"/>
    <w:rsid w:val="00D92074"/>
    <w:rsid w:val="00D93A30"/>
    <w:rsid w:val="00D93A71"/>
    <w:rsid w:val="00D94A80"/>
    <w:rsid w:val="00D964D4"/>
    <w:rsid w:val="00D965A8"/>
    <w:rsid w:val="00D967B7"/>
    <w:rsid w:val="00DA371D"/>
    <w:rsid w:val="00DA38A4"/>
    <w:rsid w:val="00DA4061"/>
    <w:rsid w:val="00DA6643"/>
    <w:rsid w:val="00DA76C2"/>
    <w:rsid w:val="00DB012C"/>
    <w:rsid w:val="00DB0BFB"/>
    <w:rsid w:val="00DB4688"/>
    <w:rsid w:val="00DB576B"/>
    <w:rsid w:val="00DB5835"/>
    <w:rsid w:val="00DB6618"/>
    <w:rsid w:val="00DB7A08"/>
    <w:rsid w:val="00DC285E"/>
    <w:rsid w:val="00DC2932"/>
    <w:rsid w:val="00DD17AA"/>
    <w:rsid w:val="00DD221A"/>
    <w:rsid w:val="00DD5C43"/>
    <w:rsid w:val="00DE02EA"/>
    <w:rsid w:val="00DE1BF0"/>
    <w:rsid w:val="00DE38A8"/>
    <w:rsid w:val="00DE403C"/>
    <w:rsid w:val="00DE6CFA"/>
    <w:rsid w:val="00DE7123"/>
    <w:rsid w:val="00DE73D1"/>
    <w:rsid w:val="00DF0CCF"/>
    <w:rsid w:val="00DF317C"/>
    <w:rsid w:val="00DF3831"/>
    <w:rsid w:val="00DF446D"/>
    <w:rsid w:val="00E006D9"/>
    <w:rsid w:val="00E009D9"/>
    <w:rsid w:val="00E02E5E"/>
    <w:rsid w:val="00E07B91"/>
    <w:rsid w:val="00E12334"/>
    <w:rsid w:val="00E128B9"/>
    <w:rsid w:val="00E12E28"/>
    <w:rsid w:val="00E13C3B"/>
    <w:rsid w:val="00E14D9D"/>
    <w:rsid w:val="00E15C6F"/>
    <w:rsid w:val="00E202F3"/>
    <w:rsid w:val="00E23440"/>
    <w:rsid w:val="00E250CD"/>
    <w:rsid w:val="00E30AD2"/>
    <w:rsid w:val="00E32E39"/>
    <w:rsid w:val="00E337AE"/>
    <w:rsid w:val="00E3418F"/>
    <w:rsid w:val="00E3460D"/>
    <w:rsid w:val="00E35C4F"/>
    <w:rsid w:val="00E36222"/>
    <w:rsid w:val="00E36952"/>
    <w:rsid w:val="00E36CB9"/>
    <w:rsid w:val="00E420BC"/>
    <w:rsid w:val="00E4328A"/>
    <w:rsid w:val="00E439CF"/>
    <w:rsid w:val="00E43FDF"/>
    <w:rsid w:val="00E45687"/>
    <w:rsid w:val="00E4583E"/>
    <w:rsid w:val="00E45B2E"/>
    <w:rsid w:val="00E46097"/>
    <w:rsid w:val="00E47EAF"/>
    <w:rsid w:val="00E50CB4"/>
    <w:rsid w:val="00E52B9D"/>
    <w:rsid w:val="00E53C25"/>
    <w:rsid w:val="00E560A4"/>
    <w:rsid w:val="00E560B5"/>
    <w:rsid w:val="00E56667"/>
    <w:rsid w:val="00E56C22"/>
    <w:rsid w:val="00E57611"/>
    <w:rsid w:val="00E63C2D"/>
    <w:rsid w:val="00E6448F"/>
    <w:rsid w:val="00E64BA9"/>
    <w:rsid w:val="00E66097"/>
    <w:rsid w:val="00E70863"/>
    <w:rsid w:val="00E716B5"/>
    <w:rsid w:val="00E7198F"/>
    <w:rsid w:val="00E719A8"/>
    <w:rsid w:val="00E734AF"/>
    <w:rsid w:val="00E7453C"/>
    <w:rsid w:val="00E74D96"/>
    <w:rsid w:val="00E76576"/>
    <w:rsid w:val="00E76FF4"/>
    <w:rsid w:val="00E8001F"/>
    <w:rsid w:val="00E800E8"/>
    <w:rsid w:val="00E82D51"/>
    <w:rsid w:val="00E8601B"/>
    <w:rsid w:val="00E87355"/>
    <w:rsid w:val="00E8783B"/>
    <w:rsid w:val="00E911C1"/>
    <w:rsid w:val="00E91C9B"/>
    <w:rsid w:val="00E91CFA"/>
    <w:rsid w:val="00E91F8D"/>
    <w:rsid w:val="00E93753"/>
    <w:rsid w:val="00E93DDE"/>
    <w:rsid w:val="00E9497E"/>
    <w:rsid w:val="00E958D7"/>
    <w:rsid w:val="00E97497"/>
    <w:rsid w:val="00EA44B2"/>
    <w:rsid w:val="00EA45E1"/>
    <w:rsid w:val="00EA4C94"/>
    <w:rsid w:val="00EA519D"/>
    <w:rsid w:val="00EA58FA"/>
    <w:rsid w:val="00EA65C6"/>
    <w:rsid w:val="00EA69A6"/>
    <w:rsid w:val="00EA7475"/>
    <w:rsid w:val="00EB39C8"/>
    <w:rsid w:val="00EB55D6"/>
    <w:rsid w:val="00EB57EA"/>
    <w:rsid w:val="00EB65A3"/>
    <w:rsid w:val="00EB714D"/>
    <w:rsid w:val="00EC0424"/>
    <w:rsid w:val="00EC0B17"/>
    <w:rsid w:val="00EC38ED"/>
    <w:rsid w:val="00EC3E24"/>
    <w:rsid w:val="00EC40F6"/>
    <w:rsid w:val="00EC566D"/>
    <w:rsid w:val="00ED3E97"/>
    <w:rsid w:val="00ED4F66"/>
    <w:rsid w:val="00ED5B39"/>
    <w:rsid w:val="00ED72BB"/>
    <w:rsid w:val="00EE215D"/>
    <w:rsid w:val="00EE25EE"/>
    <w:rsid w:val="00EE3118"/>
    <w:rsid w:val="00EE50B9"/>
    <w:rsid w:val="00EE704F"/>
    <w:rsid w:val="00EF103D"/>
    <w:rsid w:val="00EF3DBD"/>
    <w:rsid w:val="00EF48BD"/>
    <w:rsid w:val="00EF55F9"/>
    <w:rsid w:val="00EF6B7E"/>
    <w:rsid w:val="00EF76AC"/>
    <w:rsid w:val="00EF7FBA"/>
    <w:rsid w:val="00F01167"/>
    <w:rsid w:val="00F02EEB"/>
    <w:rsid w:val="00F0772F"/>
    <w:rsid w:val="00F1355E"/>
    <w:rsid w:val="00F1441F"/>
    <w:rsid w:val="00F16FD3"/>
    <w:rsid w:val="00F21FEF"/>
    <w:rsid w:val="00F2260D"/>
    <w:rsid w:val="00F24877"/>
    <w:rsid w:val="00F260CE"/>
    <w:rsid w:val="00F26341"/>
    <w:rsid w:val="00F26B9C"/>
    <w:rsid w:val="00F2795A"/>
    <w:rsid w:val="00F27D5E"/>
    <w:rsid w:val="00F315ED"/>
    <w:rsid w:val="00F32348"/>
    <w:rsid w:val="00F34E55"/>
    <w:rsid w:val="00F34FD4"/>
    <w:rsid w:val="00F36692"/>
    <w:rsid w:val="00F37B4D"/>
    <w:rsid w:val="00F4004D"/>
    <w:rsid w:val="00F41540"/>
    <w:rsid w:val="00F41AA9"/>
    <w:rsid w:val="00F43CFC"/>
    <w:rsid w:val="00F44240"/>
    <w:rsid w:val="00F44535"/>
    <w:rsid w:val="00F449DD"/>
    <w:rsid w:val="00F476AA"/>
    <w:rsid w:val="00F50F2C"/>
    <w:rsid w:val="00F52B69"/>
    <w:rsid w:val="00F52F4E"/>
    <w:rsid w:val="00F532EA"/>
    <w:rsid w:val="00F53A99"/>
    <w:rsid w:val="00F54D27"/>
    <w:rsid w:val="00F55B42"/>
    <w:rsid w:val="00F57B57"/>
    <w:rsid w:val="00F6085F"/>
    <w:rsid w:val="00F60C5D"/>
    <w:rsid w:val="00F64448"/>
    <w:rsid w:val="00F67C50"/>
    <w:rsid w:val="00F713AF"/>
    <w:rsid w:val="00F71BFD"/>
    <w:rsid w:val="00F72B7E"/>
    <w:rsid w:val="00F73069"/>
    <w:rsid w:val="00F74A37"/>
    <w:rsid w:val="00F758C9"/>
    <w:rsid w:val="00F75EE2"/>
    <w:rsid w:val="00F77898"/>
    <w:rsid w:val="00F825E8"/>
    <w:rsid w:val="00F836EF"/>
    <w:rsid w:val="00F84433"/>
    <w:rsid w:val="00F8566B"/>
    <w:rsid w:val="00F85EFA"/>
    <w:rsid w:val="00F875F6"/>
    <w:rsid w:val="00F87ACB"/>
    <w:rsid w:val="00F87CD9"/>
    <w:rsid w:val="00F91B32"/>
    <w:rsid w:val="00F92C8D"/>
    <w:rsid w:val="00F949FF"/>
    <w:rsid w:val="00F97733"/>
    <w:rsid w:val="00FA03FF"/>
    <w:rsid w:val="00FA4041"/>
    <w:rsid w:val="00FA5BD0"/>
    <w:rsid w:val="00FB1253"/>
    <w:rsid w:val="00FB17C2"/>
    <w:rsid w:val="00FB1827"/>
    <w:rsid w:val="00FB25AE"/>
    <w:rsid w:val="00FB2AB1"/>
    <w:rsid w:val="00FB3B87"/>
    <w:rsid w:val="00FB3DE4"/>
    <w:rsid w:val="00FB3E83"/>
    <w:rsid w:val="00FB491A"/>
    <w:rsid w:val="00FB5480"/>
    <w:rsid w:val="00FB70CF"/>
    <w:rsid w:val="00FC67B2"/>
    <w:rsid w:val="00FC74CA"/>
    <w:rsid w:val="00FC7C32"/>
    <w:rsid w:val="00FC7C84"/>
    <w:rsid w:val="00FC7FA9"/>
    <w:rsid w:val="00FD0312"/>
    <w:rsid w:val="00FD0B2C"/>
    <w:rsid w:val="00FD10C7"/>
    <w:rsid w:val="00FD3474"/>
    <w:rsid w:val="00FD70AA"/>
    <w:rsid w:val="00FD7CE1"/>
    <w:rsid w:val="00FE09DF"/>
    <w:rsid w:val="00FE2726"/>
    <w:rsid w:val="00FE2A0F"/>
    <w:rsid w:val="00FE2B16"/>
    <w:rsid w:val="00FE3D08"/>
    <w:rsid w:val="00FE42E8"/>
    <w:rsid w:val="00FE56B3"/>
    <w:rsid w:val="00FE5C9F"/>
    <w:rsid w:val="00FE7AE7"/>
    <w:rsid w:val="00FF016C"/>
    <w:rsid w:val="00FF0BD7"/>
    <w:rsid w:val="00FF190B"/>
    <w:rsid w:val="00FF3A06"/>
    <w:rsid w:val="00FF41E8"/>
    <w:rsid w:val="00FF433D"/>
    <w:rsid w:val="00FF458B"/>
    <w:rsid w:val="00FF54F4"/>
    <w:rsid w:val="00FF55A8"/>
    <w:rsid w:val="00FF5B79"/>
    <w:rsid w:val="00FF71A9"/>
    <w:rsid w:val="029A4810"/>
    <w:rsid w:val="036F7E4D"/>
    <w:rsid w:val="04139829"/>
    <w:rsid w:val="069A4399"/>
    <w:rsid w:val="0BF738C8"/>
    <w:rsid w:val="0F49ED2F"/>
    <w:rsid w:val="11144961"/>
    <w:rsid w:val="12717AA7"/>
    <w:rsid w:val="197E8CC6"/>
    <w:rsid w:val="1C1F6881"/>
    <w:rsid w:val="1C71458C"/>
    <w:rsid w:val="1D494D52"/>
    <w:rsid w:val="1F999B4C"/>
    <w:rsid w:val="1FEF718E"/>
    <w:rsid w:val="21025324"/>
    <w:rsid w:val="2127F142"/>
    <w:rsid w:val="23D4A5B3"/>
    <w:rsid w:val="2412B280"/>
    <w:rsid w:val="27883FE7"/>
    <w:rsid w:val="286AA00D"/>
    <w:rsid w:val="2A9E46F5"/>
    <w:rsid w:val="2AFFE063"/>
    <w:rsid w:val="2CC02002"/>
    <w:rsid w:val="2DE999BC"/>
    <w:rsid w:val="36082EBE"/>
    <w:rsid w:val="376A71FF"/>
    <w:rsid w:val="377CF3DA"/>
    <w:rsid w:val="3931C5DE"/>
    <w:rsid w:val="396EC251"/>
    <w:rsid w:val="3AC1ABFA"/>
    <w:rsid w:val="3E32AA38"/>
    <w:rsid w:val="3EF662C8"/>
    <w:rsid w:val="4870A4EF"/>
    <w:rsid w:val="4BB35258"/>
    <w:rsid w:val="4BDB1BD5"/>
    <w:rsid w:val="4C3E5CB9"/>
    <w:rsid w:val="4C649A2F"/>
    <w:rsid w:val="4F6EF6C5"/>
    <w:rsid w:val="55A14543"/>
    <w:rsid w:val="5782C377"/>
    <w:rsid w:val="5B2B42E5"/>
    <w:rsid w:val="5CB45440"/>
    <w:rsid w:val="5CE3EDE5"/>
    <w:rsid w:val="5E042493"/>
    <w:rsid w:val="5F589BA0"/>
    <w:rsid w:val="62E134EF"/>
    <w:rsid w:val="630B791F"/>
    <w:rsid w:val="63B8BC11"/>
    <w:rsid w:val="65110EE5"/>
    <w:rsid w:val="66A52AE5"/>
    <w:rsid w:val="66A777D9"/>
    <w:rsid w:val="6CCC3C0F"/>
    <w:rsid w:val="6D0842B9"/>
    <w:rsid w:val="7072E73D"/>
    <w:rsid w:val="724280AB"/>
    <w:rsid w:val="7326DEC9"/>
    <w:rsid w:val="74EE1BCA"/>
    <w:rsid w:val="75A29BA1"/>
    <w:rsid w:val="75BB47D7"/>
    <w:rsid w:val="7C3C4168"/>
    <w:rsid w:val="7C7C7A75"/>
    <w:rsid w:val="7DE1D8C0"/>
    <w:rsid w:val="7E84E735"/>
    <w:rsid w:val="7FADA8F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9730C4"/>
  <w15:chartTrackingRefBased/>
  <w15:docId w15:val="{A0345F9C-DE9C-45EE-802A-EE7921356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lang w:val="es-E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023E"/>
    <w:pPr>
      <w:jc w:val="both"/>
    </w:pPr>
    <w:rPr>
      <w:sz w:val="16"/>
      <w:szCs w:val="16"/>
      <w:lang w:val="es-CO" w:eastAsia="es-ES_tradnl"/>
    </w:rPr>
  </w:style>
  <w:style w:type="paragraph" w:styleId="Ttulo1">
    <w:name w:val="heading 1"/>
    <w:basedOn w:val="Normal"/>
    <w:next w:val="Normal"/>
    <w:link w:val="Ttulo1Car"/>
    <w:uiPriority w:val="9"/>
    <w:qFormat/>
    <w:rsid w:val="00FF190B"/>
    <w:pPr>
      <w:keepNext/>
      <w:numPr>
        <w:numId w:val="5"/>
      </w:numPr>
      <w:spacing w:before="480" w:after="480" w:line="276" w:lineRule="auto"/>
      <w:ind w:left="714" w:hanging="357"/>
      <w:jc w:val="center"/>
      <w:outlineLvl w:val="0"/>
    </w:pPr>
    <w:rPr>
      <w:rFonts w:eastAsia="Times New Roman" w:cs="Times New Roman"/>
      <w:b/>
      <w:bCs/>
      <w:caps/>
      <w:kern w:val="32"/>
      <w:sz w:val="24"/>
      <w:szCs w:val="32"/>
    </w:rPr>
  </w:style>
  <w:style w:type="paragraph" w:styleId="Ttulo2">
    <w:name w:val="heading 2"/>
    <w:basedOn w:val="Normal"/>
    <w:next w:val="Normal"/>
    <w:link w:val="Ttulo2Car"/>
    <w:uiPriority w:val="9"/>
    <w:unhideWhenUsed/>
    <w:qFormat/>
    <w:rsid w:val="007D4A96"/>
    <w:pPr>
      <w:keepNext/>
      <w:numPr>
        <w:numId w:val="6"/>
      </w:numPr>
      <w:spacing w:before="360" w:after="180"/>
      <w:ind w:left="360"/>
      <w:jc w:val="left"/>
      <w:outlineLvl w:val="1"/>
    </w:pPr>
    <w:rPr>
      <w:rFonts w:eastAsia="Times New Roman" w:cs="Times New Roman"/>
      <w:b/>
      <w:bCs/>
      <w:iCs/>
      <w:sz w:val="24"/>
      <w:szCs w:val="28"/>
    </w:rPr>
  </w:style>
  <w:style w:type="paragraph" w:styleId="Ttulo3">
    <w:name w:val="heading 3"/>
    <w:basedOn w:val="Ttulo1"/>
    <w:next w:val="Normal"/>
    <w:link w:val="Ttulo3Car"/>
    <w:uiPriority w:val="9"/>
    <w:unhideWhenUsed/>
    <w:qFormat/>
    <w:rsid w:val="00E87355"/>
    <w:pPr>
      <w:numPr>
        <w:numId w:val="0"/>
      </w:numPr>
      <w:spacing w:before="240" w:after="240"/>
      <w:outlineLvl w:val="2"/>
    </w:pPr>
    <w:rPr>
      <w:b w:val="0"/>
      <w:bCs w:val="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7091"/>
    <w:pPr>
      <w:tabs>
        <w:tab w:val="center" w:pos="4252"/>
        <w:tab w:val="right" w:pos="8504"/>
      </w:tabs>
    </w:pPr>
  </w:style>
  <w:style w:type="character" w:customStyle="1" w:styleId="EncabezadoCar">
    <w:name w:val="Encabezado Car"/>
    <w:link w:val="Encabezado"/>
    <w:uiPriority w:val="99"/>
    <w:rsid w:val="00117091"/>
    <w:rPr>
      <w:sz w:val="18"/>
      <w:szCs w:val="24"/>
      <w:lang w:eastAsia="en-US"/>
    </w:rPr>
  </w:style>
  <w:style w:type="paragraph" w:styleId="Piedepgina">
    <w:name w:val="footer"/>
    <w:basedOn w:val="Normal"/>
    <w:link w:val="PiedepginaCar"/>
    <w:uiPriority w:val="99"/>
    <w:unhideWhenUsed/>
    <w:rsid w:val="00117091"/>
    <w:pPr>
      <w:tabs>
        <w:tab w:val="center" w:pos="4252"/>
        <w:tab w:val="right" w:pos="8504"/>
      </w:tabs>
    </w:pPr>
  </w:style>
  <w:style w:type="character" w:customStyle="1" w:styleId="PiedepginaCar">
    <w:name w:val="Pie de página Car"/>
    <w:link w:val="Piedepgina"/>
    <w:uiPriority w:val="99"/>
    <w:rsid w:val="00117091"/>
    <w:rPr>
      <w:sz w:val="18"/>
      <w:szCs w:val="24"/>
      <w:lang w:eastAsia="en-US"/>
    </w:rPr>
  </w:style>
  <w:style w:type="character" w:styleId="Hipervnculo">
    <w:name w:val="Hyperlink"/>
    <w:uiPriority w:val="99"/>
    <w:unhideWhenUsed/>
    <w:rsid w:val="00117091"/>
    <w:rPr>
      <w:color w:val="0563C1"/>
      <w:u w:val="single"/>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TextonotapieCar"/>
    <w:autoRedefine/>
    <w:uiPriority w:val="99"/>
    <w:unhideWhenUsed/>
    <w:qFormat/>
    <w:rsid w:val="008C29F3"/>
    <w:rPr>
      <w:bCs/>
      <w:iCs/>
      <w:sz w:val="18"/>
      <w:szCs w:val="18"/>
    </w:rPr>
  </w:style>
  <w:style w:type="character" w:customStyle="1" w:styleId="TextonotapieCar">
    <w:name w:val="Texto nota pie Car"/>
    <w:aliases w:val="Footnote Text Char Char Char Char Char Car1,Footnote Text Char Char Char Char Car1,Footnote reference Car1,FA Fu Car1,Footnote Text Char Char Char Car1,Footnote Text Char Car1,Footnote Text Char Char Char Char Char Char Char Char Car1"/>
    <w:link w:val="Textonotapie"/>
    <w:uiPriority w:val="99"/>
    <w:qFormat/>
    <w:rsid w:val="008C29F3"/>
    <w:rPr>
      <w:bCs/>
      <w:iCs/>
      <w:sz w:val="18"/>
      <w:szCs w:val="18"/>
      <w:lang w:val="es-CO" w:eastAsia="es-ES_tradnl"/>
    </w:rPr>
  </w:style>
  <w:style w:type="character" w:styleId="Refdenotaalpie">
    <w:name w:val="footnote reference"/>
    <w:aliases w:val="Texto de nota al pie,referencia nota al pie,Ref. de nota al pie 2,Footnotes refss,Appel note de bas de page,Pie de Página,FC,f,Texto de nota al pi,Footnote number,BVI fnr,4_G,16 Point,Superscript 6 Point,Texto nota al pie,Nota de pie"/>
    <w:link w:val="4GChar"/>
    <w:uiPriority w:val="99"/>
    <w:unhideWhenUsed/>
    <w:qFormat/>
    <w:rsid w:val="008C0DBE"/>
    <w:rPr>
      <w:vertAlign w:val="superscript"/>
    </w:rPr>
  </w:style>
  <w:style w:type="character" w:customStyle="1" w:styleId="TextonotapieCar1">
    <w:name w:val="Texto nota pie Car1"/>
    <w:aliases w:val="Footnote Text Char Char Char Char Char Car,Footnote Text Char Char Char Char Car,Footnote reference Car,FA Fu Car,Footnote Text Char Char Char Car,Footnote Text Char Car,Footnote Text Char Char Char Char Char Char Char Char Car"/>
    <w:qFormat/>
    <w:locked/>
    <w:rsid w:val="000C5DB7"/>
    <w:rPr>
      <w:rFonts w:ascii="Times New Roman" w:eastAsia="Times New Roman" w:hAnsi="Times New Roman"/>
      <w:b/>
      <w:bCs/>
      <w:sz w:val="24"/>
      <w:szCs w:val="24"/>
      <w:lang w:val="es-ES_tradnl"/>
    </w:rPr>
  </w:style>
  <w:style w:type="paragraph" w:customStyle="1" w:styleId="Textoindependiente21">
    <w:name w:val="Texto independiente 21"/>
    <w:basedOn w:val="Normal"/>
    <w:uiPriority w:val="99"/>
    <w:qFormat/>
    <w:rsid w:val="000C5DB7"/>
    <w:pPr>
      <w:overflowPunct w:val="0"/>
      <w:autoSpaceDE w:val="0"/>
      <w:autoSpaceDN w:val="0"/>
      <w:adjustRightInd w:val="0"/>
      <w:spacing w:after="120"/>
      <w:ind w:left="283"/>
      <w:jc w:val="left"/>
    </w:pPr>
    <w:rPr>
      <w:rFonts w:eastAsia="Times New Roman" w:cs="Times New Roman"/>
      <w:szCs w:val="20"/>
      <w:lang w:val="es-ES_tradnl"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0C5DB7"/>
    <w:rPr>
      <w:rFonts w:ascii="Palatino Linotype" w:hAnsi="Palatino Linotype"/>
      <w:sz w:val="20"/>
      <w:szCs w:val="20"/>
      <w:vertAlign w:val="superscript"/>
    </w:rPr>
  </w:style>
  <w:style w:type="character" w:customStyle="1" w:styleId="Ttulo1Car">
    <w:name w:val="Título 1 Car"/>
    <w:link w:val="Ttulo1"/>
    <w:uiPriority w:val="9"/>
    <w:rsid w:val="00FF190B"/>
    <w:rPr>
      <w:rFonts w:eastAsia="Times New Roman" w:cs="Times New Roman"/>
      <w:b/>
      <w:bCs/>
      <w:caps/>
      <w:kern w:val="32"/>
      <w:sz w:val="24"/>
      <w:szCs w:val="32"/>
    </w:rPr>
  </w:style>
  <w:style w:type="character" w:customStyle="1" w:styleId="Ttulo2Car">
    <w:name w:val="Título 2 Car"/>
    <w:link w:val="Ttulo2"/>
    <w:uiPriority w:val="9"/>
    <w:rsid w:val="007D4A96"/>
    <w:rPr>
      <w:rFonts w:eastAsia="Times New Roman" w:cs="Times New Roman"/>
      <w:b/>
      <w:bCs/>
      <w:iCs/>
      <w:sz w:val="24"/>
      <w:szCs w:val="28"/>
      <w:lang w:val="es-CO" w:eastAsia="es-ES_tradnl"/>
    </w:rPr>
  </w:style>
  <w:style w:type="paragraph" w:styleId="Sinespaciado">
    <w:name w:val="No Spacing"/>
    <w:aliases w:val="Encabezado1"/>
    <w:link w:val="SinespaciadoCar"/>
    <w:autoRedefine/>
    <w:uiPriority w:val="1"/>
    <w:qFormat/>
    <w:rsid w:val="000728E0"/>
    <w:pPr>
      <w:jc w:val="center"/>
    </w:pPr>
    <w:rPr>
      <w:b/>
      <w:caps/>
      <w:color w:val="000000"/>
      <w:sz w:val="24"/>
      <w:szCs w:val="16"/>
      <w:lang w:val="es-CO" w:eastAsia="es-ES_tradnl"/>
    </w:rPr>
  </w:style>
  <w:style w:type="character" w:customStyle="1" w:styleId="SinespaciadoCar">
    <w:name w:val="Sin espaciado Car"/>
    <w:aliases w:val="Encabezado1 Car"/>
    <w:link w:val="Sinespaciado"/>
    <w:uiPriority w:val="1"/>
    <w:rsid w:val="000728E0"/>
    <w:rPr>
      <w:b/>
      <w:caps/>
      <w:color w:val="000000"/>
      <w:sz w:val="24"/>
      <w:szCs w:val="16"/>
    </w:rPr>
  </w:style>
  <w:style w:type="paragraph" w:styleId="Cita">
    <w:name w:val="Quote"/>
    <w:basedOn w:val="Normal"/>
    <w:next w:val="Normal"/>
    <w:link w:val="CitaCar"/>
    <w:autoRedefine/>
    <w:uiPriority w:val="29"/>
    <w:qFormat/>
    <w:rsid w:val="00083B8F"/>
    <w:pPr>
      <w:ind w:left="862" w:right="862"/>
      <w:jc w:val="left"/>
    </w:pPr>
    <w:rPr>
      <w:i/>
      <w:iCs/>
      <w:color w:val="404040"/>
    </w:rPr>
  </w:style>
  <w:style w:type="character" w:customStyle="1" w:styleId="CitaCar">
    <w:name w:val="Cita Car"/>
    <w:link w:val="Cita"/>
    <w:uiPriority w:val="29"/>
    <w:rsid w:val="00083B8F"/>
    <w:rPr>
      <w:i/>
      <w:iCs/>
      <w:color w:val="404040"/>
      <w:sz w:val="16"/>
      <w:szCs w:val="16"/>
    </w:rPr>
  </w:style>
  <w:style w:type="character" w:customStyle="1" w:styleId="Ttulo3Car">
    <w:name w:val="Título 3 Car"/>
    <w:link w:val="Ttulo3"/>
    <w:uiPriority w:val="9"/>
    <w:rsid w:val="00E87355"/>
    <w:rPr>
      <w:rFonts w:eastAsia="Times New Roman" w:cs="Times New Roman"/>
      <w:caps/>
      <w:kern w:val="32"/>
      <w:sz w:val="24"/>
      <w:szCs w:val="26"/>
    </w:rPr>
  </w:style>
  <w:style w:type="paragraph" w:customStyle="1" w:styleId="RESUELVE">
    <w:name w:val="RESUELVE"/>
    <w:basedOn w:val="Ttulo3"/>
    <w:autoRedefine/>
    <w:qFormat/>
    <w:rsid w:val="00E87355"/>
    <w:pPr>
      <w:spacing w:before="360" w:after="360"/>
    </w:pPr>
    <w:rPr>
      <w:rFonts w:eastAsia="Verdana"/>
      <w:b/>
      <w:lang w:val="es-ES_tradnl"/>
    </w:rPr>
  </w:style>
  <w:style w:type="character" w:styleId="Refdecomentario">
    <w:name w:val="annotation reference"/>
    <w:uiPriority w:val="99"/>
    <w:semiHidden/>
    <w:unhideWhenUsed/>
    <w:rsid w:val="006146CC"/>
    <w:rPr>
      <w:sz w:val="16"/>
      <w:szCs w:val="16"/>
    </w:rPr>
  </w:style>
  <w:style w:type="paragraph" w:styleId="Textocomentario">
    <w:name w:val="annotation text"/>
    <w:basedOn w:val="Normal"/>
    <w:link w:val="TextocomentarioCar"/>
    <w:uiPriority w:val="99"/>
    <w:semiHidden/>
    <w:unhideWhenUsed/>
    <w:rsid w:val="006146CC"/>
    <w:pPr>
      <w:spacing w:after="160" w:line="259" w:lineRule="auto"/>
      <w:jc w:val="left"/>
    </w:pPr>
    <w:rPr>
      <w:rFonts w:ascii="Calibri" w:hAnsi="Calibri" w:cs="Times New Roman"/>
      <w:sz w:val="20"/>
      <w:szCs w:val="20"/>
      <w:lang w:val="es-ES" w:eastAsia="en-US"/>
    </w:rPr>
  </w:style>
  <w:style w:type="character" w:customStyle="1" w:styleId="TextocomentarioCar">
    <w:name w:val="Texto comentario Car"/>
    <w:link w:val="Textocomentario"/>
    <w:uiPriority w:val="99"/>
    <w:semiHidden/>
    <w:rsid w:val="006146CC"/>
    <w:rPr>
      <w:rFonts w:ascii="Calibri" w:hAnsi="Calibri" w:cs="Times New Roman"/>
      <w:lang w:val="es-ES" w:eastAsia="en-US"/>
    </w:rPr>
  </w:style>
  <w:style w:type="paragraph" w:styleId="Textodeglobo">
    <w:name w:val="Balloon Text"/>
    <w:basedOn w:val="Normal"/>
    <w:link w:val="TextodegloboCar"/>
    <w:uiPriority w:val="99"/>
    <w:semiHidden/>
    <w:unhideWhenUsed/>
    <w:rsid w:val="006146CC"/>
    <w:rPr>
      <w:rFonts w:ascii="Segoe UI" w:hAnsi="Segoe UI" w:cs="Segoe UI"/>
      <w:sz w:val="18"/>
      <w:szCs w:val="18"/>
    </w:rPr>
  </w:style>
  <w:style w:type="character" w:customStyle="1" w:styleId="TextodegloboCar">
    <w:name w:val="Texto de globo Car"/>
    <w:link w:val="Textodeglobo"/>
    <w:uiPriority w:val="99"/>
    <w:semiHidden/>
    <w:rsid w:val="006146CC"/>
    <w:rPr>
      <w:rFonts w:ascii="Segoe UI" w:hAnsi="Segoe UI" w:cs="Segoe UI"/>
      <w:sz w:val="18"/>
      <w:szCs w:val="18"/>
      <w:lang w:eastAsia="es-ES_tradnl"/>
    </w:rPr>
  </w:style>
  <w:style w:type="paragraph" w:styleId="Prrafodelista">
    <w:name w:val="List Paragraph"/>
    <w:basedOn w:val="Normal"/>
    <w:link w:val="PrrafodelistaCar"/>
    <w:uiPriority w:val="34"/>
    <w:qFormat/>
    <w:rsid w:val="007706B2"/>
    <w:pPr>
      <w:ind w:left="720"/>
      <w:contextualSpacing/>
      <w:jc w:val="left"/>
    </w:pPr>
    <w:rPr>
      <w:rFonts w:ascii="Times New Roman" w:eastAsiaTheme="minorHAnsi" w:hAnsi="Times New Roman" w:cs="Times New Roman"/>
      <w:sz w:val="24"/>
      <w:szCs w:val="24"/>
      <w:lang w:val="es-ES_tradnl"/>
    </w:rPr>
  </w:style>
  <w:style w:type="character" w:customStyle="1" w:styleId="PrrafodelistaCar">
    <w:name w:val="Párrafo de lista Car"/>
    <w:link w:val="Prrafodelista"/>
    <w:uiPriority w:val="34"/>
    <w:qFormat/>
    <w:locked/>
    <w:rsid w:val="007706B2"/>
    <w:rPr>
      <w:rFonts w:ascii="Times New Roman" w:eastAsiaTheme="minorHAnsi" w:hAnsi="Times New Roman" w:cs="Times New Roman"/>
      <w:sz w:val="24"/>
      <w:szCs w:val="24"/>
      <w:lang w:val="es-ES_tradnl" w:eastAsia="es-ES_tradnl"/>
    </w:rPr>
  </w:style>
  <w:style w:type="paragraph" w:styleId="Textoindependiente">
    <w:name w:val="Body Text"/>
    <w:basedOn w:val="Normal"/>
    <w:link w:val="TextoindependienteCar"/>
    <w:uiPriority w:val="99"/>
    <w:semiHidden/>
    <w:unhideWhenUsed/>
    <w:rsid w:val="008D6969"/>
    <w:pPr>
      <w:spacing w:after="120"/>
    </w:pPr>
  </w:style>
  <w:style w:type="character" w:customStyle="1" w:styleId="TextoindependienteCar">
    <w:name w:val="Texto independiente Car"/>
    <w:basedOn w:val="Fuentedeprrafopredeter"/>
    <w:link w:val="Textoindependiente"/>
    <w:uiPriority w:val="99"/>
    <w:semiHidden/>
    <w:rsid w:val="008D6969"/>
    <w:rPr>
      <w:sz w:val="16"/>
      <w:szCs w:val="16"/>
      <w:lang w:val="es-CO" w:eastAsia="es-ES_tradnl"/>
    </w:rPr>
  </w:style>
  <w:style w:type="paragraph" w:customStyle="1" w:styleId="Cuadrculamedia21">
    <w:name w:val="Cuadrícula media 21"/>
    <w:uiPriority w:val="1"/>
    <w:qFormat/>
    <w:rsid w:val="00817D85"/>
    <w:rPr>
      <w:rFonts w:ascii="Calibri" w:eastAsia="SimSun" w:hAnsi="Calibri" w:cs="Times New Roman"/>
      <w:sz w:val="22"/>
      <w:szCs w:val="22"/>
      <w:lang w:val="es-CO" w:eastAsia="en-US"/>
    </w:rPr>
  </w:style>
  <w:style w:type="paragraph" w:customStyle="1" w:styleId="Textodecuerpo31">
    <w:name w:val="Texto de cuerpo 31"/>
    <w:basedOn w:val="Normal"/>
    <w:rsid w:val="00012249"/>
    <w:pPr>
      <w:tabs>
        <w:tab w:val="left" w:pos="851"/>
      </w:tabs>
      <w:spacing w:line="360" w:lineRule="auto"/>
    </w:pPr>
    <w:rPr>
      <w:rFonts w:eastAsia="Times New Roman" w:cs="Times New Roman"/>
      <w:sz w:val="24"/>
      <w:szCs w:val="20"/>
      <w:lang w:eastAsia="es-ES"/>
    </w:rPr>
  </w:style>
  <w:style w:type="paragraph" w:styleId="Asuntodelcomentario">
    <w:name w:val="annotation subject"/>
    <w:basedOn w:val="Textocomentario"/>
    <w:next w:val="Textocomentario"/>
    <w:link w:val="AsuntodelcomentarioCar"/>
    <w:uiPriority w:val="99"/>
    <w:semiHidden/>
    <w:unhideWhenUsed/>
    <w:rsid w:val="00277551"/>
    <w:pPr>
      <w:spacing w:after="0" w:line="240" w:lineRule="auto"/>
      <w:jc w:val="both"/>
    </w:pPr>
    <w:rPr>
      <w:rFonts w:ascii="Arial" w:hAnsi="Arial" w:cs="Arial"/>
      <w:b/>
      <w:bCs/>
      <w:lang w:val="es-CO" w:eastAsia="es-ES_tradnl"/>
    </w:rPr>
  </w:style>
  <w:style w:type="character" w:customStyle="1" w:styleId="AsuntodelcomentarioCar">
    <w:name w:val="Asunto del comentario Car"/>
    <w:basedOn w:val="TextocomentarioCar"/>
    <w:link w:val="Asuntodelcomentario"/>
    <w:uiPriority w:val="99"/>
    <w:semiHidden/>
    <w:rsid w:val="00277551"/>
    <w:rPr>
      <w:rFonts w:ascii="Calibri" w:hAnsi="Calibri" w:cs="Times New Roman"/>
      <w:b/>
      <w:bCs/>
      <w:lang w:val="es-CO" w:eastAsia="es-ES_tradnl"/>
    </w:rPr>
  </w:style>
  <w:style w:type="paragraph" w:customStyle="1" w:styleId="Default">
    <w:name w:val="Default"/>
    <w:rsid w:val="001341B1"/>
    <w:pPr>
      <w:autoSpaceDE w:val="0"/>
      <w:autoSpaceDN w:val="0"/>
      <w:adjustRightInd w:val="0"/>
    </w:pPr>
    <w:rPr>
      <w:color w:val="000000"/>
      <w:sz w:val="24"/>
      <w:szCs w:val="24"/>
    </w:rPr>
  </w:style>
  <w:style w:type="paragraph" w:customStyle="1" w:styleId="Normal1">
    <w:name w:val="Normal1"/>
    <w:rsid w:val="00CE12D5"/>
    <w:pPr>
      <w:widowControl w:val="0"/>
    </w:pPr>
    <w:rPr>
      <w:rFonts w:ascii="Times New Roman" w:eastAsia="Times New Roman" w:hAnsi="Times New Roman" w:cs="Times New Roman"/>
      <w:color w:val="000000"/>
      <w:sz w:val="28"/>
      <w:szCs w:val="28"/>
      <w:lang w:val="es-C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7663">
      <w:bodyDiv w:val="1"/>
      <w:marLeft w:val="0"/>
      <w:marRight w:val="0"/>
      <w:marTop w:val="0"/>
      <w:marBottom w:val="0"/>
      <w:divBdr>
        <w:top w:val="none" w:sz="0" w:space="0" w:color="auto"/>
        <w:left w:val="none" w:sz="0" w:space="0" w:color="auto"/>
        <w:bottom w:val="none" w:sz="0" w:space="0" w:color="auto"/>
        <w:right w:val="none" w:sz="0" w:space="0" w:color="auto"/>
      </w:divBdr>
    </w:div>
    <w:div w:id="224921793">
      <w:bodyDiv w:val="1"/>
      <w:marLeft w:val="0"/>
      <w:marRight w:val="0"/>
      <w:marTop w:val="0"/>
      <w:marBottom w:val="0"/>
      <w:divBdr>
        <w:top w:val="none" w:sz="0" w:space="0" w:color="auto"/>
        <w:left w:val="none" w:sz="0" w:space="0" w:color="auto"/>
        <w:bottom w:val="none" w:sz="0" w:space="0" w:color="auto"/>
        <w:right w:val="none" w:sz="0" w:space="0" w:color="auto"/>
      </w:divBdr>
    </w:div>
    <w:div w:id="350034305">
      <w:bodyDiv w:val="1"/>
      <w:marLeft w:val="0"/>
      <w:marRight w:val="0"/>
      <w:marTop w:val="0"/>
      <w:marBottom w:val="0"/>
      <w:divBdr>
        <w:top w:val="none" w:sz="0" w:space="0" w:color="auto"/>
        <w:left w:val="none" w:sz="0" w:space="0" w:color="auto"/>
        <w:bottom w:val="none" w:sz="0" w:space="0" w:color="auto"/>
        <w:right w:val="none" w:sz="0" w:space="0" w:color="auto"/>
      </w:divBdr>
    </w:div>
    <w:div w:id="571546166">
      <w:bodyDiv w:val="1"/>
      <w:marLeft w:val="0"/>
      <w:marRight w:val="0"/>
      <w:marTop w:val="0"/>
      <w:marBottom w:val="0"/>
      <w:divBdr>
        <w:top w:val="none" w:sz="0" w:space="0" w:color="auto"/>
        <w:left w:val="none" w:sz="0" w:space="0" w:color="auto"/>
        <w:bottom w:val="none" w:sz="0" w:space="0" w:color="auto"/>
        <w:right w:val="none" w:sz="0" w:space="0" w:color="auto"/>
      </w:divBdr>
    </w:div>
    <w:div w:id="738022550">
      <w:bodyDiv w:val="1"/>
      <w:marLeft w:val="0"/>
      <w:marRight w:val="0"/>
      <w:marTop w:val="0"/>
      <w:marBottom w:val="0"/>
      <w:divBdr>
        <w:top w:val="none" w:sz="0" w:space="0" w:color="auto"/>
        <w:left w:val="none" w:sz="0" w:space="0" w:color="auto"/>
        <w:bottom w:val="none" w:sz="0" w:space="0" w:color="auto"/>
        <w:right w:val="none" w:sz="0" w:space="0" w:color="auto"/>
      </w:divBdr>
    </w:div>
    <w:div w:id="757990917">
      <w:bodyDiv w:val="1"/>
      <w:marLeft w:val="0"/>
      <w:marRight w:val="0"/>
      <w:marTop w:val="0"/>
      <w:marBottom w:val="0"/>
      <w:divBdr>
        <w:top w:val="none" w:sz="0" w:space="0" w:color="auto"/>
        <w:left w:val="none" w:sz="0" w:space="0" w:color="auto"/>
        <w:bottom w:val="none" w:sz="0" w:space="0" w:color="auto"/>
        <w:right w:val="none" w:sz="0" w:space="0" w:color="auto"/>
      </w:divBdr>
    </w:div>
    <w:div w:id="871267557">
      <w:bodyDiv w:val="1"/>
      <w:marLeft w:val="0"/>
      <w:marRight w:val="0"/>
      <w:marTop w:val="0"/>
      <w:marBottom w:val="0"/>
      <w:divBdr>
        <w:top w:val="none" w:sz="0" w:space="0" w:color="auto"/>
        <w:left w:val="none" w:sz="0" w:space="0" w:color="auto"/>
        <w:bottom w:val="none" w:sz="0" w:space="0" w:color="auto"/>
        <w:right w:val="none" w:sz="0" w:space="0" w:color="auto"/>
      </w:divBdr>
    </w:div>
    <w:div w:id="902645731">
      <w:bodyDiv w:val="1"/>
      <w:marLeft w:val="0"/>
      <w:marRight w:val="0"/>
      <w:marTop w:val="0"/>
      <w:marBottom w:val="0"/>
      <w:divBdr>
        <w:top w:val="none" w:sz="0" w:space="0" w:color="auto"/>
        <w:left w:val="none" w:sz="0" w:space="0" w:color="auto"/>
        <w:bottom w:val="none" w:sz="0" w:space="0" w:color="auto"/>
        <w:right w:val="none" w:sz="0" w:space="0" w:color="auto"/>
      </w:divBdr>
    </w:div>
    <w:div w:id="1063408145">
      <w:bodyDiv w:val="1"/>
      <w:marLeft w:val="0"/>
      <w:marRight w:val="0"/>
      <w:marTop w:val="0"/>
      <w:marBottom w:val="0"/>
      <w:divBdr>
        <w:top w:val="none" w:sz="0" w:space="0" w:color="auto"/>
        <w:left w:val="none" w:sz="0" w:space="0" w:color="auto"/>
        <w:bottom w:val="none" w:sz="0" w:space="0" w:color="auto"/>
        <w:right w:val="none" w:sz="0" w:space="0" w:color="auto"/>
      </w:divBdr>
    </w:div>
    <w:div w:id="1082609376">
      <w:bodyDiv w:val="1"/>
      <w:marLeft w:val="0"/>
      <w:marRight w:val="0"/>
      <w:marTop w:val="0"/>
      <w:marBottom w:val="0"/>
      <w:divBdr>
        <w:top w:val="none" w:sz="0" w:space="0" w:color="auto"/>
        <w:left w:val="none" w:sz="0" w:space="0" w:color="auto"/>
        <w:bottom w:val="none" w:sz="0" w:space="0" w:color="auto"/>
        <w:right w:val="none" w:sz="0" w:space="0" w:color="auto"/>
      </w:divBdr>
    </w:div>
    <w:div w:id="1090465529">
      <w:bodyDiv w:val="1"/>
      <w:marLeft w:val="0"/>
      <w:marRight w:val="0"/>
      <w:marTop w:val="0"/>
      <w:marBottom w:val="0"/>
      <w:divBdr>
        <w:top w:val="none" w:sz="0" w:space="0" w:color="auto"/>
        <w:left w:val="none" w:sz="0" w:space="0" w:color="auto"/>
        <w:bottom w:val="none" w:sz="0" w:space="0" w:color="auto"/>
        <w:right w:val="none" w:sz="0" w:space="0" w:color="auto"/>
      </w:divBdr>
    </w:div>
    <w:div w:id="1102458561">
      <w:bodyDiv w:val="1"/>
      <w:marLeft w:val="0"/>
      <w:marRight w:val="0"/>
      <w:marTop w:val="0"/>
      <w:marBottom w:val="0"/>
      <w:divBdr>
        <w:top w:val="none" w:sz="0" w:space="0" w:color="auto"/>
        <w:left w:val="none" w:sz="0" w:space="0" w:color="auto"/>
        <w:bottom w:val="none" w:sz="0" w:space="0" w:color="auto"/>
        <w:right w:val="none" w:sz="0" w:space="0" w:color="auto"/>
      </w:divBdr>
    </w:div>
    <w:div w:id="1493329283">
      <w:bodyDiv w:val="1"/>
      <w:marLeft w:val="0"/>
      <w:marRight w:val="0"/>
      <w:marTop w:val="0"/>
      <w:marBottom w:val="0"/>
      <w:divBdr>
        <w:top w:val="none" w:sz="0" w:space="0" w:color="auto"/>
        <w:left w:val="none" w:sz="0" w:space="0" w:color="auto"/>
        <w:bottom w:val="none" w:sz="0" w:space="0" w:color="auto"/>
        <w:right w:val="none" w:sz="0" w:space="0" w:color="auto"/>
      </w:divBdr>
    </w:div>
    <w:div w:id="1565019691">
      <w:bodyDiv w:val="1"/>
      <w:marLeft w:val="0"/>
      <w:marRight w:val="0"/>
      <w:marTop w:val="0"/>
      <w:marBottom w:val="0"/>
      <w:divBdr>
        <w:top w:val="none" w:sz="0" w:space="0" w:color="auto"/>
        <w:left w:val="none" w:sz="0" w:space="0" w:color="auto"/>
        <w:bottom w:val="none" w:sz="0" w:space="0" w:color="auto"/>
        <w:right w:val="none" w:sz="0" w:space="0" w:color="auto"/>
      </w:divBdr>
      <w:divsChild>
        <w:div w:id="667100348">
          <w:marLeft w:val="0"/>
          <w:marRight w:val="0"/>
          <w:marTop w:val="0"/>
          <w:marBottom w:val="0"/>
          <w:divBdr>
            <w:top w:val="none" w:sz="0" w:space="0" w:color="auto"/>
            <w:left w:val="none" w:sz="0" w:space="0" w:color="auto"/>
            <w:bottom w:val="none" w:sz="0" w:space="0" w:color="auto"/>
            <w:right w:val="none" w:sz="0" w:space="0" w:color="auto"/>
          </w:divBdr>
        </w:div>
      </w:divsChild>
    </w:div>
    <w:div w:id="1582327901">
      <w:bodyDiv w:val="1"/>
      <w:marLeft w:val="0"/>
      <w:marRight w:val="0"/>
      <w:marTop w:val="0"/>
      <w:marBottom w:val="0"/>
      <w:divBdr>
        <w:top w:val="none" w:sz="0" w:space="0" w:color="auto"/>
        <w:left w:val="none" w:sz="0" w:space="0" w:color="auto"/>
        <w:bottom w:val="none" w:sz="0" w:space="0" w:color="auto"/>
        <w:right w:val="none" w:sz="0" w:space="0" w:color="auto"/>
      </w:divBdr>
    </w:div>
    <w:div w:id="1647053737">
      <w:bodyDiv w:val="1"/>
      <w:marLeft w:val="0"/>
      <w:marRight w:val="0"/>
      <w:marTop w:val="0"/>
      <w:marBottom w:val="0"/>
      <w:divBdr>
        <w:top w:val="none" w:sz="0" w:space="0" w:color="auto"/>
        <w:left w:val="none" w:sz="0" w:space="0" w:color="auto"/>
        <w:bottom w:val="none" w:sz="0" w:space="0" w:color="auto"/>
        <w:right w:val="none" w:sz="0" w:space="0" w:color="auto"/>
      </w:divBdr>
    </w:div>
    <w:div w:id="1681152697">
      <w:bodyDiv w:val="1"/>
      <w:marLeft w:val="0"/>
      <w:marRight w:val="0"/>
      <w:marTop w:val="0"/>
      <w:marBottom w:val="0"/>
      <w:divBdr>
        <w:top w:val="none" w:sz="0" w:space="0" w:color="auto"/>
        <w:left w:val="none" w:sz="0" w:space="0" w:color="auto"/>
        <w:bottom w:val="none" w:sz="0" w:space="0" w:color="auto"/>
        <w:right w:val="none" w:sz="0" w:space="0" w:color="auto"/>
      </w:divBdr>
    </w:div>
    <w:div w:id="1847135679">
      <w:bodyDiv w:val="1"/>
      <w:marLeft w:val="0"/>
      <w:marRight w:val="0"/>
      <w:marTop w:val="0"/>
      <w:marBottom w:val="0"/>
      <w:divBdr>
        <w:top w:val="none" w:sz="0" w:space="0" w:color="auto"/>
        <w:left w:val="none" w:sz="0" w:space="0" w:color="auto"/>
        <w:bottom w:val="none" w:sz="0" w:space="0" w:color="auto"/>
        <w:right w:val="none" w:sz="0" w:space="0" w:color="auto"/>
      </w:divBdr>
    </w:div>
    <w:div w:id="1921712764">
      <w:bodyDiv w:val="1"/>
      <w:marLeft w:val="0"/>
      <w:marRight w:val="0"/>
      <w:marTop w:val="0"/>
      <w:marBottom w:val="0"/>
      <w:divBdr>
        <w:top w:val="none" w:sz="0" w:space="0" w:color="auto"/>
        <w:left w:val="none" w:sz="0" w:space="0" w:color="auto"/>
        <w:bottom w:val="none" w:sz="0" w:space="0" w:color="auto"/>
        <w:right w:val="none" w:sz="0" w:space="0" w:color="auto"/>
      </w:divBdr>
    </w:div>
    <w:div w:id="1925339972">
      <w:bodyDiv w:val="1"/>
      <w:marLeft w:val="0"/>
      <w:marRight w:val="0"/>
      <w:marTop w:val="0"/>
      <w:marBottom w:val="0"/>
      <w:divBdr>
        <w:top w:val="none" w:sz="0" w:space="0" w:color="auto"/>
        <w:left w:val="none" w:sz="0" w:space="0" w:color="auto"/>
        <w:bottom w:val="none" w:sz="0" w:space="0" w:color="auto"/>
        <w:right w:val="none" w:sz="0" w:space="0" w:color="auto"/>
      </w:divBdr>
    </w:div>
    <w:div w:id="198288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48037E2CDFE3E48843562D05F00C632" ma:contentTypeVersion="11" ma:contentTypeDescription="Crear nuevo documento." ma:contentTypeScope="" ma:versionID="7cb1bbcf0ae6b7329c1aafb88961cdcd">
  <xsd:schema xmlns:xsd="http://www.w3.org/2001/XMLSchema" xmlns:xs="http://www.w3.org/2001/XMLSchema" xmlns:p="http://schemas.microsoft.com/office/2006/metadata/properties" xmlns:ns2="5a0f1219-a438-4924-b71a-3e41fc7be27a" xmlns:ns3="702ffa33-a583-4c97-92f9-a8023697160b" targetNamespace="http://schemas.microsoft.com/office/2006/metadata/properties" ma:root="true" ma:fieldsID="97ee96b109b54dcdbd0346141a378ed3" ns2:_="" ns3:_="">
    <xsd:import namespace="5a0f1219-a438-4924-b71a-3e41fc7be27a"/>
    <xsd:import namespace="702ffa33-a583-4c97-92f9-a8023697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1219-a438-4924-b71a-3e41fc7b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2ffa33-a583-4c97-92f9-a802369716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59101-F1CC-491B-B026-ED88B1DC28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3C821C2-9F79-43E9-9E75-7E90509094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1219-a438-4924-b71a-3e41fc7be27a"/>
    <ds:schemaRef ds:uri="702ffa33-a583-4c97-92f9-a8023697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96DFCD-62D7-4D54-99ED-51E1D40E2FC5}">
  <ds:schemaRefs>
    <ds:schemaRef ds:uri="http://schemas.microsoft.com/sharepoint/v3/contenttype/forms"/>
  </ds:schemaRefs>
</ds:datastoreItem>
</file>

<file path=customXml/itemProps4.xml><?xml version="1.0" encoding="utf-8"?>
<ds:datastoreItem xmlns:ds="http://schemas.openxmlformats.org/officeDocument/2006/customXml" ds:itemID="{EBDB8D0B-E46B-4F18-B9ED-A519A355B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15</Pages>
  <Words>5756</Words>
  <Characters>31662</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Calle 12 No. 7-65 – Tel: (57-1) 350-6700 – Bogotá D.C. – Colombiawww.consejodeestado.gov.co</dc:creator>
  <cp:keywords/>
  <dc:description/>
  <cp:lastModifiedBy>Windows User</cp:lastModifiedBy>
  <cp:revision>13</cp:revision>
  <cp:lastPrinted>2020-10-28T23:04:00Z</cp:lastPrinted>
  <dcterms:created xsi:type="dcterms:W3CDTF">2021-02-08T16:12:00Z</dcterms:created>
  <dcterms:modified xsi:type="dcterms:W3CDTF">2021-02-26T16:58:00Z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0x010100C48037E2CDFE3E48843562D05F00C632</vt:lpwstr>
  </property>
</Properties>
</file>