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4A924" w14:textId="77777777" w:rsidR="000C5DB7" w:rsidRPr="00B639BD" w:rsidRDefault="000C5DB7" w:rsidP="0078297C">
      <w:pPr>
        <w:pStyle w:val="Sinespaciado"/>
        <w:rPr>
          <w:szCs w:val="24"/>
        </w:rPr>
      </w:pPr>
      <w:r w:rsidRPr="00B639BD">
        <w:rPr>
          <w:szCs w:val="24"/>
        </w:rPr>
        <w:t>CONSEJERO PONENTE: JAIME ENRIQUE RODRÍGUEZ NAVAS</w:t>
      </w:r>
    </w:p>
    <w:p w14:paraId="50299F1F" w14:textId="77777777" w:rsidR="00F91B32" w:rsidRPr="00B639BD" w:rsidRDefault="00F91B32" w:rsidP="0078297C">
      <w:pPr>
        <w:spacing w:line="276" w:lineRule="auto"/>
        <w:contextualSpacing/>
        <w:rPr>
          <w:b/>
          <w:bCs/>
          <w:sz w:val="24"/>
          <w:szCs w:val="24"/>
        </w:rPr>
      </w:pPr>
    </w:p>
    <w:p w14:paraId="67CA4851" w14:textId="21105BF6" w:rsidR="000C5DB7" w:rsidRPr="00B639BD" w:rsidRDefault="000C5DB7" w:rsidP="0078297C">
      <w:pPr>
        <w:spacing w:line="276" w:lineRule="auto"/>
        <w:contextualSpacing/>
        <w:rPr>
          <w:bCs/>
          <w:sz w:val="24"/>
          <w:szCs w:val="24"/>
        </w:rPr>
      </w:pPr>
      <w:r w:rsidRPr="00B639BD">
        <w:rPr>
          <w:bCs/>
          <w:sz w:val="24"/>
          <w:szCs w:val="24"/>
        </w:rPr>
        <w:t xml:space="preserve">Bogotá D.C., </w:t>
      </w:r>
      <w:r w:rsidR="00870E37" w:rsidRPr="00B639BD">
        <w:rPr>
          <w:bCs/>
          <w:sz w:val="24"/>
          <w:szCs w:val="24"/>
        </w:rPr>
        <w:t>treinta</w:t>
      </w:r>
      <w:r w:rsidR="003F6339" w:rsidRPr="00B639BD">
        <w:rPr>
          <w:bCs/>
          <w:sz w:val="24"/>
          <w:szCs w:val="24"/>
        </w:rPr>
        <w:t xml:space="preserve"> (</w:t>
      </w:r>
      <w:r w:rsidR="00870E37" w:rsidRPr="00B639BD">
        <w:rPr>
          <w:bCs/>
          <w:sz w:val="24"/>
          <w:szCs w:val="24"/>
        </w:rPr>
        <w:t>30</w:t>
      </w:r>
      <w:r w:rsidR="003F6339" w:rsidRPr="00B639BD">
        <w:rPr>
          <w:bCs/>
          <w:sz w:val="24"/>
          <w:szCs w:val="24"/>
        </w:rPr>
        <w:t xml:space="preserve">) de </w:t>
      </w:r>
      <w:r w:rsidR="00870E37" w:rsidRPr="00B639BD">
        <w:rPr>
          <w:bCs/>
          <w:sz w:val="24"/>
          <w:szCs w:val="24"/>
        </w:rPr>
        <w:t>noviem</w:t>
      </w:r>
      <w:r w:rsidR="003F6339" w:rsidRPr="00B639BD">
        <w:rPr>
          <w:bCs/>
          <w:sz w:val="24"/>
          <w:szCs w:val="24"/>
        </w:rPr>
        <w:t xml:space="preserve">bre </w:t>
      </w:r>
      <w:r w:rsidR="007414B9" w:rsidRPr="00B639BD">
        <w:rPr>
          <w:bCs/>
          <w:sz w:val="24"/>
          <w:szCs w:val="24"/>
        </w:rPr>
        <w:t>de</w:t>
      </w:r>
      <w:r w:rsidRPr="00B639BD">
        <w:rPr>
          <w:bCs/>
          <w:sz w:val="24"/>
          <w:szCs w:val="24"/>
        </w:rPr>
        <w:t xml:space="preserve"> dos mil </w:t>
      </w:r>
      <w:r w:rsidR="00C87516" w:rsidRPr="00B639BD">
        <w:rPr>
          <w:bCs/>
          <w:sz w:val="24"/>
          <w:szCs w:val="24"/>
        </w:rPr>
        <w:t>veinte</w:t>
      </w:r>
      <w:r w:rsidRPr="00B639BD">
        <w:rPr>
          <w:bCs/>
          <w:sz w:val="24"/>
          <w:szCs w:val="24"/>
        </w:rPr>
        <w:t xml:space="preserve"> (</w:t>
      </w:r>
      <w:r w:rsidR="00C87516" w:rsidRPr="00B639BD">
        <w:rPr>
          <w:bCs/>
          <w:sz w:val="24"/>
          <w:szCs w:val="24"/>
        </w:rPr>
        <w:t>2020</w:t>
      </w:r>
      <w:r w:rsidRPr="00B639BD">
        <w:rPr>
          <w:bCs/>
          <w:sz w:val="24"/>
          <w:szCs w:val="24"/>
        </w:rPr>
        <w:t>)</w:t>
      </w:r>
    </w:p>
    <w:p w14:paraId="08FDD8A8" w14:textId="77777777" w:rsidR="001A5D58" w:rsidRPr="00B639BD" w:rsidRDefault="001A5D58" w:rsidP="0078297C">
      <w:pPr>
        <w:spacing w:line="276" w:lineRule="auto"/>
        <w:contextualSpacing/>
        <w:rPr>
          <w:b/>
          <w:sz w:val="24"/>
          <w:szCs w:val="24"/>
        </w:rPr>
      </w:pPr>
    </w:p>
    <w:p w14:paraId="3A99314F" w14:textId="77777777" w:rsidR="00062839" w:rsidRPr="00B639BD" w:rsidRDefault="00062839" w:rsidP="0078297C">
      <w:pPr>
        <w:spacing w:line="276" w:lineRule="auto"/>
        <w:ind w:left="1530" w:hanging="1530"/>
        <w:contextualSpacing/>
        <w:rPr>
          <w:b/>
          <w:sz w:val="24"/>
          <w:szCs w:val="24"/>
        </w:rPr>
      </w:pPr>
      <w:r w:rsidRPr="00B639BD">
        <w:rPr>
          <w:b/>
          <w:sz w:val="24"/>
          <w:szCs w:val="24"/>
        </w:rPr>
        <w:t xml:space="preserve">Referencia: </w:t>
      </w:r>
      <w:r w:rsidRPr="00B639BD">
        <w:rPr>
          <w:b/>
          <w:sz w:val="24"/>
          <w:szCs w:val="24"/>
        </w:rPr>
        <w:tab/>
      </w:r>
      <w:r w:rsidRPr="00B639BD">
        <w:rPr>
          <w:sz w:val="24"/>
          <w:szCs w:val="24"/>
        </w:rPr>
        <w:t>Acción de Tutela</w:t>
      </w:r>
    </w:p>
    <w:p w14:paraId="22057FA3" w14:textId="2AB5C35D" w:rsidR="00062839" w:rsidRPr="00B639BD" w:rsidRDefault="00062839" w:rsidP="0078297C">
      <w:pPr>
        <w:spacing w:line="276" w:lineRule="auto"/>
        <w:ind w:left="1530" w:hanging="1530"/>
        <w:contextualSpacing/>
        <w:rPr>
          <w:sz w:val="24"/>
          <w:szCs w:val="24"/>
        </w:rPr>
      </w:pPr>
      <w:r w:rsidRPr="00B639BD">
        <w:rPr>
          <w:b/>
          <w:sz w:val="24"/>
          <w:szCs w:val="24"/>
        </w:rPr>
        <w:t>Radicación:</w:t>
      </w:r>
      <w:r w:rsidRPr="00B639BD">
        <w:rPr>
          <w:b/>
          <w:sz w:val="24"/>
          <w:szCs w:val="24"/>
        </w:rPr>
        <w:tab/>
      </w:r>
      <w:r w:rsidRPr="00B639BD">
        <w:rPr>
          <w:sz w:val="24"/>
          <w:szCs w:val="24"/>
        </w:rPr>
        <w:t>11001-03-15-000-2020-0</w:t>
      </w:r>
      <w:r w:rsidR="00870E37" w:rsidRPr="00B639BD">
        <w:rPr>
          <w:sz w:val="24"/>
          <w:szCs w:val="24"/>
        </w:rPr>
        <w:t>4559</w:t>
      </w:r>
      <w:r w:rsidRPr="00B639BD">
        <w:rPr>
          <w:sz w:val="24"/>
          <w:szCs w:val="24"/>
        </w:rPr>
        <w:t>-00</w:t>
      </w:r>
    </w:p>
    <w:p w14:paraId="47FE652F" w14:textId="718ADE54" w:rsidR="00062839" w:rsidRPr="00B639BD" w:rsidRDefault="00062839" w:rsidP="0078297C">
      <w:pPr>
        <w:spacing w:line="276" w:lineRule="auto"/>
        <w:ind w:left="1530" w:hanging="1530"/>
        <w:contextualSpacing/>
        <w:rPr>
          <w:sz w:val="24"/>
          <w:szCs w:val="24"/>
        </w:rPr>
      </w:pPr>
      <w:r w:rsidRPr="00B639BD">
        <w:rPr>
          <w:b/>
          <w:sz w:val="24"/>
          <w:szCs w:val="24"/>
        </w:rPr>
        <w:t>Accionante:</w:t>
      </w:r>
      <w:r w:rsidRPr="00B639BD">
        <w:rPr>
          <w:b/>
          <w:sz w:val="24"/>
          <w:szCs w:val="24"/>
        </w:rPr>
        <w:tab/>
      </w:r>
      <w:r w:rsidR="00870E37" w:rsidRPr="00B639BD">
        <w:rPr>
          <w:bCs/>
          <w:sz w:val="24"/>
          <w:szCs w:val="24"/>
        </w:rPr>
        <w:t xml:space="preserve">Laura Iliana de María Villota </w:t>
      </w:r>
      <w:proofErr w:type="spellStart"/>
      <w:r w:rsidR="00870E37" w:rsidRPr="00B639BD">
        <w:rPr>
          <w:bCs/>
          <w:sz w:val="24"/>
          <w:szCs w:val="24"/>
        </w:rPr>
        <w:t>Chicaiza</w:t>
      </w:r>
      <w:proofErr w:type="spellEnd"/>
    </w:p>
    <w:p w14:paraId="057C952B" w14:textId="3F374AEC" w:rsidR="00062839" w:rsidRPr="00B639BD" w:rsidRDefault="00062839" w:rsidP="0078297C">
      <w:pPr>
        <w:spacing w:line="276" w:lineRule="auto"/>
        <w:ind w:left="1530" w:right="51" w:hanging="1530"/>
        <w:contextualSpacing/>
        <w:rPr>
          <w:bCs/>
          <w:sz w:val="24"/>
          <w:szCs w:val="24"/>
        </w:rPr>
      </w:pPr>
      <w:r w:rsidRPr="00B639BD">
        <w:rPr>
          <w:b/>
          <w:sz w:val="24"/>
          <w:szCs w:val="24"/>
        </w:rPr>
        <w:t>Accionado:</w:t>
      </w:r>
      <w:r w:rsidRPr="00B639BD">
        <w:rPr>
          <w:b/>
          <w:sz w:val="24"/>
          <w:szCs w:val="24"/>
        </w:rPr>
        <w:tab/>
      </w:r>
      <w:r w:rsidR="00870E37" w:rsidRPr="00B639BD">
        <w:rPr>
          <w:bCs/>
          <w:sz w:val="24"/>
          <w:szCs w:val="24"/>
        </w:rPr>
        <w:t>Consejo Superior de la Judicatura</w:t>
      </w:r>
    </w:p>
    <w:p w14:paraId="56FB1AEA" w14:textId="77777777" w:rsidR="001A5D58" w:rsidRPr="00B639BD" w:rsidRDefault="001A5D58" w:rsidP="0078297C">
      <w:pPr>
        <w:spacing w:line="276" w:lineRule="auto"/>
        <w:ind w:right="51"/>
        <w:contextualSpacing/>
        <w:rPr>
          <w:b/>
          <w:sz w:val="24"/>
          <w:szCs w:val="24"/>
        </w:rPr>
      </w:pPr>
    </w:p>
    <w:p w14:paraId="5502B028" w14:textId="2DBBA438" w:rsidR="000C5DB7" w:rsidRPr="00B639BD" w:rsidRDefault="000C5DB7" w:rsidP="0078297C">
      <w:pPr>
        <w:pBdr>
          <w:bottom w:val="single" w:sz="12" w:space="0" w:color="auto"/>
        </w:pBdr>
        <w:spacing w:line="276" w:lineRule="auto"/>
        <w:ind w:left="2832" w:hanging="2832"/>
        <w:contextualSpacing/>
        <w:rPr>
          <w:b/>
          <w:sz w:val="24"/>
          <w:szCs w:val="24"/>
        </w:rPr>
      </w:pPr>
      <w:r w:rsidRPr="00B639BD">
        <w:rPr>
          <w:b/>
          <w:sz w:val="24"/>
          <w:szCs w:val="24"/>
        </w:rPr>
        <w:t xml:space="preserve">SENTENCIA DE </w:t>
      </w:r>
      <w:r w:rsidR="001A5D58" w:rsidRPr="00B639BD">
        <w:rPr>
          <w:b/>
          <w:sz w:val="24"/>
          <w:szCs w:val="24"/>
        </w:rPr>
        <w:t>PRIMERA</w:t>
      </w:r>
      <w:r w:rsidRPr="00B639BD">
        <w:rPr>
          <w:b/>
          <w:sz w:val="24"/>
          <w:szCs w:val="24"/>
        </w:rPr>
        <w:t xml:space="preserve"> INSTANCIA</w:t>
      </w:r>
    </w:p>
    <w:p w14:paraId="632CC7FE" w14:textId="77777777" w:rsidR="000C5DB7" w:rsidRPr="00B639BD" w:rsidRDefault="000C5DB7" w:rsidP="0078297C">
      <w:pPr>
        <w:spacing w:line="276" w:lineRule="auto"/>
        <w:contextualSpacing/>
        <w:rPr>
          <w:b/>
          <w:sz w:val="24"/>
          <w:szCs w:val="24"/>
        </w:rPr>
      </w:pPr>
    </w:p>
    <w:p w14:paraId="480156D4" w14:textId="5F2CAA03" w:rsidR="0097486A" w:rsidRPr="00B639BD" w:rsidRDefault="000C5DB7" w:rsidP="0078297C">
      <w:pPr>
        <w:spacing w:line="276" w:lineRule="auto"/>
        <w:contextualSpacing/>
        <w:rPr>
          <w:sz w:val="24"/>
          <w:szCs w:val="24"/>
        </w:rPr>
      </w:pPr>
      <w:r w:rsidRPr="00B639BD">
        <w:rPr>
          <w:sz w:val="24"/>
          <w:szCs w:val="24"/>
        </w:rPr>
        <w:t>La Sala decide</w:t>
      </w:r>
      <w:r w:rsidR="0097486A" w:rsidRPr="00B639BD">
        <w:rPr>
          <w:sz w:val="24"/>
          <w:szCs w:val="24"/>
        </w:rPr>
        <w:t xml:space="preserve"> </w:t>
      </w:r>
      <w:r w:rsidR="005717A7" w:rsidRPr="00B639BD">
        <w:rPr>
          <w:sz w:val="24"/>
          <w:szCs w:val="24"/>
        </w:rPr>
        <w:t xml:space="preserve">la </w:t>
      </w:r>
      <w:r w:rsidR="009E4D16" w:rsidRPr="00B639BD">
        <w:rPr>
          <w:sz w:val="24"/>
          <w:szCs w:val="24"/>
        </w:rPr>
        <w:t>solicitud de amparo</w:t>
      </w:r>
      <w:r w:rsidR="005717A7" w:rsidRPr="00B639BD">
        <w:rPr>
          <w:sz w:val="24"/>
          <w:szCs w:val="24"/>
        </w:rPr>
        <w:t xml:space="preserve"> que</w:t>
      </w:r>
      <w:r w:rsidR="00A545B5" w:rsidRPr="00B639BD">
        <w:rPr>
          <w:sz w:val="24"/>
          <w:szCs w:val="24"/>
        </w:rPr>
        <w:t xml:space="preserve"> </w:t>
      </w:r>
      <w:r w:rsidR="005717A7" w:rsidRPr="00B639BD">
        <w:rPr>
          <w:sz w:val="24"/>
          <w:szCs w:val="24"/>
        </w:rPr>
        <w:t>present</w:t>
      </w:r>
      <w:r w:rsidR="00A545B5" w:rsidRPr="00B639BD">
        <w:rPr>
          <w:sz w:val="24"/>
          <w:szCs w:val="24"/>
        </w:rPr>
        <w:t>ó</w:t>
      </w:r>
      <w:r w:rsidR="005717A7" w:rsidRPr="00B639BD">
        <w:rPr>
          <w:sz w:val="24"/>
          <w:szCs w:val="24"/>
        </w:rPr>
        <w:t xml:space="preserve"> </w:t>
      </w:r>
      <w:r w:rsidR="00870E37" w:rsidRPr="00B639BD">
        <w:rPr>
          <w:sz w:val="24"/>
          <w:szCs w:val="24"/>
        </w:rPr>
        <w:t xml:space="preserve">Laura Iliana de María Villota </w:t>
      </w:r>
      <w:proofErr w:type="spellStart"/>
      <w:r w:rsidR="00870E37" w:rsidRPr="00B639BD">
        <w:rPr>
          <w:sz w:val="24"/>
          <w:szCs w:val="24"/>
        </w:rPr>
        <w:t>Chicaiza</w:t>
      </w:r>
      <w:proofErr w:type="spellEnd"/>
      <w:r w:rsidR="00B93639" w:rsidRPr="00B639BD">
        <w:rPr>
          <w:sz w:val="24"/>
          <w:szCs w:val="24"/>
        </w:rPr>
        <w:t xml:space="preserve"> </w:t>
      </w:r>
      <w:r w:rsidR="005717A7" w:rsidRPr="00B639BD">
        <w:rPr>
          <w:sz w:val="24"/>
          <w:szCs w:val="24"/>
        </w:rPr>
        <w:t xml:space="preserve">contra </w:t>
      </w:r>
      <w:r w:rsidR="00870E37" w:rsidRPr="00B639BD">
        <w:rPr>
          <w:sz w:val="24"/>
          <w:szCs w:val="24"/>
        </w:rPr>
        <w:t>el Consejo Superior de la Judicatura</w:t>
      </w:r>
      <w:r w:rsidR="0020077C" w:rsidRPr="00B639BD">
        <w:rPr>
          <w:sz w:val="24"/>
          <w:szCs w:val="24"/>
        </w:rPr>
        <w:t>.</w:t>
      </w:r>
    </w:p>
    <w:p w14:paraId="766CF102" w14:textId="77777777" w:rsidR="00E57BB4" w:rsidRPr="00B639BD" w:rsidRDefault="00E57BB4" w:rsidP="0078297C">
      <w:pPr>
        <w:spacing w:line="276" w:lineRule="auto"/>
        <w:contextualSpacing/>
        <w:rPr>
          <w:sz w:val="24"/>
          <w:szCs w:val="24"/>
        </w:rPr>
      </w:pPr>
    </w:p>
    <w:p w14:paraId="4C66CC71" w14:textId="77777777" w:rsidR="000C5DB7" w:rsidRPr="00B639BD" w:rsidRDefault="000C5DB7" w:rsidP="0078297C">
      <w:pPr>
        <w:pStyle w:val="Ttulo1"/>
        <w:spacing w:before="0" w:after="0"/>
        <w:rPr>
          <w:rFonts w:cs="Arial"/>
          <w:kern w:val="0"/>
          <w:szCs w:val="24"/>
        </w:rPr>
      </w:pPr>
      <w:r w:rsidRPr="00B639BD">
        <w:rPr>
          <w:rFonts w:cs="Arial"/>
          <w:kern w:val="0"/>
          <w:szCs w:val="24"/>
        </w:rPr>
        <w:t>ANTECEDENTES</w:t>
      </w:r>
    </w:p>
    <w:p w14:paraId="1EBDE87D" w14:textId="77777777" w:rsidR="00E57BB4" w:rsidRPr="00B639BD" w:rsidRDefault="00E57BB4" w:rsidP="0078297C">
      <w:pPr>
        <w:pStyle w:val="Ttulo2"/>
        <w:numPr>
          <w:ilvl w:val="0"/>
          <w:numId w:val="0"/>
        </w:numPr>
        <w:spacing w:before="0" w:after="0" w:line="276" w:lineRule="auto"/>
        <w:rPr>
          <w:rFonts w:cs="Arial"/>
          <w:szCs w:val="24"/>
          <w:lang w:eastAsia="es-ES"/>
        </w:rPr>
      </w:pPr>
    </w:p>
    <w:p w14:paraId="768CCA4A" w14:textId="77777777" w:rsidR="00FF190B" w:rsidRPr="00B639BD" w:rsidRDefault="000C5DB7" w:rsidP="0078297C">
      <w:pPr>
        <w:pStyle w:val="Ttulo2"/>
        <w:spacing w:before="0" w:after="0" w:line="276" w:lineRule="auto"/>
        <w:ind w:left="0" w:firstLine="0"/>
        <w:rPr>
          <w:rFonts w:cs="Arial"/>
          <w:szCs w:val="24"/>
          <w:lang w:eastAsia="es-ES"/>
        </w:rPr>
      </w:pPr>
      <w:r w:rsidRPr="00B639BD">
        <w:rPr>
          <w:rFonts w:cs="Arial"/>
          <w:szCs w:val="24"/>
          <w:lang w:eastAsia="es-ES"/>
        </w:rPr>
        <w:t>Solicitud de tutela</w:t>
      </w:r>
    </w:p>
    <w:p w14:paraId="123972A5" w14:textId="77777777" w:rsidR="00FF190B" w:rsidRPr="00B639BD" w:rsidRDefault="00FF190B" w:rsidP="0078297C">
      <w:pPr>
        <w:overflowPunct w:val="0"/>
        <w:autoSpaceDE w:val="0"/>
        <w:autoSpaceDN w:val="0"/>
        <w:adjustRightInd w:val="0"/>
        <w:spacing w:line="276" w:lineRule="auto"/>
        <w:contextualSpacing/>
        <w:textAlignment w:val="baseline"/>
        <w:rPr>
          <w:sz w:val="24"/>
          <w:szCs w:val="24"/>
        </w:rPr>
      </w:pPr>
    </w:p>
    <w:p w14:paraId="3E2B54A1" w14:textId="6B1B7DC3" w:rsidR="00746F77" w:rsidRPr="00B639BD" w:rsidRDefault="00870E37" w:rsidP="0078297C">
      <w:pPr>
        <w:spacing w:line="276" w:lineRule="auto"/>
        <w:contextualSpacing/>
        <w:rPr>
          <w:sz w:val="24"/>
          <w:szCs w:val="24"/>
        </w:rPr>
      </w:pPr>
      <w:r w:rsidRPr="00B639BD">
        <w:rPr>
          <w:sz w:val="24"/>
          <w:szCs w:val="24"/>
        </w:rPr>
        <w:t xml:space="preserve">Laura Iliana de María Villota </w:t>
      </w:r>
      <w:proofErr w:type="spellStart"/>
      <w:r w:rsidRPr="00B639BD">
        <w:rPr>
          <w:sz w:val="24"/>
          <w:szCs w:val="24"/>
        </w:rPr>
        <w:t>Chicaiza</w:t>
      </w:r>
      <w:proofErr w:type="spellEnd"/>
      <w:r w:rsidRPr="00B639BD">
        <w:rPr>
          <w:sz w:val="24"/>
          <w:szCs w:val="24"/>
        </w:rPr>
        <w:t>, en nombre propio, solicitó el amparo</w:t>
      </w:r>
      <w:r w:rsidRPr="00B639BD">
        <w:rPr>
          <w:sz w:val="24"/>
          <w:szCs w:val="24"/>
          <w:vertAlign w:val="superscript"/>
        </w:rPr>
        <w:footnoteReference w:id="2"/>
      </w:r>
      <w:r w:rsidRPr="00B639BD">
        <w:rPr>
          <w:sz w:val="24"/>
          <w:szCs w:val="24"/>
        </w:rPr>
        <w:t xml:space="preserve"> de su derecho fundamental de petición, que consideró vulnerado por el Consejo Superior de la Judicatura, toda vez que esa Corporación no ha contestado a la solicitud que ella radicó electrónicamente el 21 de septiembre de 2020.</w:t>
      </w:r>
    </w:p>
    <w:p w14:paraId="18B48E7D" w14:textId="77777777" w:rsidR="00870E37" w:rsidRPr="00B639BD" w:rsidRDefault="00870E37" w:rsidP="0078297C">
      <w:pPr>
        <w:spacing w:line="276" w:lineRule="auto"/>
        <w:contextualSpacing/>
        <w:rPr>
          <w:rFonts w:eastAsia="Verdana"/>
          <w:sz w:val="24"/>
          <w:szCs w:val="24"/>
        </w:rPr>
      </w:pPr>
    </w:p>
    <w:p w14:paraId="3FAB417C" w14:textId="77777777" w:rsidR="000C5DB7" w:rsidRPr="00B639BD" w:rsidRDefault="000C5DB7" w:rsidP="0078297C">
      <w:pPr>
        <w:numPr>
          <w:ilvl w:val="0"/>
          <w:numId w:val="3"/>
        </w:numPr>
        <w:spacing w:line="276" w:lineRule="auto"/>
        <w:ind w:left="0" w:firstLine="0"/>
        <w:contextualSpacing/>
        <w:rPr>
          <w:rFonts w:eastAsia="Verdana"/>
          <w:b/>
          <w:sz w:val="24"/>
          <w:szCs w:val="24"/>
        </w:rPr>
      </w:pPr>
      <w:r w:rsidRPr="00B639BD">
        <w:rPr>
          <w:rFonts w:eastAsia="Verdana"/>
          <w:b/>
          <w:sz w:val="24"/>
          <w:szCs w:val="24"/>
        </w:rPr>
        <w:t>Hechos</w:t>
      </w:r>
    </w:p>
    <w:p w14:paraId="27FBFA21" w14:textId="4DBFBA75" w:rsidR="00166AF6" w:rsidRPr="00B639BD" w:rsidRDefault="00166AF6" w:rsidP="0078297C">
      <w:pPr>
        <w:spacing w:line="276" w:lineRule="auto"/>
        <w:contextualSpacing/>
        <w:rPr>
          <w:rFonts w:eastAsia="Verdana"/>
          <w:sz w:val="24"/>
          <w:szCs w:val="24"/>
        </w:rPr>
      </w:pPr>
    </w:p>
    <w:p w14:paraId="29660767" w14:textId="73116684" w:rsidR="00CD7409" w:rsidRPr="00B639BD" w:rsidRDefault="00123D71" w:rsidP="0078297C">
      <w:pPr>
        <w:pStyle w:val="Prrafodelista"/>
        <w:spacing w:line="276" w:lineRule="auto"/>
        <w:ind w:left="0"/>
        <w:rPr>
          <w:sz w:val="24"/>
          <w:szCs w:val="24"/>
        </w:rPr>
      </w:pPr>
      <w:r w:rsidRPr="00B639BD">
        <w:rPr>
          <w:sz w:val="24"/>
          <w:szCs w:val="24"/>
        </w:rPr>
        <w:t xml:space="preserve">El 21 de septiembre de 2020, </w:t>
      </w:r>
      <w:r w:rsidR="00D605F4" w:rsidRPr="00B639BD">
        <w:rPr>
          <w:sz w:val="24"/>
          <w:szCs w:val="24"/>
        </w:rPr>
        <w:t>la actora</w:t>
      </w:r>
      <w:r w:rsidRPr="00B639BD">
        <w:rPr>
          <w:sz w:val="24"/>
          <w:szCs w:val="24"/>
        </w:rPr>
        <w:t xml:space="preserve"> radicó, por medio de mensaje electrónico</w:t>
      </w:r>
      <w:r w:rsidRPr="00B639BD">
        <w:rPr>
          <w:rStyle w:val="Refdenotaalpie"/>
          <w:sz w:val="24"/>
          <w:szCs w:val="24"/>
        </w:rPr>
        <w:footnoteReference w:id="3"/>
      </w:r>
      <w:r w:rsidRPr="00B639BD">
        <w:rPr>
          <w:sz w:val="24"/>
          <w:szCs w:val="24"/>
        </w:rPr>
        <w:t xml:space="preserve"> enviado a la cuenta </w:t>
      </w:r>
      <w:r w:rsidRPr="007328B7">
        <w:rPr>
          <w:sz w:val="24"/>
          <w:szCs w:val="24"/>
        </w:rPr>
        <w:t>info@cendoj.ramajudicial.gov.co</w:t>
      </w:r>
      <w:r w:rsidRPr="00B639BD">
        <w:rPr>
          <w:sz w:val="24"/>
          <w:szCs w:val="24"/>
        </w:rPr>
        <w:t>, una solicitud, en ejercicio de su derecho fundamental de petición</w:t>
      </w:r>
      <w:r w:rsidRPr="00B639BD">
        <w:rPr>
          <w:rStyle w:val="Refdenotaalpie"/>
          <w:sz w:val="24"/>
          <w:szCs w:val="24"/>
        </w:rPr>
        <w:footnoteReference w:id="4"/>
      </w:r>
      <w:r w:rsidRPr="00B639BD">
        <w:rPr>
          <w:sz w:val="24"/>
          <w:szCs w:val="24"/>
        </w:rPr>
        <w:t>.</w:t>
      </w:r>
      <w:r w:rsidR="00AF3D86" w:rsidRPr="00B639BD">
        <w:rPr>
          <w:sz w:val="24"/>
          <w:szCs w:val="24"/>
        </w:rPr>
        <w:t xml:space="preserve"> </w:t>
      </w:r>
      <w:r w:rsidR="008B3732" w:rsidRPr="00B639BD">
        <w:rPr>
          <w:sz w:val="24"/>
          <w:szCs w:val="24"/>
        </w:rPr>
        <w:t>Allí</w:t>
      </w:r>
      <w:r w:rsidR="00AF3D86" w:rsidRPr="00B639BD">
        <w:rPr>
          <w:sz w:val="24"/>
          <w:szCs w:val="24"/>
        </w:rPr>
        <w:t xml:space="preserve">, la </w:t>
      </w:r>
      <w:r w:rsidR="00D605F4" w:rsidRPr="00B639BD">
        <w:rPr>
          <w:sz w:val="24"/>
          <w:szCs w:val="24"/>
        </w:rPr>
        <w:t>accionante</w:t>
      </w:r>
      <w:r w:rsidR="00AF3D86" w:rsidRPr="00B639BD">
        <w:rPr>
          <w:sz w:val="24"/>
          <w:szCs w:val="24"/>
        </w:rPr>
        <w:t xml:space="preserve"> pidió al Consejo Superior de la Judicatura que requiera al Juez Sexto Penal Municipal de Conocimiento de Bogotá para que informe qué sucedió con </w:t>
      </w:r>
      <w:r w:rsidR="00793626" w:rsidRPr="00B639BD">
        <w:rPr>
          <w:sz w:val="24"/>
          <w:szCs w:val="24"/>
        </w:rPr>
        <w:t xml:space="preserve">los memoriales </w:t>
      </w:r>
      <w:r w:rsidR="00D605F4" w:rsidRPr="00B639BD">
        <w:rPr>
          <w:sz w:val="24"/>
          <w:szCs w:val="24"/>
        </w:rPr>
        <w:t>que ella presentó</w:t>
      </w:r>
      <w:r w:rsidR="005E43BF" w:rsidRPr="00B639BD">
        <w:rPr>
          <w:rStyle w:val="Refdenotaalpie"/>
          <w:sz w:val="24"/>
          <w:szCs w:val="24"/>
        </w:rPr>
        <w:footnoteReference w:id="5"/>
      </w:r>
      <w:r w:rsidR="00AF3D86" w:rsidRPr="00B639BD">
        <w:rPr>
          <w:sz w:val="24"/>
          <w:szCs w:val="24"/>
        </w:rPr>
        <w:t xml:space="preserve">, </w:t>
      </w:r>
      <w:r w:rsidR="00D605F4" w:rsidRPr="00B639BD">
        <w:rPr>
          <w:sz w:val="24"/>
          <w:szCs w:val="24"/>
        </w:rPr>
        <w:t>dentro del trámite</w:t>
      </w:r>
      <w:r w:rsidR="00AF3D86" w:rsidRPr="00B639BD">
        <w:rPr>
          <w:sz w:val="24"/>
          <w:szCs w:val="24"/>
        </w:rPr>
        <w:t xml:space="preserve"> de la tutela instaur</w:t>
      </w:r>
      <w:r w:rsidR="00D605F4" w:rsidRPr="00B639BD">
        <w:rPr>
          <w:sz w:val="24"/>
          <w:szCs w:val="24"/>
        </w:rPr>
        <w:t>ada</w:t>
      </w:r>
      <w:r w:rsidR="00AF3D86" w:rsidRPr="00B639BD">
        <w:rPr>
          <w:sz w:val="24"/>
          <w:szCs w:val="24"/>
        </w:rPr>
        <w:t xml:space="preserve"> contra el Fondo de Pensiones Protección, </w:t>
      </w:r>
      <w:r w:rsidR="00D605F4" w:rsidRPr="00B639BD">
        <w:rPr>
          <w:sz w:val="24"/>
          <w:szCs w:val="24"/>
        </w:rPr>
        <w:t>objeto de conocimiento por parte de</w:t>
      </w:r>
      <w:r w:rsidR="00AF3D86" w:rsidRPr="00B639BD">
        <w:rPr>
          <w:sz w:val="24"/>
          <w:szCs w:val="24"/>
        </w:rPr>
        <w:t xml:space="preserve"> ese despacho.</w:t>
      </w:r>
      <w:r w:rsidR="00793626" w:rsidRPr="00B639BD">
        <w:rPr>
          <w:sz w:val="24"/>
          <w:szCs w:val="24"/>
        </w:rPr>
        <w:t xml:space="preserve"> </w:t>
      </w:r>
      <w:r w:rsidR="008B3732" w:rsidRPr="00B639BD">
        <w:rPr>
          <w:sz w:val="24"/>
          <w:szCs w:val="24"/>
        </w:rPr>
        <w:t xml:space="preserve">Así mismo, </w:t>
      </w:r>
      <w:r w:rsidR="00D56653" w:rsidRPr="00B639BD">
        <w:rPr>
          <w:sz w:val="24"/>
          <w:szCs w:val="24"/>
        </w:rPr>
        <w:t>requirió que esa Alta Corporación</w:t>
      </w:r>
      <w:r w:rsidR="008B3732" w:rsidRPr="00B639BD">
        <w:rPr>
          <w:sz w:val="24"/>
          <w:szCs w:val="24"/>
        </w:rPr>
        <w:t xml:space="preserve"> le informe </w:t>
      </w:r>
      <w:r w:rsidR="002667C3" w:rsidRPr="00B639BD">
        <w:rPr>
          <w:sz w:val="24"/>
          <w:szCs w:val="24"/>
        </w:rPr>
        <w:t xml:space="preserve">qué </w:t>
      </w:r>
      <w:r w:rsidR="00D605F4" w:rsidRPr="00B639BD">
        <w:rPr>
          <w:sz w:val="24"/>
          <w:szCs w:val="24"/>
        </w:rPr>
        <w:t xml:space="preserve">consecuencias </w:t>
      </w:r>
      <w:r w:rsidR="002667C3" w:rsidRPr="00B639BD">
        <w:rPr>
          <w:sz w:val="24"/>
          <w:szCs w:val="24"/>
        </w:rPr>
        <w:t>prevé la ley</w:t>
      </w:r>
      <w:r w:rsidR="008B3732" w:rsidRPr="00B639BD">
        <w:rPr>
          <w:sz w:val="24"/>
          <w:szCs w:val="24"/>
        </w:rPr>
        <w:t xml:space="preserve"> </w:t>
      </w:r>
      <w:r w:rsidR="00D605F4" w:rsidRPr="00B639BD">
        <w:rPr>
          <w:sz w:val="24"/>
          <w:szCs w:val="24"/>
        </w:rPr>
        <w:t xml:space="preserve">cuando se presentan violaciones </w:t>
      </w:r>
      <w:r w:rsidR="002667C3" w:rsidRPr="00B639BD">
        <w:rPr>
          <w:sz w:val="24"/>
          <w:szCs w:val="24"/>
        </w:rPr>
        <w:t>del debido proceso en situaciones como la que se le está presentando a ella</w:t>
      </w:r>
      <w:r w:rsidR="00D81790" w:rsidRPr="00B639BD">
        <w:rPr>
          <w:sz w:val="24"/>
          <w:szCs w:val="24"/>
        </w:rPr>
        <w:t>.</w:t>
      </w:r>
    </w:p>
    <w:p w14:paraId="62F83F9F" w14:textId="7A20ED20" w:rsidR="0065349D" w:rsidRPr="00B639BD" w:rsidRDefault="000C5DB7" w:rsidP="0078297C">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B639BD">
        <w:rPr>
          <w:rFonts w:eastAsia="Times New Roman"/>
          <w:b/>
          <w:sz w:val="24"/>
          <w:szCs w:val="24"/>
          <w:lang w:eastAsia="es-ES"/>
        </w:rPr>
        <w:lastRenderedPageBreak/>
        <w:t>Pretensiones de tutela</w:t>
      </w:r>
    </w:p>
    <w:p w14:paraId="5C35EA85" w14:textId="77777777" w:rsidR="0065349D" w:rsidRPr="00B639BD" w:rsidRDefault="0065349D" w:rsidP="0078297C">
      <w:pPr>
        <w:overflowPunct w:val="0"/>
        <w:autoSpaceDE w:val="0"/>
        <w:autoSpaceDN w:val="0"/>
        <w:adjustRightInd w:val="0"/>
        <w:spacing w:line="276" w:lineRule="auto"/>
        <w:contextualSpacing/>
        <w:rPr>
          <w:rFonts w:eastAsia="Times New Roman"/>
          <w:b/>
          <w:sz w:val="24"/>
          <w:szCs w:val="24"/>
          <w:lang w:eastAsia="es-ES"/>
        </w:rPr>
      </w:pPr>
    </w:p>
    <w:p w14:paraId="53626092" w14:textId="31503BF2" w:rsidR="002E5558" w:rsidRPr="00B639BD" w:rsidRDefault="00870E37" w:rsidP="0078297C">
      <w:pPr>
        <w:overflowPunct w:val="0"/>
        <w:autoSpaceDE w:val="0"/>
        <w:autoSpaceDN w:val="0"/>
        <w:adjustRightInd w:val="0"/>
        <w:spacing w:line="276" w:lineRule="auto"/>
        <w:contextualSpacing/>
        <w:rPr>
          <w:rFonts w:eastAsia="Times New Roman"/>
          <w:b/>
          <w:sz w:val="24"/>
          <w:szCs w:val="24"/>
          <w:lang w:eastAsia="es-ES"/>
        </w:rPr>
      </w:pPr>
      <w:r w:rsidRPr="00B639BD">
        <w:rPr>
          <w:sz w:val="24"/>
          <w:szCs w:val="24"/>
        </w:rPr>
        <w:t xml:space="preserve">Del escrito de tutela se infiere que la actora pretende que se ordene a la autoridad accionada que dé respuesta de fondo </w:t>
      </w:r>
      <w:r w:rsidR="001C3A72" w:rsidRPr="00B639BD">
        <w:rPr>
          <w:sz w:val="24"/>
          <w:szCs w:val="24"/>
        </w:rPr>
        <w:t>a</w:t>
      </w:r>
      <w:r w:rsidRPr="00B639BD">
        <w:rPr>
          <w:sz w:val="24"/>
          <w:szCs w:val="24"/>
        </w:rPr>
        <w:t xml:space="preserve"> lo pedido por ella.</w:t>
      </w:r>
    </w:p>
    <w:p w14:paraId="2F4F9A5B" w14:textId="77777777" w:rsidR="00552192" w:rsidRPr="00B639BD" w:rsidRDefault="00552192" w:rsidP="0078297C">
      <w:pPr>
        <w:pStyle w:val="Prrafodelista"/>
        <w:overflowPunct w:val="0"/>
        <w:autoSpaceDE w:val="0"/>
        <w:autoSpaceDN w:val="0"/>
        <w:adjustRightInd w:val="0"/>
        <w:spacing w:line="276" w:lineRule="auto"/>
        <w:ind w:left="0"/>
        <w:rPr>
          <w:sz w:val="24"/>
          <w:szCs w:val="24"/>
        </w:rPr>
      </w:pPr>
    </w:p>
    <w:p w14:paraId="1A1C16A6" w14:textId="77777777" w:rsidR="000C5DB7" w:rsidRPr="00B639BD" w:rsidRDefault="000C5DB7" w:rsidP="0078297C">
      <w:pPr>
        <w:numPr>
          <w:ilvl w:val="0"/>
          <w:numId w:val="3"/>
        </w:numPr>
        <w:overflowPunct w:val="0"/>
        <w:autoSpaceDE w:val="0"/>
        <w:autoSpaceDN w:val="0"/>
        <w:adjustRightInd w:val="0"/>
        <w:spacing w:line="276" w:lineRule="auto"/>
        <w:ind w:left="0" w:firstLine="0"/>
        <w:contextualSpacing/>
        <w:rPr>
          <w:sz w:val="24"/>
          <w:szCs w:val="24"/>
        </w:rPr>
      </w:pPr>
      <w:r w:rsidRPr="00B639BD">
        <w:rPr>
          <w:rFonts w:eastAsia="Arial Unicode MS"/>
          <w:b/>
          <w:sz w:val="24"/>
          <w:szCs w:val="24"/>
        </w:rPr>
        <w:t>Argumentos de la solicitud de tutela</w:t>
      </w:r>
    </w:p>
    <w:p w14:paraId="429DA94F" w14:textId="39692AA2" w:rsidR="00166AF6" w:rsidRPr="00B639BD" w:rsidRDefault="00166AF6" w:rsidP="0078297C">
      <w:pPr>
        <w:overflowPunct w:val="0"/>
        <w:autoSpaceDE w:val="0"/>
        <w:autoSpaceDN w:val="0"/>
        <w:adjustRightInd w:val="0"/>
        <w:spacing w:line="276" w:lineRule="auto"/>
        <w:contextualSpacing/>
        <w:rPr>
          <w:sz w:val="24"/>
          <w:szCs w:val="24"/>
        </w:rPr>
      </w:pPr>
    </w:p>
    <w:p w14:paraId="4D1AE410" w14:textId="6BE8F7FA" w:rsidR="00D214EE" w:rsidRPr="00B639BD" w:rsidRDefault="00870E37" w:rsidP="0078297C">
      <w:pPr>
        <w:pStyle w:val="Prrafodelista"/>
        <w:overflowPunct w:val="0"/>
        <w:autoSpaceDE w:val="0"/>
        <w:autoSpaceDN w:val="0"/>
        <w:adjustRightInd w:val="0"/>
        <w:spacing w:line="276" w:lineRule="auto"/>
        <w:ind w:left="0"/>
        <w:rPr>
          <w:sz w:val="24"/>
          <w:szCs w:val="24"/>
        </w:rPr>
      </w:pPr>
      <w:r w:rsidRPr="00B639BD">
        <w:rPr>
          <w:sz w:val="24"/>
          <w:szCs w:val="24"/>
        </w:rPr>
        <w:t xml:space="preserve">En su memorial, la accionante hizo referencia al artículo 23 superior, que </w:t>
      </w:r>
      <w:r w:rsidR="00D76252" w:rsidRPr="00B639BD">
        <w:rPr>
          <w:sz w:val="24"/>
          <w:szCs w:val="24"/>
        </w:rPr>
        <w:t>preceptúa</w:t>
      </w:r>
      <w:r w:rsidRPr="00B639BD">
        <w:rPr>
          <w:sz w:val="24"/>
          <w:szCs w:val="24"/>
        </w:rPr>
        <w:t xml:space="preserve"> el derecho fundamental de petición. Igualmente, aludió al artículo 14 de la Ley 1437 de 2011, según lo modificó el artículo 1</w:t>
      </w:r>
      <w:proofErr w:type="gramStart"/>
      <w:r w:rsidRPr="00B639BD">
        <w:rPr>
          <w:sz w:val="24"/>
          <w:szCs w:val="24"/>
        </w:rPr>
        <w:t>.°</w:t>
      </w:r>
      <w:proofErr w:type="gramEnd"/>
      <w:r w:rsidRPr="00B639BD">
        <w:rPr>
          <w:sz w:val="24"/>
          <w:szCs w:val="24"/>
        </w:rPr>
        <w:t xml:space="preserve"> de la Ley 1755 de 2015, que </w:t>
      </w:r>
      <w:r w:rsidR="00D76252" w:rsidRPr="00B639BD">
        <w:rPr>
          <w:sz w:val="24"/>
          <w:szCs w:val="24"/>
        </w:rPr>
        <w:t>dispone</w:t>
      </w:r>
      <w:r w:rsidRPr="00B639BD">
        <w:rPr>
          <w:sz w:val="24"/>
          <w:szCs w:val="24"/>
        </w:rPr>
        <w:t xml:space="preserve"> el término general con el que cuentan las autoridades para dar respuesta a una solicitud.</w:t>
      </w:r>
    </w:p>
    <w:p w14:paraId="729AA432" w14:textId="77777777" w:rsidR="00870E37" w:rsidRPr="00B639BD" w:rsidRDefault="00870E37" w:rsidP="0078297C">
      <w:pPr>
        <w:pStyle w:val="Prrafodelista"/>
        <w:overflowPunct w:val="0"/>
        <w:autoSpaceDE w:val="0"/>
        <w:autoSpaceDN w:val="0"/>
        <w:adjustRightInd w:val="0"/>
        <w:spacing w:line="276" w:lineRule="auto"/>
        <w:ind w:left="0"/>
        <w:rPr>
          <w:sz w:val="24"/>
          <w:szCs w:val="24"/>
        </w:rPr>
      </w:pPr>
    </w:p>
    <w:p w14:paraId="6E13F4BD" w14:textId="77777777" w:rsidR="000C5DB7" w:rsidRPr="00B639BD" w:rsidRDefault="00E800E8" w:rsidP="0078297C">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B639BD">
        <w:rPr>
          <w:b/>
          <w:sz w:val="24"/>
          <w:szCs w:val="24"/>
        </w:rPr>
        <w:t>Trámite</w:t>
      </w:r>
      <w:r w:rsidR="00166AF6" w:rsidRPr="00B639BD">
        <w:rPr>
          <w:b/>
          <w:sz w:val="24"/>
          <w:szCs w:val="24"/>
        </w:rPr>
        <w:t xml:space="preserve"> de tutela e intervenciones  </w:t>
      </w:r>
    </w:p>
    <w:p w14:paraId="0EA0EF99" w14:textId="77777777" w:rsidR="000C5DB7" w:rsidRPr="00B639BD" w:rsidRDefault="000C5DB7" w:rsidP="0078297C">
      <w:pPr>
        <w:overflowPunct w:val="0"/>
        <w:autoSpaceDE w:val="0"/>
        <w:autoSpaceDN w:val="0"/>
        <w:adjustRightInd w:val="0"/>
        <w:spacing w:line="276" w:lineRule="auto"/>
        <w:contextualSpacing/>
        <w:rPr>
          <w:b/>
          <w:sz w:val="24"/>
          <w:szCs w:val="24"/>
        </w:rPr>
      </w:pPr>
    </w:p>
    <w:p w14:paraId="5FB229BD" w14:textId="173E0D01" w:rsidR="00E57BB4" w:rsidRPr="00B639BD" w:rsidRDefault="00261359" w:rsidP="0078297C">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B639BD">
        <w:rPr>
          <w:rFonts w:eastAsia="Verdana"/>
          <w:sz w:val="24"/>
          <w:szCs w:val="24"/>
        </w:rPr>
        <w:t xml:space="preserve">El despacho sustanciador, mediante auto proferido el </w:t>
      </w:r>
      <w:r w:rsidR="0017431B" w:rsidRPr="00B639BD">
        <w:rPr>
          <w:color w:val="000000"/>
          <w:sz w:val="24"/>
          <w:szCs w:val="24"/>
          <w:lang w:eastAsia="en-US"/>
        </w:rPr>
        <w:t xml:space="preserve">3 </w:t>
      </w:r>
      <w:r w:rsidR="00563912" w:rsidRPr="00B639BD">
        <w:rPr>
          <w:color w:val="000000"/>
          <w:sz w:val="24"/>
          <w:szCs w:val="24"/>
          <w:lang w:eastAsia="en-US"/>
        </w:rPr>
        <w:t xml:space="preserve">de </w:t>
      </w:r>
      <w:r w:rsidR="0017431B" w:rsidRPr="00B639BD">
        <w:rPr>
          <w:color w:val="000000"/>
          <w:sz w:val="24"/>
          <w:szCs w:val="24"/>
          <w:lang w:eastAsia="en-US"/>
        </w:rPr>
        <w:t>nov</w:t>
      </w:r>
      <w:r w:rsidR="0071161E" w:rsidRPr="00B639BD">
        <w:rPr>
          <w:color w:val="000000"/>
          <w:sz w:val="24"/>
          <w:szCs w:val="24"/>
          <w:lang w:eastAsia="en-US"/>
        </w:rPr>
        <w:t>iembre</w:t>
      </w:r>
      <w:r w:rsidR="00563912" w:rsidRPr="00B639BD">
        <w:rPr>
          <w:color w:val="000000"/>
          <w:sz w:val="24"/>
          <w:szCs w:val="24"/>
          <w:lang w:eastAsia="en-US"/>
        </w:rPr>
        <w:t xml:space="preserve"> de </w:t>
      </w:r>
      <w:r w:rsidR="000813DB" w:rsidRPr="00B639BD">
        <w:rPr>
          <w:color w:val="000000"/>
          <w:sz w:val="24"/>
          <w:szCs w:val="24"/>
          <w:lang w:eastAsia="en-US"/>
        </w:rPr>
        <w:t>2020</w:t>
      </w:r>
      <w:r w:rsidR="007046B1" w:rsidRPr="00B639BD">
        <w:rPr>
          <w:rStyle w:val="Refdenotaalpie"/>
          <w:color w:val="000000"/>
          <w:sz w:val="24"/>
          <w:szCs w:val="24"/>
          <w:lang w:eastAsia="en-US"/>
        </w:rPr>
        <w:footnoteReference w:id="6"/>
      </w:r>
      <w:r w:rsidRPr="00B639BD">
        <w:rPr>
          <w:rFonts w:eastAsia="Verdana"/>
          <w:sz w:val="24"/>
          <w:szCs w:val="24"/>
        </w:rPr>
        <w:t xml:space="preserve">, admitió la </w:t>
      </w:r>
      <w:r w:rsidR="00563912" w:rsidRPr="00B639BD">
        <w:rPr>
          <w:rFonts w:eastAsia="Verdana"/>
          <w:sz w:val="24"/>
          <w:szCs w:val="24"/>
        </w:rPr>
        <w:t>solicitud de tutela</w:t>
      </w:r>
      <w:r w:rsidR="00193204" w:rsidRPr="00B639BD">
        <w:rPr>
          <w:rFonts w:eastAsia="Verdana"/>
          <w:sz w:val="24"/>
          <w:szCs w:val="24"/>
        </w:rPr>
        <w:t>.</w:t>
      </w:r>
      <w:r w:rsidR="0017431B" w:rsidRPr="00B639BD">
        <w:rPr>
          <w:rFonts w:eastAsia="Verdana"/>
          <w:sz w:val="24"/>
          <w:szCs w:val="24"/>
        </w:rPr>
        <w:t xml:space="preserve"> Así mismo, ordenó rendir informe sobre los fundamentos de hecho y de derecho consignados en el libelo introductorio</w:t>
      </w:r>
      <w:r w:rsidR="00650DE8" w:rsidRPr="00B639BD">
        <w:rPr>
          <w:rFonts w:eastAsia="Verdana"/>
          <w:sz w:val="24"/>
          <w:szCs w:val="24"/>
        </w:rPr>
        <w:t xml:space="preserve"> del presente proceso.</w:t>
      </w:r>
    </w:p>
    <w:p w14:paraId="2E61D3F5" w14:textId="77777777" w:rsidR="00FA6D2D" w:rsidRPr="00B639BD" w:rsidRDefault="00FA6D2D" w:rsidP="0078297C">
      <w:pPr>
        <w:pStyle w:val="Prrafodelista"/>
        <w:overflowPunct w:val="0"/>
        <w:autoSpaceDE w:val="0"/>
        <w:autoSpaceDN w:val="0"/>
        <w:adjustRightInd w:val="0"/>
        <w:spacing w:line="276" w:lineRule="auto"/>
        <w:ind w:left="0"/>
        <w:rPr>
          <w:rFonts w:eastAsia="Verdana"/>
          <w:sz w:val="24"/>
          <w:szCs w:val="24"/>
        </w:rPr>
      </w:pPr>
    </w:p>
    <w:p w14:paraId="2D5287C7" w14:textId="7C059F23" w:rsidR="00BA6DF5" w:rsidRPr="00B639BD" w:rsidRDefault="004D2B8C" w:rsidP="0078297C">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B639BD">
        <w:rPr>
          <w:rFonts w:eastAsia="Verdana"/>
          <w:sz w:val="24"/>
          <w:szCs w:val="24"/>
        </w:rPr>
        <w:t xml:space="preserve">La </w:t>
      </w:r>
      <w:r w:rsidRPr="00B639BD">
        <w:rPr>
          <w:rFonts w:eastAsia="Verdana"/>
          <w:b/>
          <w:bCs/>
          <w:sz w:val="24"/>
          <w:szCs w:val="24"/>
        </w:rPr>
        <w:t>Dirección Ejecutiva Seccional de Administración Judicial de Bogotá, Cundinamarca y Amazonas</w:t>
      </w:r>
      <w:r w:rsidRPr="00B639BD">
        <w:rPr>
          <w:rFonts w:eastAsia="Verdana"/>
          <w:sz w:val="24"/>
          <w:szCs w:val="24"/>
        </w:rPr>
        <w:t xml:space="preserve"> adujo</w:t>
      </w:r>
      <w:r w:rsidRPr="00B639BD">
        <w:rPr>
          <w:rStyle w:val="Refdenotaalpie"/>
          <w:rFonts w:eastAsia="Verdana"/>
          <w:sz w:val="24"/>
          <w:szCs w:val="24"/>
        </w:rPr>
        <w:footnoteReference w:id="7"/>
      </w:r>
      <w:r w:rsidRPr="00B639BD">
        <w:rPr>
          <w:rFonts w:eastAsia="Verdana"/>
          <w:sz w:val="24"/>
          <w:szCs w:val="24"/>
        </w:rPr>
        <w:t xml:space="preserve"> que no era de su injerencia pronunciarse sobre los elementos fácticos y jurídicos propuestos en la petición de amparo</w:t>
      </w:r>
      <w:r w:rsidR="00F1022F" w:rsidRPr="00B639BD">
        <w:rPr>
          <w:rFonts w:eastAsia="Verdana"/>
          <w:sz w:val="24"/>
          <w:szCs w:val="24"/>
        </w:rPr>
        <w:t>, pues sus funciones son netamente administrativas y pagadoras</w:t>
      </w:r>
      <w:r w:rsidRPr="00B639BD">
        <w:rPr>
          <w:rFonts w:eastAsia="Verdana"/>
          <w:sz w:val="24"/>
          <w:szCs w:val="24"/>
        </w:rPr>
        <w:t xml:space="preserve">. De modo distinto, informó que la dependencia competente para </w:t>
      </w:r>
      <w:r w:rsidR="00F1022F" w:rsidRPr="00B639BD">
        <w:rPr>
          <w:rFonts w:eastAsia="Verdana"/>
          <w:sz w:val="24"/>
          <w:szCs w:val="24"/>
        </w:rPr>
        <w:t>conocer</w:t>
      </w:r>
      <w:r w:rsidRPr="00B639BD">
        <w:rPr>
          <w:rFonts w:eastAsia="Verdana"/>
          <w:sz w:val="24"/>
          <w:szCs w:val="24"/>
        </w:rPr>
        <w:t xml:space="preserve"> el asunto </w:t>
      </w:r>
      <w:r w:rsidR="00F1022F" w:rsidRPr="00B639BD">
        <w:rPr>
          <w:rFonts w:eastAsia="Verdana"/>
          <w:sz w:val="24"/>
          <w:szCs w:val="24"/>
        </w:rPr>
        <w:t>es</w:t>
      </w:r>
      <w:r w:rsidRPr="00B639BD">
        <w:rPr>
          <w:rFonts w:eastAsia="Verdana"/>
          <w:sz w:val="24"/>
          <w:szCs w:val="24"/>
        </w:rPr>
        <w:t xml:space="preserve"> la Sala Jurisdiccional Disciplinaria del Consejo Superior de la Judicatura, </w:t>
      </w:r>
      <w:r w:rsidR="00F1022F" w:rsidRPr="00B639BD">
        <w:rPr>
          <w:rFonts w:eastAsia="Verdana"/>
          <w:sz w:val="24"/>
          <w:szCs w:val="24"/>
        </w:rPr>
        <w:t xml:space="preserve">cuerpo colegiado al que fue remitida </w:t>
      </w:r>
      <w:r w:rsidRPr="00B639BD">
        <w:rPr>
          <w:rFonts w:eastAsia="Verdana"/>
          <w:sz w:val="24"/>
          <w:szCs w:val="24"/>
        </w:rPr>
        <w:t>la solicitud presentada por la accionante</w:t>
      </w:r>
      <w:r w:rsidR="00F1022F" w:rsidRPr="00B639BD">
        <w:rPr>
          <w:rFonts w:eastAsia="Verdana"/>
          <w:sz w:val="24"/>
          <w:szCs w:val="24"/>
        </w:rPr>
        <w:t>. Por lo expuesto, rogó ser desvinculada del presente trámite procesal, por no asistirle legitimación por pasiva.</w:t>
      </w:r>
    </w:p>
    <w:p w14:paraId="795BBE4A" w14:textId="77777777" w:rsidR="004D2B8C" w:rsidRPr="00B639BD" w:rsidRDefault="004D2B8C" w:rsidP="0078297C">
      <w:pPr>
        <w:overflowPunct w:val="0"/>
        <w:autoSpaceDE w:val="0"/>
        <w:autoSpaceDN w:val="0"/>
        <w:adjustRightInd w:val="0"/>
        <w:spacing w:line="276" w:lineRule="auto"/>
        <w:rPr>
          <w:rFonts w:eastAsia="Verdana"/>
          <w:sz w:val="24"/>
          <w:szCs w:val="24"/>
        </w:rPr>
      </w:pPr>
    </w:p>
    <w:p w14:paraId="3DA09BAF" w14:textId="77777777" w:rsidR="00155E78" w:rsidRPr="00B639BD" w:rsidRDefault="000C5DB7" w:rsidP="0078297C">
      <w:pPr>
        <w:pStyle w:val="Ttulo1"/>
        <w:spacing w:before="0" w:after="0"/>
        <w:rPr>
          <w:rFonts w:cs="Arial"/>
          <w:kern w:val="0"/>
          <w:szCs w:val="24"/>
        </w:rPr>
      </w:pPr>
      <w:r w:rsidRPr="00B639BD">
        <w:rPr>
          <w:rFonts w:cs="Arial"/>
          <w:kern w:val="0"/>
          <w:szCs w:val="24"/>
        </w:rPr>
        <w:t>CONSIDERACIONES</w:t>
      </w:r>
    </w:p>
    <w:p w14:paraId="558155F9" w14:textId="77777777" w:rsidR="00E57BB4" w:rsidRPr="00B639BD" w:rsidRDefault="00E57BB4" w:rsidP="0078297C">
      <w:pPr>
        <w:spacing w:line="276" w:lineRule="auto"/>
        <w:rPr>
          <w:sz w:val="24"/>
          <w:szCs w:val="24"/>
        </w:rPr>
      </w:pPr>
    </w:p>
    <w:p w14:paraId="5DCC23A5" w14:textId="77777777" w:rsidR="000C5DB7" w:rsidRPr="00B639BD" w:rsidRDefault="000C5DB7" w:rsidP="0078297C">
      <w:pPr>
        <w:numPr>
          <w:ilvl w:val="0"/>
          <w:numId w:val="1"/>
        </w:numPr>
        <w:spacing w:line="276" w:lineRule="auto"/>
        <w:ind w:left="0" w:firstLine="0"/>
        <w:contextualSpacing/>
        <w:rPr>
          <w:b/>
          <w:sz w:val="24"/>
          <w:szCs w:val="24"/>
        </w:rPr>
      </w:pPr>
      <w:r w:rsidRPr="00B639BD">
        <w:rPr>
          <w:b/>
          <w:sz w:val="24"/>
          <w:szCs w:val="24"/>
        </w:rPr>
        <w:t>Competencia</w:t>
      </w:r>
    </w:p>
    <w:p w14:paraId="1B28E563" w14:textId="2F37B350" w:rsidR="000C7E44" w:rsidRPr="00B639BD" w:rsidRDefault="000C7E44" w:rsidP="0078297C">
      <w:pPr>
        <w:overflowPunct w:val="0"/>
        <w:autoSpaceDE w:val="0"/>
        <w:autoSpaceDN w:val="0"/>
        <w:adjustRightInd w:val="0"/>
        <w:spacing w:line="276" w:lineRule="auto"/>
        <w:contextualSpacing/>
        <w:rPr>
          <w:rFonts w:eastAsia="Times New Roman"/>
          <w:sz w:val="24"/>
          <w:szCs w:val="24"/>
          <w:lang w:eastAsia="es-ES"/>
        </w:rPr>
      </w:pPr>
      <w:bookmarkStart w:id="0" w:name="_Hlk35352023"/>
    </w:p>
    <w:p w14:paraId="3E605A0F" w14:textId="51041964" w:rsidR="00754BBE" w:rsidRPr="00B639BD" w:rsidRDefault="00754BBE" w:rsidP="0078297C">
      <w:pPr>
        <w:overflowPunct w:val="0"/>
        <w:autoSpaceDE w:val="0"/>
        <w:autoSpaceDN w:val="0"/>
        <w:adjustRightInd w:val="0"/>
        <w:spacing w:line="276" w:lineRule="auto"/>
        <w:contextualSpacing/>
        <w:rPr>
          <w:rFonts w:eastAsia="Times New Roman"/>
          <w:sz w:val="24"/>
          <w:szCs w:val="24"/>
          <w:lang w:eastAsia="es-ES"/>
        </w:rPr>
      </w:pPr>
      <w:r w:rsidRPr="00B639BD">
        <w:rPr>
          <w:rFonts w:eastAsia="Times New Roman"/>
          <w:sz w:val="24"/>
          <w:szCs w:val="24"/>
          <w:lang w:eastAsia="es-ES"/>
        </w:rPr>
        <w:t xml:space="preserve">Esta Sala es competente para decidir la presente acción de tutela, en virtud de lo establecido en el artículo 86 </w:t>
      </w:r>
      <w:r w:rsidR="006E1E45" w:rsidRPr="00B639BD">
        <w:rPr>
          <w:rFonts w:eastAsia="Times New Roman"/>
          <w:sz w:val="24"/>
          <w:szCs w:val="24"/>
          <w:lang w:eastAsia="es-ES"/>
        </w:rPr>
        <w:t>Superior</w:t>
      </w:r>
      <w:r w:rsidRPr="00B639BD">
        <w:rPr>
          <w:rFonts w:eastAsia="Times New Roman"/>
          <w:sz w:val="24"/>
          <w:szCs w:val="24"/>
          <w:lang w:eastAsia="es-ES"/>
        </w:rPr>
        <w:t>, el artículo 37 del Decreto 2591 de 1991, el Decreto 1069 de 2015, modificado por el Decreto 1983 de 2017, y el Acuerdo 080 de 12 de marzo de 2019</w:t>
      </w:r>
      <w:r w:rsidR="00430BCE" w:rsidRPr="00B639BD">
        <w:rPr>
          <w:rFonts w:eastAsia="Times New Roman"/>
          <w:sz w:val="24"/>
          <w:szCs w:val="24"/>
          <w:lang w:eastAsia="es-ES"/>
        </w:rPr>
        <w:t>, expedido por la Sala Plena de esta Corporación</w:t>
      </w:r>
      <w:r w:rsidRPr="00B639BD">
        <w:rPr>
          <w:rStyle w:val="Refdenotaalpie"/>
          <w:rFonts w:eastAsia="Times New Roman"/>
          <w:sz w:val="24"/>
          <w:szCs w:val="24"/>
          <w:lang w:eastAsia="es-ES"/>
        </w:rPr>
        <w:footnoteReference w:id="8"/>
      </w:r>
      <w:r w:rsidRPr="00B639BD">
        <w:rPr>
          <w:rFonts w:eastAsia="Times New Roman"/>
          <w:sz w:val="24"/>
          <w:szCs w:val="24"/>
          <w:lang w:eastAsia="es-ES"/>
        </w:rPr>
        <w:t>.</w:t>
      </w:r>
    </w:p>
    <w:bookmarkEnd w:id="0"/>
    <w:p w14:paraId="6186657E" w14:textId="77777777" w:rsidR="00BC1933" w:rsidRPr="00B639BD" w:rsidRDefault="00BC1933" w:rsidP="0078297C">
      <w:pPr>
        <w:spacing w:line="276" w:lineRule="auto"/>
        <w:contextualSpacing/>
        <w:rPr>
          <w:b/>
          <w:sz w:val="24"/>
          <w:szCs w:val="24"/>
        </w:rPr>
      </w:pPr>
    </w:p>
    <w:p w14:paraId="7BF07F57" w14:textId="5C0DFFCF" w:rsidR="00BC1933" w:rsidRPr="00B639BD" w:rsidRDefault="00BC1933" w:rsidP="0078297C">
      <w:pPr>
        <w:pStyle w:val="Prrafodelista"/>
        <w:numPr>
          <w:ilvl w:val="0"/>
          <w:numId w:val="1"/>
        </w:numPr>
        <w:spacing w:line="276" w:lineRule="auto"/>
        <w:ind w:hanging="720"/>
        <w:rPr>
          <w:b/>
          <w:sz w:val="24"/>
          <w:szCs w:val="24"/>
        </w:rPr>
      </w:pPr>
      <w:r w:rsidRPr="00B639BD">
        <w:rPr>
          <w:b/>
          <w:sz w:val="24"/>
          <w:szCs w:val="24"/>
        </w:rPr>
        <w:t>Procedibilidad de la acción</w:t>
      </w:r>
    </w:p>
    <w:p w14:paraId="54523460" w14:textId="77777777" w:rsidR="00BC1933" w:rsidRPr="00B639BD" w:rsidRDefault="00BC1933" w:rsidP="0078297C">
      <w:pPr>
        <w:spacing w:line="276" w:lineRule="auto"/>
        <w:contextualSpacing/>
        <w:rPr>
          <w:sz w:val="24"/>
          <w:szCs w:val="24"/>
        </w:rPr>
      </w:pPr>
    </w:p>
    <w:p w14:paraId="70B025CE" w14:textId="217FBC3F" w:rsidR="00BC1933" w:rsidRPr="00B639BD" w:rsidRDefault="00F64F9A" w:rsidP="0078297C">
      <w:pPr>
        <w:pStyle w:val="Prrafodelista"/>
        <w:numPr>
          <w:ilvl w:val="1"/>
          <w:numId w:val="1"/>
        </w:numPr>
        <w:spacing w:line="276" w:lineRule="auto"/>
        <w:ind w:left="0" w:firstLine="0"/>
        <w:rPr>
          <w:rFonts w:eastAsia="Verdana"/>
          <w:sz w:val="24"/>
          <w:szCs w:val="24"/>
        </w:rPr>
      </w:pPr>
      <w:r w:rsidRPr="00B639BD">
        <w:rPr>
          <w:rFonts w:eastAsia="Verdana"/>
          <w:sz w:val="24"/>
          <w:szCs w:val="24"/>
        </w:rPr>
        <w:t xml:space="preserve">Laura Iliana de María Villota </w:t>
      </w:r>
      <w:proofErr w:type="spellStart"/>
      <w:r w:rsidRPr="00B639BD">
        <w:rPr>
          <w:rFonts w:eastAsia="Verdana"/>
          <w:sz w:val="24"/>
          <w:szCs w:val="24"/>
        </w:rPr>
        <w:t>Chicaiza</w:t>
      </w:r>
      <w:proofErr w:type="spellEnd"/>
      <w:r w:rsidR="00BC1933" w:rsidRPr="00B639BD">
        <w:rPr>
          <w:rFonts w:eastAsia="Verdana"/>
          <w:sz w:val="24"/>
          <w:szCs w:val="24"/>
        </w:rPr>
        <w:t xml:space="preserve"> actúa como </w:t>
      </w:r>
      <w:r w:rsidRPr="00B639BD">
        <w:rPr>
          <w:rFonts w:eastAsia="Verdana"/>
          <w:sz w:val="24"/>
          <w:szCs w:val="24"/>
        </w:rPr>
        <w:t>peticionaria ante el Consejo Superior de la Judicatura</w:t>
      </w:r>
      <w:r w:rsidR="00BC1933" w:rsidRPr="00B639BD">
        <w:rPr>
          <w:rFonts w:eastAsia="Verdana"/>
          <w:sz w:val="24"/>
          <w:szCs w:val="24"/>
        </w:rPr>
        <w:t xml:space="preserve">. </w:t>
      </w:r>
      <w:r w:rsidR="00214673" w:rsidRPr="00B639BD">
        <w:rPr>
          <w:rFonts w:eastAsia="Verdana"/>
          <w:sz w:val="24"/>
          <w:szCs w:val="24"/>
        </w:rPr>
        <w:t xml:space="preserve">Por tanto, es quien sufre directamente los posibles perjuicios causados con ocasión de los hechos relatados en la solicitud de amparo. </w:t>
      </w:r>
      <w:r w:rsidR="00BC1933" w:rsidRPr="00B639BD">
        <w:rPr>
          <w:rFonts w:eastAsia="Verdana"/>
          <w:sz w:val="24"/>
          <w:szCs w:val="24"/>
        </w:rPr>
        <w:t xml:space="preserve">A su vez, </w:t>
      </w:r>
      <w:r w:rsidRPr="00B639BD">
        <w:rPr>
          <w:rFonts w:eastAsia="Verdana"/>
          <w:sz w:val="24"/>
          <w:szCs w:val="24"/>
        </w:rPr>
        <w:t>ese organismo</w:t>
      </w:r>
      <w:r w:rsidR="00214673" w:rsidRPr="00B639BD">
        <w:rPr>
          <w:rFonts w:eastAsia="Verdana"/>
          <w:sz w:val="24"/>
          <w:szCs w:val="24"/>
        </w:rPr>
        <w:t xml:space="preserve"> </w:t>
      </w:r>
      <w:r w:rsidRPr="00B639BD">
        <w:rPr>
          <w:rFonts w:eastAsia="Verdana"/>
          <w:sz w:val="24"/>
          <w:szCs w:val="24"/>
        </w:rPr>
        <w:t>es</w:t>
      </w:r>
      <w:r w:rsidR="00214673" w:rsidRPr="00B639BD">
        <w:rPr>
          <w:rFonts w:eastAsia="Verdana"/>
          <w:sz w:val="24"/>
          <w:szCs w:val="24"/>
        </w:rPr>
        <w:t xml:space="preserve"> la entidad a la que ella dirigi</w:t>
      </w:r>
      <w:r w:rsidRPr="00B639BD">
        <w:rPr>
          <w:rFonts w:eastAsia="Verdana"/>
          <w:sz w:val="24"/>
          <w:szCs w:val="24"/>
        </w:rPr>
        <w:t>ó</w:t>
      </w:r>
      <w:r w:rsidR="00214673" w:rsidRPr="00B639BD">
        <w:rPr>
          <w:rFonts w:eastAsia="Verdana"/>
          <w:sz w:val="24"/>
          <w:szCs w:val="24"/>
        </w:rPr>
        <w:t xml:space="preserve"> su solicitud, presentada en ejercicio </w:t>
      </w:r>
      <w:r w:rsidR="00214673" w:rsidRPr="00B639BD">
        <w:rPr>
          <w:rFonts w:eastAsia="Verdana"/>
          <w:sz w:val="24"/>
          <w:szCs w:val="24"/>
        </w:rPr>
        <w:lastRenderedPageBreak/>
        <w:t>de su derecho fundamental de petición</w:t>
      </w:r>
      <w:r w:rsidR="00BC1933" w:rsidRPr="00B639BD">
        <w:rPr>
          <w:rFonts w:eastAsia="Verdana"/>
          <w:sz w:val="24"/>
          <w:szCs w:val="24"/>
        </w:rPr>
        <w:t xml:space="preserve">. </w:t>
      </w:r>
      <w:r w:rsidR="00214673" w:rsidRPr="00B639BD">
        <w:rPr>
          <w:rFonts w:eastAsia="Verdana"/>
          <w:sz w:val="24"/>
          <w:szCs w:val="24"/>
        </w:rPr>
        <w:t xml:space="preserve">En ese sentido, es la autoridad de quien se predica la presunta vulneración </w:t>
      </w:r>
      <w:r w:rsidR="00DA7839" w:rsidRPr="00B639BD">
        <w:rPr>
          <w:rFonts w:eastAsia="Verdana"/>
          <w:sz w:val="24"/>
          <w:szCs w:val="24"/>
        </w:rPr>
        <w:t>de la citada garantía</w:t>
      </w:r>
      <w:r w:rsidR="00214673" w:rsidRPr="00B639BD">
        <w:rPr>
          <w:rFonts w:eastAsia="Verdana"/>
          <w:sz w:val="24"/>
          <w:szCs w:val="24"/>
        </w:rPr>
        <w:t xml:space="preserve">. </w:t>
      </w:r>
      <w:r w:rsidR="00BC1933" w:rsidRPr="00B639BD">
        <w:rPr>
          <w:rFonts w:eastAsia="Verdana"/>
          <w:sz w:val="24"/>
          <w:szCs w:val="24"/>
        </w:rPr>
        <w:t>Por tanto, la Sala encuentra satisfecho el presupuesto de</w:t>
      </w:r>
      <w:r w:rsidR="00BC1933" w:rsidRPr="00B639BD">
        <w:rPr>
          <w:rFonts w:eastAsia="Verdana"/>
          <w:b/>
          <w:bCs/>
          <w:sz w:val="24"/>
          <w:szCs w:val="24"/>
        </w:rPr>
        <w:t xml:space="preserve"> legitimación</w:t>
      </w:r>
      <w:r w:rsidR="00BC1933" w:rsidRPr="00B639BD">
        <w:rPr>
          <w:rStyle w:val="Refdenotaalpie"/>
          <w:sz w:val="24"/>
          <w:szCs w:val="24"/>
        </w:rPr>
        <w:footnoteReference w:id="9"/>
      </w:r>
      <w:r w:rsidR="00BC1933" w:rsidRPr="00B639BD">
        <w:rPr>
          <w:rFonts w:eastAsia="Verdana"/>
          <w:b/>
          <w:bCs/>
          <w:sz w:val="24"/>
          <w:szCs w:val="24"/>
        </w:rPr>
        <w:t xml:space="preserve"> por activa y por pasiva </w:t>
      </w:r>
      <w:r w:rsidR="00BC1933" w:rsidRPr="00B639BD">
        <w:rPr>
          <w:rFonts w:eastAsia="Verdana"/>
          <w:sz w:val="24"/>
          <w:szCs w:val="24"/>
        </w:rPr>
        <w:t>para esta causa.</w:t>
      </w:r>
    </w:p>
    <w:p w14:paraId="0E4CE4B5" w14:textId="7D2A9C0D" w:rsidR="00BC1933" w:rsidRPr="00B639BD" w:rsidRDefault="00BC1933" w:rsidP="0078297C">
      <w:pPr>
        <w:spacing w:line="276" w:lineRule="auto"/>
        <w:rPr>
          <w:rFonts w:eastAsia="Verdana"/>
          <w:sz w:val="24"/>
          <w:szCs w:val="24"/>
        </w:rPr>
      </w:pPr>
    </w:p>
    <w:p w14:paraId="66B1A5D1" w14:textId="4DDF338D" w:rsidR="00020F1D" w:rsidRPr="00B639BD" w:rsidRDefault="00020F1D" w:rsidP="0078297C">
      <w:pPr>
        <w:spacing w:line="276" w:lineRule="auto"/>
        <w:rPr>
          <w:rFonts w:eastAsia="Verdana"/>
          <w:sz w:val="24"/>
          <w:szCs w:val="24"/>
        </w:rPr>
      </w:pPr>
      <w:r w:rsidRPr="00B639BD">
        <w:rPr>
          <w:rFonts w:eastAsia="Verdana"/>
          <w:sz w:val="24"/>
          <w:szCs w:val="24"/>
        </w:rPr>
        <w:t xml:space="preserve">Debe recordarse que la Dirección Ejecutiva Seccional de Administración Judicial de Bogotá, Cundinamarca y Amazonas solicitó ser desvinculada de este trámite. En su criterio, no le asiste legitimación por pasiva, puesto que no tiene injerencia en los asuntos relatados por la señora Villota en su libelo introductorio. Al respecto, la Sala debe rememorar que, en el auto admisorio de la demanda, se ordenó la notificación correspondiente del Consejo Superior de la Judicatura, en calidad de autoridad accionada. Esa orden fue cumplida por la Secretaría General de esta Corporación mediante los oficios </w:t>
      </w:r>
      <w:proofErr w:type="spellStart"/>
      <w:r w:rsidRPr="00B639BD">
        <w:rPr>
          <w:rFonts w:eastAsia="Verdana"/>
          <w:sz w:val="24"/>
          <w:szCs w:val="24"/>
        </w:rPr>
        <w:t>n.</w:t>
      </w:r>
      <w:r w:rsidRPr="00B639BD">
        <w:rPr>
          <w:rFonts w:eastAsia="Verdana"/>
          <w:sz w:val="24"/>
          <w:szCs w:val="24"/>
          <w:vertAlign w:val="superscript"/>
        </w:rPr>
        <w:t>os</w:t>
      </w:r>
      <w:proofErr w:type="spellEnd"/>
      <w:r w:rsidRPr="00B639BD">
        <w:rPr>
          <w:rFonts w:eastAsia="Verdana"/>
          <w:sz w:val="24"/>
          <w:szCs w:val="24"/>
        </w:rPr>
        <w:t xml:space="preserve"> 81076 y 81097 del 4 de noviembre de 2020</w:t>
      </w:r>
      <w:r w:rsidRPr="00B639BD">
        <w:rPr>
          <w:rStyle w:val="Refdenotaalpie"/>
          <w:rFonts w:eastAsia="Verdana"/>
          <w:sz w:val="24"/>
          <w:szCs w:val="24"/>
        </w:rPr>
        <w:footnoteReference w:id="10"/>
      </w:r>
      <w:r w:rsidRPr="00B639BD">
        <w:rPr>
          <w:rFonts w:eastAsia="Verdana"/>
          <w:sz w:val="24"/>
          <w:szCs w:val="24"/>
        </w:rPr>
        <w:t>. Diferente es que, internamente, el organismo accionado la haya remitido a</w:t>
      </w:r>
      <w:r w:rsidR="00B77EA5" w:rsidRPr="00B639BD">
        <w:rPr>
          <w:rFonts w:eastAsia="Verdana"/>
          <w:sz w:val="24"/>
          <w:szCs w:val="24"/>
        </w:rPr>
        <w:t xml:space="preserve"> </w:t>
      </w:r>
      <w:r w:rsidRPr="00B639BD">
        <w:rPr>
          <w:rFonts w:eastAsia="Verdana"/>
          <w:sz w:val="24"/>
          <w:szCs w:val="24"/>
        </w:rPr>
        <w:t>la citada dependencia.</w:t>
      </w:r>
    </w:p>
    <w:p w14:paraId="06C97660" w14:textId="48F471E9" w:rsidR="00B77EA5" w:rsidRPr="00B639BD" w:rsidRDefault="00B77EA5" w:rsidP="0078297C">
      <w:pPr>
        <w:spacing w:line="276" w:lineRule="auto"/>
        <w:rPr>
          <w:rFonts w:eastAsia="Verdana"/>
          <w:sz w:val="24"/>
          <w:szCs w:val="24"/>
        </w:rPr>
      </w:pPr>
    </w:p>
    <w:p w14:paraId="1618F47F" w14:textId="6BFC95E6" w:rsidR="00B77EA5" w:rsidRPr="00B639BD" w:rsidRDefault="00BD5EFD" w:rsidP="0078297C">
      <w:pPr>
        <w:spacing w:line="276" w:lineRule="auto"/>
        <w:rPr>
          <w:rFonts w:eastAsia="Verdana"/>
          <w:sz w:val="24"/>
          <w:szCs w:val="24"/>
        </w:rPr>
      </w:pPr>
      <w:r w:rsidRPr="00B639BD">
        <w:rPr>
          <w:rFonts w:eastAsia="Verdana"/>
          <w:sz w:val="24"/>
          <w:szCs w:val="24"/>
        </w:rPr>
        <w:t xml:space="preserve">A propósito de lo ocurrido, esta Subsección debe advertir a la citada Dirección Ejecutiva que la actora radicó una solicitud, en ejercicio de su derecho fundamental de petición, ante el Consejo Superior de la Judicatura, entendido como un todo. Así mismo, instauró la acción de tutela bajo solución bajo el mismo parámetro. </w:t>
      </w:r>
      <w:r w:rsidR="006D2D9B" w:rsidRPr="00B639BD">
        <w:rPr>
          <w:rFonts w:eastAsia="Verdana"/>
          <w:sz w:val="24"/>
          <w:szCs w:val="24"/>
        </w:rPr>
        <w:t>A ello se une que</w:t>
      </w:r>
      <w:r w:rsidR="00C439DA" w:rsidRPr="00B639BD">
        <w:rPr>
          <w:rFonts w:eastAsia="Verdana"/>
          <w:sz w:val="24"/>
          <w:szCs w:val="24"/>
        </w:rPr>
        <w:t>,</w:t>
      </w:r>
      <w:r w:rsidRPr="00B639BD">
        <w:rPr>
          <w:rFonts w:eastAsia="Verdana"/>
          <w:sz w:val="24"/>
          <w:szCs w:val="24"/>
        </w:rPr>
        <w:t xml:space="preserve"> si </w:t>
      </w:r>
      <w:r w:rsidR="00552685" w:rsidRPr="00B639BD">
        <w:rPr>
          <w:rFonts w:eastAsia="Verdana"/>
          <w:sz w:val="24"/>
          <w:szCs w:val="24"/>
        </w:rPr>
        <w:t>esa</w:t>
      </w:r>
      <w:r w:rsidRPr="00B639BD">
        <w:rPr>
          <w:rFonts w:eastAsia="Verdana"/>
          <w:sz w:val="24"/>
          <w:szCs w:val="24"/>
        </w:rPr>
        <w:t xml:space="preserve"> autoridad está sujeta a la desconcentración administrativa </w:t>
      </w:r>
      <w:r w:rsidR="00E22010" w:rsidRPr="00B639BD">
        <w:rPr>
          <w:rFonts w:eastAsia="Verdana"/>
          <w:sz w:val="24"/>
          <w:szCs w:val="24"/>
        </w:rPr>
        <w:t xml:space="preserve">y a un organigrama específico, sus despachos y dependencias no se convierten en entidades nuevas, sino que hacen parte de un mismo </w:t>
      </w:r>
      <w:r w:rsidR="007F6EA4" w:rsidRPr="00B639BD">
        <w:rPr>
          <w:rFonts w:eastAsia="Verdana"/>
          <w:sz w:val="24"/>
          <w:szCs w:val="24"/>
        </w:rPr>
        <w:t>organismo del Estado</w:t>
      </w:r>
      <w:r w:rsidR="002E15E2" w:rsidRPr="00B639BD">
        <w:rPr>
          <w:rStyle w:val="Refdenotaalpie"/>
          <w:rFonts w:eastAsia="Verdana"/>
          <w:sz w:val="24"/>
          <w:szCs w:val="24"/>
        </w:rPr>
        <w:footnoteReference w:id="11"/>
      </w:r>
      <w:r w:rsidR="00E22010" w:rsidRPr="00B639BD">
        <w:rPr>
          <w:rFonts w:eastAsia="Verdana"/>
          <w:sz w:val="24"/>
          <w:szCs w:val="24"/>
        </w:rPr>
        <w:t>.</w:t>
      </w:r>
      <w:r w:rsidR="007F6EA4" w:rsidRPr="00B639BD">
        <w:rPr>
          <w:rFonts w:eastAsia="Verdana"/>
          <w:sz w:val="24"/>
          <w:szCs w:val="24"/>
        </w:rPr>
        <w:t xml:space="preserve"> De ese modo, no es posible declarar la falta de legitimación de una Dirección dentro de este trámite</w:t>
      </w:r>
      <w:r w:rsidR="00242169" w:rsidRPr="00B639BD">
        <w:rPr>
          <w:rFonts w:eastAsia="Verdana"/>
          <w:sz w:val="24"/>
          <w:szCs w:val="24"/>
        </w:rPr>
        <w:t>.</w:t>
      </w:r>
    </w:p>
    <w:p w14:paraId="6EC33BC4" w14:textId="77777777" w:rsidR="00020F1D" w:rsidRPr="00B639BD" w:rsidRDefault="00020F1D" w:rsidP="0078297C">
      <w:pPr>
        <w:spacing w:line="276" w:lineRule="auto"/>
        <w:rPr>
          <w:rFonts w:eastAsia="Verdana"/>
          <w:sz w:val="24"/>
          <w:szCs w:val="24"/>
        </w:rPr>
      </w:pPr>
    </w:p>
    <w:p w14:paraId="050C5719" w14:textId="08C2EE5B" w:rsidR="00844FAB" w:rsidRPr="00B639BD" w:rsidRDefault="00844FAB" w:rsidP="0078297C">
      <w:pPr>
        <w:numPr>
          <w:ilvl w:val="1"/>
          <w:numId w:val="1"/>
        </w:numPr>
        <w:spacing w:line="276" w:lineRule="auto"/>
        <w:ind w:left="0" w:firstLine="0"/>
        <w:contextualSpacing/>
        <w:rPr>
          <w:rFonts w:eastAsia="Times New Roman"/>
          <w:iCs/>
          <w:sz w:val="24"/>
          <w:szCs w:val="24"/>
          <w:lang w:val="es-ES_tradnl" w:eastAsia="es-ES"/>
        </w:rPr>
      </w:pPr>
      <w:r w:rsidRPr="00B639BD">
        <w:rPr>
          <w:rFonts w:eastAsia="Times New Roman"/>
          <w:iCs/>
          <w:sz w:val="24"/>
          <w:szCs w:val="24"/>
          <w:lang w:val="es-ES_tradnl" w:eastAsia="es-ES"/>
        </w:rPr>
        <w:t xml:space="preserve">El requisito de </w:t>
      </w:r>
      <w:r w:rsidRPr="00B639BD">
        <w:rPr>
          <w:rFonts w:eastAsia="Times New Roman"/>
          <w:b/>
          <w:bCs/>
          <w:iCs/>
          <w:sz w:val="24"/>
          <w:szCs w:val="24"/>
          <w:lang w:val="es-ES_tradnl" w:eastAsia="es-ES"/>
        </w:rPr>
        <w:t>subsidiariedad</w:t>
      </w:r>
      <w:r w:rsidRPr="00B639BD">
        <w:rPr>
          <w:rFonts w:eastAsia="Times New Roman"/>
          <w:iCs/>
          <w:sz w:val="24"/>
          <w:szCs w:val="24"/>
          <w:lang w:val="es-ES_tradnl" w:eastAsia="es-ES"/>
        </w:rPr>
        <w:t xml:space="preserve"> también se encuentra acreditado, en tanto la accionante </w:t>
      </w:r>
      <w:r w:rsidRPr="00B639BD">
        <w:rPr>
          <w:sz w:val="24"/>
          <w:szCs w:val="24"/>
        </w:rPr>
        <w:t xml:space="preserve">no tiene otro mecanismo de defensa judicial para la protección de su derecho fundamental, invocado como </w:t>
      </w:r>
      <w:r w:rsidR="00922DFE" w:rsidRPr="00B639BD">
        <w:rPr>
          <w:sz w:val="24"/>
          <w:szCs w:val="24"/>
        </w:rPr>
        <w:t>desconocido</w:t>
      </w:r>
      <w:r w:rsidRPr="00B639BD">
        <w:rPr>
          <w:sz w:val="24"/>
          <w:szCs w:val="24"/>
        </w:rPr>
        <w:t>. Frente al interés que ella manifiesta en la petición de tutela, no se cuenta con procesos judiciales idóneos de protección. Por lo tanto, es pertinente que acuda a la acción de amparo.</w:t>
      </w:r>
    </w:p>
    <w:p w14:paraId="3443C97F" w14:textId="77777777" w:rsidR="00922DFE" w:rsidRPr="00B639BD" w:rsidRDefault="00922DFE" w:rsidP="0078297C">
      <w:pPr>
        <w:spacing w:line="276" w:lineRule="auto"/>
        <w:contextualSpacing/>
        <w:rPr>
          <w:rFonts w:eastAsia="Times New Roman"/>
          <w:iCs/>
          <w:sz w:val="24"/>
          <w:szCs w:val="24"/>
          <w:lang w:val="es-ES_tradnl" w:eastAsia="es-ES"/>
        </w:rPr>
      </w:pPr>
    </w:p>
    <w:p w14:paraId="36EEADF9" w14:textId="0FFD39D4" w:rsidR="00BC1933" w:rsidRPr="00B639BD" w:rsidRDefault="00BC1933" w:rsidP="0078297C">
      <w:pPr>
        <w:pStyle w:val="Prrafodelista"/>
        <w:numPr>
          <w:ilvl w:val="1"/>
          <w:numId w:val="1"/>
        </w:numPr>
        <w:spacing w:line="276" w:lineRule="auto"/>
        <w:ind w:left="0" w:firstLine="0"/>
        <w:rPr>
          <w:rFonts w:eastAsia="Verdana"/>
          <w:sz w:val="24"/>
          <w:szCs w:val="24"/>
        </w:rPr>
      </w:pPr>
      <w:r w:rsidRPr="00B639BD">
        <w:rPr>
          <w:rFonts w:eastAsia="Verdana"/>
          <w:sz w:val="24"/>
          <w:szCs w:val="24"/>
        </w:rPr>
        <w:t xml:space="preserve">Se observa el cumplimiento del requisito de </w:t>
      </w:r>
      <w:r w:rsidRPr="00B639BD">
        <w:rPr>
          <w:rFonts w:eastAsia="Verdana"/>
          <w:b/>
          <w:bCs/>
          <w:sz w:val="24"/>
          <w:szCs w:val="24"/>
        </w:rPr>
        <w:t>inmediatez</w:t>
      </w:r>
      <w:r w:rsidRPr="00B639BD">
        <w:rPr>
          <w:rFonts w:eastAsia="Verdana"/>
          <w:sz w:val="24"/>
          <w:szCs w:val="24"/>
        </w:rPr>
        <w:t xml:space="preserve">, puesto que la acción de tutela bajo examen fue presentada en un término razonable. En efecto, entre la </w:t>
      </w:r>
      <w:r w:rsidR="00352A40" w:rsidRPr="00B639BD">
        <w:rPr>
          <w:rFonts w:eastAsia="Verdana"/>
          <w:sz w:val="24"/>
          <w:szCs w:val="24"/>
        </w:rPr>
        <w:t>presentación de su petición ante el Consejo Superior de la Judicatura (21 de septiembre de 2020)</w:t>
      </w:r>
      <w:r w:rsidRPr="00B639BD">
        <w:rPr>
          <w:rFonts w:eastAsia="Verdana"/>
          <w:sz w:val="24"/>
          <w:szCs w:val="24"/>
        </w:rPr>
        <w:t xml:space="preserve"> y la radicación de la solicitud de amparo (2</w:t>
      </w:r>
      <w:r w:rsidR="00352A40" w:rsidRPr="00B639BD">
        <w:rPr>
          <w:rFonts w:eastAsia="Verdana"/>
          <w:sz w:val="24"/>
          <w:szCs w:val="24"/>
        </w:rPr>
        <w:t>6</w:t>
      </w:r>
      <w:r w:rsidRPr="00B639BD">
        <w:rPr>
          <w:rFonts w:eastAsia="Verdana"/>
          <w:sz w:val="24"/>
          <w:szCs w:val="24"/>
        </w:rPr>
        <w:t xml:space="preserve"> de </w:t>
      </w:r>
      <w:r w:rsidR="00352A40" w:rsidRPr="00B639BD">
        <w:rPr>
          <w:rFonts w:eastAsia="Verdana"/>
          <w:sz w:val="24"/>
          <w:szCs w:val="24"/>
        </w:rPr>
        <w:t>octu</w:t>
      </w:r>
      <w:r w:rsidRPr="00B639BD">
        <w:rPr>
          <w:rFonts w:eastAsia="Verdana"/>
          <w:sz w:val="24"/>
          <w:szCs w:val="24"/>
        </w:rPr>
        <w:t>bre de 2020), no transcurrió un tiempo que amerite explicaciones adicionales por parte de la actora</w:t>
      </w:r>
      <w:r w:rsidRPr="00B639BD">
        <w:rPr>
          <w:rStyle w:val="Refdenotaalpie"/>
          <w:rFonts w:eastAsia="Verdana"/>
          <w:sz w:val="24"/>
          <w:szCs w:val="24"/>
        </w:rPr>
        <w:footnoteReference w:id="12"/>
      </w:r>
      <w:r w:rsidRPr="00B639BD">
        <w:rPr>
          <w:rFonts w:eastAsia="Verdana"/>
          <w:sz w:val="24"/>
          <w:szCs w:val="24"/>
        </w:rPr>
        <w:t>.</w:t>
      </w:r>
    </w:p>
    <w:p w14:paraId="604BAE5D" w14:textId="77777777" w:rsidR="00595B90" w:rsidRPr="00B639BD" w:rsidRDefault="00595B90" w:rsidP="0078297C">
      <w:pPr>
        <w:spacing w:line="276" w:lineRule="auto"/>
        <w:contextualSpacing/>
        <w:rPr>
          <w:rFonts w:eastAsia="Times New Roman"/>
          <w:iCs/>
          <w:sz w:val="24"/>
          <w:szCs w:val="24"/>
          <w:lang w:val="es-ES_tradnl" w:eastAsia="es-ES"/>
        </w:rPr>
      </w:pPr>
    </w:p>
    <w:p w14:paraId="526D20AB" w14:textId="77777777" w:rsidR="00595B90" w:rsidRPr="00B639BD" w:rsidRDefault="00595B90" w:rsidP="0078297C">
      <w:pPr>
        <w:spacing w:line="276" w:lineRule="auto"/>
        <w:rPr>
          <w:rFonts w:eastAsia="Times New Roman"/>
          <w:iCs/>
          <w:sz w:val="24"/>
          <w:szCs w:val="24"/>
          <w:lang w:val="es-ES_tradnl" w:eastAsia="es-ES"/>
        </w:rPr>
      </w:pPr>
      <w:r w:rsidRPr="00B639BD">
        <w:rPr>
          <w:rFonts w:eastAsia="Times New Roman"/>
          <w:iCs/>
          <w:sz w:val="24"/>
          <w:szCs w:val="24"/>
          <w:lang w:val="es-ES_tradnl" w:eastAsia="es-ES"/>
        </w:rPr>
        <w:t>Superados, entonces, los requisitos de procedibilidad en el presente trámite, puede pasarse al análisis de fondo del asunto propuesto en la solicitud de amparo.</w:t>
      </w:r>
    </w:p>
    <w:p w14:paraId="3F8B15C4" w14:textId="6DE7AA74" w:rsidR="00595B90" w:rsidRPr="00B639BD" w:rsidRDefault="00595B90" w:rsidP="0078297C">
      <w:pPr>
        <w:spacing w:line="276" w:lineRule="auto"/>
        <w:rPr>
          <w:rFonts w:eastAsia="Times New Roman"/>
          <w:iCs/>
          <w:sz w:val="24"/>
          <w:szCs w:val="24"/>
          <w:lang w:val="es-ES_tradnl" w:eastAsia="es-ES"/>
        </w:rPr>
      </w:pPr>
    </w:p>
    <w:p w14:paraId="6B8304B9" w14:textId="1C590C4B" w:rsidR="00242169" w:rsidRPr="00B639BD" w:rsidRDefault="00242169" w:rsidP="0078297C">
      <w:pPr>
        <w:spacing w:line="276" w:lineRule="auto"/>
        <w:rPr>
          <w:rFonts w:eastAsia="Times New Roman"/>
          <w:iCs/>
          <w:sz w:val="24"/>
          <w:szCs w:val="24"/>
          <w:lang w:val="es-ES_tradnl" w:eastAsia="es-ES"/>
        </w:rPr>
      </w:pPr>
    </w:p>
    <w:p w14:paraId="55CECB48" w14:textId="5D3A8793" w:rsidR="00595B90" w:rsidRPr="00B639BD" w:rsidRDefault="00595B90" w:rsidP="0078297C">
      <w:pPr>
        <w:numPr>
          <w:ilvl w:val="0"/>
          <w:numId w:val="1"/>
        </w:numPr>
        <w:spacing w:line="276" w:lineRule="auto"/>
        <w:ind w:left="0" w:firstLine="0"/>
        <w:contextualSpacing/>
        <w:rPr>
          <w:b/>
          <w:sz w:val="24"/>
          <w:szCs w:val="24"/>
        </w:rPr>
      </w:pPr>
      <w:r w:rsidRPr="00B639BD">
        <w:rPr>
          <w:b/>
          <w:sz w:val="24"/>
          <w:szCs w:val="24"/>
        </w:rPr>
        <w:lastRenderedPageBreak/>
        <w:t>Problema Jurídico</w:t>
      </w:r>
    </w:p>
    <w:p w14:paraId="79596324" w14:textId="77777777" w:rsidR="00595B90" w:rsidRPr="00B639BD" w:rsidRDefault="00595B90" w:rsidP="0078297C">
      <w:pPr>
        <w:spacing w:line="276" w:lineRule="auto"/>
        <w:contextualSpacing/>
        <w:rPr>
          <w:sz w:val="24"/>
          <w:szCs w:val="24"/>
        </w:rPr>
      </w:pPr>
    </w:p>
    <w:p w14:paraId="14EE2539" w14:textId="1B86522E" w:rsidR="000369DF" w:rsidRPr="00B639BD" w:rsidRDefault="00595B90" w:rsidP="0078297C">
      <w:pPr>
        <w:spacing w:line="276" w:lineRule="auto"/>
        <w:contextualSpacing/>
        <w:rPr>
          <w:sz w:val="24"/>
          <w:szCs w:val="24"/>
        </w:rPr>
      </w:pPr>
      <w:r w:rsidRPr="00B639BD">
        <w:rPr>
          <w:sz w:val="24"/>
          <w:szCs w:val="24"/>
        </w:rPr>
        <w:t xml:space="preserve">De conformidad con </w:t>
      </w:r>
      <w:r w:rsidR="00242169" w:rsidRPr="00B639BD">
        <w:rPr>
          <w:sz w:val="24"/>
          <w:szCs w:val="24"/>
        </w:rPr>
        <w:t>lo</w:t>
      </w:r>
      <w:r w:rsidRPr="00B639BD">
        <w:rPr>
          <w:sz w:val="24"/>
          <w:szCs w:val="24"/>
        </w:rPr>
        <w:t xml:space="preserve"> expuesto en el escrito introductorio, corresponde resolver </w:t>
      </w:r>
      <w:r w:rsidR="002F70E0" w:rsidRPr="00B639BD">
        <w:rPr>
          <w:sz w:val="24"/>
          <w:szCs w:val="24"/>
        </w:rPr>
        <w:t>el</w:t>
      </w:r>
      <w:r w:rsidRPr="00B639BD">
        <w:rPr>
          <w:sz w:val="24"/>
          <w:szCs w:val="24"/>
        </w:rPr>
        <w:t xml:space="preserve"> siguiente interrogante:</w:t>
      </w:r>
      <w:r w:rsidR="002F70E0" w:rsidRPr="00B639BD">
        <w:rPr>
          <w:sz w:val="24"/>
          <w:szCs w:val="24"/>
        </w:rPr>
        <w:t xml:space="preserve"> ¿vulnera </w:t>
      </w:r>
      <w:r w:rsidR="00242169" w:rsidRPr="00B639BD">
        <w:rPr>
          <w:sz w:val="24"/>
          <w:szCs w:val="24"/>
        </w:rPr>
        <w:t>el Consejo Superior de la Judicatura</w:t>
      </w:r>
      <w:r w:rsidR="002F70E0" w:rsidRPr="00B639BD">
        <w:rPr>
          <w:sz w:val="24"/>
          <w:szCs w:val="24"/>
        </w:rPr>
        <w:t xml:space="preserve"> el derecho fundamental de petición de la actora, en la medida en que</w:t>
      </w:r>
      <w:r w:rsidR="00242169" w:rsidRPr="00B639BD">
        <w:rPr>
          <w:sz w:val="24"/>
          <w:szCs w:val="24"/>
        </w:rPr>
        <w:t xml:space="preserve"> no ha contestado a las inquietudes presentadas por ella mediante mensaje de correo electrónico enviado el 21 de septiembre de 2020 al buzón institucional </w:t>
      </w:r>
      <w:r w:rsidR="00242169" w:rsidRPr="007328B7">
        <w:rPr>
          <w:sz w:val="24"/>
          <w:szCs w:val="24"/>
        </w:rPr>
        <w:t>info@cendoj.ra</w:t>
      </w:r>
      <w:bookmarkStart w:id="1" w:name="_GoBack"/>
      <w:bookmarkEnd w:id="1"/>
      <w:r w:rsidR="00242169" w:rsidRPr="007328B7">
        <w:rPr>
          <w:sz w:val="24"/>
          <w:szCs w:val="24"/>
        </w:rPr>
        <w:t>majudicial.gov.co</w:t>
      </w:r>
      <w:r w:rsidR="002F70E0" w:rsidRPr="00B639BD">
        <w:rPr>
          <w:sz w:val="24"/>
          <w:szCs w:val="24"/>
        </w:rPr>
        <w:t>?</w:t>
      </w:r>
    </w:p>
    <w:p w14:paraId="12ABA553" w14:textId="77777777" w:rsidR="00FC649A" w:rsidRPr="00B639BD" w:rsidRDefault="00FC649A" w:rsidP="0078297C">
      <w:pPr>
        <w:spacing w:line="276" w:lineRule="auto"/>
        <w:rPr>
          <w:b/>
          <w:sz w:val="24"/>
          <w:szCs w:val="24"/>
        </w:rPr>
      </w:pPr>
    </w:p>
    <w:p w14:paraId="0F16AA77" w14:textId="500F09EC" w:rsidR="000369DF" w:rsidRPr="00B639BD" w:rsidRDefault="000369DF" w:rsidP="0078297C">
      <w:pPr>
        <w:pStyle w:val="Prrafodelista"/>
        <w:numPr>
          <w:ilvl w:val="0"/>
          <w:numId w:val="1"/>
        </w:numPr>
        <w:spacing w:line="276" w:lineRule="auto"/>
        <w:ind w:left="0" w:firstLine="0"/>
        <w:rPr>
          <w:b/>
          <w:sz w:val="24"/>
          <w:szCs w:val="24"/>
        </w:rPr>
      </w:pPr>
      <w:r w:rsidRPr="00B639BD">
        <w:rPr>
          <w:b/>
          <w:sz w:val="24"/>
          <w:szCs w:val="24"/>
        </w:rPr>
        <w:t xml:space="preserve">Solución </w:t>
      </w:r>
      <w:r w:rsidR="002E15E2" w:rsidRPr="00B639BD">
        <w:rPr>
          <w:b/>
          <w:sz w:val="24"/>
          <w:szCs w:val="24"/>
        </w:rPr>
        <w:t>de</w:t>
      </w:r>
      <w:r w:rsidRPr="00B639BD">
        <w:rPr>
          <w:b/>
          <w:sz w:val="24"/>
          <w:szCs w:val="24"/>
        </w:rPr>
        <w:t>l problema jurídico</w:t>
      </w:r>
    </w:p>
    <w:p w14:paraId="739657E4" w14:textId="77777777" w:rsidR="000369DF" w:rsidRPr="00B639BD" w:rsidRDefault="000369DF" w:rsidP="0078297C">
      <w:pPr>
        <w:spacing w:line="276" w:lineRule="auto"/>
        <w:rPr>
          <w:b/>
          <w:sz w:val="24"/>
          <w:szCs w:val="24"/>
        </w:rPr>
      </w:pPr>
    </w:p>
    <w:p w14:paraId="3D0D84DB" w14:textId="4BAC95FB" w:rsidR="00747577" w:rsidRPr="00B639BD" w:rsidRDefault="00747577" w:rsidP="0078297C">
      <w:pPr>
        <w:pStyle w:val="Prrafodelista"/>
        <w:numPr>
          <w:ilvl w:val="1"/>
          <w:numId w:val="1"/>
        </w:numPr>
        <w:spacing w:line="276" w:lineRule="auto"/>
        <w:ind w:left="0" w:firstLine="0"/>
        <w:rPr>
          <w:sz w:val="24"/>
          <w:szCs w:val="24"/>
        </w:rPr>
      </w:pPr>
      <w:r w:rsidRPr="00B639BD">
        <w:rPr>
          <w:rFonts w:eastAsia="Times New Roman"/>
          <w:bCs/>
          <w:sz w:val="24"/>
          <w:szCs w:val="24"/>
          <w:lang w:eastAsia="es-ES"/>
        </w:rPr>
        <w:t xml:space="preserve">La actora </w:t>
      </w:r>
      <w:r w:rsidRPr="00B639BD">
        <w:rPr>
          <w:sz w:val="24"/>
          <w:szCs w:val="24"/>
        </w:rPr>
        <w:t>trajo a colación</w:t>
      </w:r>
      <w:r w:rsidR="00B72409" w:rsidRPr="00B639BD">
        <w:rPr>
          <w:sz w:val="24"/>
          <w:szCs w:val="24"/>
        </w:rPr>
        <w:t xml:space="preserve"> </w:t>
      </w:r>
      <w:r w:rsidRPr="00B639BD">
        <w:rPr>
          <w:sz w:val="24"/>
          <w:szCs w:val="24"/>
        </w:rPr>
        <w:t xml:space="preserve">la solicitud que </w:t>
      </w:r>
      <w:r w:rsidR="00B72409" w:rsidRPr="00B639BD">
        <w:rPr>
          <w:sz w:val="24"/>
          <w:szCs w:val="24"/>
        </w:rPr>
        <w:t>hizo</w:t>
      </w:r>
      <w:r w:rsidR="00A034A5" w:rsidRPr="00B639BD">
        <w:rPr>
          <w:sz w:val="24"/>
          <w:szCs w:val="24"/>
        </w:rPr>
        <w:t xml:space="preserve"> </w:t>
      </w:r>
      <w:r w:rsidR="00B72409" w:rsidRPr="00B639BD">
        <w:rPr>
          <w:sz w:val="24"/>
          <w:szCs w:val="24"/>
        </w:rPr>
        <w:t>al Consejo Superior de la Judicatura</w:t>
      </w:r>
      <w:r w:rsidR="00A034A5" w:rsidRPr="00B639BD">
        <w:rPr>
          <w:sz w:val="24"/>
          <w:szCs w:val="24"/>
        </w:rPr>
        <w:t xml:space="preserve">, en la que </w:t>
      </w:r>
      <w:r w:rsidR="00B72409" w:rsidRPr="00B639BD">
        <w:rPr>
          <w:sz w:val="24"/>
          <w:szCs w:val="24"/>
        </w:rPr>
        <w:t>pidió que</w:t>
      </w:r>
      <w:r w:rsidR="00A034A5" w:rsidRPr="00B639BD">
        <w:rPr>
          <w:sz w:val="24"/>
          <w:szCs w:val="24"/>
        </w:rPr>
        <w:t xml:space="preserve"> es</w:t>
      </w:r>
      <w:r w:rsidR="00B72409" w:rsidRPr="00B639BD">
        <w:rPr>
          <w:sz w:val="24"/>
          <w:szCs w:val="24"/>
        </w:rPr>
        <w:t>e</w:t>
      </w:r>
      <w:r w:rsidR="00A034A5" w:rsidRPr="00B639BD">
        <w:rPr>
          <w:sz w:val="24"/>
          <w:szCs w:val="24"/>
        </w:rPr>
        <w:t xml:space="preserve"> </w:t>
      </w:r>
      <w:r w:rsidR="00B72409" w:rsidRPr="00B639BD">
        <w:rPr>
          <w:sz w:val="24"/>
          <w:szCs w:val="24"/>
        </w:rPr>
        <w:t>organismo requiriera al Juez Sexto Penal Municipal de Conocimiento de Bogotá, fallador que tramita la acción de tutela interpuesta por ella contra el Fondo de Pensiones Protección.</w:t>
      </w:r>
      <w:r w:rsidR="00775562" w:rsidRPr="00B639BD">
        <w:rPr>
          <w:sz w:val="24"/>
          <w:szCs w:val="24"/>
        </w:rPr>
        <w:t xml:space="preserve"> Ese requerimiento lo fundó en que el citad</w:t>
      </w:r>
      <w:r w:rsidR="007A2E2C" w:rsidRPr="00B639BD">
        <w:rPr>
          <w:sz w:val="24"/>
          <w:szCs w:val="24"/>
        </w:rPr>
        <w:t>o</w:t>
      </w:r>
      <w:r w:rsidR="00775562" w:rsidRPr="00B639BD">
        <w:rPr>
          <w:sz w:val="24"/>
          <w:szCs w:val="24"/>
        </w:rPr>
        <w:t xml:space="preserve"> juzgado no ha dado contestación alguna a los memoriales que ella interpuso con el fin de (i) solicitar el traslado </w:t>
      </w:r>
      <w:r w:rsidR="007A2E2C" w:rsidRPr="00B639BD">
        <w:rPr>
          <w:sz w:val="24"/>
          <w:szCs w:val="24"/>
        </w:rPr>
        <w:t>del referido juicio de amparo</w:t>
      </w:r>
      <w:r w:rsidR="00775562" w:rsidRPr="00B639BD">
        <w:rPr>
          <w:sz w:val="24"/>
          <w:szCs w:val="24"/>
        </w:rPr>
        <w:t xml:space="preserve"> a los jueces laborales y (ii) rogar que se declare la nulidad de todo lo actuado en esa sede, en la medida en que no se le notificó del auto admisorio de la correspondiente demanda.</w:t>
      </w:r>
    </w:p>
    <w:p w14:paraId="06853330" w14:textId="77777777" w:rsidR="001C16CB" w:rsidRPr="00B639BD" w:rsidRDefault="001C16CB" w:rsidP="0078297C">
      <w:pPr>
        <w:pStyle w:val="Prrafodelista"/>
        <w:spacing w:line="276" w:lineRule="auto"/>
        <w:ind w:left="0"/>
        <w:rPr>
          <w:sz w:val="24"/>
          <w:szCs w:val="24"/>
        </w:rPr>
      </w:pPr>
    </w:p>
    <w:p w14:paraId="336C88FC" w14:textId="30136681" w:rsidR="004B36F0" w:rsidRPr="00B639BD" w:rsidRDefault="000B5547" w:rsidP="0078297C">
      <w:pPr>
        <w:pStyle w:val="Prrafodelista"/>
        <w:numPr>
          <w:ilvl w:val="1"/>
          <w:numId w:val="1"/>
        </w:numPr>
        <w:spacing w:line="276" w:lineRule="auto"/>
        <w:ind w:left="0" w:firstLine="0"/>
        <w:rPr>
          <w:rFonts w:eastAsia="Times New Roman"/>
          <w:b/>
          <w:sz w:val="24"/>
          <w:szCs w:val="24"/>
          <w:lang w:eastAsia="es-ES"/>
        </w:rPr>
      </w:pPr>
      <w:r w:rsidRPr="00B639BD">
        <w:rPr>
          <w:rFonts w:eastAsia="Times New Roman"/>
          <w:bCs/>
          <w:sz w:val="24"/>
          <w:szCs w:val="24"/>
          <w:lang w:eastAsia="es-ES"/>
        </w:rPr>
        <w:t>El Consejo Superior de la Judicatura, por su parte, a través de la Dirección Ejecutiva Seccional de Administración Judicial de Bogotá, Cundinamarca y Amazonas, manifestó que el asunto bajo estudio no es de su injerencia. Al respecto, indicó que, tras analizar las características de la solicitud presentada por la actora, remiti</w:t>
      </w:r>
      <w:r w:rsidR="00511A60" w:rsidRPr="00B639BD">
        <w:rPr>
          <w:rFonts w:eastAsia="Times New Roman"/>
          <w:bCs/>
          <w:sz w:val="24"/>
          <w:szCs w:val="24"/>
          <w:lang w:eastAsia="es-ES"/>
        </w:rPr>
        <w:t>ó</w:t>
      </w:r>
      <w:r w:rsidRPr="00B639BD">
        <w:rPr>
          <w:rFonts w:eastAsia="Times New Roman"/>
          <w:bCs/>
          <w:sz w:val="24"/>
          <w:szCs w:val="24"/>
          <w:lang w:eastAsia="es-ES"/>
        </w:rPr>
        <w:t xml:space="preserve"> la actuación a la Sala Jurisdiccional Disciplinaria de esa Corporación. </w:t>
      </w:r>
      <w:r w:rsidR="007B7EFF" w:rsidRPr="00B639BD">
        <w:rPr>
          <w:rFonts w:eastAsia="Times New Roman"/>
          <w:bCs/>
          <w:sz w:val="24"/>
          <w:szCs w:val="24"/>
          <w:lang w:eastAsia="es-ES"/>
        </w:rPr>
        <w:t>Sin embargo</w:t>
      </w:r>
      <w:r w:rsidRPr="00B639BD">
        <w:rPr>
          <w:rFonts w:eastAsia="Times New Roman"/>
          <w:bCs/>
          <w:sz w:val="24"/>
          <w:szCs w:val="24"/>
          <w:lang w:eastAsia="es-ES"/>
        </w:rPr>
        <w:t>, durante el trámite de esta acción, este fallador no recibió ninguna afirmación adicional.</w:t>
      </w:r>
    </w:p>
    <w:p w14:paraId="2D0C8BD9" w14:textId="77777777" w:rsidR="007B3061" w:rsidRPr="00B639BD" w:rsidRDefault="007B3061" w:rsidP="0078297C">
      <w:pPr>
        <w:spacing w:line="276" w:lineRule="auto"/>
        <w:rPr>
          <w:rFonts w:eastAsia="Times New Roman"/>
          <w:b/>
          <w:sz w:val="24"/>
          <w:szCs w:val="24"/>
          <w:lang w:eastAsia="es-ES"/>
        </w:rPr>
      </w:pPr>
    </w:p>
    <w:p w14:paraId="116833AA" w14:textId="5C00CDFE" w:rsidR="001D54DE" w:rsidRPr="00B639BD" w:rsidRDefault="001C2810" w:rsidP="001D54DE">
      <w:pPr>
        <w:pStyle w:val="Prrafodelista"/>
        <w:numPr>
          <w:ilvl w:val="1"/>
          <w:numId w:val="1"/>
        </w:numPr>
        <w:spacing w:line="276" w:lineRule="auto"/>
        <w:ind w:left="0" w:firstLine="0"/>
        <w:rPr>
          <w:rFonts w:eastAsia="Times New Roman"/>
          <w:b/>
          <w:sz w:val="24"/>
          <w:szCs w:val="24"/>
          <w:lang w:eastAsia="es-ES"/>
        </w:rPr>
      </w:pPr>
      <w:r w:rsidRPr="00B639BD">
        <w:rPr>
          <w:bCs/>
          <w:sz w:val="24"/>
          <w:szCs w:val="24"/>
        </w:rPr>
        <w:t xml:space="preserve">Pues bien, como preámbulo al tratamiento de este caso conviene advertir </w:t>
      </w:r>
      <w:r w:rsidR="001D54DE" w:rsidRPr="00B639BD">
        <w:rPr>
          <w:bCs/>
          <w:sz w:val="24"/>
          <w:szCs w:val="24"/>
        </w:rPr>
        <w:t>que el</w:t>
      </w:r>
      <w:r w:rsidR="001D54DE" w:rsidRPr="00B639BD">
        <w:rPr>
          <w:bCs/>
          <w:iCs/>
          <w:sz w:val="24"/>
          <w:szCs w:val="24"/>
        </w:rPr>
        <w:t xml:space="preserve"> derecho fundamental de petición implica, para la autoridad, la obligación de contestar a partir de los siguientes criterios: “1. oportunidad 2. Debe resolverse de fondo, clara, precisa y de manera congruente con lo solicitado 3. ser puesta en conocimiento del peticionario”</w:t>
      </w:r>
      <w:r w:rsidR="001D54DE" w:rsidRPr="00B639BD">
        <w:rPr>
          <w:rStyle w:val="Refdenotaalpie"/>
          <w:bCs/>
          <w:iCs/>
          <w:sz w:val="24"/>
          <w:szCs w:val="24"/>
        </w:rPr>
        <w:footnoteReference w:id="13"/>
      </w:r>
      <w:r w:rsidR="001D54DE" w:rsidRPr="00B639BD">
        <w:rPr>
          <w:bCs/>
          <w:iCs/>
          <w:sz w:val="24"/>
          <w:szCs w:val="24"/>
        </w:rPr>
        <w:t xml:space="preserve">. Esto </w:t>
      </w:r>
      <w:r w:rsidRPr="00B639BD">
        <w:rPr>
          <w:bCs/>
          <w:iCs/>
          <w:sz w:val="24"/>
          <w:szCs w:val="24"/>
        </w:rPr>
        <w:t xml:space="preserve">implica, por supuesto, </w:t>
      </w:r>
      <w:r w:rsidR="001D54DE" w:rsidRPr="00B639BD">
        <w:rPr>
          <w:bCs/>
          <w:iCs/>
          <w:sz w:val="24"/>
          <w:szCs w:val="24"/>
        </w:rPr>
        <w:t>que la entidad deba proferir una respuesta en cierto sentido, o que deba conceder pretensiones. Incluso, aquellas cuestiones</w:t>
      </w:r>
      <w:r w:rsidR="00BE0BDD" w:rsidRPr="00B639BD">
        <w:rPr>
          <w:bCs/>
          <w:iCs/>
          <w:sz w:val="24"/>
          <w:szCs w:val="24"/>
        </w:rPr>
        <w:t xml:space="preserve"> </w:t>
      </w:r>
      <w:r w:rsidR="001D54DE" w:rsidRPr="00B639BD">
        <w:rPr>
          <w:bCs/>
          <w:iCs/>
          <w:sz w:val="24"/>
          <w:szCs w:val="24"/>
        </w:rPr>
        <w:t>que no son de su competencia, lejos de exigirse una respuesta, debe remitirlas a quien corresponda</w:t>
      </w:r>
      <w:r w:rsidR="00BE0BDD" w:rsidRPr="00B639BD">
        <w:rPr>
          <w:bCs/>
          <w:iCs/>
          <w:sz w:val="24"/>
          <w:szCs w:val="24"/>
        </w:rPr>
        <w:t xml:space="preserve"> informando de su proceder a la persona interesada</w:t>
      </w:r>
      <w:r w:rsidR="001D54DE" w:rsidRPr="00B639BD">
        <w:rPr>
          <w:bCs/>
          <w:iCs/>
          <w:sz w:val="24"/>
          <w:szCs w:val="24"/>
        </w:rPr>
        <w:t xml:space="preserve">. En ese sentido, la función del juez de tutela a la hora de garantizar el derecho en comento, es la de </w:t>
      </w:r>
      <w:r w:rsidR="00BE0BDD" w:rsidRPr="00B639BD">
        <w:rPr>
          <w:bCs/>
          <w:iCs/>
          <w:sz w:val="24"/>
          <w:szCs w:val="24"/>
        </w:rPr>
        <w:t xml:space="preserve">asegurar </w:t>
      </w:r>
      <w:r w:rsidR="001D54DE" w:rsidRPr="00B639BD">
        <w:rPr>
          <w:bCs/>
          <w:iCs/>
          <w:sz w:val="24"/>
          <w:szCs w:val="24"/>
        </w:rPr>
        <w:t>que la solicitante tenga una respuesta en los términos antes anotados, sin convertirse en juez de la cuestión material o de los derechos reclamados en las solicitudes.</w:t>
      </w:r>
    </w:p>
    <w:p w14:paraId="1E573287" w14:textId="77777777" w:rsidR="001D54DE" w:rsidRPr="00B639BD" w:rsidRDefault="001D54DE" w:rsidP="001D54DE">
      <w:pPr>
        <w:spacing w:line="276" w:lineRule="auto"/>
        <w:rPr>
          <w:rFonts w:eastAsia="Times New Roman"/>
          <w:b/>
          <w:sz w:val="24"/>
          <w:szCs w:val="24"/>
          <w:lang w:eastAsia="es-ES"/>
        </w:rPr>
      </w:pPr>
    </w:p>
    <w:p w14:paraId="0BA56AF7" w14:textId="710A732B" w:rsidR="00806D0B" w:rsidRPr="00B639BD" w:rsidRDefault="001D54DE" w:rsidP="001D54DE">
      <w:pPr>
        <w:pStyle w:val="Prrafodelista"/>
        <w:spacing w:line="276" w:lineRule="auto"/>
        <w:ind w:left="0"/>
        <w:rPr>
          <w:rFonts w:eastAsia="Times New Roman"/>
          <w:b/>
          <w:sz w:val="24"/>
          <w:szCs w:val="24"/>
          <w:lang w:eastAsia="es-ES"/>
        </w:rPr>
      </w:pPr>
      <w:r w:rsidRPr="00B639BD">
        <w:rPr>
          <w:bCs/>
          <w:sz w:val="24"/>
          <w:szCs w:val="24"/>
        </w:rPr>
        <w:t xml:space="preserve">En el </w:t>
      </w:r>
      <w:r w:rsidRPr="00B639BD">
        <w:rPr>
          <w:bCs/>
          <w:i/>
          <w:sz w:val="24"/>
          <w:szCs w:val="24"/>
        </w:rPr>
        <w:t>sub examine</w:t>
      </w:r>
      <w:r w:rsidRPr="00B639BD">
        <w:rPr>
          <w:bCs/>
          <w:sz w:val="24"/>
          <w:szCs w:val="24"/>
        </w:rPr>
        <w:t xml:space="preserve">, lo antes dicho cobra mayor relevancia en tanto </w:t>
      </w:r>
      <w:r w:rsidR="00806D0B" w:rsidRPr="00B639BD">
        <w:rPr>
          <w:bCs/>
          <w:sz w:val="24"/>
          <w:szCs w:val="24"/>
        </w:rPr>
        <w:t>que el derecho fundamental de petición de la actora se encuentra asociado como mecanismo para el acceso a otros derechos</w:t>
      </w:r>
      <w:r w:rsidR="005E31C4" w:rsidRPr="00B639BD">
        <w:rPr>
          <w:sz w:val="24"/>
          <w:szCs w:val="24"/>
          <w:vertAlign w:val="superscript"/>
        </w:rPr>
        <w:footnoteReference w:id="14"/>
      </w:r>
      <w:r w:rsidR="00806D0B" w:rsidRPr="00B639BD">
        <w:rPr>
          <w:bCs/>
          <w:sz w:val="24"/>
          <w:szCs w:val="24"/>
        </w:rPr>
        <w:t xml:space="preserve">. </w:t>
      </w:r>
      <w:r w:rsidR="007B7EFF" w:rsidRPr="00B639BD">
        <w:rPr>
          <w:bCs/>
          <w:sz w:val="24"/>
          <w:szCs w:val="24"/>
        </w:rPr>
        <w:t>A partir de lo anterior, debe entenderse que existe una relación entre la citada garantía y la recta impartición de justicia, que es el derecho que la actora pretende, a través de la petición bajo examen, que la autoridad accionada le proteja</w:t>
      </w:r>
      <w:r w:rsidR="00806D0B" w:rsidRPr="00B639BD">
        <w:rPr>
          <w:bCs/>
          <w:sz w:val="24"/>
          <w:szCs w:val="24"/>
        </w:rPr>
        <w:t xml:space="preserve">. A ello se une </w:t>
      </w:r>
      <w:r w:rsidR="009232BF" w:rsidRPr="00B639BD">
        <w:rPr>
          <w:bCs/>
          <w:sz w:val="24"/>
          <w:szCs w:val="24"/>
        </w:rPr>
        <w:t>que sus inquietudes gravitan alrededor del trámite procesal de una acción de tutela, la cual es preferente</w:t>
      </w:r>
      <w:r w:rsidR="003C1990" w:rsidRPr="00B639BD">
        <w:rPr>
          <w:rStyle w:val="Refdenotaalpie"/>
          <w:bCs/>
          <w:sz w:val="24"/>
          <w:szCs w:val="24"/>
        </w:rPr>
        <w:footnoteReference w:id="15"/>
      </w:r>
      <w:r w:rsidR="009232BF" w:rsidRPr="00B639BD">
        <w:rPr>
          <w:bCs/>
          <w:sz w:val="24"/>
          <w:szCs w:val="24"/>
        </w:rPr>
        <w:t xml:space="preserve">, </w:t>
      </w:r>
      <w:r w:rsidR="003C1990" w:rsidRPr="00B639BD">
        <w:rPr>
          <w:bCs/>
          <w:sz w:val="24"/>
          <w:szCs w:val="24"/>
        </w:rPr>
        <w:t xml:space="preserve">según lo </w:t>
      </w:r>
      <w:r w:rsidR="009232BF" w:rsidRPr="00B639BD">
        <w:rPr>
          <w:bCs/>
          <w:sz w:val="24"/>
          <w:szCs w:val="24"/>
        </w:rPr>
        <w:t>previsto por el constituyente</w:t>
      </w:r>
      <w:r w:rsidR="007F0315" w:rsidRPr="00B639BD">
        <w:rPr>
          <w:bCs/>
          <w:sz w:val="24"/>
          <w:szCs w:val="24"/>
        </w:rPr>
        <w:t>.</w:t>
      </w:r>
      <w:r w:rsidR="0072022F" w:rsidRPr="00B639BD">
        <w:rPr>
          <w:bCs/>
          <w:sz w:val="24"/>
          <w:szCs w:val="24"/>
        </w:rPr>
        <w:t xml:space="preserve"> Así las cosas, todo lo que verse sobre el decurso de un juicio de amparo </w:t>
      </w:r>
      <w:proofErr w:type="gramStart"/>
      <w:r w:rsidR="0072022F" w:rsidRPr="00B639BD">
        <w:rPr>
          <w:bCs/>
          <w:sz w:val="24"/>
          <w:szCs w:val="24"/>
        </w:rPr>
        <w:t>merece</w:t>
      </w:r>
      <w:proofErr w:type="gramEnd"/>
      <w:r w:rsidR="0072022F" w:rsidRPr="00B639BD">
        <w:rPr>
          <w:bCs/>
          <w:sz w:val="24"/>
          <w:szCs w:val="24"/>
        </w:rPr>
        <w:t xml:space="preserve"> y requiere una atención especial, lo cual no puede obviarse, sino por asuntos a los que la misma Constitución le haya asignado un </w:t>
      </w:r>
      <w:r w:rsidR="00115EBE" w:rsidRPr="00B639BD">
        <w:rPr>
          <w:bCs/>
          <w:sz w:val="24"/>
          <w:szCs w:val="24"/>
        </w:rPr>
        <w:t>grado</w:t>
      </w:r>
      <w:r w:rsidR="0072022F" w:rsidRPr="00B639BD">
        <w:rPr>
          <w:bCs/>
          <w:sz w:val="24"/>
          <w:szCs w:val="24"/>
        </w:rPr>
        <w:t xml:space="preserve"> mayor </w:t>
      </w:r>
      <w:r w:rsidR="008C251B" w:rsidRPr="00B639BD">
        <w:rPr>
          <w:bCs/>
          <w:sz w:val="24"/>
          <w:szCs w:val="24"/>
        </w:rPr>
        <w:t xml:space="preserve">de </w:t>
      </w:r>
      <w:r w:rsidR="0072022F" w:rsidRPr="00B639BD">
        <w:rPr>
          <w:bCs/>
          <w:sz w:val="24"/>
          <w:szCs w:val="24"/>
        </w:rPr>
        <w:t>intensidad protectora</w:t>
      </w:r>
      <w:r w:rsidR="00C54550" w:rsidRPr="00B639BD">
        <w:rPr>
          <w:rStyle w:val="Refdenotaalpie"/>
          <w:bCs/>
          <w:sz w:val="24"/>
          <w:szCs w:val="24"/>
        </w:rPr>
        <w:footnoteReference w:id="16"/>
      </w:r>
      <w:r w:rsidR="0072022F" w:rsidRPr="00B639BD">
        <w:rPr>
          <w:bCs/>
          <w:sz w:val="24"/>
          <w:szCs w:val="24"/>
        </w:rPr>
        <w:t>.</w:t>
      </w:r>
    </w:p>
    <w:p w14:paraId="0277A948" w14:textId="77777777" w:rsidR="001D54DE" w:rsidRPr="00B639BD" w:rsidRDefault="001D54DE" w:rsidP="001D54DE">
      <w:pPr>
        <w:pStyle w:val="Prrafodelista"/>
        <w:spacing w:line="276" w:lineRule="auto"/>
        <w:ind w:left="0"/>
        <w:rPr>
          <w:bCs/>
          <w:sz w:val="24"/>
          <w:szCs w:val="24"/>
        </w:rPr>
      </w:pPr>
    </w:p>
    <w:p w14:paraId="1FBA462F" w14:textId="5100C0C3" w:rsidR="006E08CD" w:rsidRPr="00B639BD" w:rsidRDefault="00195702" w:rsidP="0078297C">
      <w:pPr>
        <w:pStyle w:val="Prrafodelista"/>
        <w:numPr>
          <w:ilvl w:val="1"/>
          <w:numId w:val="1"/>
        </w:numPr>
        <w:spacing w:line="276" w:lineRule="auto"/>
        <w:ind w:left="0" w:firstLine="0"/>
        <w:rPr>
          <w:rFonts w:eastAsia="Times New Roman"/>
          <w:b/>
          <w:sz w:val="24"/>
          <w:szCs w:val="24"/>
          <w:lang w:eastAsia="es-ES"/>
        </w:rPr>
      </w:pPr>
      <w:r w:rsidRPr="00B639BD">
        <w:rPr>
          <w:rFonts w:eastAsia="Times New Roman"/>
          <w:bCs/>
          <w:sz w:val="24"/>
          <w:szCs w:val="24"/>
          <w:lang w:eastAsia="es-ES"/>
        </w:rPr>
        <w:t xml:space="preserve">Del </w:t>
      </w:r>
      <w:r w:rsidR="006E08CD" w:rsidRPr="00B639BD">
        <w:rPr>
          <w:rFonts w:eastAsia="Times New Roman"/>
          <w:bCs/>
          <w:sz w:val="24"/>
          <w:szCs w:val="24"/>
          <w:lang w:eastAsia="es-ES"/>
        </w:rPr>
        <w:t>material obrante en el plenario</w:t>
      </w:r>
      <w:r w:rsidRPr="00B639BD">
        <w:rPr>
          <w:rFonts w:eastAsia="Times New Roman"/>
          <w:bCs/>
          <w:sz w:val="24"/>
          <w:szCs w:val="24"/>
          <w:lang w:eastAsia="es-ES"/>
        </w:rPr>
        <w:t xml:space="preserve">, </w:t>
      </w:r>
      <w:r w:rsidR="006E08CD" w:rsidRPr="00B639BD">
        <w:rPr>
          <w:rFonts w:eastAsia="Times New Roman"/>
          <w:bCs/>
          <w:sz w:val="24"/>
          <w:szCs w:val="24"/>
          <w:lang w:eastAsia="es-ES"/>
        </w:rPr>
        <w:t>se concluye el desconocimiento</w:t>
      </w:r>
      <w:r w:rsidRPr="00B639BD">
        <w:rPr>
          <w:rFonts w:eastAsia="Times New Roman"/>
          <w:bCs/>
          <w:sz w:val="24"/>
          <w:szCs w:val="24"/>
          <w:lang w:eastAsia="es-ES"/>
        </w:rPr>
        <w:t xml:space="preserve"> del derecho fundamental de petición de la actora.</w:t>
      </w:r>
      <w:r w:rsidR="0059796F" w:rsidRPr="00B639BD">
        <w:rPr>
          <w:rFonts w:eastAsia="Times New Roman"/>
          <w:bCs/>
          <w:sz w:val="24"/>
          <w:szCs w:val="24"/>
          <w:lang w:eastAsia="es-ES"/>
        </w:rPr>
        <w:t xml:space="preserve"> En concreto, dentro del expediente no </w:t>
      </w:r>
      <w:r w:rsidR="006E08CD" w:rsidRPr="00B639BD">
        <w:rPr>
          <w:rFonts w:eastAsia="Times New Roman"/>
          <w:bCs/>
          <w:sz w:val="24"/>
          <w:szCs w:val="24"/>
          <w:lang w:eastAsia="es-ES"/>
        </w:rPr>
        <w:t>figura</w:t>
      </w:r>
      <w:r w:rsidR="0059796F" w:rsidRPr="00B639BD">
        <w:rPr>
          <w:rFonts w:eastAsia="Times New Roman"/>
          <w:bCs/>
          <w:sz w:val="24"/>
          <w:szCs w:val="24"/>
          <w:lang w:eastAsia="es-ES"/>
        </w:rPr>
        <w:t xml:space="preserve"> prueba alguna que acredite que la solicitud radicada por la accionante fue respondida</w:t>
      </w:r>
      <w:r w:rsidR="007B2A1E" w:rsidRPr="00B639BD">
        <w:rPr>
          <w:rFonts w:eastAsia="Times New Roman"/>
          <w:bCs/>
          <w:sz w:val="24"/>
          <w:szCs w:val="24"/>
          <w:lang w:eastAsia="es-ES"/>
        </w:rPr>
        <w:t xml:space="preserve"> y notificada</w:t>
      </w:r>
      <w:r w:rsidR="0059796F" w:rsidRPr="00B639BD">
        <w:rPr>
          <w:rFonts w:eastAsia="Times New Roman"/>
          <w:bCs/>
          <w:sz w:val="24"/>
          <w:szCs w:val="24"/>
          <w:lang w:eastAsia="es-ES"/>
        </w:rPr>
        <w:t>.</w:t>
      </w:r>
      <w:r w:rsidR="007B2A1E" w:rsidRPr="00B639BD">
        <w:rPr>
          <w:rFonts w:eastAsia="Times New Roman"/>
          <w:bCs/>
          <w:sz w:val="24"/>
          <w:szCs w:val="24"/>
          <w:lang w:eastAsia="es-ES"/>
        </w:rPr>
        <w:t xml:space="preserve"> En consecuencia, los interrogantes propuestos por la solicitante aún no se han contestado</w:t>
      </w:r>
      <w:r w:rsidR="0086189E" w:rsidRPr="00B639BD">
        <w:rPr>
          <w:rFonts w:eastAsia="Times New Roman"/>
          <w:bCs/>
          <w:sz w:val="24"/>
          <w:szCs w:val="24"/>
          <w:lang w:eastAsia="es-ES"/>
        </w:rPr>
        <w:t>.</w:t>
      </w:r>
      <w:r w:rsidR="007B2A1E" w:rsidRPr="00B639BD">
        <w:rPr>
          <w:rFonts w:eastAsia="Times New Roman"/>
          <w:bCs/>
          <w:sz w:val="24"/>
          <w:szCs w:val="24"/>
          <w:lang w:eastAsia="es-ES"/>
        </w:rPr>
        <w:t xml:space="preserve"> En específico, sigue sin resolverse si la accionada requerir</w:t>
      </w:r>
      <w:r w:rsidR="006231DA" w:rsidRPr="00B639BD">
        <w:rPr>
          <w:rFonts w:eastAsia="Times New Roman"/>
          <w:bCs/>
          <w:sz w:val="24"/>
          <w:szCs w:val="24"/>
          <w:lang w:eastAsia="es-ES"/>
        </w:rPr>
        <w:t>á</w:t>
      </w:r>
      <w:r w:rsidR="007B2A1E" w:rsidRPr="00B639BD">
        <w:rPr>
          <w:rFonts w:eastAsia="Times New Roman"/>
          <w:bCs/>
          <w:sz w:val="24"/>
          <w:szCs w:val="24"/>
          <w:lang w:eastAsia="es-ES"/>
        </w:rPr>
        <w:t xml:space="preserve"> al Juez Sexto Penal Municipal de Conocimiento de Bogotá para que éste </w:t>
      </w:r>
      <w:r w:rsidR="006231DA" w:rsidRPr="00B639BD">
        <w:rPr>
          <w:rFonts w:eastAsia="Times New Roman"/>
          <w:bCs/>
          <w:sz w:val="24"/>
          <w:szCs w:val="24"/>
          <w:lang w:eastAsia="es-ES"/>
        </w:rPr>
        <w:t>absuelva</w:t>
      </w:r>
      <w:r w:rsidR="007B2A1E" w:rsidRPr="00B639BD">
        <w:rPr>
          <w:rFonts w:eastAsia="Times New Roman"/>
          <w:bCs/>
          <w:sz w:val="24"/>
          <w:szCs w:val="24"/>
          <w:lang w:eastAsia="es-ES"/>
        </w:rPr>
        <w:t xml:space="preserve"> las dudas que la peticionaria expuso acerca del trámite de la tutela de su interés. Tales inquietudes versan acerca de por qué, según ella, no se le notificó del auto admisorio dictado dentro </w:t>
      </w:r>
      <w:r w:rsidR="008A732C" w:rsidRPr="00B639BD">
        <w:rPr>
          <w:rFonts w:eastAsia="Times New Roman"/>
          <w:bCs/>
          <w:sz w:val="24"/>
          <w:szCs w:val="24"/>
          <w:lang w:eastAsia="es-ES"/>
        </w:rPr>
        <w:t>de ese</w:t>
      </w:r>
      <w:r w:rsidR="007B2A1E" w:rsidRPr="00B639BD">
        <w:rPr>
          <w:rFonts w:eastAsia="Times New Roman"/>
          <w:bCs/>
          <w:sz w:val="24"/>
          <w:szCs w:val="24"/>
          <w:lang w:eastAsia="es-ES"/>
        </w:rPr>
        <w:t xml:space="preserve"> proceso</w:t>
      </w:r>
      <w:r w:rsidR="00D064F8" w:rsidRPr="00B639BD">
        <w:rPr>
          <w:rFonts w:eastAsia="Times New Roman"/>
          <w:bCs/>
          <w:sz w:val="24"/>
          <w:szCs w:val="24"/>
          <w:lang w:eastAsia="es-ES"/>
        </w:rPr>
        <w:t>;</w:t>
      </w:r>
      <w:r w:rsidR="007B2A1E" w:rsidRPr="00B639BD">
        <w:rPr>
          <w:rFonts w:eastAsia="Times New Roman"/>
          <w:bCs/>
          <w:sz w:val="24"/>
          <w:szCs w:val="24"/>
          <w:lang w:eastAsia="es-ES"/>
        </w:rPr>
        <w:t xml:space="preserve"> a qué resultado llegó su solicitud de declaratoria de nulidad</w:t>
      </w:r>
      <w:r w:rsidR="00D064F8" w:rsidRPr="00B639BD">
        <w:rPr>
          <w:rFonts w:eastAsia="Times New Roman"/>
          <w:bCs/>
          <w:sz w:val="24"/>
          <w:szCs w:val="24"/>
          <w:lang w:eastAsia="es-ES"/>
        </w:rPr>
        <w:t>;</w:t>
      </w:r>
      <w:r w:rsidR="007B2A1E" w:rsidRPr="00B639BD">
        <w:rPr>
          <w:rFonts w:eastAsia="Times New Roman"/>
          <w:bCs/>
          <w:sz w:val="24"/>
          <w:szCs w:val="24"/>
          <w:lang w:eastAsia="es-ES"/>
        </w:rPr>
        <w:t xml:space="preserve"> cuál es el estado actual del trámite procesal</w:t>
      </w:r>
      <w:r w:rsidR="00D064F8" w:rsidRPr="00B639BD">
        <w:rPr>
          <w:rFonts w:eastAsia="Times New Roman"/>
          <w:bCs/>
          <w:sz w:val="24"/>
          <w:szCs w:val="24"/>
          <w:lang w:eastAsia="es-ES"/>
        </w:rPr>
        <w:t>;</w:t>
      </w:r>
      <w:r w:rsidR="007B2A1E" w:rsidRPr="00B639BD">
        <w:rPr>
          <w:rFonts w:eastAsia="Times New Roman"/>
          <w:bCs/>
          <w:sz w:val="24"/>
          <w:szCs w:val="24"/>
          <w:lang w:eastAsia="es-ES"/>
        </w:rPr>
        <w:t xml:space="preserve"> dónde reposa el expediente contentivo de esa acción</w:t>
      </w:r>
      <w:r w:rsidR="00D064F8" w:rsidRPr="00B639BD">
        <w:rPr>
          <w:rFonts w:eastAsia="Times New Roman"/>
          <w:bCs/>
          <w:sz w:val="24"/>
          <w:szCs w:val="24"/>
          <w:lang w:eastAsia="es-ES"/>
        </w:rPr>
        <w:t>;</w:t>
      </w:r>
      <w:r w:rsidR="007B2A1E" w:rsidRPr="00B639BD">
        <w:rPr>
          <w:rFonts w:eastAsia="Times New Roman"/>
          <w:bCs/>
          <w:sz w:val="24"/>
          <w:szCs w:val="24"/>
          <w:lang w:eastAsia="es-ES"/>
        </w:rPr>
        <w:t xml:space="preserve"> y cuáles sanciones prevé la ley para lo que, en su sentir, son graves violaciones al debido proceso.</w:t>
      </w:r>
      <w:r w:rsidR="0086189E" w:rsidRPr="00B639BD">
        <w:rPr>
          <w:rFonts w:eastAsia="Times New Roman"/>
          <w:bCs/>
          <w:sz w:val="24"/>
          <w:szCs w:val="24"/>
          <w:lang w:eastAsia="es-ES"/>
        </w:rPr>
        <w:t xml:space="preserve"> </w:t>
      </w:r>
      <w:r w:rsidR="00514C59" w:rsidRPr="00B639BD">
        <w:rPr>
          <w:rFonts w:eastAsia="Times New Roman"/>
          <w:bCs/>
          <w:sz w:val="24"/>
          <w:szCs w:val="24"/>
          <w:lang w:eastAsia="es-ES"/>
        </w:rPr>
        <w:t xml:space="preserve">De ese modo, ese organismo tiene a la </w:t>
      </w:r>
      <w:r w:rsidR="008A732C" w:rsidRPr="00B639BD">
        <w:rPr>
          <w:rFonts w:eastAsia="Times New Roman"/>
          <w:bCs/>
          <w:sz w:val="24"/>
          <w:szCs w:val="24"/>
          <w:lang w:eastAsia="es-ES"/>
        </w:rPr>
        <w:t>señora Villota</w:t>
      </w:r>
      <w:r w:rsidR="00514C59" w:rsidRPr="00B639BD">
        <w:rPr>
          <w:rFonts w:eastAsia="Times New Roman"/>
          <w:bCs/>
          <w:sz w:val="24"/>
          <w:szCs w:val="24"/>
          <w:lang w:eastAsia="es-ES"/>
        </w:rPr>
        <w:t xml:space="preserve"> en estado de incertidumbre</w:t>
      </w:r>
      <w:r w:rsidR="00291382" w:rsidRPr="00B639BD">
        <w:rPr>
          <w:rFonts w:eastAsia="Times New Roman"/>
          <w:bCs/>
          <w:sz w:val="24"/>
          <w:szCs w:val="24"/>
          <w:lang w:eastAsia="es-ES"/>
        </w:rPr>
        <w:t>, pues, desde que ella radicó su solicitud, la entidad no se ha pronunciado en ningún sentido</w:t>
      </w:r>
      <w:r w:rsidR="00723A9C" w:rsidRPr="00B639BD">
        <w:rPr>
          <w:rStyle w:val="Refdenotaalpie"/>
          <w:rFonts w:eastAsia="Times New Roman"/>
          <w:bCs/>
          <w:sz w:val="24"/>
          <w:szCs w:val="24"/>
          <w:lang w:eastAsia="es-ES"/>
        </w:rPr>
        <w:footnoteReference w:id="17"/>
      </w:r>
      <w:r w:rsidR="00514C59" w:rsidRPr="00B639BD">
        <w:rPr>
          <w:rFonts w:eastAsia="Times New Roman"/>
          <w:bCs/>
          <w:sz w:val="24"/>
          <w:szCs w:val="24"/>
          <w:lang w:eastAsia="es-ES"/>
        </w:rPr>
        <w:t>.</w:t>
      </w:r>
    </w:p>
    <w:p w14:paraId="48233F0F" w14:textId="77777777" w:rsidR="006E08CD" w:rsidRPr="00B639BD" w:rsidRDefault="006E08CD" w:rsidP="0078297C">
      <w:pPr>
        <w:spacing w:line="276" w:lineRule="auto"/>
        <w:rPr>
          <w:rFonts w:eastAsia="Times New Roman"/>
          <w:bCs/>
          <w:sz w:val="24"/>
          <w:szCs w:val="24"/>
          <w:lang w:eastAsia="es-ES"/>
        </w:rPr>
      </w:pPr>
    </w:p>
    <w:p w14:paraId="55917549" w14:textId="65B15A1D" w:rsidR="002E076B" w:rsidRPr="00B639BD" w:rsidRDefault="006E08CD" w:rsidP="0078297C">
      <w:pPr>
        <w:pStyle w:val="Prrafodelista"/>
        <w:spacing w:line="276" w:lineRule="auto"/>
        <w:ind w:left="0"/>
        <w:rPr>
          <w:rFonts w:eastAsia="Times New Roman"/>
          <w:b/>
          <w:sz w:val="24"/>
          <w:szCs w:val="24"/>
          <w:lang w:eastAsia="es-ES"/>
        </w:rPr>
      </w:pPr>
      <w:r w:rsidRPr="00B639BD">
        <w:rPr>
          <w:rFonts w:eastAsia="Times New Roman"/>
          <w:bCs/>
          <w:sz w:val="24"/>
          <w:szCs w:val="24"/>
          <w:lang w:eastAsia="es-ES"/>
        </w:rPr>
        <w:t>L</w:t>
      </w:r>
      <w:r w:rsidR="0059796F" w:rsidRPr="00B639BD">
        <w:rPr>
          <w:rFonts w:eastAsia="Times New Roman"/>
          <w:bCs/>
          <w:sz w:val="24"/>
          <w:szCs w:val="24"/>
          <w:lang w:eastAsia="es-ES"/>
        </w:rPr>
        <w:t xml:space="preserve">a </w:t>
      </w:r>
      <w:r w:rsidRPr="00B639BD">
        <w:rPr>
          <w:rFonts w:eastAsia="Times New Roman"/>
          <w:bCs/>
          <w:sz w:val="24"/>
          <w:szCs w:val="24"/>
          <w:lang w:eastAsia="es-ES"/>
        </w:rPr>
        <w:t>Dirección Ejecutiva</w:t>
      </w:r>
      <w:r w:rsidR="0059796F" w:rsidRPr="00B639BD">
        <w:rPr>
          <w:rFonts w:eastAsia="Times New Roman"/>
          <w:bCs/>
          <w:sz w:val="24"/>
          <w:szCs w:val="24"/>
          <w:lang w:eastAsia="es-ES"/>
        </w:rPr>
        <w:t xml:space="preserve"> que rindió informe ante este fallador</w:t>
      </w:r>
      <w:r w:rsidRPr="00B639BD">
        <w:rPr>
          <w:rFonts w:eastAsia="Times New Roman"/>
          <w:bCs/>
          <w:sz w:val="24"/>
          <w:szCs w:val="24"/>
          <w:lang w:eastAsia="es-ES"/>
        </w:rPr>
        <w:t>, por su parte,</w:t>
      </w:r>
      <w:r w:rsidR="0059796F" w:rsidRPr="00B639BD">
        <w:rPr>
          <w:rFonts w:eastAsia="Times New Roman"/>
          <w:bCs/>
          <w:sz w:val="24"/>
          <w:szCs w:val="24"/>
          <w:lang w:eastAsia="es-ES"/>
        </w:rPr>
        <w:t xml:space="preserve"> se limitó a afirmar que el asunto bajo examen no es de su injerencia</w:t>
      </w:r>
      <w:r w:rsidRPr="00B639BD">
        <w:rPr>
          <w:rFonts w:eastAsia="Times New Roman"/>
          <w:bCs/>
          <w:sz w:val="24"/>
          <w:szCs w:val="24"/>
          <w:lang w:eastAsia="es-ES"/>
        </w:rPr>
        <w:t xml:space="preserve"> y </w:t>
      </w:r>
      <w:r w:rsidR="00DF20A4" w:rsidRPr="00B639BD">
        <w:rPr>
          <w:rFonts w:eastAsia="Times New Roman"/>
          <w:bCs/>
          <w:sz w:val="24"/>
          <w:szCs w:val="24"/>
          <w:lang w:eastAsia="es-ES"/>
        </w:rPr>
        <w:t xml:space="preserve">adujo </w:t>
      </w:r>
      <w:r w:rsidRPr="00B639BD">
        <w:rPr>
          <w:rFonts w:eastAsia="Times New Roman"/>
          <w:bCs/>
          <w:sz w:val="24"/>
          <w:szCs w:val="24"/>
          <w:lang w:eastAsia="es-ES"/>
        </w:rPr>
        <w:t>que la petición fue trasladada</w:t>
      </w:r>
      <w:r w:rsidR="0059796F" w:rsidRPr="00B639BD">
        <w:rPr>
          <w:rFonts w:eastAsia="Times New Roman"/>
          <w:bCs/>
          <w:sz w:val="24"/>
          <w:szCs w:val="24"/>
          <w:lang w:eastAsia="es-ES"/>
        </w:rPr>
        <w:t>.</w:t>
      </w:r>
      <w:r w:rsidRPr="00B639BD">
        <w:rPr>
          <w:rFonts w:eastAsia="Times New Roman"/>
          <w:bCs/>
          <w:sz w:val="24"/>
          <w:szCs w:val="24"/>
          <w:lang w:eastAsia="es-ES"/>
        </w:rPr>
        <w:t xml:space="preserve"> Sin embargo, no </w:t>
      </w:r>
      <w:r w:rsidR="00387BBE" w:rsidRPr="00B639BD">
        <w:rPr>
          <w:rFonts w:eastAsia="Times New Roman"/>
          <w:bCs/>
          <w:sz w:val="24"/>
          <w:szCs w:val="24"/>
          <w:lang w:eastAsia="es-ES"/>
        </w:rPr>
        <w:t>probó su afirmación con la pieza</w:t>
      </w:r>
      <w:r w:rsidRPr="00B639BD">
        <w:rPr>
          <w:rFonts w:eastAsia="Times New Roman"/>
          <w:bCs/>
          <w:sz w:val="24"/>
          <w:szCs w:val="24"/>
          <w:lang w:eastAsia="es-ES"/>
        </w:rPr>
        <w:t xml:space="preserve"> que </w:t>
      </w:r>
      <w:r w:rsidR="006B39DC" w:rsidRPr="00B639BD">
        <w:rPr>
          <w:rFonts w:eastAsia="Times New Roman"/>
          <w:bCs/>
          <w:sz w:val="24"/>
          <w:szCs w:val="24"/>
          <w:lang w:eastAsia="es-ES"/>
        </w:rPr>
        <w:t>mostrara</w:t>
      </w:r>
      <w:r w:rsidRPr="00B639BD">
        <w:rPr>
          <w:rFonts w:eastAsia="Times New Roman"/>
          <w:bCs/>
          <w:sz w:val="24"/>
          <w:szCs w:val="24"/>
          <w:lang w:eastAsia="es-ES"/>
        </w:rPr>
        <w:t xml:space="preserve"> que la peticionaria fue enterada de esa remisión, tal como lo ordena el artículo 21</w:t>
      </w:r>
      <w:r w:rsidR="00176B3D" w:rsidRPr="00B639BD">
        <w:rPr>
          <w:rStyle w:val="Refdenotaalpie"/>
          <w:rFonts w:eastAsia="Times New Roman"/>
          <w:bCs/>
          <w:sz w:val="24"/>
          <w:szCs w:val="24"/>
          <w:lang w:eastAsia="es-ES"/>
        </w:rPr>
        <w:footnoteReference w:id="18"/>
      </w:r>
      <w:r w:rsidRPr="00B639BD">
        <w:rPr>
          <w:rFonts w:eastAsia="Times New Roman"/>
          <w:bCs/>
          <w:sz w:val="24"/>
          <w:szCs w:val="24"/>
          <w:lang w:eastAsia="es-ES"/>
        </w:rPr>
        <w:t xml:space="preserve"> de la Ley 1437 de 2011, según lo modificó el artículo 1</w:t>
      </w:r>
      <w:proofErr w:type="gramStart"/>
      <w:r w:rsidRPr="00B639BD">
        <w:rPr>
          <w:rFonts w:eastAsia="Times New Roman"/>
          <w:bCs/>
          <w:sz w:val="24"/>
          <w:szCs w:val="24"/>
          <w:lang w:eastAsia="es-ES"/>
        </w:rPr>
        <w:t>.°</w:t>
      </w:r>
      <w:proofErr w:type="gramEnd"/>
      <w:r w:rsidRPr="00B639BD">
        <w:rPr>
          <w:rFonts w:eastAsia="Times New Roman"/>
          <w:bCs/>
          <w:sz w:val="24"/>
          <w:szCs w:val="24"/>
          <w:lang w:eastAsia="es-ES"/>
        </w:rPr>
        <w:t xml:space="preserve"> de la Ley 1755 de 2015</w:t>
      </w:r>
      <w:r w:rsidR="005F2E9C" w:rsidRPr="00B639BD">
        <w:rPr>
          <w:rFonts w:eastAsia="Times New Roman"/>
          <w:bCs/>
          <w:sz w:val="24"/>
          <w:szCs w:val="24"/>
          <w:lang w:eastAsia="es-ES"/>
        </w:rPr>
        <w:t xml:space="preserve">, y de acuerdo con las condiciones </w:t>
      </w:r>
      <w:r w:rsidR="002A71A9" w:rsidRPr="00B639BD">
        <w:rPr>
          <w:rFonts w:eastAsia="Times New Roman"/>
          <w:bCs/>
          <w:sz w:val="24"/>
          <w:szCs w:val="24"/>
          <w:lang w:eastAsia="es-ES"/>
        </w:rPr>
        <w:t>dispuestas</w:t>
      </w:r>
      <w:r w:rsidR="005F2E9C" w:rsidRPr="00B639BD">
        <w:rPr>
          <w:rFonts w:eastAsia="Times New Roman"/>
          <w:bCs/>
          <w:sz w:val="24"/>
          <w:szCs w:val="24"/>
          <w:lang w:eastAsia="es-ES"/>
        </w:rPr>
        <w:t xml:space="preserve"> </w:t>
      </w:r>
      <w:r w:rsidR="002A71A9" w:rsidRPr="00B639BD">
        <w:rPr>
          <w:rFonts w:eastAsia="Times New Roman"/>
          <w:bCs/>
          <w:sz w:val="24"/>
          <w:szCs w:val="24"/>
          <w:lang w:eastAsia="es-ES"/>
        </w:rPr>
        <w:t>por</w:t>
      </w:r>
      <w:r w:rsidR="005F2E9C" w:rsidRPr="00B639BD">
        <w:rPr>
          <w:rFonts w:eastAsia="Times New Roman"/>
          <w:bCs/>
          <w:sz w:val="24"/>
          <w:szCs w:val="24"/>
          <w:lang w:eastAsia="es-ES"/>
        </w:rPr>
        <w:t xml:space="preserve"> la jurisprudencia</w:t>
      </w:r>
      <w:r w:rsidR="005F2E9C" w:rsidRPr="00B639BD">
        <w:rPr>
          <w:rStyle w:val="Refdenotaalpie"/>
          <w:rFonts w:eastAsia="Times New Roman"/>
          <w:bCs/>
          <w:sz w:val="24"/>
          <w:szCs w:val="24"/>
          <w:lang w:eastAsia="es-ES"/>
        </w:rPr>
        <w:footnoteReference w:id="19"/>
      </w:r>
      <w:r w:rsidRPr="00B639BD">
        <w:rPr>
          <w:rFonts w:eastAsia="Times New Roman"/>
          <w:bCs/>
          <w:sz w:val="24"/>
          <w:szCs w:val="24"/>
          <w:lang w:eastAsia="es-ES"/>
        </w:rPr>
        <w:t>.</w:t>
      </w:r>
      <w:r w:rsidR="0059796F" w:rsidRPr="00B639BD">
        <w:rPr>
          <w:rFonts w:eastAsia="Times New Roman"/>
          <w:bCs/>
          <w:sz w:val="24"/>
          <w:szCs w:val="24"/>
          <w:lang w:eastAsia="es-ES"/>
        </w:rPr>
        <w:t xml:space="preserve"> </w:t>
      </w:r>
      <w:r w:rsidR="00C637B7" w:rsidRPr="00B639BD">
        <w:rPr>
          <w:rFonts w:eastAsia="Times New Roman"/>
          <w:bCs/>
          <w:sz w:val="24"/>
          <w:szCs w:val="24"/>
          <w:lang w:eastAsia="es-ES"/>
        </w:rPr>
        <w:t>En todo caso, debe advertirse que, por tratarse de una misma entidad, el eventual enteramiento que se extraña no hubiera alterado los términos para responder</w:t>
      </w:r>
      <w:r w:rsidR="00C637B7" w:rsidRPr="00B639BD">
        <w:rPr>
          <w:rStyle w:val="Refdenotaalpie"/>
          <w:rFonts w:eastAsia="Times New Roman"/>
          <w:bCs/>
          <w:sz w:val="24"/>
          <w:szCs w:val="24"/>
          <w:lang w:eastAsia="es-ES"/>
        </w:rPr>
        <w:footnoteReference w:id="20"/>
      </w:r>
      <w:r w:rsidR="006B39DC" w:rsidRPr="00B639BD">
        <w:rPr>
          <w:rFonts w:eastAsia="Times New Roman"/>
          <w:bCs/>
          <w:sz w:val="24"/>
          <w:szCs w:val="24"/>
          <w:lang w:eastAsia="es-ES"/>
        </w:rPr>
        <w:t xml:space="preserve"> ni cambia el hecho de que no se acreditó que la petición en cita hubiera sido respondida</w:t>
      </w:r>
      <w:r w:rsidR="00C637B7" w:rsidRPr="00B639BD">
        <w:rPr>
          <w:rFonts w:eastAsia="Times New Roman"/>
          <w:bCs/>
          <w:sz w:val="24"/>
          <w:szCs w:val="24"/>
          <w:lang w:eastAsia="es-ES"/>
        </w:rPr>
        <w:t xml:space="preserve">. </w:t>
      </w:r>
      <w:r w:rsidR="0059796F" w:rsidRPr="00B639BD">
        <w:rPr>
          <w:rFonts w:eastAsia="Times New Roman"/>
          <w:bCs/>
          <w:sz w:val="24"/>
          <w:szCs w:val="24"/>
          <w:lang w:eastAsia="es-ES"/>
        </w:rPr>
        <w:t xml:space="preserve">Con ello </w:t>
      </w:r>
      <w:r w:rsidR="005017A3" w:rsidRPr="00B639BD">
        <w:rPr>
          <w:rFonts w:eastAsia="Times New Roman"/>
          <w:bCs/>
          <w:sz w:val="24"/>
          <w:szCs w:val="24"/>
          <w:lang w:eastAsia="es-ES"/>
        </w:rPr>
        <w:t xml:space="preserve">también </w:t>
      </w:r>
      <w:r w:rsidR="0059796F" w:rsidRPr="00B639BD">
        <w:rPr>
          <w:rFonts w:eastAsia="Times New Roman"/>
          <w:bCs/>
          <w:sz w:val="24"/>
          <w:szCs w:val="24"/>
          <w:lang w:eastAsia="es-ES"/>
        </w:rPr>
        <w:t xml:space="preserve">se </w:t>
      </w:r>
      <w:r w:rsidR="00291382" w:rsidRPr="00B639BD">
        <w:rPr>
          <w:rFonts w:eastAsia="Times New Roman"/>
          <w:bCs/>
          <w:sz w:val="24"/>
          <w:szCs w:val="24"/>
          <w:lang w:eastAsia="es-ES"/>
        </w:rPr>
        <w:t>encuentra</w:t>
      </w:r>
      <w:r w:rsidR="0059796F" w:rsidRPr="00B639BD">
        <w:rPr>
          <w:rFonts w:eastAsia="Times New Roman"/>
          <w:bCs/>
          <w:sz w:val="24"/>
          <w:szCs w:val="24"/>
          <w:lang w:eastAsia="es-ES"/>
        </w:rPr>
        <w:t xml:space="preserve"> que la garantía fundamental en </w:t>
      </w:r>
      <w:r w:rsidR="00C0404E" w:rsidRPr="00B639BD">
        <w:rPr>
          <w:rFonts w:eastAsia="Times New Roman"/>
          <w:bCs/>
          <w:sz w:val="24"/>
          <w:szCs w:val="24"/>
          <w:lang w:eastAsia="es-ES"/>
        </w:rPr>
        <w:t>comento</w:t>
      </w:r>
      <w:r w:rsidR="0059796F" w:rsidRPr="00B639BD">
        <w:rPr>
          <w:rFonts w:eastAsia="Times New Roman"/>
          <w:bCs/>
          <w:sz w:val="24"/>
          <w:szCs w:val="24"/>
          <w:lang w:eastAsia="es-ES"/>
        </w:rPr>
        <w:t xml:space="preserve"> fue vulnerada por </w:t>
      </w:r>
      <w:r w:rsidR="00C637B7" w:rsidRPr="00B639BD">
        <w:rPr>
          <w:rFonts w:eastAsia="Times New Roman"/>
          <w:bCs/>
          <w:sz w:val="24"/>
          <w:szCs w:val="24"/>
          <w:lang w:eastAsia="es-ES"/>
        </w:rPr>
        <w:t>la</w:t>
      </w:r>
      <w:r w:rsidR="0059796F" w:rsidRPr="00B639BD">
        <w:rPr>
          <w:rFonts w:eastAsia="Times New Roman"/>
          <w:bCs/>
          <w:sz w:val="24"/>
          <w:szCs w:val="24"/>
          <w:lang w:eastAsia="es-ES"/>
        </w:rPr>
        <w:t xml:space="preserve"> </w:t>
      </w:r>
      <w:r w:rsidR="00C0404E" w:rsidRPr="00B639BD">
        <w:rPr>
          <w:rFonts w:eastAsia="Times New Roman"/>
          <w:bCs/>
          <w:sz w:val="24"/>
          <w:szCs w:val="24"/>
          <w:lang w:eastAsia="es-ES"/>
        </w:rPr>
        <w:t>Corporación</w:t>
      </w:r>
      <w:r w:rsidR="00DA0621" w:rsidRPr="00B639BD">
        <w:rPr>
          <w:rFonts w:eastAsia="Times New Roman"/>
          <w:bCs/>
          <w:sz w:val="24"/>
          <w:szCs w:val="24"/>
          <w:lang w:eastAsia="es-ES"/>
        </w:rPr>
        <w:t xml:space="preserve"> </w:t>
      </w:r>
      <w:r w:rsidR="0059796F" w:rsidRPr="00B639BD">
        <w:rPr>
          <w:rFonts w:eastAsia="Times New Roman"/>
          <w:bCs/>
          <w:sz w:val="24"/>
          <w:szCs w:val="24"/>
          <w:lang w:eastAsia="es-ES"/>
        </w:rPr>
        <w:t>accionad</w:t>
      </w:r>
      <w:r w:rsidR="00C637B7" w:rsidRPr="00B639BD">
        <w:rPr>
          <w:rFonts w:eastAsia="Times New Roman"/>
          <w:bCs/>
          <w:sz w:val="24"/>
          <w:szCs w:val="24"/>
          <w:lang w:eastAsia="es-ES"/>
        </w:rPr>
        <w:t>a</w:t>
      </w:r>
      <w:r w:rsidR="0059796F" w:rsidRPr="00B639BD">
        <w:rPr>
          <w:rFonts w:eastAsia="Times New Roman"/>
          <w:bCs/>
          <w:sz w:val="24"/>
          <w:szCs w:val="24"/>
          <w:lang w:eastAsia="es-ES"/>
        </w:rPr>
        <w:t>.</w:t>
      </w:r>
    </w:p>
    <w:p w14:paraId="6ADFF589" w14:textId="77777777" w:rsidR="0055733F" w:rsidRPr="00B639BD" w:rsidRDefault="0055733F" w:rsidP="0078297C">
      <w:pPr>
        <w:spacing w:line="276" w:lineRule="auto"/>
        <w:rPr>
          <w:bCs/>
          <w:sz w:val="24"/>
          <w:szCs w:val="24"/>
        </w:rPr>
      </w:pPr>
    </w:p>
    <w:p w14:paraId="38F13647" w14:textId="17E8E775" w:rsidR="001D54DE" w:rsidRPr="00B639BD" w:rsidRDefault="001D54DE" w:rsidP="0078297C">
      <w:pPr>
        <w:spacing w:line="276" w:lineRule="auto"/>
        <w:rPr>
          <w:bCs/>
          <w:sz w:val="24"/>
          <w:szCs w:val="24"/>
        </w:rPr>
      </w:pPr>
      <w:r w:rsidRPr="00B639BD">
        <w:rPr>
          <w:bCs/>
          <w:sz w:val="24"/>
          <w:szCs w:val="24"/>
        </w:rPr>
        <w:t>Lo antes dicho no obsta para que, del estudio de las peticiones, la entidad llegue a la conclusión de que algunos asuntos no son de su competencia, o que ciertos aspectos exceden la órbita del derecho de petición o que corresponde llevarse a un trámite que ya adelantó</w:t>
      </w:r>
      <w:r w:rsidR="00CB468E" w:rsidRPr="00B639BD">
        <w:rPr>
          <w:bCs/>
          <w:sz w:val="24"/>
          <w:szCs w:val="24"/>
        </w:rPr>
        <w:t>, de acuerdo con las reglas previstas en el artículo 21 de la Ley 1437 de 2011 y en la jurisprudencia constitucional y de esta Corporación</w:t>
      </w:r>
      <w:r w:rsidR="00CB468E" w:rsidRPr="00B639BD">
        <w:rPr>
          <w:rStyle w:val="Refdenotaalpie"/>
          <w:bCs/>
          <w:sz w:val="24"/>
          <w:szCs w:val="24"/>
        </w:rPr>
        <w:footnoteReference w:id="21"/>
      </w:r>
      <w:r w:rsidRPr="00B639BD">
        <w:rPr>
          <w:bCs/>
          <w:sz w:val="24"/>
          <w:szCs w:val="24"/>
        </w:rPr>
        <w:t>. En cualquier caso, la garantía del derecho de petición exige que, cualquiera sea la respuesta, deba ser informada oportunamente, con claridad, transparencia</w:t>
      </w:r>
      <w:r w:rsidR="00BE0BDD" w:rsidRPr="00B639BD">
        <w:rPr>
          <w:bCs/>
          <w:sz w:val="24"/>
          <w:szCs w:val="24"/>
        </w:rPr>
        <w:t xml:space="preserve"> y </w:t>
      </w:r>
      <w:r w:rsidRPr="00B639BD">
        <w:rPr>
          <w:bCs/>
          <w:sz w:val="24"/>
          <w:szCs w:val="24"/>
        </w:rPr>
        <w:t>coherencia con lo pedido</w:t>
      </w:r>
      <w:r w:rsidR="00BE0BDD" w:rsidRPr="00B639BD">
        <w:rPr>
          <w:bCs/>
          <w:sz w:val="24"/>
          <w:szCs w:val="24"/>
        </w:rPr>
        <w:t>.</w:t>
      </w:r>
    </w:p>
    <w:p w14:paraId="0143C122" w14:textId="77777777" w:rsidR="001D54DE" w:rsidRPr="00B639BD" w:rsidRDefault="001D54DE" w:rsidP="0078297C">
      <w:pPr>
        <w:spacing w:line="276" w:lineRule="auto"/>
        <w:rPr>
          <w:bCs/>
          <w:sz w:val="24"/>
          <w:szCs w:val="24"/>
        </w:rPr>
      </w:pPr>
    </w:p>
    <w:p w14:paraId="6A5B942C" w14:textId="79C73AB8" w:rsidR="00612A30" w:rsidRPr="00B639BD" w:rsidRDefault="00253667" w:rsidP="00C05461">
      <w:pPr>
        <w:pStyle w:val="Prrafodelista"/>
        <w:numPr>
          <w:ilvl w:val="1"/>
          <w:numId w:val="1"/>
        </w:numPr>
        <w:spacing w:line="276" w:lineRule="auto"/>
        <w:ind w:left="0" w:firstLine="0"/>
        <w:rPr>
          <w:rFonts w:eastAsia="Times New Roman"/>
          <w:bCs/>
          <w:sz w:val="24"/>
          <w:szCs w:val="24"/>
          <w:lang w:eastAsia="es-ES"/>
        </w:rPr>
      </w:pPr>
      <w:r w:rsidRPr="00B639BD">
        <w:rPr>
          <w:bCs/>
          <w:sz w:val="24"/>
          <w:szCs w:val="24"/>
        </w:rPr>
        <w:t xml:space="preserve">Como resultado de lo expuesto, se concederá el amparo deprecado. Por tanto, se ordenará al Consejo Superior de la Judicatura que dé respuesta completa a la petición presentada por la actora. En específico, la accionada deberá pronunciarse sobre las inquietudes formuladas por la citada señora respecto del Juez Sexto Penal Municipal de Conocimiento de Bogotá y de la acción de tutela que tramita ese fallador, instaurada por la accionante contra el Fondo de Pensiones Protección. </w:t>
      </w:r>
    </w:p>
    <w:p w14:paraId="6B248B45" w14:textId="77777777" w:rsidR="00CB468E" w:rsidRPr="00B639BD" w:rsidRDefault="00CB468E" w:rsidP="00CB468E">
      <w:pPr>
        <w:pStyle w:val="Prrafodelista"/>
        <w:spacing w:line="276" w:lineRule="auto"/>
        <w:ind w:left="0"/>
        <w:rPr>
          <w:rFonts w:eastAsia="Times New Roman"/>
          <w:bCs/>
          <w:sz w:val="24"/>
          <w:szCs w:val="24"/>
          <w:lang w:eastAsia="es-ES"/>
        </w:rPr>
      </w:pPr>
    </w:p>
    <w:p w14:paraId="6F3B84C6" w14:textId="77777777" w:rsidR="002A1D6D" w:rsidRPr="00B639BD" w:rsidRDefault="002A1D6D" w:rsidP="0078297C">
      <w:pPr>
        <w:pStyle w:val="Ttulo1"/>
        <w:spacing w:before="0" w:after="0"/>
        <w:ind w:hanging="147"/>
        <w:rPr>
          <w:rFonts w:cs="Arial"/>
          <w:kern w:val="0"/>
          <w:szCs w:val="24"/>
        </w:rPr>
      </w:pPr>
      <w:r w:rsidRPr="00B639BD">
        <w:rPr>
          <w:rFonts w:cs="Arial"/>
          <w:kern w:val="0"/>
          <w:szCs w:val="24"/>
        </w:rPr>
        <w:t>DECISIÓN</w:t>
      </w:r>
    </w:p>
    <w:p w14:paraId="59619CFC" w14:textId="77777777" w:rsidR="002A1D6D" w:rsidRPr="00B639BD" w:rsidRDefault="002A1D6D" w:rsidP="0078297C">
      <w:pPr>
        <w:spacing w:line="276" w:lineRule="auto"/>
        <w:contextualSpacing/>
        <w:rPr>
          <w:rFonts w:eastAsia="Times New Roman"/>
          <w:sz w:val="24"/>
          <w:szCs w:val="24"/>
        </w:rPr>
      </w:pPr>
    </w:p>
    <w:p w14:paraId="10D04F89" w14:textId="4D17D870" w:rsidR="002A1D6D" w:rsidRPr="00B639BD" w:rsidRDefault="002A1D6D" w:rsidP="0078297C">
      <w:pPr>
        <w:spacing w:line="276" w:lineRule="auto"/>
        <w:contextualSpacing/>
        <w:rPr>
          <w:rFonts w:eastAsia="Times New Roman"/>
          <w:sz w:val="24"/>
          <w:szCs w:val="24"/>
        </w:rPr>
      </w:pPr>
      <w:r w:rsidRPr="00B639BD">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26D72BE9" w14:textId="77777777" w:rsidR="0019417E" w:rsidRPr="00B639BD" w:rsidRDefault="0019417E" w:rsidP="0078297C">
      <w:pPr>
        <w:spacing w:line="276" w:lineRule="auto"/>
        <w:contextualSpacing/>
        <w:rPr>
          <w:rFonts w:eastAsia="Times New Roman"/>
          <w:sz w:val="24"/>
          <w:szCs w:val="24"/>
        </w:rPr>
      </w:pPr>
    </w:p>
    <w:p w14:paraId="2287E209" w14:textId="757CBAD1" w:rsidR="000C5DB7" w:rsidRPr="00B639BD" w:rsidRDefault="002A1D6D" w:rsidP="0078297C">
      <w:pPr>
        <w:pStyle w:val="RESUELVE"/>
        <w:spacing w:before="0" w:after="0"/>
        <w:rPr>
          <w:rFonts w:cs="Arial"/>
          <w:kern w:val="0"/>
          <w:szCs w:val="24"/>
          <w:lang w:val="es-CO"/>
        </w:rPr>
      </w:pPr>
      <w:r w:rsidRPr="00B639BD">
        <w:rPr>
          <w:rFonts w:cs="Arial"/>
          <w:kern w:val="0"/>
          <w:szCs w:val="24"/>
          <w:lang w:val="es-CO"/>
        </w:rPr>
        <w:t>FALLA</w:t>
      </w:r>
    </w:p>
    <w:p w14:paraId="3E987887" w14:textId="05AD1986" w:rsidR="00383B43" w:rsidRPr="00B639BD" w:rsidRDefault="00383B43" w:rsidP="0078297C">
      <w:pPr>
        <w:spacing w:line="276" w:lineRule="auto"/>
        <w:jc w:val="center"/>
        <w:rPr>
          <w:rFonts w:eastAsia="Verdana"/>
          <w:b/>
          <w:sz w:val="24"/>
          <w:szCs w:val="24"/>
        </w:rPr>
      </w:pPr>
    </w:p>
    <w:p w14:paraId="3BC110ED" w14:textId="0560D155" w:rsidR="004C0AE1" w:rsidRPr="00B639BD" w:rsidRDefault="004C0AE1" w:rsidP="0078297C">
      <w:pPr>
        <w:pStyle w:val="Prrafodelista"/>
        <w:numPr>
          <w:ilvl w:val="0"/>
          <w:numId w:val="27"/>
        </w:numPr>
        <w:spacing w:line="276" w:lineRule="auto"/>
        <w:ind w:left="0" w:firstLine="0"/>
        <w:rPr>
          <w:rFonts w:eastAsia="Verdana"/>
          <w:b/>
          <w:sz w:val="24"/>
          <w:szCs w:val="24"/>
          <w:lang w:val="es-ES_tradnl"/>
        </w:rPr>
      </w:pPr>
      <w:bookmarkStart w:id="2" w:name="_Hlk40368302"/>
      <w:r w:rsidRPr="00B639BD">
        <w:rPr>
          <w:rFonts w:eastAsia="Times New Roman"/>
          <w:b/>
          <w:sz w:val="24"/>
          <w:szCs w:val="24"/>
          <w:lang w:val="es-ES_tradnl"/>
        </w:rPr>
        <w:t>CONCEDER</w:t>
      </w:r>
      <w:r w:rsidRPr="00B639BD">
        <w:rPr>
          <w:rFonts w:eastAsia="Times New Roman"/>
          <w:sz w:val="24"/>
          <w:szCs w:val="24"/>
          <w:lang w:val="es-ES_tradnl"/>
        </w:rPr>
        <w:t xml:space="preserve"> la solicitud de amparo presentada por </w:t>
      </w:r>
      <w:r w:rsidR="004F56D8" w:rsidRPr="00B639BD">
        <w:rPr>
          <w:rFonts w:eastAsia="Times New Roman"/>
          <w:sz w:val="24"/>
          <w:szCs w:val="24"/>
          <w:lang w:val="es-ES_tradnl"/>
        </w:rPr>
        <w:t xml:space="preserve">Laura Iliana de María Villota </w:t>
      </w:r>
      <w:proofErr w:type="spellStart"/>
      <w:r w:rsidR="004F56D8" w:rsidRPr="00B639BD">
        <w:rPr>
          <w:rFonts w:eastAsia="Times New Roman"/>
          <w:sz w:val="24"/>
          <w:szCs w:val="24"/>
          <w:lang w:val="es-ES_tradnl"/>
        </w:rPr>
        <w:t>Chicaiza</w:t>
      </w:r>
      <w:proofErr w:type="spellEnd"/>
      <w:r w:rsidR="008E4D9F" w:rsidRPr="00B639BD">
        <w:rPr>
          <w:rFonts w:eastAsia="Times New Roman"/>
          <w:sz w:val="24"/>
          <w:szCs w:val="24"/>
          <w:lang w:val="es-ES_tradnl"/>
        </w:rPr>
        <w:t xml:space="preserve"> contra </w:t>
      </w:r>
      <w:r w:rsidR="004F56D8" w:rsidRPr="00B639BD">
        <w:rPr>
          <w:rFonts w:eastAsia="Times New Roman"/>
          <w:sz w:val="24"/>
          <w:szCs w:val="24"/>
          <w:lang w:val="es-ES_tradnl"/>
        </w:rPr>
        <w:t>el Consejo Superior de la Judicatura</w:t>
      </w:r>
      <w:r w:rsidRPr="00B639BD">
        <w:rPr>
          <w:rFonts w:eastAsia="Times New Roman"/>
          <w:sz w:val="24"/>
          <w:szCs w:val="24"/>
          <w:lang w:val="es-ES_tradnl"/>
        </w:rPr>
        <w:t xml:space="preserve">, respecto </w:t>
      </w:r>
      <w:r w:rsidRPr="00B639BD">
        <w:rPr>
          <w:sz w:val="24"/>
          <w:szCs w:val="24"/>
          <w:lang w:val="es-ES_tradnl"/>
        </w:rPr>
        <w:t xml:space="preserve">de su derecho fundamental </w:t>
      </w:r>
      <w:r w:rsidR="003F6339" w:rsidRPr="00B639BD">
        <w:rPr>
          <w:sz w:val="24"/>
          <w:szCs w:val="24"/>
          <w:lang w:val="es-ES_tradnl"/>
        </w:rPr>
        <w:t xml:space="preserve">de petición, </w:t>
      </w:r>
      <w:r w:rsidR="008E4D9F" w:rsidRPr="00B639BD">
        <w:rPr>
          <w:sz w:val="24"/>
          <w:szCs w:val="24"/>
          <w:lang w:val="es-ES_tradnl"/>
        </w:rPr>
        <w:t>preceptuado</w:t>
      </w:r>
      <w:r w:rsidRPr="00B639BD">
        <w:rPr>
          <w:sz w:val="24"/>
          <w:szCs w:val="24"/>
          <w:lang w:val="es-ES_tradnl"/>
        </w:rPr>
        <w:t xml:space="preserve"> en </w:t>
      </w:r>
      <w:r w:rsidR="0021149F" w:rsidRPr="00B639BD">
        <w:rPr>
          <w:sz w:val="24"/>
          <w:szCs w:val="24"/>
          <w:lang w:val="es-ES_tradnl"/>
        </w:rPr>
        <w:t>el</w:t>
      </w:r>
      <w:r w:rsidRPr="00B639BD">
        <w:rPr>
          <w:sz w:val="24"/>
          <w:szCs w:val="24"/>
          <w:lang w:val="es-ES_tradnl"/>
        </w:rPr>
        <w:t xml:space="preserve"> artículo </w:t>
      </w:r>
      <w:r w:rsidR="008E4D9F" w:rsidRPr="00B639BD">
        <w:rPr>
          <w:sz w:val="24"/>
          <w:szCs w:val="24"/>
          <w:lang w:val="es-ES_tradnl"/>
        </w:rPr>
        <w:t>23</w:t>
      </w:r>
      <w:r w:rsidR="003F6339" w:rsidRPr="00B639BD">
        <w:rPr>
          <w:sz w:val="24"/>
          <w:szCs w:val="24"/>
          <w:lang w:val="es-ES_tradnl"/>
        </w:rPr>
        <w:t xml:space="preserve"> Superior</w:t>
      </w:r>
      <w:r w:rsidR="008E4D9F" w:rsidRPr="00B639BD">
        <w:rPr>
          <w:sz w:val="24"/>
          <w:szCs w:val="24"/>
          <w:lang w:val="es-ES_tradnl"/>
        </w:rPr>
        <w:t xml:space="preserve">, </w:t>
      </w:r>
      <w:r w:rsidRPr="00B639BD">
        <w:rPr>
          <w:sz w:val="24"/>
          <w:szCs w:val="24"/>
        </w:rPr>
        <w:t xml:space="preserve">por los motivos expuestos </w:t>
      </w:r>
      <w:r w:rsidR="008E4D9F" w:rsidRPr="00B639BD">
        <w:rPr>
          <w:sz w:val="24"/>
          <w:szCs w:val="24"/>
        </w:rPr>
        <w:t xml:space="preserve">en la parte considerativa de </w:t>
      </w:r>
      <w:r w:rsidRPr="00B639BD">
        <w:rPr>
          <w:sz w:val="24"/>
          <w:szCs w:val="24"/>
        </w:rPr>
        <w:t>est</w:t>
      </w:r>
      <w:r w:rsidR="008E4D9F" w:rsidRPr="00B639BD">
        <w:rPr>
          <w:sz w:val="24"/>
          <w:szCs w:val="24"/>
        </w:rPr>
        <w:t>e</w:t>
      </w:r>
      <w:r w:rsidRPr="00B639BD">
        <w:rPr>
          <w:sz w:val="24"/>
          <w:szCs w:val="24"/>
        </w:rPr>
        <w:t xml:space="preserve"> prov</w:t>
      </w:r>
      <w:r w:rsidR="008E4D9F" w:rsidRPr="00B639BD">
        <w:rPr>
          <w:sz w:val="24"/>
          <w:szCs w:val="24"/>
        </w:rPr>
        <w:t>eído</w:t>
      </w:r>
      <w:r w:rsidRPr="00B639BD">
        <w:rPr>
          <w:sz w:val="24"/>
          <w:szCs w:val="24"/>
        </w:rPr>
        <w:t>.</w:t>
      </w:r>
    </w:p>
    <w:p w14:paraId="1F84A803" w14:textId="77777777" w:rsidR="006E0B6B" w:rsidRPr="00B639BD" w:rsidRDefault="006E0B6B" w:rsidP="0078297C">
      <w:pPr>
        <w:pStyle w:val="Prrafodelista"/>
        <w:spacing w:line="276" w:lineRule="auto"/>
        <w:ind w:left="0"/>
        <w:rPr>
          <w:rFonts w:eastAsia="Verdana"/>
          <w:b/>
          <w:sz w:val="24"/>
          <w:szCs w:val="24"/>
          <w:lang w:val="es-ES_tradnl"/>
        </w:rPr>
      </w:pPr>
    </w:p>
    <w:p w14:paraId="5571CBF8" w14:textId="3E9078F6" w:rsidR="004C0AE1" w:rsidRPr="00B639BD" w:rsidRDefault="008E4D9F" w:rsidP="0078297C">
      <w:pPr>
        <w:pStyle w:val="Prrafodelista"/>
        <w:numPr>
          <w:ilvl w:val="0"/>
          <w:numId w:val="27"/>
        </w:numPr>
        <w:spacing w:line="276" w:lineRule="auto"/>
        <w:ind w:left="0" w:firstLine="0"/>
        <w:rPr>
          <w:rFonts w:eastAsia="Verdana"/>
          <w:bCs/>
          <w:sz w:val="24"/>
          <w:szCs w:val="24"/>
          <w:lang w:val="es-ES_tradnl"/>
        </w:rPr>
      </w:pPr>
      <w:r w:rsidRPr="00B639BD">
        <w:rPr>
          <w:rFonts w:eastAsia="Verdana"/>
          <w:b/>
          <w:sz w:val="24"/>
          <w:szCs w:val="24"/>
          <w:lang w:val="es-ES_tradnl"/>
        </w:rPr>
        <w:t>ORDENAR</w:t>
      </w:r>
      <w:r w:rsidR="004C0AE1" w:rsidRPr="00B639BD">
        <w:rPr>
          <w:rFonts w:eastAsia="Verdana"/>
          <w:b/>
          <w:sz w:val="24"/>
          <w:szCs w:val="24"/>
          <w:lang w:val="es-ES_tradnl"/>
        </w:rPr>
        <w:t xml:space="preserve"> </w:t>
      </w:r>
      <w:r w:rsidR="003320A8" w:rsidRPr="00B639BD">
        <w:rPr>
          <w:rFonts w:eastAsia="Verdana"/>
          <w:bCs/>
          <w:sz w:val="24"/>
          <w:szCs w:val="24"/>
          <w:lang w:val="es-ES_tradnl"/>
        </w:rPr>
        <w:t>al Consejo Superior de la Judicatura</w:t>
      </w:r>
      <w:r w:rsidRPr="00B639BD">
        <w:rPr>
          <w:rFonts w:eastAsia="Times New Roman"/>
          <w:sz w:val="24"/>
          <w:szCs w:val="24"/>
          <w:lang w:val="es-ES_tradnl"/>
        </w:rPr>
        <w:t xml:space="preserve"> que, en el término de las cuarenta y ocho (48) horas siguientes a la notificación de esta sentencia, dé respuesta – clara, de fondo y de forma coherente con lo pedido – a las inquietudes formuladas por </w:t>
      </w:r>
      <w:r w:rsidR="003320A8" w:rsidRPr="00B639BD">
        <w:rPr>
          <w:rFonts w:eastAsia="Times New Roman"/>
          <w:sz w:val="24"/>
          <w:szCs w:val="24"/>
          <w:lang w:val="es-ES_tradnl"/>
        </w:rPr>
        <w:t xml:space="preserve">Laura Iliana de María Villota </w:t>
      </w:r>
      <w:proofErr w:type="spellStart"/>
      <w:r w:rsidR="003320A8" w:rsidRPr="00B639BD">
        <w:rPr>
          <w:rFonts w:eastAsia="Times New Roman"/>
          <w:sz w:val="24"/>
          <w:szCs w:val="24"/>
          <w:lang w:val="es-ES_tradnl"/>
        </w:rPr>
        <w:t>Chicaiza</w:t>
      </w:r>
      <w:proofErr w:type="spellEnd"/>
      <w:r w:rsidR="005217A0" w:rsidRPr="00B639BD">
        <w:rPr>
          <w:rFonts w:eastAsia="Times New Roman"/>
          <w:sz w:val="24"/>
          <w:szCs w:val="24"/>
          <w:lang w:val="es-ES_tradnl"/>
        </w:rPr>
        <w:t xml:space="preserve"> respecto del Juez Sexto Penal Municipal de Conocimiento de Bogotá</w:t>
      </w:r>
      <w:r w:rsidR="00CF2587" w:rsidRPr="00B639BD">
        <w:rPr>
          <w:rFonts w:eastAsia="Times New Roman"/>
          <w:sz w:val="24"/>
          <w:szCs w:val="24"/>
          <w:lang w:val="es-ES_tradnl"/>
        </w:rPr>
        <w:t xml:space="preserve"> y de la acción de tutela que tramita ese fallador, instaurada por la accionante contra el Fondo de Pensiones Protección</w:t>
      </w:r>
      <w:r w:rsidRPr="00B639BD">
        <w:rPr>
          <w:rFonts w:eastAsia="Times New Roman"/>
          <w:sz w:val="24"/>
          <w:szCs w:val="24"/>
          <w:lang w:val="es-ES_tradnl"/>
        </w:rPr>
        <w:t>, con copia a esta Subsección y en cumplimiento de los términos y condiciones expuest</w:t>
      </w:r>
      <w:r w:rsidR="00CF2587" w:rsidRPr="00B639BD">
        <w:rPr>
          <w:rFonts w:eastAsia="Times New Roman"/>
          <w:sz w:val="24"/>
          <w:szCs w:val="24"/>
          <w:lang w:val="es-ES_tradnl"/>
        </w:rPr>
        <w:t>a</w:t>
      </w:r>
      <w:r w:rsidRPr="00B639BD">
        <w:rPr>
          <w:rFonts w:eastAsia="Times New Roman"/>
          <w:sz w:val="24"/>
          <w:szCs w:val="24"/>
          <w:lang w:val="es-ES_tradnl"/>
        </w:rPr>
        <w:t>s en la parte motiva de esta providencia</w:t>
      </w:r>
      <w:r w:rsidR="007F0315" w:rsidRPr="00B639BD">
        <w:rPr>
          <w:rFonts w:eastAsia="Times New Roman"/>
          <w:sz w:val="24"/>
          <w:szCs w:val="24"/>
          <w:lang w:val="es-ES_tradnl"/>
        </w:rPr>
        <w:t>.</w:t>
      </w:r>
    </w:p>
    <w:p w14:paraId="4FB72462" w14:textId="77777777" w:rsidR="00FC3614" w:rsidRPr="00B639BD" w:rsidRDefault="00FC3614" w:rsidP="0078297C">
      <w:pPr>
        <w:pStyle w:val="Prrafodelista"/>
        <w:spacing w:line="276" w:lineRule="auto"/>
        <w:ind w:left="0"/>
        <w:rPr>
          <w:rFonts w:eastAsia="Verdana"/>
          <w:bCs/>
          <w:sz w:val="24"/>
          <w:szCs w:val="24"/>
          <w:lang w:val="es-ES_tradnl"/>
        </w:rPr>
      </w:pPr>
    </w:p>
    <w:p w14:paraId="755D2FA1" w14:textId="2E890880" w:rsidR="004C0AE1" w:rsidRPr="00B639BD" w:rsidRDefault="004C0AE1" w:rsidP="0078297C">
      <w:pPr>
        <w:pStyle w:val="Prrafodelista"/>
        <w:numPr>
          <w:ilvl w:val="0"/>
          <w:numId w:val="27"/>
        </w:numPr>
        <w:spacing w:line="276" w:lineRule="auto"/>
        <w:ind w:left="0" w:firstLine="0"/>
        <w:rPr>
          <w:rFonts w:eastAsia="Verdana"/>
          <w:sz w:val="24"/>
          <w:szCs w:val="24"/>
          <w:lang w:val="es-ES_tradnl"/>
        </w:rPr>
      </w:pPr>
      <w:r w:rsidRPr="00B639BD">
        <w:rPr>
          <w:rFonts w:eastAsia="Verdana"/>
          <w:b/>
          <w:sz w:val="24"/>
          <w:szCs w:val="24"/>
          <w:lang w:val="es-ES_tradnl"/>
        </w:rPr>
        <w:t xml:space="preserve">NOTIFICAR </w:t>
      </w:r>
      <w:r w:rsidRPr="00B639BD">
        <w:rPr>
          <w:rFonts w:eastAsia="Verdana"/>
          <w:sz w:val="24"/>
          <w:szCs w:val="24"/>
          <w:lang w:val="es-ES_tradnl"/>
        </w:rPr>
        <w:t>la presente decisión a las partes y a los interesados por el medio más expedito.</w:t>
      </w:r>
    </w:p>
    <w:p w14:paraId="5A17E39A" w14:textId="77777777" w:rsidR="00FC3614" w:rsidRPr="00B639BD" w:rsidRDefault="00FC3614" w:rsidP="0078297C">
      <w:pPr>
        <w:pStyle w:val="Prrafodelista"/>
        <w:spacing w:line="276" w:lineRule="auto"/>
        <w:ind w:left="0"/>
        <w:rPr>
          <w:rFonts w:eastAsia="Verdana"/>
          <w:sz w:val="24"/>
          <w:szCs w:val="24"/>
          <w:lang w:val="es-ES_tradnl"/>
        </w:rPr>
      </w:pPr>
    </w:p>
    <w:p w14:paraId="7DFE9682" w14:textId="2C024241" w:rsidR="004C0AE1" w:rsidRPr="00B639BD" w:rsidRDefault="004C0AE1" w:rsidP="0078297C">
      <w:pPr>
        <w:pStyle w:val="Prrafodelista"/>
        <w:numPr>
          <w:ilvl w:val="0"/>
          <w:numId w:val="27"/>
        </w:numPr>
        <w:spacing w:line="276" w:lineRule="auto"/>
        <w:ind w:left="0" w:firstLine="0"/>
        <w:rPr>
          <w:rFonts w:eastAsia="Verdana"/>
          <w:sz w:val="24"/>
          <w:szCs w:val="24"/>
          <w:lang w:val="es-ES_tradnl"/>
        </w:rPr>
      </w:pPr>
      <w:r w:rsidRPr="00B639BD">
        <w:rPr>
          <w:rFonts w:eastAsia="Verdana"/>
          <w:b/>
          <w:sz w:val="24"/>
          <w:szCs w:val="24"/>
          <w:lang w:val="es-ES_tradnl"/>
        </w:rPr>
        <w:t xml:space="preserve">ENVIAR </w:t>
      </w:r>
      <w:r w:rsidRPr="00B639BD">
        <w:rPr>
          <w:rFonts w:eastAsia="Verdana"/>
          <w:sz w:val="24"/>
          <w:szCs w:val="24"/>
          <w:lang w:val="es-ES_tradnl"/>
        </w:rPr>
        <w:t xml:space="preserve">la presente providencia a la Corte Constitucional para su eventual revisión, en el caso de no ser impugnada.  </w:t>
      </w:r>
    </w:p>
    <w:bookmarkEnd w:id="2"/>
    <w:p w14:paraId="654CE2A3" w14:textId="5832E9A3" w:rsidR="003538E2" w:rsidRPr="00B639BD" w:rsidRDefault="003538E2" w:rsidP="0078297C">
      <w:pPr>
        <w:spacing w:line="276" w:lineRule="auto"/>
        <w:contextualSpacing/>
        <w:rPr>
          <w:rFonts w:eastAsia="Verdana"/>
          <w:b/>
          <w:sz w:val="24"/>
          <w:szCs w:val="24"/>
          <w:lang w:val="es-ES_tradnl"/>
        </w:rPr>
      </w:pPr>
    </w:p>
    <w:p w14:paraId="17B7F027" w14:textId="672A8568" w:rsidR="00A64EF5" w:rsidRPr="00B639BD" w:rsidRDefault="000C5DB7" w:rsidP="0078297C">
      <w:pPr>
        <w:spacing w:line="276" w:lineRule="auto"/>
        <w:contextualSpacing/>
        <w:rPr>
          <w:rFonts w:eastAsia="Verdana"/>
          <w:b/>
          <w:sz w:val="24"/>
          <w:szCs w:val="24"/>
        </w:rPr>
      </w:pPr>
      <w:r w:rsidRPr="00B639BD">
        <w:rPr>
          <w:rFonts w:eastAsia="Verdana"/>
          <w:b/>
          <w:sz w:val="24"/>
          <w:szCs w:val="24"/>
        </w:rPr>
        <w:t>NOTIFÍQUESE Y CÚMPLASE</w:t>
      </w:r>
    </w:p>
    <w:p w14:paraId="3EB83619" w14:textId="77777777" w:rsidR="003E141B" w:rsidRDefault="003E141B" w:rsidP="0078297C">
      <w:pPr>
        <w:spacing w:line="276" w:lineRule="auto"/>
        <w:contextualSpacing/>
        <w:jc w:val="center"/>
        <w:rPr>
          <w:rFonts w:eastAsia="Verdana"/>
          <w:b/>
          <w:sz w:val="24"/>
          <w:szCs w:val="24"/>
        </w:rPr>
      </w:pPr>
    </w:p>
    <w:p w14:paraId="5A61FCAC" w14:textId="77777777" w:rsidR="00B639BD" w:rsidRDefault="00B639BD" w:rsidP="0078297C">
      <w:pPr>
        <w:spacing w:line="276" w:lineRule="auto"/>
        <w:contextualSpacing/>
        <w:jc w:val="center"/>
        <w:rPr>
          <w:rFonts w:eastAsia="Verdana"/>
          <w:b/>
          <w:sz w:val="24"/>
          <w:szCs w:val="24"/>
        </w:rPr>
      </w:pPr>
    </w:p>
    <w:p w14:paraId="7C273D41" w14:textId="77777777" w:rsidR="00B639BD" w:rsidRPr="00B639BD" w:rsidRDefault="00B639BD" w:rsidP="0078297C">
      <w:pPr>
        <w:spacing w:line="276" w:lineRule="auto"/>
        <w:contextualSpacing/>
        <w:jc w:val="center"/>
        <w:rPr>
          <w:rFonts w:eastAsia="Verdana"/>
          <w:b/>
          <w:sz w:val="24"/>
          <w:szCs w:val="24"/>
        </w:rPr>
      </w:pPr>
    </w:p>
    <w:p w14:paraId="60E15F96" w14:textId="79F360E7" w:rsidR="000C5DB7" w:rsidRPr="00B639BD" w:rsidRDefault="006C4EED" w:rsidP="0078297C">
      <w:pPr>
        <w:spacing w:line="276" w:lineRule="auto"/>
        <w:contextualSpacing/>
        <w:jc w:val="center"/>
        <w:rPr>
          <w:rFonts w:eastAsia="Verdana"/>
          <w:b/>
          <w:sz w:val="24"/>
          <w:szCs w:val="24"/>
        </w:rPr>
      </w:pPr>
      <w:r w:rsidRPr="00B639BD">
        <w:rPr>
          <w:rFonts w:eastAsia="Verdana"/>
          <w:b/>
          <w:sz w:val="24"/>
          <w:szCs w:val="24"/>
        </w:rPr>
        <w:t>GUILLERMO SÁNCHEZ LUQUE</w:t>
      </w:r>
    </w:p>
    <w:p w14:paraId="411CDC80" w14:textId="77777777" w:rsidR="000C5DB7" w:rsidRDefault="000C5DB7" w:rsidP="0078297C">
      <w:pPr>
        <w:spacing w:line="276" w:lineRule="auto"/>
        <w:contextualSpacing/>
        <w:jc w:val="center"/>
        <w:rPr>
          <w:rFonts w:eastAsia="Verdana"/>
          <w:b/>
          <w:sz w:val="24"/>
          <w:szCs w:val="24"/>
        </w:rPr>
      </w:pPr>
      <w:r w:rsidRPr="00B639BD">
        <w:rPr>
          <w:rFonts w:eastAsia="Verdana"/>
          <w:b/>
          <w:sz w:val="24"/>
          <w:szCs w:val="24"/>
        </w:rPr>
        <w:t>Presidente de Sala</w:t>
      </w:r>
    </w:p>
    <w:p w14:paraId="0F0CC19E" w14:textId="6301ECD1" w:rsidR="004243FC" w:rsidRPr="00B639BD" w:rsidRDefault="004243FC" w:rsidP="0078297C">
      <w:pPr>
        <w:spacing w:line="276" w:lineRule="auto"/>
        <w:contextualSpacing/>
        <w:jc w:val="center"/>
        <w:rPr>
          <w:rFonts w:eastAsia="Verdana"/>
          <w:b/>
          <w:sz w:val="24"/>
          <w:szCs w:val="24"/>
        </w:rPr>
      </w:pPr>
      <w:r>
        <w:rPr>
          <w:rFonts w:eastAsia="Verdana"/>
          <w:b/>
          <w:sz w:val="24"/>
          <w:szCs w:val="24"/>
        </w:rPr>
        <w:t>Aclaro voto</w:t>
      </w:r>
    </w:p>
    <w:p w14:paraId="6F391B15" w14:textId="77777777" w:rsidR="00AB3CF6" w:rsidRDefault="00AB3CF6" w:rsidP="0078297C">
      <w:pPr>
        <w:spacing w:line="276" w:lineRule="auto"/>
        <w:contextualSpacing/>
        <w:jc w:val="center"/>
        <w:rPr>
          <w:rFonts w:eastAsia="Verdana"/>
          <w:b/>
          <w:sz w:val="24"/>
          <w:szCs w:val="24"/>
        </w:rPr>
      </w:pPr>
    </w:p>
    <w:p w14:paraId="0865E09A" w14:textId="77777777" w:rsidR="00B639BD" w:rsidRDefault="00B639BD" w:rsidP="0078297C">
      <w:pPr>
        <w:spacing w:line="276" w:lineRule="auto"/>
        <w:contextualSpacing/>
        <w:jc w:val="center"/>
        <w:rPr>
          <w:rFonts w:eastAsia="Verdana"/>
          <w:b/>
          <w:sz w:val="24"/>
          <w:szCs w:val="24"/>
        </w:rPr>
      </w:pPr>
    </w:p>
    <w:p w14:paraId="582B15D6" w14:textId="77777777" w:rsidR="00B639BD" w:rsidRDefault="00B639BD" w:rsidP="0078297C">
      <w:pPr>
        <w:spacing w:line="276" w:lineRule="auto"/>
        <w:contextualSpacing/>
        <w:jc w:val="center"/>
        <w:rPr>
          <w:rFonts w:eastAsia="Verdana"/>
          <w:b/>
          <w:sz w:val="24"/>
          <w:szCs w:val="24"/>
        </w:rPr>
      </w:pPr>
    </w:p>
    <w:p w14:paraId="47661C55" w14:textId="77777777" w:rsidR="00B639BD" w:rsidRPr="00B639BD" w:rsidRDefault="00B639BD" w:rsidP="0078297C">
      <w:pPr>
        <w:spacing w:line="276" w:lineRule="auto"/>
        <w:contextualSpacing/>
        <w:jc w:val="center"/>
        <w:rPr>
          <w:rFonts w:eastAsia="Verdana"/>
          <w:b/>
          <w:sz w:val="24"/>
          <w:szCs w:val="24"/>
        </w:rPr>
      </w:pPr>
    </w:p>
    <w:p w14:paraId="4787C33E" w14:textId="77777777" w:rsidR="000C5DB7" w:rsidRPr="00B639BD" w:rsidRDefault="006C4EED" w:rsidP="0078297C">
      <w:pPr>
        <w:spacing w:line="276" w:lineRule="auto"/>
        <w:contextualSpacing/>
        <w:jc w:val="center"/>
        <w:rPr>
          <w:rFonts w:eastAsia="Verdana"/>
          <w:b/>
          <w:sz w:val="24"/>
          <w:szCs w:val="24"/>
        </w:rPr>
      </w:pPr>
      <w:r w:rsidRPr="00B639BD">
        <w:rPr>
          <w:rFonts w:eastAsia="Verdana"/>
          <w:b/>
          <w:sz w:val="24"/>
          <w:szCs w:val="24"/>
        </w:rPr>
        <w:t>JAIME ENRIQUE RODRÍGUEZ NAVAS</w:t>
      </w:r>
    </w:p>
    <w:p w14:paraId="3E59EA34" w14:textId="77777777" w:rsidR="000C5DB7" w:rsidRDefault="000C5DB7" w:rsidP="0078297C">
      <w:pPr>
        <w:spacing w:line="276" w:lineRule="auto"/>
        <w:contextualSpacing/>
        <w:jc w:val="center"/>
        <w:rPr>
          <w:rFonts w:eastAsia="Verdana"/>
          <w:b/>
          <w:sz w:val="24"/>
          <w:szCs w:val="24"/>
        </w:rPr>
      </w:pPr>
      <w:r w:rsidRPr="00B639BD">
        <w:rPr>
          <w:rFonts w:eastAsia="Verdana"/>
          <w:b/>
          <w:sz w:val="24"/>
          <w:szCs w:val="24"/>
        </w:rPr>
        <w:t>Magistrado</w:t>
      </w:r>
    </w:p>
    <w:p w14:paraId="3359BF0C" w14:textId="77777777" w:rsidR="00B639BD" w:rsidRDefault="00B639BD" w:rsidP="0078297C">
      <w:pPr>
        <w:spacing w:line="276" w:lineRule="auto"/>
        <w:contextualSpacing/>
        <w:jc w:val="center"/>
        <w:rPr>
          <w:rFonts w:eastAsia="Verdana"/>
          <w:b/>
          <w:sz w:val="24"/>
          <w:szCs w:val="24"/>
        </w:rPr>
      </w:pPr>
    </w:p>
    <w:p w14:paraId="150304DB" w14:textId="77777777" w:rsidR="00B639BD" w:rsidRDefault="00B639BD" w:rsidP="0078297C">
      <w:pPr>
        <w:spacing w:line="276" w:lineRule="auto"/>
        <w:contextualSpacing/>
        <w:jc w:val="center"/>
        <w:rPr>
          <w:rFonts w:eastAsia="Verdana"/>
          <w:b/>
          <w:sz w:val="24"/>
          <w:szCs w:val="24"/>
        </w:rPr>
      </w:pPr>
    </w:p>
    <w:p w14:paraId="73622E55" w14:textId="77777777" w:rsidR="00AB3CF6" w:rsidRDefault="00AB3CF6" w:rsidP="0078297C">
      <w:pPr>
        <w:spacing w:line="276" w:lineRule="auto"/>
        <w:contextualSpacing/>
        <w:jc w:val="center"/>
        <w:rPr>
          <w:rFonts w:eastAsia="Verdana"/>
          <w:b/>
          <w:sz w:val="24"/>
          <w:szCs w:val="24"/>
        </w:rPr>
      </w:pPr>
    </w:p>
    <w:p w14:paraId="731A6F41" w14:textId="77777777" w:rsidR="00B639BD" w:rsidRPr="00B639BD" w:rsidRDefault="00B639BD" w:rsidP="0078297C">
      <w:pPr>
        <w:spacing w:line="276" w:lineRule="auto"/>
        <w:contextualSpacing/>
        <w:jc w:val="center"/>
        <w:rPr>
          <w:rFonts w:eastAsia="Verdana"/>
          <w:b/>
          <w:sz w:val="24"/>
          <w:szCs w:val="24"/>
        </w:rPr>
      </w:pPr>
    </w:p>
    <w:p w14:paraId="5E00FC79" w14:textId="77777777" w:rsidR="000C5DB7" w:rsidRPr="00B639BD" w:rsidRDefault="000C5DB7" w:rsidP="0078297C">
      <w:pPr>
        <w:spacing w:line="276" w:lineRule="auto"/>
        <w:contextualSpacing/>
        <w:jc w:val="center"/>
        <w:rPr>
          <w:rFonts w:eastAsia="Verdana"/>
          <w:b/>
          <w:sz w:val="24"/>
          <w:szCs w:val="24"/>
        </w:rPr>
      </w:pPr>
      <w:r w:rsidRPr="00B639BD">
        <w:rPr>
          <w:rFonts w:eastAsia="Verdana"/>
          <w:b/>
          <w:sz w:val="24"/>
          <w:szCs w:val="24"/>
        </w:rPr>
        <w:t>NICOLÁS YEPES CORRALES</w:t>
      </w:r>
    </w:p>
    <w:p w14:paraId="12E21CD1" w14:textId="07783A66" w:rsidR="00A64EF5" w:rsidRDefault="000C5DB7" w:rsidP="0078297C">
      <w:pPr>
        <w:spacing w:line="276" w:lineRule="auto"/>
        <w:contextualSpacing/>
        <w:jc w:val="center"/>
        <w:rPr>
          <w:rFonts w:eastAsia="Verdana"/>
          <w:b/>
          <w:sz w:val="24"/>
          <w:szCs w:val="24"/>
        </w:rPr>
      </w:pPr>
      <w:r w:rsidRPr="00B639BD">
        <w:rPr>
          <w:rFonts w:eastAsia="Verdana"/>
          <w:b/>
          <w:sz w:val="24"/>
          <w:szCs w:val="24"/>
        </w:rPr>
        <w:t>Magistrado</w:t>
      </w:r>
    </w:p>
    <w:p w14:paraId="44CB7064" w14:textId="58718463" w:rsidR="00B639BD" w:rsidRPr="00B639BD" w:rsidRDefault="00B639BD" w:rsidP="0078297C">
      <w:pPr>
        <w:spacing w:line="276" w:lineRule="auto"/>
        <w:contextualSpacing/>
        <w:jc w:val="center"/>
        <w:rPr>
          <w:rFonts w:eastAsia="Verdana"/>
          <w:b/>
          <w:sz w:val="24"/>
          <w:szCs w:val="24"/>
        </w:rPr>
      </w:pPr>
      <w:r>
        <w:rPr>
          <w:rFonts w:eastAsia="Verdana"/>
          <w:b/>
          <w:sz w:val="24"/>
          <w:szCs w:val="24"/>
        </w:rPr>
        <w:t>Salvo voto</w:t>
      </w:r>
    </w:p>
    <w:sectPr w:rsidR="00B639BD" w:rsidRPr="00B639BD"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E166" w16cex:dateUtc="2020-12-07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4FDCE" w16cid:durableId="2378E1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CED43" w14:textId="77777777" w:rsidR="006C5568" w:rsidRDefault="006C5568" w:rsidP="00117091">
      <w:r>
        <w:separator/>
      </w:r>
    </w:p>
  </w:endnote>
  <w:endnote w:type="continuationSeparator" w:id="0">
    <w:p w14:paraId="7A8320E0" w14:textId="77777777" w:rsidR="006C5568" w:rsidRDefault="006C5568" w:rsidP="00117091">
      <w:r>
        <w:continuationSeparator/>
      </w:r>
    </w:p>
  </w:endnote>
  <w:endnote w:type="continuationNotice" w:id="1">
    <w:p w14:paraId="4310F922" w14:textId="77777777" w:rsidR="006C5568" w:rsidRDefault="006C5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Encabezado"/>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Piedepgina"/>
            <w:jc w:val="center"/>
          </w:pPr>
          <w:r w:rsidRPr="00B6429B">
            <w:fldChar w:fldCharType="begin"/>
          </w:r>
          <w:r w:rsidRPr="00B6429B">
            <w:instrText>PAGE   \* MERGEFORMAT</w:instrText>
          </w:r>
          <w:r w:rsidRPr="00B6429B">
            <w:fldChar w:fldCharType="separate"/>
          </w:r>
          <w:r w:rsidR="007328B7" w:rsidRPr="007328B7">
            <w:rPr>
              <w:noProof/>
              <w:lang w:val="es-ES"/>
            </w:rPr>
            <w:t>7</w:t>
          </w:r>
          <w:r w:rsidRPr="00B6429B">
            <w:fldChar w:fldCharType="end"/>
          </w:r>
        </w:p>
      </w:tc>
    </w:tr>
  </w:tbl>
  <w:p w14:paraId="199724F6" w14:textId="77777777" w:rsidR="0086189E" w:rsidRPr="008C0DBE" w:rsidRDefault="0086189E"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Encabezado"/>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Encabezado"/>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Piedepgina"/>
            <w:tabs>
              <w:tab w:val="clear" w:pos="4252"/>
              <w:tab w:val="clear" w:pos="8504"/>
            </w:tabs>
            <w:jc w:val="center"/>
          </w:pPr>
          <w:r w:rsidRPr="00B6429B">
            <w:fldChar w:fldCharType="begin"/>
          </w:r>
          <w:r w:rsidRPr="00B6429B">
            <w:instrText>PAGE   \* MERGEFORMAT</w:instrText>
          </w:r>
          <w:r w:rsidRPr="00B6429B">
            <w:fldChar w:fldCharType="separate"/>
          </w:r>
          <w:r w:rsidR="007328B7" w:rsidRPr="007328B7">
            <w:rPr>
              <w:noProof/>
              <w:lang w:val="es-ES"/>
            </w:rPr>
            <w:t>1</w:t>
          </w:r>
          <w:r w:rsidRPr="00B6429B">
            <w:fldChar w:fldCharType="end"/>
          </w:r>
        </w:p>
      </w:tc>
    </w:tr>
  </w:tbl>
  <w:p w14:paraId="3A21C5E9" w14:textId="77777777" w:rsidR="0086189E" w:rsidRDefault="0086189E" w:rsidP="00850A42">
    <w:pPr>
      <w:pStyle w:val="Piedepgina"/>
      <w:tabs>
        <w:tab w:val="clear" w:pos="4252"/>
        <w:tab w:val="clear"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CF22D" w14:textId="77777777" w:rsidR="006C5568" w:rsidRDefault="006C5568" w:rsidP="00117091">
      <w:r>
        <w:separator/>
      </w:r>
    </w:p>
  </w:footnote>
  <w:footnote w:type="continuationSeparator" w:id="0">
    <w:p w14:paraId="529C6ED4" w14:textId="77777777" w:rsidR="006C5568" w:rsidRDefault="006C5568" w:rsidP="00117091">
      <w:r>
        <w:continuationSeparator/>
      </w:r>
    </w:p>
  </w:footnote>
  <w:footnote w:type="continuationNotice" w:id="1">
    <w:p w14:paraId="042D5AC3" w14:textId="77777777" w:rsidR="006C5568" w:rsidRDefault="006C5568"/>
  </w:footnote>
  <w:footnote w:id="2">
    <w:p w14:paraId="653CDD34" w14:textId="77777777" w:rsidR="0086189E" w:rsidRPr="003425A9" w:rsidRDefault="0086189E" w:rsidP="00870E37">
      <w:pPr>
        <w:pStyle w:val="Textonotapie"/>
      </w:pPr>
      <w:r>
        <w:rPr>
          <w:rStyle w:val="Refdenotaalpie"/>
        </w:rPr>
        <w:footnoteRef/>
      </w:r>
      <w:r>
        <w:t xml:space="preserve"> </w:t>
      </w:r>
      <w:r w:rsidRPr="003425A9">
        <w:t>Ver, archiv</w:t>
      </w:r>
      <w:r>
        <w:t>o</w:t>
      </w:r>
      <w:r w:rsidRPr="003425A9">
        <w:t xml:space="preserve"> con certificado 0A9DAAC82D82DDE3 231C5207521D696B FA176E947B1ADAD2 FF868F93400744D2</w:t>
      </w:r>
      <w:r>
        <w:t>.</w:t>
      </w:r>
    </w:p>
  </w:footnote>
  <w:footnote w:id="3">
    <w:p w14:paraId="302E25E6" w14:textId="254A8B0B" w:rsidR="0086189E" w:rsidRPr="00123D71" w:rsidRDefault="0086189E">
      <w:pPr>
        <w:pStyle w:val="Textonotapie"/>
      </w:pPr>
      <w:r>
        <w:rPr>
          <w:rStyle w:val="Refdenotaalpie"/>
        </w:rPr>
        <w:footnoteRef/>
      </w:r>
      <w:r>
        <w:t xml:space="preserve"> El mensaje remisorio de la petición en comento se encuentra adjunto al escrito de tutela. Ver, nota anterior.</w:t>
      </w:r>
    </w:p>
  </w:footnote>
  <w:footnote w:id="4">
    <w:p w14:paraId="15B72B60" w14:textId="453D3653" w:rsidR="0086189E" w:rsidRPr="00123D71" w:rsidRDefault="0086189E">
      <w:pPr>
        <w:pStyle w:val="Textonotapie"/>
      </w:pPr>
      <w:r>
        <w:rPr>
          <w:rStyle w:val="Refdenotaalpie"/>
        </w:rPr>
        <w:footnoteRef/>
      </w:r>
      <w:r>
        <w:t xml:space="preserve"> </w:t>
      </w:r>
      <w:r w:rsidRPr="00123D71">
        <w:t>Ver, archivo con certificado 1CFD32D1731C929C 96699184C7988D21 071663F9B0C88440 FB893D69C9422A3D.</w:t>
      </w:r>
    </w:p>
  </w:footnote>
  <w:footnote w:id="5">
    <w:p w14:paraId="4AE0026D" w14:textId="12A966CC" w:rsidR="0086189E" w:rsidRPr="005E43BF" w:rsidRDefault="0086189E">
      <w:pPr>
        <w:pStyle w:val="Textonotapie"/>
      </w:pPr>
      <w:r>
        <w:rPr>
          <w:rStyle w:val="Refdenotaalpie"/>
        </w:rPr>
        <w:footnoteRef/>
      </w:r>
      <w:r>
        <w:t xml:space="preserve"> </w:t>
      </w:r>
      <w:r w:rsidRPr="005E43BF">
        <w:t xml:space="preserve">En la citada solicitud, la señora Villota relató que, el 11 de agosto de 2020, instauró acción de tutela contra el Fondo de Pensiones Protección. </w:t>
      </w:r>
      <w:r>
        <w:t>Narró que e</w:t>
      </w:r>
      <w:r w:rsidRPr="005E43BF">
        <w:t xml:space="preserve">l </w:t>
      </w:r>
      <w:r>
        <w:t xml:space="preserve">asunto </w:t>
      </w:r>
      <w:r w:rsidRPr="005E43BF">
        <w:t xml:space="preserve">fue repartido al Juzgado Sexto Penal Municipal de Conocimiento de Bogotá. </w:t>
      </w:r>
      <w:r>
        <w:t>Contó que</w:t>
      </w:r>
      <w:r w:rsidRPr="005E43BF">
        <w:t xml:space="preserve"> ella no estuvo de acuerdo con esa asignación, pues consideró que la materia de su reclamo era laboral. </w:t>
      </w:r>
      <w:r>
        <w:t>Comentó que, p</w:t>
      </w:r>
      <w:r w:rsidRPr="005E43BF">
        <w:t xml:space="preserve">or tal razón, el 13 </w:t>
      </w:r>
      <w:r>
        <w:t>de ese</w:t>
      </w:r>
      <w:r w:rsidRPr="005E43BF">
        <w:t xml:space="preserve"> mes y año radicó un memorial, a través del cual requirió que el </w:t>
      </w:r>
      <w:r>
        <w:t>expediente respectivo</w:t>
      </w:r>
      <w:r w:rsidRPr="005E43BF">
        <w:t xml:space="preserve"> fuera trasladado a los juzgados laborales. </w:t>
      </w:r>
      <w:r>
        <w:t>A</w:t>
      </w:r>
      <w:r w:rsidRPr="005E43BF">
        <w:t xml:space="preserve">dvirtió que ese escrito jamás fue objeto de pronunciamiento alguno. </w:t>
      </w:r>
      <w:r>
        <w:t>Explicó</w:t>
      </w:r>
      <w:r w:rsidRPr="005E43BF">
        <w:t xml:space="preserve"> que, el 31 de agosto de 2020, presentó un nuevo memorial ante el referido </w:t>
      </w:r>
      <w:r>
        <w:t>juzgado</w:t>
      </w:r>
      <w:r w:rsidRPr="005E43BF">
        <w:t xml:space="preserve">. </w:t>
      </w:r>
      <w:r>
        <w:t>Describió</w:t>
      </w:r>
      <w:r w:rsidRPr="005E43BF">
        <w:t xml:space="preserve"> que allí requirió información sobre la tutela de su interés y adujo que no se le había notificado, siquiera, el auto admisorio </w:t>
      </w:r>
      <w:r>
        <w:t>correspondiente</w:t>
      </w:r>
      <w:r w:rsidRPr="005E43BF">
        <w:t xml:space="preserve">. </w:t>
      </w:r>
      <w:r>
        <w:t>S</w:t>
      </w:r>
      <w:r w:rsidRPr="005E43BF">
        <w:t>eñaló que</w:t>
      </w:r>
      <w:r>
        <w:t>, al respecto,</w:t>
      </w:r>
      <w:r w:rsidRPr="005E43BF">
        <w:t xml:space="preserve"> no </w:t>
      </w:r>
      <w:r>
        <w:t>recibió respuesta</w:t>
      </w:r>
      <w:r w:rsidRPr="005E43BF">
        <w:t xml:space="preserve">. </w:t>
      </w:r>
      <w:r>
        <w:t>R</w:t>
      </w:r>
      <w:r w:rsidRPr="005E43BF">
        <w:t xml:space="preserve">ememoró que, al momento de ser notificada de la </w:t>
      </w:r>
      <w:r>
        <w:t xml:space="preserve">resultante </w:t>
      </w:r>
      <w:r w:rsidRPr="005E43BF">
        <w:t xml:space="preserve">sentencia de tutela, el 2 de septiembre de 2020 solicitó la nulidad de todo lo actuado </w:t>
      </w:r>
      <w:r>
        <w:t>por falta de notificación del auto admisorio de rigor</w:t>
      </w:r>
      <w:r w:rsidRPr="005E43BF">
        <w:t xml:space="preserve">. </w:t>
      </w:r>
      <w:r>
        <w:t>M</w:t>
      </w:r>
      <w:r w:rsidRPr="005E43BF">
        <w:t>anifestó que</w:t>
      </w:r>
      <w:r>
        <w:t>, desde ese día,</w:t>
      </w:r>
      <w:r w:rsidRPr="005E43BF">
        <w:t xml:space="preserve"> no ha vuelto a tener noticias sobre sus </w:t>
      </w:r>
      <w:r>
        <w:t>memoriales</w:t>
      </w:r>
      <w:r w:rsidRPr="005E43BF">
        <w:t>.</w:t>
      </w:r>
      <w:r>
        <w:t xml:space="preserve"> La petición reseñada anteriormente reposa en el archivo con certificado </w:t>
      </w:r>
      <w:r w:rsidRPr="002667C3">
        <w:t>1CFD32D1731C929C 96699184C7988D21 071663F9B0C88440 FB893D69C9422A3D</w:t>
      </w:r>
      <w:r>
        <w:t xml:space="preserve"> y se repite en el archivo con certificado </w:t>
      </w:r>
      <w:r w:rsidRPr="002667C3">
        <w:t>6FD4BD0E1B402472 DC4B050608681C7A BE01AD53F91F5446 75E706CCEF4C0026</w:t>
      </w:r>
      <w:r>
        <w:t xml:space="preserve">. Los memoriales a los que la actora se refiere figuran en el archivo con certificado </w:t>
      </w:r>
      <w:r w:rsidRPr="002667C3">
        <w:t>08295803F3771176 0C9FEE23A4B2F8C0 F2D1EAED2DAAC849 FFDBCFD580D9A4A8</w:t>
      </w:r>
      <w:r>
        <w:t>. Allí también obra el acta individual de reparto de la tutela que ella menciona. No obstante, no se lee el número único de radicación del proceso.</w:t>
      </w:r>
    </w:p>
  </w:footnote>
  <w:footnote w:id="6">
    <w:p w14:paraId="320833F8" w14:textId="5087BA48" w:rsidR="0086189E" w:rsidRPr="006E1C79" w:rsidRDefault="0086189E">
      <w:pPr>
        <w:pStyle w:val="Textonotapie"/>
      </w:pPr>
      <w:r w:rsidRPr="006E1C79">
        <w:rPr>
          <w:rStyle w:val="Refdenotaalpie"/>
        </w:rPr>
        <w:footnoteRef/>
      </w:r>
      <w:r w:rsidRPr="006E1C79">
        <w:t xml:space="preserve"> Ver, archivo con certificado </w:t>
      </w:r>
      <w:r w:rsidRPr="004D2B8C">
        <w:t>F3FD3E54BE6084D5 8A24B5909F00D59B CDB2F8FBF45D11C8 68E87061B788E99D</w:t>
      </w:r>
      <w:r w:rsidRPr="006E1C79">
        <w:t>.</w:t>
      </w:r>
    </w:p>
  </w:footnote>
  <w:footnote w:id="7">
    <w:p w14:paraId="31B036CC" w14:textId="668FBBA5" w:rsidR="0086189E" w:rsidRPr="004D2B8C" w:rsidRDefault="0086189E">
      <w:pPr>
        <w:pStyle w:val="Textonotapie"/>
      </w:pPr>
      <w:r>
        <w:rPr>
          <w:rStyle w:val="Refdenotaalpie"/>
        </w:rPr>
        <w:footnoteRef/>
      </w:r>
      <w:r>
        <w:t xml:space="preserve"> Ver, archivo con certificado </w:t>
      </w:r>
      <w:r w:rsidRPr="004D2B8C">
        <w:t>40599A3F0B2F3083 CEA4E391825CE852 02058923038276A3 A29891946EB47DCE</w:t>
      </w:r>
      <w:r>
        <w:t>.</w:t>
      </w:r>
    </w:p>
  </w:footnote>
  <w:footnote w:id="8">
    <w:p w14:paraId="70B2F86C" w14:textId="77777777" w:rsidR="0086189E" w:rsidRPr="006E1C79" w:rsidRDefault="0086189E" w:rsidP="00B363CB">
      <w:pPr>
        <w:pStyle w:val="Textonotapie"/>
      </w:pPr>
      <w:r w:rsidRPr="006E1C79">
        <w:rPr>
          <w:rStyle w:val="Refdenotaalpie"/>
          <w:szCs w:val="16"/>
        </w:rPr>
        <w:footnoteRef/>
      </w:r>
      <w:r w:rsidRPr="006E1C79">
        <w:t xml:space="preserve"> “Por medio del cual se modificó el reglamento interno del Consejo de Estado”.</w:t>
      </w:r>
    </w:p>
  </w:footnote>
  <w:footnote w:id="9">
    <w:p w14:paraId="5972A35B" w14:textId="26A57AD7" w:rsidR="0086189E" w:rsidRPr="006E1C79" w:rsidRDefault="0086189E" w:rsidP="00BC1933">
      <w:pPr>
        <w:pStyle w:val="Textonotapie"/>
        <w:rPr>
          <w:szCs w:val="16"/>
        </w:rPr>
      </w:pPr>
      <w:r w:rsidRPr="006E1C79">
        <w:rPr>
          <w:rStyle w:val="Refdenotaalpie"/>
          <w:szCs w:val="16"/>
        </w:rPr>
        <w:footnoteRef/>
      </w:r>
      <w:r w:rsidRPr="006E1C79">
        <w:rPr>
          <w:szCs w:val="16"/>
        </w:rPr>
        <w:t xml:space="preserve"> Ver, nota de pie de página n.° </w:t>
      </w:r>
      <w:r w:rsidRPr="006E1C79">
        <w:rPr>
          <w:szCs w:val="16"/>
        </w:rPr>
        <w:fldChar w:fldCharType="begin"/>
      </w:r>
      <w:r w:rsidRPr="006E1C79">
        <w:rPr>
          <w:szCs w:val="16"/>
        </w:rPr>
        <w:instrText xml:space="preserve"> NOTEREF _Ref53064562 \h </w:instrText>
      </w:r>
      <w:r>
        <w:rPr>
          <w:szCs w:val="16"/>
        </w:rPr>
        <w:instrText xml:space="preserve"> \* MERGEFORMAT </w:instrText>
      </w:r>
      <w:r w:rsidRPr="006E1C79">
        <w:rPr>
          <w:szCs w:val="16"/>
        </w:rPr>
      </w:r>
      <w:r w:rsidRPr="006E1C79">
        <w:rPr>
          <w:szCs w:val="16"/>
        </w:rPr>
        <w:fldChar w:fldCharType="separate"/>
      </w:r>
      <w:r w:rsidRPr="006E1C79">
        <w:rPr>
          <w:szCs w:val="16"/>
        </w:rPr>
        <w:t>17</w:t>
      </w:r>
      <w:r w:rsidRPr="006E1C79">
        <w:rPr>
          <w:szCs w:val="16"/>
        </w:rPr>
        <w:fldChar w:fldCharType="end"/>
      </w:r>
      <w:r w:rsidRPr="006E1C79">
        <w:rPr>
          <w:szCs w:val="16"/>
        </w:rPr>
        <w:t>.</w:t>
      </w:r>
    </w:p>
  </w:footnote>
  <w:footnote w:id="10">
    <w:p w14:paraId="33F24019" w14:textId="3554F783" w:rsidR="0086189E" w:rsidRPr="00020F1D" w:rsidRDefault="0086189E">
      <w:pPr>
        <w:pStyle w:val="Textonotapie"/>
      </w:pPr>
      <w:r>
        <w:rPr>
          <w:rStyle w:val="Refdenotaalpie"/>
        </w:rPr>
        <w:footnoteRef/>
      </w:r>
      <w:r>
        <w:t xml:space="preserve"> </w:t>
      </w:r>
      <w:r w:rsidRPr="00020F1D">
        <w:t>Ver, a</w:t>
      </w:r>
      <w:r>
        <w:t xml:space="preserve">rchivos con certificados </w:t>
      </w:r>
      <w:r w:rsidRPr="00020F1D">
        <w:t>F2E86A044EA784C1 A201092C21C79CF8 41C89B838BF80E50 830E35E1FDD5650A</w:t>
      </w:r>
      <w:r>
        <w:t xml:space="preserve"> y </w:t>
      </w:r>
      <w:r w:rsidRPr="00020F1D">
        <w:t>FEEDE244EA29464F 37C00773EE14B091 2159E8A30007B819 2AD8C7C055C1BDC4</w:t>
      </w:r>
      <w:r>
        <w:t>.</w:t>
      </w:r>
    </w:p>
  </w:footnote>
  <w:footnote w:id="11">
    <w:p w14:paraId="540F795C" w14:textId="128B925D" w:rsidR="0086189E" w:rsidRPr="002E15E2" w:rsidRDefault="0086189E">
      <w:pPr>
        <w:pStyle w:val="Textonotapie"/>
      </w:pPr>
      <w:r>
        <w:rPr>
          <w:rStyle w:val="Refdenotaalpie"/>
        </w:rPr>
        <w:footnoteRef/>
      </w:r>
      <w:r>
        <w:t xml:space="preserve"> </w:t>
      </w:r>
      <w:r w:rsidRPr="002E15E2">
        <w:t>Corte C</w:t>
      </w:r>
      <w:r>
        <w:t>onstitucional. Sentencia C-727 de 2000. En el citado fallo, la Corte aclara que la desconcentración administrativa opera dentro de órganos de la misma entidad. Allí mismo, define la desconcentración como la “</w:t>
      </w:r>
      <w:r w:rsidRPr="002E15E2">
        <w:t>transferencia de funciones administrativas que corresponden a órganos de una misma persona administrativa</w:t>
      </w:r>
      <w:r>
        <w:t xml:space="preserve">”. Para el efecto, se basa en lo considerado en las sentencias </w:t>
      </w:r>
      <w:r w:rsidRPr="002E15E2">
        <w:t>T-024 de 1996</w:t>
      </w:r>
      <w:r>
        <w:t>,</w:t>
      </w:r>
      <w:r w:rsidRPr="002E15E2">
        <w:t xml:space="preserve"> C-496 de 1998 y C-561 de 1999</w:t>
      </w:r>
      <w:r>
        <w:t>.</w:t>
      </w:r>
    </w:p>
  </w:footnote>
  <w:footnote w:id="12">
    <w:p w14:paraId="1DF1CA14" w14:textId="77777777" w:rsidR="0086189E" w:rsidRPr="006E1C79" w:rsidRDefault="0086189E" w:rsidP="00BC1933">
      <w:pPr>
        <w:pStyle w:val="Textonotapie"/>
      </w:pPr>
      <w:r w:rsidRPr="006E1C79">
        <w:rPr>
          <w:rStyle w:val="Refdenotaalpie"/>
        </w:rPr>
        <w:footnoteRef/>
      </w:r>
      <w:r w:rsidRPr="006E1C79">
        <w:t xml:space="preserve"> Cfr. Corte Constitucional. Sentencias T-936 de 2013 y T-261 de 2018.</w:t>
      </w:r>
    </w:p>
  </w:footnote>
  <w:footnote w:id="13">
    <w:p w14:paraId="6C09ED2B" w14:textId="3333121F" w:rsidR="001D54DE" w:rsidRDefault="001D54DE">
      <w:pPr>
        <w:pStyle w:val="Textonotapie"/>
      </w:pPr>
      <w:r>
        <w:rPr>
          <w:rStyle w:val="Refdenotaalpie"/>
        </w:rPr>
        <w:footnoteRef/>
      </w:r>
      <w:r>
        <w:t xml:space="preserve"> Cfr. T146 de 2012 y </w:t>
      </w:r>
      <w:r w:rsidRPr="001D54DE">
        <w:t>T-377 de 2000</w:t>
      </w:r>
      <w:r>
        <w:t>.</w:t>
      </w:r>
    </w:p>
  </w:footnote>
  <w:footnote w:id="14">
    <w:p w14:paraId="2735C209" w14:textId="77777777" w:rsidR="0086189E" w:rsidRPr="006E1C79" w:rsidRDefault="0086189E" w:rsidP="005E31C4">
      <w:pPr>
        <w:pStyle w:val="Textonotapie"/>
      </w:pPr>
      <w:r w:rsidRPr="006E1C79">
        <w:rPr>
          <w:rStyle w:val="Refdenotaalpie"/>
        </w:rPr>
        <w:footnoteRef/>
      </w:r>
      <w:r w:rsidRPr="006E1C79">
        <w:t xml:space="preserve"> Ver, por ejemplo, Corte Constitucional. Sentencia T-047 de 2013. Dicho fallo refiere la sentencia T-377 de 2000, citada, la cual fija las nueve características de rango constitucional que tiene el derecho fundamental de petición.</w:t>
      </w:r>
    </w:p>
  </w:footnote>
  <w:footnote w:id="15">
    <w:p w14:paraId="2BA6EC10" w14:textId="7A02F1BC" w:rsidR="0086189E" w:rsidRPr="00C54550" w:rsidRDefault="0086189E" w:rsidP="003C1990">
      <w:pPr>
        <w:pStyle w:val="Textonotapie"/>
      </w:pPr>
      <w:r>
        <w:rPr>
          <w:rStyle w:val="Refdenotaalpie"/>
        </w:rPr>
        <w:footnoteRef/>
      </w:r>
      <w:r>
        <w:t xml:space="preserve"> Ver, artículo 86 Superior, primer inciso.</w:t>
      </w:r>
    </w:p>
  </w:footnote>
  <w:footnote w:id="16">
    <w:p w14:paraId="5C40DC2D" w14:textId="15339E6A" w:rsidR="0086189E" w:rsidRPr="00C54550" w:rsidRDefault="0086189E">
      <w:pPr>
        <w:pStyle w:val="Textonotapie"/>
      </w:pPr>
      <w:r>
        <w:rPr>
          <w:rStyle w:val="Refdenotaalpie"/>
        </w:rPr>
        <w:footnoteRef/>
      </w:r>
      <w:r>
        <w:t xml:space="preserve"> Cfr. Corte Constitucional. Sentencia SU-350 de 2019.</w:t>
      </w:r>
    </w:p>
  </w:footnote>
  <w:footnote w:id="17">
    <w:p w14:paraId="3CFFF1D8" w14:textId="0B2E13D5" w:rsidR="0086189E" w:rsidRPr="00723A9C" w:rsidRDefault="0086189E">
      <w:pPr>
        <w:pStyle w:val="Textonotapie"/>
      </w:pPr>
      <w:r>
        <w:rPr>
          <w:rStyle w:val="Refdenotaalpie"/>
        </w:rPr>
        <w:footnoteRef/>
      </w:r>
      <w:r>
        <w:t xml:space="preserve"> </w:t>
      </w:r>
      <w:r w:rsidRPr="00723A9C">
        <w:t>C</w:t>
      </w:r>
      <w:r>
        <w:t>orte Constitucional. Sentencia T-369 de 2013. La falta de respuesta, así como las contestaciones dilatorias o evasivas, “</w:t>
      </w:r>
      <w:r w:rsidRPr="00723A9C">
        <w:t>condenan al peticionario a una situación de incertidumbre, por cuanto éste no logra aclarar sus inquietudes, especialmente si se considera que en muchos eventos, de esa respuesta depende el ejercicio de otros derechos subjetivos</w:t>
      </w:r>
      <w:r>
        <w:t>”.</w:t>
      </w:r>
    </w:p>
  </w:footnote>
  <w:footnote w:id="18">
    <w:p w14:paraId="5C04000B" w14:textId="121D6337" w:rsidR="0086189E" w:rsidRPr="00176B3D" w:rsidRDefault="0086189E">
      <w:pPr>
        <w:pStyle w:val="Textonotapie"/>
      </w:pPr>
      <w:r>
        <w:rPr>
          <w:rStyle w:val="Refdenotaalpie"/>
        </w:rPr>
        <w:footnoteRef/>
      </w:r>
      <w:r>
        <w:t xml:space="preserve"> “</w:t>
      </w:r>
      <w:r w:rsidRPr="005F2E9C">
        <w:rPr>
          <w:u w:val="single"/>
        </w:rPr>
        <w:t>Artículo</w:t>
      </w:r>
      <w:r w:rsidRPr="00176B3D">
        <w:t xml:space="preserve"> </w:t>
      </w:r>
      <w:r w:rsidRPr="005F2E9C">
        <w:rPr>
          <w:u w:val="single"/>
        </w:rPr>
        <w:t>21</w:t>
      </w:r>
      <w:r w:rsidRPr="00176B3D">
        <w:t xml:space="preserve">. </w:t>
      </w:r>
      <w:r w:rsidRPr="00176B3D">
        <w:rPr>
          <w:i/>
          <w:iCs/>
        </w:rPr>
        <w:t>Funcionario sin competencia</w:t>
      </w:r>
      <w:r w:rsidRPr="00176B3D">
        <w:t>. Si la autoridad a quien se dirige la petición no es la competente, se informará de inmediato al interesado si este actúa verbalmente, o dentro de los cinco (5) días siguientes al de la recepción, si obró por escrito. Dentro del término señalado remitirá la 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w:t>
      </w:r>
      <w:r>
        <w:t>”</w:t>
      </w:r>
      <w:r w:rsidRPr="00176B3D">
        <w:t>.</w:t>
      </w:r>
    </w:p>
  </w:footnote>
  <w:footnote w:id="19">
    <w:p w14:paraId="177D73BD" w14:textId="465B0FC5" w:rsidR="0086189E" w:rsidRPr="005F2E9C" w:rsidRDefault="0086189E">
      <w:pPr>
        <w:pStyle w:val="Textonotapie"/>
      </w:pPr>
      <w:r>
        <w:rPr>
          <w:rStyle w:val="Refdenotaalpie"/>
        </w:rPr>
        <w:footnoteRef/>
      </w:r>
      <w:r>
        <w:t xml:space="preserve"> </w:t>
      </w:r>
      <w:r w:rsidRPr="005F2E9C">
        <w:t>Ver, Corte Constitucional. Sentencia C-</w:t>
      </w:r>
      <w:r>
        <w:t>951 de 2014. Allí, la Corte expresa que “</w:t>
      </w:r>
      <w:r w:rsidRPr="005F2E9C">
        <w:t>para evitar dilaciones injustificadas y así garantizar de forma sustancial una pronta respuesta a la petición incoada, debe entenderse que la obligación de informar ("informará") al peticionario no se agota con la mera manifestación de que no se es competente, y de que otra autoridad lo es. Esta información deberá estar motivada, de modo que la respuesta que en este sentido dé la entidad deberá indicar: i) por qué no es competente la autoridad ante la que se presenta la petición; y ii) por qué es competente la autoridad a la que se remite la misma</w:t>
      </w:r>
      <w:r>
        <w:t xml:space="preserve"> [sic]”</w:t>
      </w:r>
      <w:r w:rsidRPr="005F2E9C">
        <w:t>.</w:t>
      </w:r>
      <w:r>
        <w:t xml:space="preserve"> De ese modo, ese tribunal reiteró lo expuesto en las sentencias T-575 de 1994, T-564 de 2002 y T-371 de 2003. Al anterior punto, esta Corporación ha agregado que se debe enterar al interesado de aquellos datos mínimos (funcionario o dependencia que recibió la remisión, documento y fecha en la que la petición fue remitida y números de radicado) que necesita para hacerle seguimiento a su solicitud. </w:t>
      </w:r>
      <w:r w:rsidRPr="00C637B7">
        <w:t xml:space="preserve">Consejo de Estado, Sala de lo Contencioso Administrativo, Sección Segunda, Subsección A. Sentencia del </w:t>
      </w:r>
      <w:r>
        <w:t>6</w:t>
      </w:r>
      <w:r w:rsidRPr="00C637B7">
        <w:t xml:space="preserve"> de </w:t>
      </w:r>
      <w:r>
        <w:t>febrero</w:t>
      </w:r>
      <w:r w:rsidRPr="00C637B7">
        <w:t xml:space="preserve"> de </w:t>
      </w:r>
      <w:r>
        <w:t>2013</w:t>
      </w:r>
      <w:r w:rsidRPr="00C637B7">
        <w:t>, expediente n.° 201</w:t>
      </w:r>
      <w:r>
        <w:t>2</w:t>
      </w:r>
      <w:r w:rsidRPr="00C637B7">
        <w:t>-0</w:t>
      </w:r>
      <w:r>
        <w:t>0438</w:t>
      </w:r>
      <w:r w:rsidRPr="00C637B7">
        <w:t>-01.</w:t>
      </w:r>
    </w:p>
  </w:footnote>
  <w:footnote w:id="20">
    <w:p w14:paraId="2744D059" w14:textId="24936570" w:rsidR="0086189E" w:rsidRPr="00C637B7" w:rsidRDefault="0086189E">
      <w:pPr>
        <w:pStyle w:val="Textonotapie"/>
      </w:pPr>
      <w:r>
        <w:rPr>
          <w:rStyle w:val="Refdenotaalpie"/>
        </w:rPr>
        <w:footnoteRef/>
      </w:r>
      <w:r>
        <w:t xml:space="preserve"> Consejo de Estado, Sala de lo Contencioso Administrativo, Sección Segunda, Subsección A. Sentencia del 2 de diciembre de 2010, expediente n.° 2010-01809-01. Igualmente, debe precisarse que toda demora debe ser enterada al peticionario de manera expresa. En la respectiva comunicación deberá señalarse la fecha en que se responderá. Al respecto, ver: Consejo de Estado, Sala de lo Contencioso Administrativo, Sección Quinta. Sentencia del 4 de octubre de 2012, expediente n.° 2012-00040-01.</w:t>
      </w:r>
    </w:p>
  </w:footnote>
  <w:footnote w:id="21">
    <w:p w14:paraId="5D044027" w14:textId="77777777" w:rsidR="00CB468E" w:rsidRPr="0019417E" w:rsidRDefault="00CB468E" w:rsidP="00CB468E">
      <w:pPr>
        <w:pStyle w:val="Textonotapie"/>
      </w:pPr>
      <w:r>
        <w:rPr>
          <w:rStyle w:val="Refdenotaalpie"/>
        </w:rPr>
        <w:footnoteRef/>
      </w:r>
      <w:r>
        <w:t xml:space="preserve"> </w:t>
      </w:r>
      <w:r w:rsidRPr="0019417E">
        <w:t>Ver, nota</w:t>
      </w:r>
      <w:r>
        <w:t>s</w:t>
      </w:r>
      <w:r w:rsidRPr="0019417E">
        <w:t xml:space="preserve"> de pie de p</w:t>
      </w:r>
      <w:r>
        <w:t xml:space="preserve">ágina </w:t>
      </w:r>
      <w:proofErr w:type="spellStart"/>
      <w:r>
        <w:t>n.</w:t>
      </w:r>
      <w:r w:rsidRPr="0019417E">
        <w:rPr>
          <w:vertAlign w:val="superscript"/>
        </w:rPr>
        <w:t>os</w:t>
      </w:r>
      <w:proofErr w:type="spellEnd"/>
      <w:r>
        <w:t xml:space="preserve"> 16 y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22CBC" w14:textId="77777777" w:rsidR="0086189E" w:rsidRPr="00A15ACE" w:rsidRDefault="0086189E" w:rsidP="00203055">
    <w:pPr>
      <w:pStyle w:val="Encabezado"/>
      <w:tabs>
        <w:tab w:val="clear" w:pos="4252"/>
        <w:tab w:val="clear" w:pos="8504"/>
      </w:tabs>
    </w:pPr>
    <w:r>
      <w:rPr>
        <w:noProof/>
        <w:lang w:val="es-ES" w:eastAsia="es-ES"/>
      </w:rPr>
      <w:drawing>
        <wp:anchor distT="0" distB="0" distL="114300" distR="114300" simplePos="0" relativeHeight="251657728"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Encabezado"/>
      <w:tabs>
        <w:tab w:val="clear" w:pos="4252"/>
        <w:tab w:val="clear" w:pos="8504"/>
      </w:tabs>
    </w:pPr>
  </w:p>
  <w:p w14:paraId="2A7E67E0" w14:textId="77777777" w:rsidR="0086189E" w:rsidRPr="00A15ACE" w:rsidRDefault="0086189E" w:rsidP="00203055">
    <w:pPr>
      <w:pStyle w:val="Encabezado"/>
      <w:tabs>
        <w:tab w:val="clear" w:pos="4252"/>
        <w:tab w:val="clear" w:pos="8504"/>
      </w:tabs>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A0571C"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2A410972" w:rsidR="0086189E" w:rsidRPr="00F532EA" w:rsidRDefault="0086189E" w:rsidP="00203055">
    <w:pPr>
      <w:pStyle w:val="Encabezado"/>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11001-03-15-000-2020-0</w:t>
    </w:r>
    <w:r>
      <w:rPr>
        <w:color w:val="767171"/>
        <w:sz w:val="20"/>
        <w:szCs w:val="20"/>
      </w:rPr>
      <w:t>4559</w:t>
    </w:r>
    <w:r w:rsidRPr="007B3B39">
      <w:rPr>
        <w:color w:val="767171"/>
        <w:sz w:val="20"/>
        <w:szCs w:val="20"/>
      </w:rPr>
      <w:t>-00</w:t>
    </w:r>
  </w:p>
  <w:p w14:paraId="6426EFCB" w14:textId="2626C779" w:rsidR="0086189E" w:rsidRPr="00C4675E" w:rsidRDefault="0086189E" w:rsidP="00203055">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 xml:space="preserve">Accionante: Laura Iliana de María Villota </w:t>
    </w:r>
    <w:proofErr w:type="spellStart"/>
    <w:r>
      <w:rPr>
        <w:color w:val="767171"/>
        <w:sz w:val="20"/>
        <w:szCs w:val="20"/>
      </w:rPr>
      <w:t>Chicaiza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586D" w14:textId="77777777" w:rsidR="0086189E" w:rsidRPr="00A15ACE" w:rsidRDefault="0086189E" w:rsidP="00850A42">
    <w:pPr>
      <w:pStyle w:val="Encabezado"/>
      <w:tabs>
        <w:tab w:val="clear" w:pos="4252"/>
        <w:tab w:val="clear" w:pos="8504"/>
      </w:tabs>
    </w:pPr>
    <w:r>
      <w:rPr>
        <w:noProof/>
        <w:lang w:val="es-ES" w:eastAsia="es-ES"/>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Encabezado"/>
      <w:tabs>
        <w:tab w:val="clear" w:pos="4252"/>
        <w:tab w:val="clear" w:pos="8504"/>
      </w:tabs>
      <w:rPr>
        <w:color w:val="767171"/>
      </w:rPr>
    </w:pPr>
  </w:p>
  <w:p w14:paraId="27F8185B" w14:textId="77777777" w:rsidR="0086189E" w:rsidRPr="007F276C" w:rsidRDefault="0086189E" w:rsidP="00EC5604">
    <w:pPr>
      <w:pStyle w:val="Sinespaciado"/>
    </w:pPr>
    <w:r w:rsidRPr="007F276C">
      <w:t>CONSEJO DE ESTADO</w:t>
    </w:r>
  </w:p>
  <w:p w14:paraId="73CB25C2" w14:textId="77777777" w:rsidR="0086189E" w:rsidRPr="007F276C" w:rsidRDefault="0086189E" w:rsidP="00EC5604">
    <w:pPr>
      <w:pStyle w:val="Sinespaciado"/>
    </w:pPr>
    <w:r w:rsidRPr="007F276C">
      <w:t>SALA DE LO CONTENCIOSO ADMINISTRATIVO</w:t>
    </w:r>
  </w:p>
  <w:p w14:paraId="53748759" w14:textId="77777777" w:rsidR="0086189E" w:rsidRPr="007F276C" w:rsidRDefault="0086189E" w:rsidP="00EC5604">
    <w:pPr>
      <w:pStyle w:val="Sinespaciado"/>
    </w:pPr>
    <w:r w:rsidRPr="007F276C">
      <w:t>SECCIÓN TERCERA – SUBSECCIÓN C</w:t>
    </w:r>
  </w:p>
  <w:p w14:paraId="3879558C" w14:textId="77777777" w:rsidR="0086189E" w:rsidRDefault="0086189E" w:rsidP="00850A42">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374F73"/>
    <w:multiLevelType w:val="multilevel"/>
    <w:tmpl w:val="ABAEDE02"/>
    <w:lvl w:ilvl="0">
      <w:start w:val="1"/>
      <w:numFmt w:val="upperRoman"/>
      <w:pStyle w:val="Ttulo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7265EF3"/>
    <w:multiLevelType w:val="multilevel"/>
    <w:tmpl w:val="ABAEDE02"/>
    <w:numStyleLink w:val="Estilo1"/>
  </w:abstractNum>
  <w:abstractNum w:abstractNumId="12">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4"/>
  </w:num>
  <w:num w:numId="7">
    <w:abstractNumId w:val="16"/>
  </w:num>
  <w:num w:numId="8">
    <w:abstractNumId w:val="14"/>
  </w:num>
  <w:num w:numId="9">
    <w:abstractNumId w:val="15"/>
  </w:num>
  <w:num w:numId="10">
    <w:abstractNumId w:val="11"/>
  </w:num>
  <w:num w:numId="11">
    <w:abstractNumId w:val="6"/>
  </w:num>
  <w:num w:numId="12">
    <w:abstractNumId w:val="12"/>
  </w:num>
  <w:num w:numId="13">
    <w:abstractNumId w:val="7"/>
  </w:num>
  <w:num w:numId="14">
    <w:abstractNumId w:val="22"/>
  </w:num>
  <w:num w:numId="15">
    <w:abstractNumId w:val="2"/>
  </w:num>
  <w:num w:numId="16">
    <w:abstractNumId w:val="21"/>
  </w:num>
  <w:num w:numId="17">
    <w:abstractNumId w:val="27"/>
  </w:num>
  <w:num w:numId="18">
    <w:abstractNumId w:val="25"/>
  </w:num>
  <w:num w:numId="19">
    <w:abstractNumId w:val="19"/>
  </w:num>
  <w:num w:numId="20">
    <w:abstractNumId w:val="3"/>
  </w:num>
  <w:num w:numId="21">
    <w:abstractNumId w:val="4"/>
  </w:num>
  <w:num w:numId="22">
    <w:abstractNumId w:val="20"/>
  </w:num>
  <w:num w:numId="23">
    <w:abstractNumId w:val="13"/>
  </w:num>
  <w:num w:numId="24">
    <w:abstractNumId w:val="0"/>
  </w:num>
  <w:num w:numId="25">
    <w:abstractNumId w:val="8"/>
  </w:num>
  <w:num w:numId="26">
    <w:abstractNumId w:val="17"/>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2646"/>
    <w:rsid w:val="00002BCB"/>
    <w:rsid w:val="00003427"/>
    <w:rsid w:val="00003548"/>
    <w:rsid w:val="000042FA"/>
    <w:rsid w:val="00006D3C"/>
    <w:rsid w:val="000078E1"/>
    <w:rsid w:val="00007CCA"/>
    <w:rsid w:val="00011912"/>
    <w:rsid w:val="0001211B"/>
    <w:rsid w:val="0001306A"/>
    <w:rsid w:val="000148D2"/>
    <w:rsid w:val="00014C90"/>
    <w:rsid w:val="00014D69"/>
    <w:rsid w:val="00016594"/>
    <w:rsid w:val="000165D0"/>
    <w:rsid w:val="00017CB3"/>
    <w:rsid w:val="000205FD"/>
    <w:rsid w:val="00020C81"/>
    <w:rsid w:val="00020F1D"/>
    <w:rsid w:val="00021439"/>
    <w:rsid w:val="00024CD3"/>
    <w:rsid w:val="00024ED7"/>
    <w:rsid w:val="00025115"/>
    <w:rsid w:val="00025159"/>
    <w:rsid w:val="00025657"/>
    <w:rsid w:val="00026643"/>
    <w:rsid w:val="0002715D"/>
    <w:rsid w:val="000274C1"/>
    <w:rsid w:val="00030424"/>
    <w:rsid w:val="0003044A"/>
    <w:rsid w:val="00030D50"/>
    <w:rsid w:val="0003163C"/>
    <w:rsid w:val="00032747"/>
    <w:rsid w:val="000352C9"/>
    <w:rsid w:val="000369DF"/>
    <w:rsid w:val="00036A46"/>
    <w:rsid w:val="0003723B"/>
    <w:rsid w:val="00037471"/>
    <w:rsid w:val="00040E52"/>
    <w:rsid w:val="000412C2"/>
    <w:rsid w:val="000415BD"/>
    <w:rsid w:val="0004241E"/>
    <w:rsid w:val="000447FE"/>
    <w:rsid w:val="0004512E"/>
    <w:rsid w:val="000452C0"/>
    <w:rsid w:val="0004588A"/>
    <w:rsid w:val="000460CA"/>
    <w:rsid w:val="00051CA2"/>
    <w:rsid w:val="000526A4"/>
    <w:rsid w:val="000529AB"/>
    <w:rsid w:val="00052B30"/>
    <w:rsid w:val="00052C39"/>
    <w:rsid w:val="0005325C"/>
    <w:rsid w:val="000544A4"/>
    <w:rsid w:val="000548C3"/>
    <w:rsid w:val="00055579"/>
    <w:rsid w:val="0005624F"/>
    <w:rsid w:val="000569D4"/>
    <w:rsid w:val="00056C68"/>
    <w:rsid w:val="00056DFC"/>
    <w:rsid w:val="00056EC2"/>
    <w:rsid w:val="00057AB2"/>
    <w:rsid w:val="00061B93"/>
    <w:rsid w:val="00061E0A"/>
    <w:rsid w:val="00062419"/>
    <w:rsid w:val="00062839"/>
    <w:rsid w:val="00062E7F"/>
    <w:rsid w:val="000632DC"/>
    <w:rsid w:val="00064461"/>
    <w:rsid w:val="00065394"/>
    <w:rsid w:val="000655DF"/>
    <w:rsid w:val="00066855"/>
    <w:rsid w:val="00066F0B"/>
    <w:rsid w:val="00067858"/>
    <w:rsid w:val="00070576"/>
    <w:rsid w:val="00070C82"/>
    <w:rsid w:val="00071226"/>
    <w:rsid w:val="000728E0"/>
    <w:rsid w:val="0007303A"/>
    <w:rsid w:val="00073869"/>
    <w:rsid w:val="0007389A"/>
    <w:rsid w:val="00074469"/>
    <w:rsid w:val="00077ABA"/>
    <w:rsid w:val="0008006A"/>
    <w:rsid w:val="000813DB"/>
    <w:rsid w:val="00082421"/>
    <w:rsid w:val="0008290D"/>
    <w:rsid w:val="000829E5"/>
    <w:rsid w:val="00082FCD"/>
    <w:rsid w:val="00083B8F"/>
    <w:rsid w:val="00083C27"/>
    <w:rsid w:val="000876A6"/>
    <w:rsid w:val="00090310"/>
    <w:rsid w:val="00091755"/>
    <w:rsid w:val="00091E4D"/>
    <w:rsid w:val="000920C2"/>
    <w:rsid w:val="000937EE"/>
    <w:rsid w:val="00094AEA"/>
    <w:rsid w:val="00094E7B"/>
    <w:rsid w:val="0009717D"/>
    <w:rsid w:val="000A1E41"/>
    <w:rsid w:val="000A2262"/>
    <w:rsid w:val="000A2B33"/>
    <w:rsid w:val="000A34B6"/>
    <w:rsid w:val="000A39D7"/>
    <w:rsid w:val="000A42B2"/>
    <w:rsid w:val="000A4FB0"/>
    <w:rsid w:val="000A5554"/>
    <w:rsid w:val="000A7A33"/>
    <w:rsid w:val="000B0A38"/>
    <w:rsid w:val="000B15AE"/>
    <w:rsid w:val="000B42A8"/>
    <w:rsid w:val="000B51B3"/>
    <w:rsid w:val="000B5547"/>
    <w:rsid w:val="000B7608"/>
    <w:rsid w:val="000C09E1"/>
    <w:rsid w:val="000C264F"/>
    <w:rsid w:val="000C2B43"/>
    <w:rsid w:val="000C3ED0"/>
    <w:rsid w:val="000C445C"/>
    <w:rsid w:val="000C456C"/>
    <w:rsid w:val="000C581D"/>
    <w:rsid w:val="000C5DB7"/>
    <w:rsid w:val="000C6238"/>
    <w:rsid w:val="000C66BA"/>
    <w:rsid w:val="000C6D2E"/>
    <w:rsid w:val="000C7B4F"/>
    <w:rsid w:val="000C7E44"/>
    <w:rsid w:val="000D0E41"/>
    <w:rsid w:val="000D0FE6"/>
    <w:rsid w:val="000D16F0"/>
    <w:rsid w:val="000D223A"/>
    <w:rsid w:val="000D3C86"/>
    <w:rsid w:val="000D4D6C"/>
    <w:rsid w:val="000D546D"/>
    <w:rsid w:val="000D5563"/>
    <w:rsid w:val="000D6BFF"/>
    <w:rsid w:val="000D6E0F"/>
    <w:rsid w:val="000D7EE8"/>
    <w:rsid w:val="000E22EA"/>
    <w:rsid w:val="000E2D62"/>
    <w:rsid w:val="000E2F23"/>
    <w:rsid w:val="000E6CF6"/>
    <w:rsid w:val="000E709F"/>
    <w:rsid w:val="000F04B3"/>
    <w:rsid w:val="000F053A"/>
    <w:rsid w:val="000F1B8D"/>
    <w:rsid w:val="000F1CE9"/>
    <w:rsid w:val="000F32A0"/>
    <w:rsid w:val="000F3570"/>
    <w:rsid w:val="000F46CE"/>
    <w:rsid w:val="000F4980"/>
    <w:rsid w:val="000F4FF8"/>
    <w:rsid w:val="000F6D77"/>
    <w:rsid w:val="000F7BDA"/>
    <w:rsid w:val="000F7E83"/>
    <w:rsid w:val="00101C60"/>
    <w:rsid w:val="00101E8A"/>
    <w:rsid w:val="0010217B"/>
    <w:rsid w:val="001038EA"/>
    <w:rsid w:val="001041C2"/>
    <w:rsid w:val="0010435F"/>
    <w:rsid w:val="001045A0"/>
    <w:rsid w:val="00106CCC"/>
    <w:rsid w:val="00106FB6"/>
    <w:rsid w:val="0011079E"/>
    <w:rsid w:val="00112F1A"/>
    <w:rsid w:val="00113BD7"/>
    <w:rsid w:val="00113CAE"/>
    <w:rsid w:val="00115EBE"/>
    <w:rsid w:val="00117091"/>
    <w:rsid w:val="001230E5"/>
    <w:rsid w:val="00123D71"/>
    <w:rsid w:val="00124ED7"/>
    <w:rsid w:val="00126A63"/>
    <w:rsid w:val="00130F7C"/>
    <w:rsid w:val="00131078"/>
    <w:rsid w:val="001314F6"/>
    <w:rsid w:val="00132DD7"/>
    <w:rsid w:val="00133F91"/>
    <w:rsid w:val="0013529D"/>
    <w:rsid w:val="0013542E"/>
    <w:rsid w:val="00137438"/>
    <w:rsid w:val="00137807"/>
    <w:rsid w:val="00140BF3"/>
    <w:rsid w:val="00141670"/>
    <w:rsid w:val="001416A3"/>
    <w:rsid w:val="001462FA"/>
    <w:rsid w:val="00146CC0"/>
    <w:rsid w:val="0015060C"/>
    <w:rsid w:val="00150D25"/>
    <w:rsid w:val="001510A3"/>
    <w:rsid w:val="00151CE2"/>
    <w:rsid w:val="001520C5"/>
    <w:rsid w:val="001524ED"/>
    <w:rsid w:val="00152A55"/>
    <w:rsid w:val="00152C23"/>
    <w:rsid w:val="0015433E"/>
    <w:rsid w:val="00154621"/>
    <w:rsid w:val="0015533A"/>
    <w:rsid w:val="00155E78"/>
    <w:rsid w:val="00156E62"/>
    <w:rsid w:val="0016141D"/>
    <w:rsid w:val="00161478"/>
    <w:rsid w:val="00163C26"/>
    <w:rsid w:val="001648E2"/>
    <w:rsid w:val="001652C6"/>
    <w:rsid w:val="001653CA"/>
    <w:rsid w:val="00165674"/>
    <w:rsid w:val="001658F7"/>
    <w:rsid w:val="00165F5A"/>
    <w:rsid w:val="00166AF6"/>
    <w:rsid w:val="00167331"/>
    <w:rsid w:val="001707E0"/>
    <w:rsid w:val="00170DE6"/>
    <w:rsid w:val="00170FDD"/>
    <w:rsid w:val="00171055"/>
    <w:rsid w:val="001718C1"/>
    <w:rsid w:val="0017254C"/>
    <w:rsid w:val="001728B3"/>
    <w:rsid w:val="00172B9D"/>
    <w:rsid w:val="001733AF"/>
    <w:rsid w:val="001737B9"/>
    <w:rsid w:val="0017431B"/>
    <w:rsid w:val="00175800"/>
    <w:rsid w:val="00176539"/>
    <w:rsid w:val="00176B3D"/>
    <w:rsid w:val="00177946"/>
    <w:rsid w:val="00180162"/>
    <w:rsid w:val="00181571"/>
    <w:rsid w:val="001816BE"/>
    <w:rsid w:val="00182116"/>
    <w:rsid w:val="001835F7"/>
    <w:rsid w:val="00183FC5"/>
    <w:rsid w:val="00184DCA"/>
    <w:rsid w:val="0018534B"/>
    <w:rsid w:val="001859CD"/>
    <w:rsid w:val="00190A86"/>
    <w:rsid w:val="0019195B"/>
    <w:rsid w:val="00191F52"/>
    <w:rsid w:val="0019313B"/>
    <w:rsid w:val="00193204"/>
    <w:rsid w:val="0019417E"/>
    <w:rsid w:val="00194ACD"/>
    <w:rsid w:val="00194CD0"/>
    <w:rsid w:val="00195702"/>
    <w:rsid w:val="00195C51"/>
    <w:rsid w:val="00196A2F"/>
    <w:rsid w:val="00197E69"/>
    <w:rsid w:val="001A06C7"/>
    <w:rsid w:val="001A2083"/>
    <w:rsid w:val="001A2338"/>
    <w:rsid w:val="001A2E86"/>
    <w:rsid w:val="001A4A26"/>
    <w:rsid w:val="001A5AEB"/>
    <w:rsid w:val="001A5D58"/>
    <w:rsid w:val="001A6C86"/>
    <w:rsid w:val="001A78A0"/>
    <w:rsid w:val="001A7A33"/>
    <w:rsid w:val="001B2F00"/>
    <w:rsid w:val="001B368A"/>
    <w:rsid w:val="001B4B0D"/>
    <w:rsid w:val="001B586B"/>
    <w:rsid w:val="001B7AD5"/>
    <w:rsid w:val="001C16CB"/>
    <w:rsid w:val="001C2810"/>
    <w:rsid w:val="001C3556"/>
    <w:rsid w:val="001C3610"/>
    <w:rsid w:val="001C3A72"/>
    <w:rsid w:val="001C3C1F"/>
    <w:rsid w:val="001C7B8D"/>
    <w:rsid w:val="001D1445"/>
    <w:rsid w:val="001D1E28"/>
    <w:rsid w:val="001D2CB4"/>
    <w:rsid w:val="001D2DA5"/>
    <w:rsid w:val="001D3797"/>
    <w:rsid w:val="001D47B7"/>
    <w:rsid w:val="001D4E62"/>
    <w:rsid w:val="001D54DE"/>
    <w:rsid w:val="001D79F8"/>
    <w:rsid w:val="001E0688"/>
    <w:rsid w:val="001E2A25"/>
    <w:rsid w:val="001E52CA"/>
    <w:rsid w:val="001E5970"/>
    <w:rsid w:val="001E622B"/>
    <w:rsid w:val="001E6CC0"/>
    <w:rsid w:val="001F039B"/>
    <w:rsid w:val="001F2150"/>
    <w:rsid w:val="001F21E4"/>
    <w:rsid w:val="001F2572"/>
    <w:rsid w:val="001F2F2C"/>
    <w:rsid w:val="001F335A"/>
    <w:rsid w:val="001F5570"/>
    <w:rsid w:val="001F6092"/>
    <w:rsid w:val="001F6E71"/>
    <w:rsid w:val="001F724D"/>
    <w:rsid w:val="001F7EE0"/>
    <w:rsid w:val="00200716"/>
    <w:rsid w:val="0020077C"/>
    <w:rsid w:val="00201EC3"/>
    <w:rsid w:val="00202697"/>
    <w:rsid w:val="00203055"/>
    <w:rsid w:val="002032B7"/>
    <w:rsid w:val="00206260"/>
    <w:rsid w:val="0020663C"/>
    <w:rsid w:val="00207C74"/>
    <w:rsid w:val="0021149F"/>
    <w:rsid w:val="002137D0"/>
    <w:rsid w:val="00213BBF"/>
    <w:rsid w:val="00213FD0"/>
    <w:rsid w:val="00214673"/>
    <w:rsid w:val="00214D23"/>
    <w:rsid w:val="0021624A"/>
    <w:rsid w:val="00216E6F"/>
    <w:rsid w:val="00222307"/>
    <w:rsid w:val="00222D97"/>
    <w:rsid w:val="002230E3"/>
    <w:rsid w:val="00226D5E"/>
    <w:rsid w:val="0023111B"/>
    <w:rsid w:val="002317CA"/>
    <w:rsid w:val="00234105"/>
    <w:rsid w:val="00234985"/>
    <w:rsid w:val="002352A8"/>
    <w:rsid w:val="002361C0"/>
    <w:rsid w:val="00236539"/>
    <w:rsid w:val="002408E2"/>
    <w:rsid w:val="0024105D"/>
    <w:rsid w:val="002411B3"/>
    <w:rsid w:val="00242169"/>
    <w:rsid w:val="002430F4"/>
    <w:rsid w:val="00243BDE"/>
    <w:rsid w:val="00246239"/>
    <w:rsid w:val="002469BB"/>
    <w:rsid w:val="00247439"/>
    <w:rsid w:val="00247530"/>
    <w:rsid w:val="00247EF9"/>
    <w:rsid w:val="002503D6"/>
    <w:rsid w:val="00250E9C"/>
    <w:rsid w:val="0025202A"/>
    <w:rsid w:val="00252C2F"/>
    <w:rsid w:val="00253054"/>
    <w:rsid w:val="00253667"/>
    <w:rsid w:val="00254098"/>
    <w:rsid w:val="00254304"/>
    <w:rsid w:val="00255C52"/>
    <w:rsid w:val="002560D0"/>
    <w:rsid w:val="00256101"/>
    <w:rsid w:val="00256333"/>
    <w:rsid w:val="002606C6"/>
    <w:rsid w:val="00261359"/>
    <w:rsid w:val="002615EF"/>
    <w:rsid w:val="002623F3"/>
    <w:rsid w:val="00263885"/>
    <w:rsid w:val="00263EFA"/>
    <w:rsid w:val="002667C3"/>
    <w:rsid w:val="00270632"/>
    <w:rsid w:val="0027276A"/>
    <w:rsid w:val="00272E9D"/>
    <w:rsid w:val="002730CD"/>
    <w:rsid w:val="0027673C"/>
    <w:rsid w:val="0027712D"/>
    <w:rsid w:val="00281874"/>
    <w:rsid w:val="00282115"/>
    <w:rsid w:val="00283BF3"/>
    <w:rsid w:val="00284F8E"/>
    <w:rsid w:val="00285470"/>
    <w:rsid w:val="00285949"/>
    <w:rsid w:val="0028665C"/>
    <w:rsid w:val="00290777"/>
    <w:rsid w:val="00291382"/>
    <w:rsid w:val="002918C0"/>
    <w:rsid w:val="0029193E"/>
    <w:rsid w:val="00291B41"/>
    <w:rsid w:val="002929F3"/>
    <w:rsid w:val="00292B1A"/>
    <w:rsid w:val="00292CBD"/>
    <w:rsid w:val="00293AE7"/>
    <w:rsid w:val="00294815"/>
    <w:rsid w:val="0029673C"/>
    <w:rsid w:val="00297F37"/>
    <w:rsid w:val="002A12C8"/>
    <w:rsid w:val="002A13AF"/>
    <w:rsid w:val="002A1D6D"/>
    <w:rsid w:val="002A3AAB"/>
    <w:rsid w:val="002A3BAC"/>
    <w:rsid w:val="002A4AF1"/>
    <w:rsid w:val="002A71A9"/>
    <w:rsid w:val="002A7398"/>
    <w:rsid w:val="002A77F8"/>
    <w:rsid w:val="002B41EA"/>
    <w:rsid w:val="002C12BC"/>
    <w:rsid w:val="002C15EA"/>
    <w:rsid w:val="002C1DA1"/>
    <w:rsid w:val="002C2B41"/>
    <w:rsid w:val="002C30E6"/>
    <w:rsid w:val="002C647A"/>
    <w:rsid w:val="002C6CFA"/>
    <w:rsid w:val="002C73F8"/>
    <w:rsid w:val="002C7F61"/>
    <w:rsid w:val="002D0F0A"/>
    <w:rsid w:val="002D2D5D"/>
    <w:rsid w:val="002D480B"/>
    <w:rsid w:val="002D4C6C"/>
    <w:rsid w:val="002D54E6"/>
    <w:rsid w:val="002D65CB"/>
    <w:rsid w:val="002D6FD7"/>
    <w:rsid w:val="002D7A7E"/>
    <w:rsid w:val="002E0403"/>
    <w:rsid w:val="002E076B"/>
    <w:rsid w:val="002E15E2"/>
    <w:rsid w:val="002E1978"/>
    <w:rsid w:val="002E1F51"/>
    <w:rsid w:val="002E21B1"/>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6515"/>
    <w:rsid w:val="00310385"/>
    <w:rsid w:val="00311642"/>
    <w:rsid w:val="00313179"/>
    <w:rsid w:val="0031393C"/>
    <w:rsid w:val="0031411D"/>
    <w:rsid w:val="00314BB1"/>
    <w:rsid w:val="00314CDC"/>
    <w:rsid w:val="0031514A"/>
    <w:rsid w:val="003172E7"/>
    <w:rsid w:val="00317E61"/>
    <w:rsid w:val="00320AD5"/>
    <w:rsid w:val="00321DAA"/>
    <w:rsid w:val="003229E1"/>
    <w:rsid w:val="00323689"/>
    <w:rsid w:val="00323712"/>
    <w:rsid w:val="003239D1"/>
    <w:rsid w:val="00325683"/>
    <w:rsid w:val="00326057"/>
    <w:rsid w:val="0033074E"/>
    <w:rsid w:val="003311A5"/>
    <w:rsid w:val="003320A8"/>
    <w:rsid w:val="00333248"/>
    <w:rsid w:val="00333B0A"/>
    <w:rsid w:val="00334307"/>
    <w:rsid w:val="0033439E"/>
    <w:rsid w:val="00335874"/>
    <w:rsid w:val="00336CB4"/>
    <w:rsid w:val="003373C2"/>
    <w:rsid w:val="00337D57"/>
    <w:rsid w:val="003420B1"/>
    <w:rsid w:val="00342548"/>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453A"/>
    <w:rsid w:val="00367126"/>
    <w:rsid w:val="003703E3"/>
    <w:rsid w:val="00370801"/>
    <w:rsid w:val="003739B7"/>
    <w:rsid w:val="00374674"/>
    <w:rsid w:val="00375FCA"/>
    <w:rsid w:val="003777E9"/>
    <w:rsid w:val="003802CE"/>
    <w:rsid w:val="00380417"/>
    <w:rsid w:val="0038210C"/>
    <w:rsid w:val="00382460"/>
    <w:rsid w:val="00382E4F"/>
    <w:rsid w:val="00383425"/>
    <w:rsid w:val="00383B43"/>
    <w:rsid w:val="00384507"/>
    <w:rsid w:val="003854AF"/>
    <w:rsid w:val="003857FF"/>
    <w:rsid w:val="0038628B"/>
    <w:rsid w:val="00386328"/>
    <w:rsid w:val="00386A22"/>
    <w:rsid w:val="0038733B"/>
    <w:rsid w:val="00387BBC"/>
    <w:rsid w:val="00387BBE"/>
    <w:rsid w:val="00390E0D"/>
    <w:rsid w:val="0039113A"/>
    <w:rsid w:val="003922EE"/>
    <w:rsid w:val="00393B8E"/>
    <w:rsid w:val="00394A69"/>
    <w:rsid w:val="00395B08"/>
    <w:rsid w:val="00395B33"/>
    <w:rsid w:val="003961FD"/>
    <w:rsid w:val="00397AB0"/>
    <w:rsid w:val="003A04B7"/>
    <w:rsid w:val="003A12C4"/>
    <w:rsid w:val="003A14AF"/>
    <w:rsid w:val="003A15FB"/>
    <w:rsid w:val="003A2775"/>
    <w:rsid w:val="003A2A41"/>
    <w:rsid w:val="003A370B"/>
    <w:rsid w:val="003A3B76"/>
    <w:rsid w:val="003A3E8F"/>
    <w:rsid w:val="003A6017"/>
    <w:rsid w:val="003A6275"/>
    <w:rsid w:val="003A6BD6"/>
    <w:rsid w:val="003A71A7"/>
    <w:rsid w:val="003A7246"/>
    <w:rsid w:val="003B2039"/>
    <w:rsid w:val="003B2F94"/>
    <w:rsid w:val="003B4515"/>
    <w:rsid w:val="003B455E"/>
    <w:rsid w:val="003B48E3"/>
    <w:rsid w:val="003B5090"/>
    <w:rsid w:val="003B557F"/>
    <w:rsid w:val="003C1990"/>
    <w:rsid w:val="003C2AAE"/>
    <w:rsid w:val="003C417B"/>
    <w:rsid w:val="003C6216"/>
    <w:rsid w:val="003C7743"/>
    <w:rsid w:val="003C7C5F"/>
    <w:rsid w:val="003D026C"/>
    <w:rsid w:val="003D124C"/>
    <w:rsid w:val="003D1B94"/>
    <w:rsid w:val="003D1EDF"/>
    <w:rsid w:val="003D2002"/>
    <w:rsid w:val="003D51B0"/>
    <w:rsid w:val="003D5881"/>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6339"/>
    <w:rsid w:val="003F72F7"/>
    <w:rsid w:val="003F7FF5"/>
    <w:rsid w:val="00400384"/>
    <w:rsid w:val="00400C3E"/>
    <w:rsid w:val="0040119D"/>
    <w:rsid w:val="0040289F"/>
    <w:rsid w:val="00402998"/>
    <w:rsid w:val="004035C8"/>
    <w:rsid w:val="00404D24"/>
    <w:rsid w:val="00405D91"/>
    <w:rsid w:val="00406023"/>
    <w:rsid w:val="00406723"/>
    <w:rsid w:val="004069D4"/>
    <w:rsid w:val="00406E94"/>
    <w:rsid w:val="00407F60"/>
    <w:rsid w:val="00410EB4"/>
    <w:rsid w:val="00411B57"/>
    <w:rsid w:val="00412792"/>
    <w:rsid w:val="00412A0F"/>
    <w:rsid w:val="00412E7C"/>
    <w:rsid w:val="004144E9"/>
    <w:rsid w:val="004159A5"/>
    <w:rsid w:val="004168CB"/>
    <w:rsid w:val="00417300"/>
    <w:rsid w:val="00417B95"/>
    <w:rsid w:val="004211FA"/>
    <w:rsid w:val="004217E1"/>
    <w:rsid w:val="00423D44"/>
    <w:rsid w:val="004243FC"/>
    <w:rsid w:val="00424723"/>
    <w:rsid w:val="00425E3D"/>
    <w:rsid w:val="00425E63"/>
    <w:rsid w:val="00425FFA"/>
    <w:rsid w:val="00426C95"/>
    <w:rsid w:val="00427FA5"/>
    <w:rsid w:val="00430389"/>
    <w:rsid w:val="00430BCE"/>
    <w:rsid w:val="00430D89"/>
    <w:rsid w:val="00433B85"/>
    <w:rsid w:val="00436284"/>
    <w:rsid w:val="00436468"/>
    <w:rsid w:val="004367A5"/>
    <w:rsid w:val="004415E5"/>
    <w:rsid w:val="004416B2"/>
    <w:rsid w:val="004439FB"/>
    <w:rsid w:val="00444AC1"/>
    <w:rsid w:val="00447956"/>
    <w:rsid w:val="00450C02"/>
    <w:rsid w:val="00450C41"/>
    <w:rsid w:val="004511DF"/>
    <w:rsid w:val="00451546"/>
    <w:rsid w:val="00452C39"/>
    <w:rsid w:val="00452C9D"/>
    <w:rsid w:val="0045359E"/>
    <w:rsid w:val="0045375E"/>
    <w:rsid w:val="00455F7E"/>
    <w:rsid w:val="00457921"/>
    <w:rsid w:val="004579EC"/>
    <w:rsid w:val="004612CF"/>
    <w:rsid w:val="0046258C"/>
    <w:rsid w:val="00463046"/>
    <w:rsid w:val="0046322E"/>
    <w:rsid w:val="00464CD0"/>
    <w:rsid w:val="00464E3F"/>
    <w:rsid w:val="00471474"/>
    <w:rsid w:val="0047256F"/>
    <w:rsid w:val="00472CEB"/>
    <w:rsid w:val="00473FAD"/>
    <w:rsid w:val="00474222"/>
    <w:rsid w:val="00474A0E"/>
    <w:rsid w:val="00477E08"/>
    <w:rsid w:val="00480CD6"/>
    <w:rsid w:val="00482318"/>
    <w:rsid w:val="00482535"/>
    <w:rsid w:val="00482C06"/>
    <w:rsid w:val="004849BB"/>
    <w:rsid w:val="004857F6"/>
    <w:rsid w:val="00486538"/>
    <w:rsid w:val="00487CBE"/>
    <w:rsid w:val="00490435"/>
    <w:rsid w:val="004906F1"/>
    <w:rsid w:val="00491910"/>
    <w:rsid w:val="00491E34"/>
    <w:rsid w:val="00491E97"/>
    <w:rsid w:val="00491FF0"/>
    <w:rsid w:val="00492FF4"/>
    <w:rsid w:val="00494197"/>
    <w:rsid w:val="00496F57"/>
    <w:rsid w:val="0049700C"/>
    <w:rsid w:val="00497632"/>
    <w:rsid w:val="00497735"/>
    <w:rsid w:val="00497834"/>
    <w:rsid w:val="004A05F3"/>
    <w:rsid w:val="004A114E"/>
    <w:rsid w:val="004A1D38"/>
    <w:rsid w:val="004A36AE"/>
    <w:rsid w:val="004A398C"/>
    <w:rsid w:val="004A4024"/>
    <w:rsid w:val="004A4EAB"/>
    <w:rsid w:val="004A52F5"/>
    <w:rsid w:val="004A59E5"/>
    <w:rsid w:val="004A7634"/>
    <w:rsid w:val="004B1D90"/>
    <w:rsid w:val="004B299D"/>
    <w:rsid w:val="004B301A"/>
    <w:rsid w:val="004B30D5"/>
    <w:rsid w:val="004B36F0"/>
    <w:rsid w:val="004B3FEC"/>
    <w:rsid w:val="004B5095"/>
    <w:rsid w:val="004B7140"/>
    <w:rsid w:val="004C0182"/>
    <w:rsid w:val="004C04FB"/>
    <w:rsid w:val="004C0AE1"/>
    <w:rsid w:val="004C2C11"/>
    <w:rsid w:val="004C4043"/>
    <w:rsid w:val="004C4137"/>
    <w:rsid w:val="004C67C1"/>
    <w:rsid w:val="004C77AD"/>
    <w:rsid w:val="004D04F5"/>
    <w:rsid w:val="004D17BF"/>
    <w:rsid w:val="004D2720"/>
    <w:rsid w:val="004D27D6"/>
    <w:rsid w:val="004D2B8C"/>
    <w:rsid w:val="004D5983"/>
    <w:rsid w:val="004D63F2"/>
    <w:rsid w:val="004E10E6"/>
    <w:rsid w:val="004E3D73"/>
    <w:rsid w:val="004E4FEB"/>
    <w:rsid w:val="004E5C77"/>
    <w:rsid w:val="004E675F"/>
    <w:rsid w:val="004E7B0B"/>
    <w:rsid w:val="004F0B4E"/>
    <w:rsid w:val="004F0FBC"/>
    <w:rsid w:val="004F1109"/>
    <w:rsid w:val="004F1513"/>
    <w:rsid w:val="004F230B"/>
    <w:rsid w:val="004F479C"/>
    <w:rsid w:val="004F56D8"/>
    <w:rsid w:val="005017A3"/>
    <w:rsid w:val="00502587"/>
    <w:rsid w:val="00502664"/>
    <w:rsid w:val="005026F9"/>
    <w:rsid w:val="00506D4B"/>
    <w:rsid w:val="00511A60"/>
    <w:rsid w:val="005131D7"/>
    <w:rsid w:val="0051392B"/>
    <w:rsid w:val="00514C59"/>
    <w:rsid w:val="00516BAD"/>
    <w:rsid w:val="0051712A"/>
    <w:rsid w:val="0052130C"/>
    <w:rsid w:val="0052175B"/>
    <w:rsid w:val="005217A0"/>
    <w:rsid w:val="00521F8C"/>
    <w:rsid w:val="00522073"/>
    <w:rsid w:val="00522C55"/>
    <w:rsid w:val="00522ED1"/>
    <w:rsid w:val="0052754A"/>
    <w:rsid w:val="00527CD1"/>
    <w:rsid w:val="00530465"/>
    <w:rsid w:val="00530C33"/>
    <w:rsid w:val="00530CAD"/>
    <w:rsid w:val="00531FEC"/>
    <w:rsid w:val="005330DD"/>
    <w:rsid w:val="005342D0"/>
    <w:rsid w:val="005369A9"/>
    <w:rsid w:val="00537C67"/>
    <w:rsid w:val="0054069D"/>
    <w:rsid w:val="005416C8"/>
    <w:rsid w:val="005440CB"/>
    <w:rsid w:val="00551401"/>
    <w:rsid w:val="00551C15"/>
    <w:rsid w:val="00552192"/>
    <w:rsid w:val="00552685"/>
    <w:rsid w:val="00552ED9"/>
    <w:rsid w:val="005560F0"/>
    <w:rsid w:val="005571AA"/>
    <w:rsid w:val="0055733F"/>
    <w:rsid w:val="0055792A"/>
    <w:rsid w:val="00561FED"/>
    <w:rsid w:val="00563912"/>
    <w:rsid w:val="00564601"/>
    <w:rsid w:val="005655FD"/>
    <w:rsid w:val="00566726"/>
    <w:rsid w:val="00566E33"/>
    <w:rsid w:val="005717A7"/>
    <w:rsid w:val="005722E5"/>
    <w:rsid w:val="0057285C"/>
    <w:rsid w:val="005733C9"/>
    <w:rsid w:val="00573FAF"/>
    <w:rsid w:val="00575E69"/>
    <w:rsid w:val="005800A5"/>
    <w:rsid w:val="00581C1E"/>
    <w:rsid w:val="00582F79"/>
    <w:rsid w:val="00583688"/>
    <w:rsid w:val="00584336"/>
    <w:rsid w:val="005852C9"/>
    <w:rsid w:val="00585CA2"/>
    <w:rsid w:val="0058626C"/>
    <w:rsid w:val="00586711"/>
    <w:rsid w:val="00587F5D"/>
    <w:rsid w:val="005909E4"/>
    <w:rsid w:val="00590B41"/>
    <w:rsid w:val="0059216D"/>
    <w:rsid w:val="005931E6"/>
    <w:rsid w:val="00593A3C"/>
    <w:rsid w:val="005940E9"/>
    <w:rsid w:val="00595B90"/>
    <w:rsid w:val="0059796F"/>
    <w:rsid w:val="005A2272"/>
    <w:rsid w:val="005A358C"/>
    <w:rsid w:val="005A7BF4"/>
    <w:rsid w:val="005B214B"/>
    <w:rsid w:val="005B2D01"/>
    <w:rsid w:val="005B2EB5"/>
    <w:rsid w:val="005B367D"/>
    <w:rsid w:val="005B37FB"/>
    <w:rsid w:val="005B5A0A"/>
    <w:rsid w:val="005B6A92"/>
    <w:rsid w:val="005C1784"/>
    <w:rsid w:val="005C3C3B"/>
    <w:rsid w:val="005C3D39"/>
    <w:rsid w:val="005C7472"/>
    <w:rsid w:val="005C74EF"/>
    <w:rsid w:val="005C799D"/>
    <w:rsid w:val="005C7F5F"/>
    <w:rsid w:val="005D1791"/>
    <w:rsid w:val="005D4D8A"/>
    <w:rsid w:val="005D6EA9"/>
    <w:rsid w:val="005E09F6"/>
    <w:rsid w:val="005E0E19"/>
    <w:rsid w:val="005E122B"/>
    <w:rsid w:val="005E2C62"/>
    <w:rsid w:val="005E2EC4"/>
    <w:rsid w:val="005E31C4"/>
    <w:rsid w:val="005E3863"/>
    <w:rsid w:val="005E432F"/>
    <w:rsid w:val="005E43BF"/>
    <w:rsid w:val="005E4D69"/>
    <w:rsid w:val="005E5603"/>
    <w:rsid w:val="005E584D"/>
    <w:rsid w:val="005E7827"/>
    <w:rsid w:val="005F0AEA"/>
    <w:rsid w:val="005F1494"/>
    <w:rsid w:val="005F16EB"/>
    <w:rsid w:val="005F2B89"/>
    <w:rsid w:val="005F2E9C"/>
    <w:rsid w:val="005F40F4"/>
    <w:rsid w:val="005F6CCA"/>
    <w:rsid w:val="005F6CDF"/>
    <w:rsid w:val="0060015E"/>
    <w:rsid w:val="00602738"/>
    <w:rsid w:val="00602CBE"/>
    <w:rsid w:val="00604DAB"/>
    <w:rsid w:val="006060F1"/>
    <w:rsid w:val="006063BC"/>
    <w:rsid w:val="00606477"/>
    <w:rsid w:val="0060666C"/>
    <w:rsid w:val="006070CE"/>
    <w:rsid w:val="00607415"/>
    <w:rsid w:val="00607873"/>
    <w:rsid w:val="00607BDA"/>
    <w:rsid w:val="00610DD6"/>
    <w:rsid w:val="00611569"/>
    <w:rsid w:val="00612A30"/>
    <w:rsid w:val="00612B41"/>
    <w:rsid w:val="006130D4"/>
    <w:rsid w:val="0061372C"/>
    <w:rsid w:val="00614285"/>
    <w:rsid w:val="006146CC"/>
    <w:rsid w:val="00616F27"/>
    <w:rsid w:val="00621F3E"/>
    <w:rsid w:val="006221E3"/>
    <w:rsid w:val="00623075"/>
    <w:rsid w:val="006231DA"/>
    <w:rsid w:val="0062465F"/>
    <w:rsid w:val="00625C64"/>
    <w:rsid w:val="00625FAF"/>
    <w:rsid w:val="00626846"/>
    <w:rsid w:val="00630D1A"/>
    <w:rsid w:val="006318DE"/>
    <w:rsid w:val="00632DE8"/>
    <w:rsid w:val="00633176"/>
    <w:rsid w:val="00634708"/>
    <w:rsid w:val="00636B95"/>
    <w:rsid w:val="00637192"/>
    <w:rsid w:val="006371BF"/>
    <w:rsid w:val="00640A9B"/>
    <w:rsid w:val="00642ED9"/>
    <w:rsid w:val="0064394C"/>
    <w:rsid w:val="0064401F"/>
    <w:rsid w:val="00645259"/>
    <w:rsid w:val="00645A43"/>
    <w:rsid w:val="006464FB"/>
    <w:rsid w:val="00646E82"/>
    <w:rsid w:val="006470BC"/>
    <w:rsid w:val="0064767D"/>
    <w:rsid w:val="00650DE8"/>
    <w:rsid w:val="00651202"/>
    <w:rsid w:val="00651F05"/>
    <w:rsid w:val="006526CE"/>
    <w:rsid w:val="00652923"/>
    <w:rsid w:val="00652F30"/>
    <w:rsid w:val="0065349D"/>
    <w:rsid w:val="00654042"/>
    <w:rsid w:val="00654081"/>
    <w:rsid w:val="00654E2D"/>
    <w:rsid w:val="00661116"/>
    <w:rsid w:val="006615F2"/>
    <w:rsid w:val="00661B18"/>
    <w:rsid w:val="00663267"/>
    <w:rsid w:val="006640EE"/>
    <w:rsid w:val="006647A7"/>
    <w:rsid w:val="00664A8F"/>
    <w:rsid w:val="00665D51"/>
    <w:rsid w:val="00666FF1"/>
    <w:rsid w:val="006671AE"/>
    <w:rsid w:val="006706D2"/>
    <w:rsid w:val="00670737"/>
    <w:rsid w:val="0067099E"/>
    <w:rsid w:val="00671114"/>
    <w:rsid w:val="00673533"/>
    <w:rsid w:val="00674586"/>
    <w:rsid w:val="00675CE6"/>
    <w:rsid w:val="006765EB"/>
    <w:rsid w:val="00677410"/>
    <w:rsid w:val="00680602"/>
    <w:rsid w:val="00680FF9"/>
    <w:rsid w:val="006814B0"/>
    <w:rsid w:val="00684AA1"/>
    <w:rsid w:val="00685672"/>
    <w:rsid w:val="006857D9"/>
    <w:rsid w:val="006873A3"/>
    <w:rsid w:val="00690428"/>
    <w:rsid w:val="006919BE"/>
    <w:rsid w:val="00691E7B"/>
    <w:rsid w:val="0069241F"/>
    <w:rsid w:val="00693A50"/>
    <w:rsid w:val="0069476E"/>
    <w:rsid w:val="0069532D"/>
    <w:rsid w:val="0069605E"/>
    <w:rsid w:val="006A16DC"/>
    <w:rsid w:val="006A1F74"/>
    <w:rsid w:val="006A23D8"/>
    <w:rsid w:val="006A34A1"/>
    <w:rsid w:val="006A34E5"/>
    <w:rsid w:val="006A4D01"/>
    <w:rsid w:val="006A51CA"/>
    <w:rsid w:val="006A5267"/>
    <w:rsid w:val="006A6A96"/>
    <w:rsid w:val="006A6C73"/>
    <w:rsid w:val="006B03FA"/>
    <w:rsid w:val="006B04A5"/>
    <w:rsid w:val="006B2395"/>
    <w:rsid w:val="006B309E"/>
    <w:rsid w:val="006B39DC"/>
    <w:rsid w:val="006B5DAF"/>
    <w:rsid w:val="006B64B3"/>
    <w:rsid w:val="006B72E4"/>
    <w:rsid w:val="006B767B"/>
    <w:rsid w:val="006B773C"/>
    <w:rsid w:val="006C1525"/>
    <w:rsid w:val="006C1C99"/>
    <w:rsid w:val="006C205C"/>
    <w:rsid w:val="006C3044"/>
    <w:rsid w:val="006C3AF1"/>
    <w:rsid w:val="006C4EED"/>
    <w:rsid w:val="006C5568"/>
    <w:rsid w:val="006C62D1"/>
    <w:rsid w:val="006C69B3"/>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E042A"/>
    <w:rsid w:val="006E08CD"/>
    <w:rsid w:val="006E0B6B"/>
    <w:rsid w:val="006E1C79"/>
    <w:rsid w:val="006E1E45"/>
    <w:rsid w:val="006E262D"/>
    <w:rsid w:val="006E2651"/>
    <w:rsid w:val="006E3553"/>
    <w:rsid w:val="006E5197"/>
    <w:rsid w:val="006E796C"/>
    <w:rsid w:val="006F07CA"/>
    <w:rsid w:val="006F6047"/>
    <w:rsid w:val="006F6B3E"/>
    <w:rsid w:val="006F7FB5"/>
    <w:rsid w:val="0070023E"/>
    <w:rsid w:val="007006D3"/>
    <w:rsid w:val="00701C84"/>
    <w:rsid w:val="007024F3"/>
    <w:rsid w:val="0070302B"/>
    <w:rsid w:val="007046B1"/>
    <w:rsid w:val="007051A6"/>
    <w:rsid w:val="00705B03"/>
    <w:rsid w:val="007063B9"/>
    <w:rsid w:val="00706A91"/>
    <w:rsid w:val="00707EE2"/>
    <w:rsid w:val="00710385"/>
    <w:rsid w:val="0071161E"/>
    <w:rsid w:val="00711779"/>
    <w:rsid w:val="00712C40"/>
    <w:rsid w:val="00713313"/>
    <w:rsid w:val="007139E0"/>
    <w:rsid w:val="00714B9C"/>
    <w:rsid w:val="0071630C"/>
    <w:rsid w:val="00717C29"/>
    <w:rsid w:val="0072022F"/>
    <w:rsid w:val="007202FA"/>
    <w:rsid w:val="0072221A"/>
    <w:rsid w:val="00722611"/>
    <w:rsid w:val="00722E06"/>
    <w:rsid w:val="0072325A"/>
    <w:rsid w:val="007238D9"/>
    <w:rsid w:val="00723A33"/>
    <w:rsid w:val="00723A9C"/>
    <w:rsid w:val="007245F6"/>
    <w:rsid w:val="0072475A"/>
    <w:rsid w:val="007250AD"/>
    <w:rsid w:val="007251C1"/>
    <w:rsid w:val="007306F0"/>
    <w:rsid w:val="007314C6"/>
    <w:rsid w:val="007328B7"/>
    <w:rsid w:val="00735D0A"/>
    <w:rsid w:val="00736EEB"/>
    <w:rsid w:val="00737D47"/>
    <w:rsid w:val="0074082F"/>
    <w:rsid w:val="00740C5A"/>
    <w:rsid w:val="007414B9"/>
    <w:rsid w:val="007418C4"/>
    <w:rsid w:val="00741F18"/>
    <w:rsid w:val="007420B7"/>
    <w:rsid w:val="0074235D"/>
    <w:rsid w:val="0074261B"/>
    <w:rsid w:val="00742FBF"/>
    <w:rsid w:val="007432B1"/>
    <w:rsid w:val="00743EA6"/>
    <w:rsid w:val="00745B75"/>
    <w:rsid w:val="00745D63"/>
    <w:rsid w:val="00746BE1"/>
    <w:rsid w:val="00746E9B"/>
    <w:rsid w:val="00746F77"/>
    <w:rsid w:val="00747577"/>
    <w:rsid w:val="00747F44"/>
    <w:rsid w:val="00750236"/>
    <w:rsid w:val="00750841"/>
    <w:rsid w:val="00750F23"/>
    <w:rsid w:val="00751493"/>
    <w:rsid w:val="007529DE"/>
    <w:rsid w:val="00752DEE"/>
    <w:rsid w:val="00753A51"/>
    <w:rsid w:val="00754B58"/>
    <w:rsid w:val="00754BBE"/>
    <w:rsid w:val="007557A9"/>
    <w:rsid w:val="00756826"/>
    <w:rsid w:val="0075763D"/>
    <w:rsid w:val="00757ADD"/>
    <w:rsid w:val="00760DAF"/>
    <w:rsid w:val="007612D5"/>
    <w:rsid w:val="00761A26"/>
    <w:rsid w:val="0076263E"/>
    <w:rsid w:val="007626EB"/>
    <w:rsid w:val="007633AC"/>
    <w:rsid w:val="00763A81"/>
    <w:rsid w:val="007655DB"/>
    <w:rsid w:val="00765992"/>
    <w:rsid w:val="00765EFA"/>
    <w:rsid w:val="00765F19"/>
    <w:rsid w:val="00766BEE"/>
    <w:rsid w:val="0076781E"/>
    <w:rsid w:val="00767CC7"/>
    <w:rsid w:val="00770D57"/>
    <w:rsid w:val="00771B83"/>
    <w:rsid w:val="00772623"/>
    <w:rsid w:val="00772CD7"/>
    <w:rsid w:val="00773A85"/>
    <w:rsid w:val="00774021"/>
    <w:rsid w:val="00775562"/>
    <w:rsid w:val="007757A2"/>
    <w:rsid w:val="00777A36"/>
    <w:rsid w:val="007803E6"/>
    <w:rsid w:val="00780458"/>
    <w:rsid w:val="007809D4"/>
    <w:rsid w:val="0078297C"/>
    <w:rsid w:val="00782CF7"/>
    <w:rsid w:val="00782EAA"/>
    <w:rsid w:val="0078333B"/>
    <w:rsid w:val="00784658"/>
    <w:rsid w:val="00784AD1"/>
    <w:rsid w:val="00784F26"/>
    <w:rsid w:val="0078794F"/>
    <w:rsid w:val="00790CD6"/>
    <w:rsid w:val="00790CDA"/>
    <w:rsid w:val="007913EA"/>
    <w:rsid w:val="00793626"/>
    <w:rsid w:val="00796276"/>
    <w:rsid w:val="00796E70"/>
    <w:rsid w:val="00796F9A"/>
    <w:rsid w:val="0079733F"/>
    <w:rsid w:val="007A2E2C"/>
    <w:rsid w:val="007A3FDC"/>
    <w:rsid w:val="007A640B"/>
    <w:rsid w:val="007A6844"/>
    <w:rsid w:val="007B1DA9"/>
    <w:rsid w:val="007B2A1E"/>
    <w:rsid w:val="007B3061"/>
    <w:rsid w:val="007B3218"/>
    <w:rsid w:val="007B3B39"/>
    <w:rsid w:val="007B730B"/>
    <w:rsid w:val="007B7E81"/>
    <w:rsid w:val="007B7EB5"/>
    <w:rsid w:val="007B7EFF"/>
    <w:rsid w:val="007C0A11"/>
    <w:rsid w:val="007C1352"/>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AC2"/>
    <w:rsid w:val="007D7C78"/>
    <w:rsid w:val="007E1DA5"/>
    <w:rsid w:val="007E1F5F"/>
    <w:rsid w:val="007E362E"/>
    <w:rsid w:val="007E61ED"/>
    <w:rsid w:val="007E70A7"/>
    <w:rsid w:val="007E7740"/>
    <w:rsid w:val="007F0315"/>
    <w:rsid w:val="007F09AE"/>
    <w:rsid w:val="007F1E67"/>
    <w:rsid w:val="007F276C"/>
    <w:rsid w:val="007F3540"/>
    <w:rsid w:val="007F3C9F"/>
    <w:rsid w:val="007F4A34"/>
    <w:rsid w:val="007F6EA4"/>
    <w:rsid w:val="00800315"/>
    <w:rsid w:val="00802C8D"/>
    <w:rsid w:val="008061DD"/>
    <w:rsid w:val="00806CC5"/>
    <w:rsid w:val="00806D0B"/>
    <w:rsid w:val="00814EE7"/>
    <w:rsid w:val="0081503E"/>
    <w:rsid w:val="00815C0C"/>
    <w:rsid w:val="00816225"/>
    <w:rsid w:val="0081790E"/>
    <w:rsid w:val="00817A38"/>
    <w:rsid w:val="00820D1B"/>
    <w:rsid w:val="008210A7"/>
    <w:rsid w:val="00821E6F"/>
    <w:rsid w:val="008222DE"/>
    <w:rsid w:val="00822EDC"/>
    <w:rsid w:val="008236D1"/>
    <w:rsid w:val="00823E1F"/>
    <w:rsid w:val="0083257F"/>
    <w:rsid w:val="008348FC"/>
    <w:rsid w:val="00834E38"/>
    <w:rsid w:val="00834E50"/>
    <w:rsid w:val="00834EE5"/>
    <w:rsid w:val="008351BA"/>
    <w:rsid w:val="00835345"/>
    <w:rsid w:val="00836845"/>
    <w:rsid w:val="008379FC"/>
    <w:rsid w:val="00841B82"/>
    <w:rsid w:val="008427B8"/>
    <w:rsid w:val="0084348B"/>
    <w:rsid w:val="0084349E"/>
    <w:rsid w:val="00843F89"/>
    <w:rsid w:val="00844FAB"/>
    <w:rsid w:val="00845A30"/>
    <w:rsid w:val="00846B52"/>
    <w:rsid w:val="00846CE5"/>
    <w:rsid w:val="008502CE"/>
    <w:rsid w:val="00850A42"/>
    <w:rsid w:val="0085100A"/>
    <w:rsid w:val="00851427"/>
    <w:rsid w:val="00851FCA"/>
    <w:rsid w:val="0085637F"/>
    <w:rsid w:val="008614E6"/>
    <w:rsid w:val="0086189E"/>
    <w:rsid w:val="0086289E"/>
    <w:rsid w:val="00864025"/>
    <w:rsid w:val="0086442E"/>
    <w:rsid w:val="00865028"/>
    <w:rsid w:val="00865DF4"/>
    <w:rsid w:val="00866B54"/>
    <w:rsid w:val="0086790C"/>
    <w:rsid w:val="00867DC8"/>
    <w:rsid w:val="008706C2"/>
    <w:rsid w:val="00870E37"/>
    <w:rsid w:val="00871943"/>
    <w:rsid w:val="008734EB"/>
    <w:rsid w:val="0087575B"/>
    <w:rsid w:val="00876879"/>
    <w:rsid w:val="0087702A"/>
    <w:rsid w:val="00877C97"/>
    <w:rsid w:val="00880936"/>
    <w:rsid w:val="008809A8"/>
    <w:rsid w:val="00880FEA"/>
    <w:rsid w:val="008820EC"/>
    <w:rsid w:val="00884359"/>
    <w:rsid w:val="0088505D"/>
    <w:rsid w:val="0088588A"/>
    <w:rsid w:val="00886430"/>
    <w:rsid w:val="008879C5"/>
    <w:rsid w:val="00890F96"/>
    <w:rsid w:val="0089261D"/>
    <w:rsid w:val="00892863"/>
    <w:rsid w:val="00892D72"/>
    <w:rsid w:val="00893ED3"/>
    <w:rsid w:val="0089753E"/>
    <w:rsid w:val="00897ED6"/>
    <w:rsid w:val="008A116A"/>
    <w:rsid w:val="008A12BD"/>
    <w:rsid w:val="008A14CF"/>
    <w:rsid w:val="008A23D0"/>
    <w:rsid w:val="008A2C93"/>
    <w:rsid w:val="008A3068"/>
    <w:rsid w:val="008A3076"/>
    <w:rsid w:val="008A34F4"/>
    <w:rsid w:val="008A4E20"/>
    <w:rsid w:val="008A5ED2"/>
    <w:rsid w:val="008A6CD7"/>
    <w:rsid w:val="008A732C"/>
    <w:rsid w:val="008A7EF3"/>
    <w:rsid w:val="008B05BF"/>
    <w:rsid w:val="008B2B6B"/>
    <w:rsid w:val="008B2D16"/>
    <w:rsid w:val="008B3732"/>
    <w:rsid w:val="008B38DC"/>
    <w:rsid w:val="008B4ED7"/>
    <w:rsid w:val="008C0DBE"/>
    <w:rsid w:val="008C21A1"/>
    <w:rsid w:val="008C251B"/>
    <w:rsid w:val="008C27D6"/>
    <w:rsid w:val="008C42C6"/>
    <w:rsid w:val="008C4606"/>
    <w:rsid w:val="008C64B2"/>
    <w:rsid w:val="008C7B9F"/>
    <w:rsid w:val="008D0B76"/>
    <w:rsid w:val="008D2627"/>
    <w:rsid w:val="008D423A"/>
    <w:rsid w:val="008D6886"/>
    <w:rsid w:val="008D7532"/>
    <w:rsid w:val="008D767D"/>
    <w:rsid w:val="008E08DC"/>
    <w:rsid w:val="008E0C73"/>
    <w:rsid w:val="008E13BF"/>
    <w:rsid w:val="008E252B"/>
    <w:rsid w:val="008E298A"/>
    <w:rsid w:val="008E4D9F"/>
    <w:rsid w:val="008E6441"/>
    <w:rsid w:val="008E715E"/>
    <w:rsid w:val="008E7395"/>
    <w:rsid w:val="008F1A88"/>
    <w:rsid w:val="008F2CC6"/>
    <w:rsid w:val="008F2DE2"/>
    <w:rsid w:val="008F3EBB"/>
    <w:rsid w:val="008F4C37"/>
    <w:rsid w:val="009001E6"/>
    <w:rsid w:val="00900991"/>
    <w:rsid w:val="00900BD2"/>
    <w:rsid w:val="00901468"/>
    <w:rsid w:val="00902089"/>
    <w:rsid w:val="00904417"/>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DFE"/>
    <w:rsid w:val="0092314D"/>
    <w:rsid w:val="009232BF"/>
    <w:rsid w:val="00924811"/>
    <w:rsid w:val="00924893"/>
    <w:rsid w:val="00924EA1"/>
    <w:rsid w:val="009269C2"/>
    <w:rsid w:val="00931630"/>
    <w:rsid w:val="00931A1C"/>
    <w:rsid w:val="0093378B"/>
    <w:rsid w:val="00936427"/>
    <w:rsid w:val="00940012"/>
    <w:rsid w:val="00940813"/>
    <w:rsid w:val="0094276D"/>
    <w:rsid w:val="00944EE1"/>
    <w:rsid w:val="009465E2"/>
    <w:rsid w:val="00947082"/>
    <w:rsid w:val="00950853"/>
    <w:rsid w:val="009509FF"/>
    <w:rsid w:val="00950A07"/>
    <w:rsid w:val="00950C1D"/>
    <w:rsid w:val="00950DF2"/>
    <w:rsid w:val="0095107B"/>
    <w:rsid w:val="009521CF"/>
    <w:rsid w:val="00953428"/>
    <w:rsid w:val="00955E2A"/>
    <w:rsid w:val="00956CDA"/>
    <w:rsid w:val="00960A82"/>
    <w:rsid w:val="00962456"/>
    <w:rsid w:val="00963CEA"/>
    <w:rsid w:val="0096500D"/>
    <w:rsid w:val="00967B6F"/>
    <w:rsid w:val="0097486A"/>
    <w:rsid w:val="00974C6C"/>
    <w:rsid w:val="00975012"/>
    <w:rsid w:val="00975720"/>
    <w:rsid w:val="00975DB7"/>
    <w:rsid w:val="00975F3E"/>
    <w:rsid w:val="00976612"/>
    <w:rsid w:val="00977BB9"/>
    <w:rsid w:val="009813F3"/>
    <w:rsid w:val="00982E22"/>
    <w:rsid w:val="00986FEF"/>
    <w:rsid w:val="00987453"/>
    <w:rsid w:val="00987787"/>
    <w:rsid w:val="00990B08"/>
    <w:rsid w:val="00990E52"/>
    <w:rsid w:val="00992C0B"/>
    <w:rsid w:val="00993D09"/>
    <w:rsid w:val="00993E13"/>
    <w:rsid w:val="00994DA5"/>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76A1"/>
    <w:rsid w:val="009A79BF"/>
    <w:rsid w:val="009B042D"/>
    <w:rsid w:val="009B24B3"/>
    <w:rsid w:val="009B27C4"/>
    <w:rsid w:val="009B2D07"/>
    <w:rsid w:val="009B2E40"/>
    <w:rsid w:val="009B42A6"/>
    <w:rsid w:val="009B5070"/>
    <w:rsid w:val="009B5153"/>
    <w:rsid w:val="009B677C"/>
    <w:rsid w:val="009C3540"/>
    <w:rsid w:val="009C416F"/>
    <w:rsid w:val="009C4B02"/>
    <w:rsid w:val="009C4B67"/>
    <w:rsid w:val="009C6FE1"/>
    <w:rsid w:val="009C71D4"/>
    <w:rsid w:val="009D01D4"/>
    <w:rsid w:val="009D175A"/>
    <w:rsid w:val="009D297F"/>
    <w:rsid w:val="009D2FF1"/>
    <w:rsid w:val="009D53EF"/>
    <w:rsid w:val="009D5833"/>
    <w:rsid w:val="009E1B05"/>
    <w:rsid w:val="009E2925"/>
    <w:rsid w:val="009E3E72"/>
    <w:rsid w:val="009E4D16"/>
    <w:rsid w:val="009E5458"/>
    <w:rsid w:val="009E5547"/>
    <w:rsid w:val="009E57E2"/>
    <w:rsid w:val="009E69B3"/>
    <w:rsid w:val="009E7A86"/>
    <w:rsid w:val="009E7C02"/>
    <w:rsid w:val="009E7CEB"/>
    <w:rsid w:val="009F269B"/>
    <w:rsid w:val="009F3F52"/>
    <w:rsid w:val="009F48A3"/>
    <w:rsid w:val="009F5813"/>
    <w:rsid w:val="009F669B"/>
    <w:rsid w:val="009F7088"/>
    <w:rsid w:val="009F7ADC"/>
    <w:rsid w:val="00A00F78"/>
    <w:rsid w:val="00A02A1A"/>
    <w:rsid w:val="00A02F00"/>
    <w:rsid w:val="00A0319E"/>
    <w:rsid w:val="00A034A5"/>
    <w:rsid w:val="00A04760"/>
    <w:rsid w:val="00A0511A"/>
    <w:rsid w:val="00A06F09"/>
    <w:rsid w:val="00A07979"/>
    <w:rsid w:val="00A122F5"/>
    <w:rsid w:val="00A143FA"/>
    <w:rsid w:val="00A15ACE"/>
    <w:rsid w:val="00A17FC9"/>
    <w:rsid w:val="00A20304"/>
    <w:rsid w:val="00A209EB"/>
    <w:rsid w:val="00A21194"/>
    <w:rsid w:val="00A22551"/>
    <w:rsid w:val="00A232D8"/>
    <w:rsid w:val="00A237CA"/>
    <w:rsid w:val="00A238B4"/>
    <w:rsid w:val="00A23D1C"/>
    <w:rsid w:val="00A23E40"/>
    <w:rsid w:val="00A2479A"/>
    <w:rsid w:val="00A24990"/>
    <w:rsid w:val="00A2598B"/>
    <w:rsid w:val="00A25C52"/>
    <w:rsid w:val="00A26DEE"/>
    <w:rsid w:val="00A271AB"/>
    <w:rsid w:val="00A272EF"/>
    <w:rsid w:val="00A27524"/>
    <w:rsid w:val="00A325F7"/>
    <w:rsid w:val="00A32EBF"/>
    <w:rsid w:val="00A32F07"/>
    <w:rsid w:val="00A33982"/>
    <w:rsid w:val="00A35039"/>
    <w:rsid w:val="00A35B69"/>
    <w:rsid w:val="00A37038"/>
    <w:rsid w:val="00A37DEA"/>
    <w:rsid w:val="00A42700"/>
    <w:rsid w:val="00A4379F"/>
    <w:rsid w:val="00A43D51"/>
    <w:rsid w:val="00A45E51"/>
    <w:rsid w:val="00A46112"/>
    <w:rsid w:val="00A46507"/>
    <w:rsid w:val="00A467BD"/>
    <w:rsid w:val="00A46A73"/>
    <w:rsid w:val="00A50116"/>
    <w:rsid w:val="00A519A4"/>
    <w:rsid w:val="00A545B5"/>
    <w:rsid w:val="00A54ABB"/>
    <w:rsid w:val="00A554C0"/>
    <w:rsid w:val="00A5678A"/>
    <w:rsid w:val="00A56AAD"/>
    <w:rsid w:val="00A570A3"/>
    <w:rsid w:val="00A62957"/>
    <w:rsid w:val="00A62D0A"/>
    <w:rsid w:val="00A64A5B"/>
    <w:rsid w:val="00A64EF5"/>
    <w:rsid w:val="00A652AA"/>
    <w:rsid w:val="00A67531"/>
    <w:rsid w:val="00A704A1"/>
    <w:rsid w:val="00A70DE6"/>
    <w:rsid w:val="00A70E86"/>
    <w:rsid w:val="00A71579"/>
    <w:rsid w:val="00A71A58"/>
    <w:rsid w:val="00A71A9A"/>
    <w:rsid w:val="00A73868"/>
    <w:rsid w:val="00A73CDA"/>
    <w:rsid w:val="00A74138"/>
    <w:rsid w:val="00A7517D"/>
    <w:rsid w:val="00A75419"/>
    <w:rsid w:val="00A76D7F"/>
    <w:rsid w:val="00A770BF"/>
    <w:rsid w:val="00A77894"/>
    <w:rsid w:val="00A80A5B"/>
    <w:rsid w:val="00A82B13"/>
    <w:rsid w:val="00A82C56"/>
    <w:rsid w:val="00A83A39"/>
    <w:rsid w:val="00A841DA"/>
    <w:rsid w:val="00A84E72"/>
    <w:rsid w:val="00A8702B"/>
    <w:rsid w:val="00A8704A"/>
    <w:rsid w:val="00A904D9"/>
    <w:rsid w:val="00A92C21"/>
    <w:rsid w:val="00A93826"/>
    <w:rsid w:val="00A93D5C"/>
    <w:rsid w:val="00A96707"/>
    <w:rsid w:val="00A96DE7"/>
    <w:rsid w:val="00A97723"/>
    <w:rsid w:val="00A978E8"/>
    <w:rsid w:val="00AA130D"/>
    <w:rsid w:val="00AA3D20"/>
    <w:rsid w:val="00AA4F05"/>
    <w:rsid w:val="00AA5F1E"/>
    <w:rsid w:val="00AA5FA4"/>
    <w:rsid w:val="00AA70EF"/>
    <w:rsid w:val="00AB07D3"/>
    <w:rsid w:val="00AB1EC9"/>
    <w:rsid w:val="00AB1EDA"/>
    <w:rsid w:val="00AB33F4"/>
    <w:rsid w:val="00AB362D"/>
    <w:rsid w:val="00AB3CF6"/>
    <w:rsid w:val="00AB4B1D"/>
    <w:rsid w:val="00AB5F62"/>
    <w:rsid w:val="00AB7D21"/>
    <w:rsid w:val="00AC0C96"/>
    <w:rsid w:val="00AC11C2"/>
    <w:rsid w:val="00AC11C6"/>
    <w:rsid w:val="00AC1650"/>
    <w:rsid w:val="00AC38EB"/>
    <w:rsid w:val="00AC44AC"/>
    <w:rsid w:val="00AC6A07"/>
    <w:rsid w:val="00AC740F"/>
    <w:rsid w:val="00AC7CA4"/>
    <w:rsid w:val="00AD0441"/>
    <w:rsid w:val="00AD11D6"/>
    <w:rsid w:val="00AD17A8"/>
    <w:rsid w:val="00AD4FC0"/>
    <w:rsid w:val="00AD53C7"/>
    <w:rsid w:val="00AD5CA6"/>
    <w:rsid w:val="00AD6454"/>
    <w:rsid w:val="00AD66A4"/>
    <w:rsid w:val="00AD71B4"/>
    <w:rsid w:val="00AD7F5D"/>
    <w:rsid w:val="00AD7F66"/>
    <w:rsid w:val="00AE087D"/>
    <w:rsid w:val="00AE26F1"/>
    <w:rsid w:val="00AE2EA2"/>
    <w:rsid w:val="00AE33A5"/>
    <w:rsid w:val="00AE5822"/>
    <w:rsid w:val="00AE590F"/>
    <w:rsid w:val="00AE7AE4"/>
    <w:rsid w:val="00AF11F8"/>
    <w:rsid w:val="00AF3D86"/>
    <w:rsid w:val="00AF3DF8"/>
    <w:rsid w:val="00AF4A54"/>
    <w:rsid w:val="00AF634C"/>
    <w:rsid w:val="00AF6EA1"/>
    <w:rsid w:val="00AF77DD"/>
    <w:rsid w:val="00AF7E21"/>
    <w:rsid w:val="00B00068"/>
    <w:rsid w:val="00B00405"/>
    <w:rsid w:val="00B0128F"/>
    <w:rsid w:val="00B01435"/>
    <w:rsid w:val="00B02D12"/>
    <w:rsid w:val="00B02DB2"/>
    <w:rsid w:val="00B04C25"/>
    <w:rsid w:val="00B068EB"/>
    <w:rsid w:val="00B10CA1"/>
    <w:rsid w:val="00B12513"/>
    <w:rsid w:val="00B14389"/>
    <w:rsid w:val="00B156CB"/>
    <w:rsid w:val="00B15B83"/>
    <w:rsid w:val="00B171E1"/>
    <w:rsid w:val="00B172F1"/>
    <w:rsid w:val="00B235D1"/>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0CD"/>
    <w:rsid w:val="00B4551B"/>
    <w:rsid w:val="00B45FF3"/>
    <w:rsid w:val="00B508E4"/>
    <w:rsid w:val="00B50C9F"/>
    <w:rsid w:val="00B51F0A"/>
    <w:rsid w:val="00B52F7E"/>
    <w:rsid w:val="00B5362F"/>
    <w:rsid w:val="00B54D2E"/>
    <w:rsid w:val="00B5545A"/>
    <w:rsid w:val="00B55B61"/>
    <w:rsid w:val="00B61E92"/>
    <w:rsid w:val="00B62C8C"/>
    <w:rsid w:val="00B639BD"/>
    <w:rsid w:val="00B64025"/>
    <w:rsid w:val="00B6429B"/>
    <w:rsid w:val="00B65539"/>
    <w:rsid w:val="00B67367"/>
    <w:rsid w:val="00B70328"/>
    <w:rsid w:val="00B72409"/>
    <w:rsid w:val="00B730B9"/>
    <w:rsid w:val="00B737AB"/>
    <w:rsid w:val="00B73C52"/>
    <w:rsid w:val="00B75612"/>
    <w:rsid w:val="00B76261"/>
    <w:rsid w:val="00B77EA5"/>
    <w:rsid w:val="00B82CC5"/>
    <w:rsid w:val="00B833A2"/>
    <w:rsid w:val="00B836B6"/>
    <w:rsid w:val="00B84435"/>
    <w:rsid w:val="00B86487"/>
    <w:rsid w:val="00B866C5"/>
    <w:rsid w:val="00B86A42"/>
    <w:rsid w:val="00B87A4A"/>
    <w:rsid w:val="00B87FC7"/>
    <w:rsid w:val="00B90700"/>
    <w:rsid w:val="00B9314A"/>
    <w:rsid w:val="00B93639"/>
    <w:rsid w:val="00B95F0C"/>
    <w:rsid w:val="00B966D7"/>
    <w:rsid w:val="00B96C65"/>
    <w:rsid w:val="00B97E8B"/>
    <w:rsid w:val="00BA0076"/>
    <w:rsid w:val="00BA0079"/>
    <w:rsid w:val="00BA04AC"/>
    <w:rsid w:val="00BA4D96"/>
    <w:rsid w:val="00BA6DF5"/>
    <w:rsid w:val="00BA736F"/>
    <w:rsid w:val="00BB078B"/>
    <w:rsid w:val="00BB08AD"/>
    <w:rsid w:val="00BB0A88"/>
    <w:rsid w:val="00BB0DD6"/>
    <w:rsid w:val="00BB0F97"/>
    <w:rsid w:val="00BB1249"/>
    <w:rsid w:val="00BB269D"/>
    <w:rsid w:val="00BB3126"/>
    <w:rsid w:val="00BB31E4"/>
    <w:rsid w:val="00BB4B62"/>
    <w:rsid w:val="00BB668E"/>
    <w:rsid w:val="00BB6B53"/>
    <w:rsid w:val="00BB79AE"/>
    <w:rsid w:val="00BC02EE"/>
    <w:rsid w:val="00BC1933"/>
    <w:rsid w:val="00BC198B"/>
    <w:rsid w:val="00BC2B58"/>
    <w:rsid w:val="00BC354A"/>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EFD"/>
    <w:rsid w:val="00BD67B1"/>
    <w:rsid w:val="00BD702F"/>
    <w:rsid w:val="00BD7BB3"/>
    <w:rsid w:val="00BE0A55"/>
    <w:rsid w:val="00BE0BDD"/>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04E"/>
    <w:rsid w:val="00C046ED"/>
    <w:rsid w:val="00C051D4"/>
    <w:rsid w:val="00C1341B"/>
    <w:rsid w:val="00C17469"/>
    <w:rsid w:val="00C1751F"/>
    <w:rsid w:val="00C1783A"/>
    <w:rsid w:val="00C20342"/>
    <w:rsid w:val="00C20B8C"/>
    <w:rsid w:val="00C21972"/>
    <w:rsid w:val="00C24898"/>
    <w:rsid w:val="00C2504B"/>
    <w:rsid w:val="00C25A5A"/>
    <w:rsid w:val="00C25CD8"/>
    <w:rsid w:val="00C26F7E"/>
    <w:rsid w:val="00C27E63"/>
    <w:rsid w:val="00C30705"/>
    <w:rsid w:val="00C31031"/>
    <w:rsid w:val="00C3151A"/>
    <w:rsid w:val="00C335D8"/>
    <w:rsid w:val="00C37075"/>
    <w:rsid w:val="00C40C53"/>
    <w:rsid w:val="00C40F0A"/>
    <w:rsid w:val="00C41629"/>
    <w:rsid w:val="00C41E44"/>
    <w:rsid w:val="00C431EE"/>
    <w:rsid w:val="00C439DA"/>
    <w:rsid w:val="00C43CA0"/>
    <w:rsid w:val="00C44273"/>
    <w:rsid w:val="00C455ED"/>
    <w:rsid w:val="00C4675E"/>
    <w:rsid w:val="00C5019A"/>
    <w:rsid w:val="00C516FD"/>
    <w:rsid w:val="00C52A2E"/>
    <w:rsid w:val="00C54211"/>
    <w:rsid w:val="00C54550"/>
    <w:rsid w:val="00C546E4"/>
    <w:rsid w:val="00C54A33"/>
    <w:rsid w:val="00C57F47"/>
    <w:rsid w:val="00C637B7"/>
    <w:rsid w:val="00C63BB4"/>
    <w:rsid w:val="00C6598D"/>
    <w:rsid w:val="00C705D3"/>
    <w:rsid w:val="00C71575"/>
    <w:rsid w:val="00C7499C"/>
    <w:rsid w:val="00C749E4"/>
    <w:rsid w:val="00C7549A"/>
    <w:rsid w:val="00C77043"/>
    <w:rsid w:val="00C80169"/>
    <w:rsid w:val="00C809C1"/>
    <w:rsid w:val="00C831E4"/>
    <w:rsid w:val="00C836AA"/>
    <w:rsid w:val="00C84C2C"/>
    <w:rsid w:val="00C85A21"/>
    <w:rsid w:val="00C86634"/>
    <w:rsid w:val="00C86677"/>
    <w:rsid w:val="00C874D9"/>
    <w:rsid w:val="00C87516"/>
    <w:rsid w:val="00C87E49"/>
    <w:rsid w:val="00C937B5"/>
    <w:rsid w:val="00C93B03"/>
    <w:rsid w:val="00C93D97"/>
    <w:rsid w:val="00C95BF9"/>
    <w:rsid w:val="00C961EB"/>
    <w:rsid w:val="00C96760"/>
    <w:rsid w:val="00C9780D"/>
    <w:rsid w:val="00C97C8B"/>
    <w:rsid w:val="00CA11D8"/>
    <w:rsid w:val="00CA199D"/>
    <w:rsid w:val="00CA36D4"/>
    <w:rsid w:val="00CA3BBF"/>
    <w:rsid w:val="00CA3EE2"/>
    <w:rsid w:val="00CA41F7"/>
    <w:rsid w:val="00CB0163"/>
    <w:rsid w:val="00CB32A2"/>
    <w:rsid w:val="00CB32BF"/>
    <w:rsid w:val="00CB3478"/>
    <w:rsid w:val="00CB36D5"/>
    <w:rsid w:val="00CB3811"/>
    <w:rsid w:val="00CB4447"/>
    <w:rsid w:val="00CB468E"/>
    <w:rsid w:val="00CB682D"/>
    <w:rsid w:val="00CC1FBA"/>
    <w:rsid w:val="00CC300F"/>
    <w:rsid w:val="00CC32D2"/>
    <w:rsid w:val="00CC3B4E"/>
    <w:rsid w:val="00CC3C1F"/>
    <w:rsid w:val="00CC4392"/>
    <w:rsid w:val="00CC4CC5"/>
    <w:rsid w:val="00CC4D58"/>
    <w:rsid w:val="00CC53D6"/>
    <w:rsid w:val="00CC590E"/>
    <w:rsid w:val="00CC5D36"/>
    <w:rsid w:val="00CC5ED3"/>
    <w:rsid w:val="00CC6298"/>
    <w:rsid w:val="00CC7A3C"/>
    <w:rsid w:val="00CD0094"/>
    <w:rsid w:val="00CD01F9"/>
    <w:rsid w:val="00CD0EFA"/>
    <w:rsid w:val="00CD0F10"/>
    <w:rsid w:val="00CD173E"/>
    <w:rsid w:val="00CD276C"/>
    <w:rsid w:val="00CD2865"/>
    <w:rsid w:val="00CD5AE0"/>
    <w:rsid w:val="00CD7409"/>
    <w:rsid w:val="00CD7CCD"/>
    <w:rsid w:val="00CE15AD"/>
    <w:rsid w:val="00CE1B91"/>
    <w:rsid w:val="00CE2BCD"/>
    <w:rsid w:val="00CF0257"/>
    <w:rsid w:val="00CF0D3E"/>
    <w:rsid w:val="00CF1574"/>
    <w:rsid w:val="00CF2587"/>
    <w:rsid w:val="00CF3DC0"/>
    <w:rsid w:val="00CF43FC"/>
    <w:rsid w:val="00CF550B"/>
    <w:rsid w:val="00CF6A32"/>
    <w:rsid w:val="00CF6C41"/>
    <w:rsid w:val="00CF73F2"/>
    <w:rsid w:val="00CF7C33"/>
    <w:rsid w:val="00D036C9"/>
    <w:rsid w:val="00D04C3B"/>
    <w:rsid w:val="00D04DD5"/>
    <w:rsid w:val="00D064F8"/>
    <w:rsid w:val="00D06D32"/>
    <w:rsid w:val="00D10BF6"/>
    <w:rsid w:val="00D13F74"/>
    <w:rsid w:val="00D142B7"/>
    <w:rsid w:val="00D15715"/>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30D5"/>
    <w:rsid w:val="00D335C1"/>
    <w:rsid w:val="00D33A97"/>
    <w:rsid w:val="00D3472E"/>
    <w:rsid w:val="00D366B0"/>
    <w:rsid w:val="00D36F8A"/>
    <w:rsid w:val="00D37444"/>
    <w:rsid w:val="00D406B3"/>
    <w:rsid w:val="00D40E41"/>
    <w:rsid w:val="00D40E8C"/>
    <w:rsid w:val="00D40E99"/>
    <w:rsid w:val="00D416B4"/>
    <w:rsid w:val="00D41890"/>
    <w:rsid w:val="00D4296B"/>
    <w:rsid w:val="00D43E93"/>
    <w:rsid w:val="00D44DCD"/>
    <w:rsid w:val="00D4551A"/>
    <w:rsid w:val="00D475E4"/>
    <w:rsid w:val="00D501C6"/>
    <w:rsid w:val="00D505FB"/>
    <w:rsid w:val="00D50864"/>
    <w:rsid w:val="00D51B08"/>
    <w:rsid w:val="00D529E0"/>
    <w:rsid w:val="00D531F9"/>
    <w:rsid w:val="00D53A8F"/>
    <w:rsid w:val="00D54205"/>
    <w:rsid w:val="00D55F7E"/>
    <w:rsid w:val="00D56653"/>
    <w:rsid w:val="00D600AB"/>
    <w:rsid w:val="00D605F4"/>
    <w:rsid w:val="00D616B2"/>
    <w:rsid w:val="00D624F3"/>
    <w:rsid w:val="00D62793"/>
    <w:rsid w:val="00D62983"/>
    <w:rsid w:val="00D62B02"/>
    <w:rsid w:val="00D63230"/>
    <w:rsid w:val="00D63242"/>
    <w:rsid w:val="00D64D83"/>
    <w:rsid w:val="00D64F8A"/>
    <w:rsid w:val="00D65FE3"/>
    <w:rsid w:val="00D66CE4"/>
    <w:rsid w:val="00D66E26"/>
    <w:rsid w:val="00D67E46"/>
    <w:rsid w:val="00D7019D"/>
    <w:rsid w:val="00D729A8"/>
    <w:rsid w:val="00D73AE0"/>
    <w:rsid w:val="00D7505F"/>
    <w:rsid w:val="00D75789"/>
    <w:rsid w:val="00D76252"/>
    <w:rsid w:val="00D76C32"/>
    <w:rsid w:val="00D80189"/>
    <w:rsid w:val="00D806D0"/>
    <w:rsid w:val="00D81790"/>
    <w:rsid w:val="00D8189C"/>
    <w:rsid w:val="00D82E53"/>
    <w:rsid w:val="00D844E3"/>
    <w:rsid w:val="00D8491C"/>
    <w:rsid w:val="00D87C7A"/>
    <w:rsid w:val="00D87EC8"/>
    <w:rsid w:val="00D9472A"/>
    <w:rsid w:val="00D948A6"/>
    <w:rsid w:val="00D95612"/>
    <w:rsid w:val="00D97279"/>
    <w:rsid w:val="00D972EF"/>
    <w:rsid w:val="00D9777D"/>
    <w:rsid w:val="00D97F2C"/>
    <w:rsid w:val="00DA0621"/>
    <w:rsid w:val="00DA12CC"/>
    <w:rsid w:val="00DA1399"/>
    <w:rsid w:val="00DA14DC"/>
    <w:rsid w:val="00DA1CB2"/>
    <w:rsid w:val="00DA2A4A"/>
    <w:rsid w:val="00DA3194"/>
    <w:rsid w:val="00DA5033"/>
    <w:rsid w:val="00DA5F18"/>
    <w:rsid w:val="00DA7839"/>
    <w:rsid w:val="00DA7EF2"/>
    <w:rsid w:val="00DB1A31"/>
    <w:rsid w:val="00DB1C1B"/>
    <w:rsid w:val="00DB2506"/>
    <w:rsid w:val="00DB2C4E"/>
    <w:rsid w:val="00DB2E93"/>
    <w:rsid w:val="00DB3770"/>
    <w:rsid w:val="00DB4688"/>
    <w:rsid w:val="00DB51DA"/>
    <w:rsid w:val="00DB56D4"/>
    <w:rsid w:val="00DB74E0"/>
    <w:rsid w:val="00DB7A08"/>
    <w:rsid w:val="00DC0131"/>
    <w:rsid w:val="00DC0290"/>
    <w:rsid w:val="00DC02D0"/>
    <w:rsid w:val="00DC15C0"/>
    <w:rsid w:val="00DC2B10"/>
    <w:rsid w:val="00DC493D"/>
    <w:rsid w:val="00DC5A81"/>
    <w:rsid w:val="00DC5F18"/>
    <w:rsid w:val="00DC7090"/>
    <w:rsid w:val="00DC794C"/>
    <w:rsid w:val="00DC7E1D"/>
    <w:rsid w:val="00DD0CE5"/>
    <w:rsid w:val="00DD232E"/>
    <w:rsid w:val="00DD5111"/>
    <w:rsid w:val="00DD61A9"/>
    <w:rsid w:val="00DD65E2"/>
    <w:rsid w:val="00DD76EE"/>
    <w:rsid w:val="00DD7FFB"/>
    <w:rsid w:val="00DE08E6"/>
    <w:rsid w:val="00DE0F85"/>
    <w:rsid w:val="00DE12CD"/>
    <w:rsid w:val="00DE4636"/>
    <w:rsid w:val="00DE571D"/>
    <w:rsid w:val="00DE580F"/>
    <w:rsid w:val="00DE5C5C"/>
    <w:rsid w:val="00DE7123"/>
    <w:rsid w:val="00DE7CB0"/>
    <w:rsid w:val="00DF14DF"/>
    <w:rsid w:val="00DF20A4"/>
    <w:rsid w:val="00DF2115"/>
    <w:rsid w:val="00DF5524"/>
    <w:rsid w:val="00DF557A"/>
    <w:rsid w:val="00DF6C91"/>
    <w:rsid w:val="00DF6FA2"/>
    <w:rsid w:val="00DF71CF"/>
    <w:rsid w:val="00DF76B7"/>
    <w:rsid w:val="00DF7AFE"/>
    <w:rsid w:val="00E0070F"/>
    <w:rsid w:val="00E01212"/>
    <w:rsid w:val="00E01574"/>
    <w:rsid w:val="00E01652"/>
    <w:rsid w:val="00E0291D"/>
    <w:rsid w:val="00E03661"/>
    <w:rsid w:val="00E03AEC"/>
    <w:rsid w:val="00E03B42"/>
    <w:rsid w:val="00E03DEF"/>
    <w:rsid w:val="00E04A71"/>
    <w:rsid w:val="00E04F97"/>
    <w:rsid w:val="00E055B6"/>
    <w:rsid w:val="00E064B2"/>
    <w:rsid w:val="00E06852"/>
    <w:rsid w:val="00E104BC"/>
    <w:rsid w:val="00E13828"/>
    <w:rsid w:val="00E1568B"/>
    <w:rsid w:val="00E1568F"/>
    <w:rsid w:val="00E17EB5"/>
    <w:rsid w:val="00E17F01"/>
    <w:rsid w:val="00E20FE6"/>
    <w:rsid w:val="00E22010"/>
    <w:rsid w:val="00E2456A"/>
    <w:rsid w:val="00E273A0"/>
    <w:rsid w:val="00E300ED"/>
    <w:rsid w:val="00E3070B"/>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B2D"/>
    <w:rsid w:val="00E52F93"/>
    <w:rsid w:val="00E541EB"/>
    <w:rsid w:val="00E542B7"/>
    <w:rsid w:val="00E54AB0"/>
    <w:rsid w:val="00E5607E"/>
    <w:rsid w:val="00E560B5"/>
    <w:rsid w:val="00E57BB4"/>
    <w:rsid w:val="00E60F28"/>
    <w:rsid w:val="00E6227C"/>
    <w:rsid w:val="00E64789"/>
    <w:rsid w:val="00E6498D"/>
    <w:rsid w:val="00E650E3"/>
    <w:rsid w:val="00E7064A"/>
    <w:rsid w:val="00E70863"/>
    <w:rsid w:val="00E73B94"/>
    <w:rsid w:val="00E75382"/>
    <w:rsid w:val="00E75BD8"/>
    <w:rsid w:val="00E76464"/>
    <w:rsid w:val="00E800E8"/>
    <w:rsid w:val="00E80988"/>
    <w:rsid w:val="00E82C40"/>
    <w:rsid w:val="00E855AB"/>
    <w:rsid w:val="00E87355"/>
    <w:rsid w:val="00E913E4"/>
    <w:rsid w:val="00E91F2D"/>
    <w:rsid w:val="00E92A9D"/>
    <w:rsid w:val="00E932D1"/>
    <w:rsid w:val="00E93EF7"/>
    <w:rsid w:val="00E94A92"/>
    <w:rsid w:val="00E94D2A"/>
    <w:rsid w:val="00E95C25"/>
    <w:rsid w:val="00E960AE"/>
    <w:rsid w:val="00E9646F"/>
    <w:rsid w:val="00E9665A"/>
    <w:rsid w:val="00E97628"/>
    <w:rsid w:val="00EA17A2"/>
    <w:rsid w:val="00EA188F"/>
    <w:rsid w:val="00EA21CE"/>
    <w:rsid w:val="00EA285A"/>
    <w:rsid w:val="00EA410A"/>
    <w:rsid w:val="00EA43E5"/>
    <w:rsid w:val="00EA4A4E"/>
    <w:rsid w:val="00EA58FA"/>
    <w:rsid w:val="00EA5ED3"/>
    <w:rsid w:val="00EA668C"/>
    <w:rsid w:val="00EA79BB"/>
    <w:rsid w:val="00EB2E67"/>
    <w:rsid w:val="00EB3CE2"/>
    <w:rsid w:val="00EB3DA6"/>
    <w:rsid w:val="00EB461D"/>
    <w:rsid w:val="00EB46D9"/>
    <w:rsid w:val="00EB476D"/>
    <w:rsid w:val="00EB57EA"/>
    <w:rsid w:val="00EB7ADF"/>
    <w:rsid w:val="00EC0BE7"/>
    <w:rsid w:val="00EC1147"/>
    <w:rsid w:val="00EC1501"/>
    <w:rsid w:val="00EC1A07"/>
    <w:rsid w:val="00EC24B6"/>
    <w:rsid w:val="00EC2E4A"/>
    <w:rsid w:val="00EC38ED"/>
    <w:rsid w:val="00EC5604"/>
    <w:rsid w:val="00EC57FE"/>
    <w:rsid w:val="00EC6634"/>
    <w:rsid w:val="00EC693B"/>
    <w:rsid w:val="00EC7A8E"/>
    <w:rsid w:val="00ED0518"/>
    <w:rsid w:val="00ED062F"/>
    <w:rsid w:val="00ED08A7"/>
    <w:rsid w:val="00ED2018"/>
    <w:rsid w:val="00ED39D0"/>
    <w:rsid w:val="00ED4809"/>
    <w:rsid w:val="00ED4DF6"/>
    <w:rsid w:val="00ED4F91"/>
    <w:rsid w:val="00ED72BB"/>
    <w:rsid w:val="00ED7A86"/>
    <w:rsid w:val="00ED7DC4"/>
    <w:rsid w:val="00EE2091"/>
    <w:rsid w:val="00EE40BF"/>
    <w:rsid w:val="00EE51B5"/>
    <w:rsid w:val="00EE62BE"/>
    <w:rsid w:val="00EE7AA7"/>
    <w:rsid w:val="00EF0F48"/>
    <w:rsid w:val="00EF16AD"/>
    <w:rsid w:val="00EF2F0A"/>
    <w:rsid w:val="00EF3512"/>
    <w:rsid w:val="00EF376F"/>
    <w:rsid w:val="00EF5741"/>
    <w:rsid w:val="00F00A4C"/>
    <w:rsid w:val="00F01167"/>
    <w:rsid w:val="00F02D7E"/>
    <w:rsid w:val="00F036B1"/>
    <w:rsid w:val="00F0396F"/>
    <w:rsid w:val="00F0485C"/>
    <w:rsid w:val="00F04A7F"/>
    <w:rsid w:val="00F057F2"/>
    <w:rsid w:val="00F06C12"/>
    <w:rsid w:val="00F0772F"/>
    <w:rsid w:val="00F1022F"/>
    <w:rsid w:val="00F10774"/>
    <w:rsid w:val="00F13BC6"/>
    <w:rsid w:val="00F1441F"/>
    <w:rsid w:val="00F144B5"/>
    <w:rsid w:val="00F154B3"/>
    <w:rsid w:val="00F16566"/>
    <w:rsid w:val="00F16FD3"/>
    <w:rsid w:val="00F224E5"/>
    <w:rsid w:val="00F225BD"/>
    <w:rsid w:val="00F22D18"/>
    <w:rsid w:val="00F23DD7"/>
    <w:rsid w:val="00F24187"/>
    <w:rsid w:val="00F243D3"/>
    <w:rsid w:val="00F24BDD"/>
    <w:rsid w:val="00F2582E"/>
    <w:rsid w:val="00F259FA"/>
    <w:rsid w:val="00F26418"/>
    <w:rsid w:val="00F27B8C"/>
    <w:rsid w:val="00F301DA"/>
    <w:rsid w:val="00F30B4C"/>
    <w:rsid w:val="00F313FD"/>
    <w:rsid w:val="00F3360D"/>
    <w:rsid w:val="00F35CDB"/>
    <w:rsid w:val="00F36A6D"/>
    <w:rsid w:val="00F37394"/>
    <w:rsid w:val="00F376D1"/>
    <w:rsid w:val="00F41540"/>
    <w:rsid w:val="00F421D1"/>
    <w:rsid w:val="00F42555"/>
    <w:rsid w:val="00F43478"/>
    <w:rsid w:val="00F43ACC"/>
    <w:rsid w:val="00F45824"/>
    <w:rsid w:val="00F45B4D"/>
    <w:rsid w:val="00F46229"/>
    <w:rsid w:val="00F5118C"/>
    <w:rsid w:val="00F528EC"/>
    <w:rsid w:val="00F53202"/>
    <w:rsid w:val="00F532EA"/>
    <w:rsid w:val="00F53629"/>
    <w:rsid w:val="00F5459F"/>
    <w:rsid w:val="00F55D4D"/>
    <w:rsid w:val="00F569E5"/>
    <w:rsid w:val="00F5707E"/>
    <w:rsid w:val="00F6020E"/>
    <w:rsid w:val="00F6085F"/>
    <w:rsid w:val="00F63EBD"/>
    <w:rsid w:val="00F64D1A"/>
    <w:rsid w:val="00F64F9A"/>
    <w:rsid w:val="00F664E9"/>
    <w:rsid w:val="00F67ABF"/>
    <w:rsid w:val="00F713AF"/>
    <w:rsid w:val="00F72AA5"/>
    <w:rsid w:val="00F731D7"/>
    <w:rsid w:val="00F73B6E"/>
    <w:rsid w:val="00F77534"/>
    <w:rsid w:val="00F777B9"/>
    <w:rsid w:val="00F86F95"/>
    <w:rsid w:val="00F90007"/>
    <w:rsid w:val="00F905FF"/>
    <w:rsid w:val="00F91B32"/>
    <w:rsid w:val="00F9278F"/>
    <w:rsid w:val="00F92E67"/>
    <w:rsid w:val="00F93036"/>
    <w:rsid w:val="00F933FD"/>
    <w:rsid w:val="00F93950"/>
    <w:rsid w:val="00FA0AC0"/>
    <w:rsid w:val="00FA0D85"/>
    <w:rsid w:val="00FA10FC"/>
    <w:rsid w:val="00FA1B6B"/>
    <w:rsid w:val="00FA2D41"/>
    <w:rsid w:val="00FA5BD0"/>
    <w:rsid w:val="00FA60E7"/>
    <w:rsid w:val="00FA6C81"/>
    <w:rsid w:val="00FA6D2D"/>
    <w:rsid w:val="00FB111A"/>
    <w:rsid w:val="00FB146A"/>
    <w:rsid w:val="00FB16F9"/>
    <w:rsid w:val="00FB41BE"/>
    <w:rsid w:val="00FB4369"/>
    <w:rsid w:val="00FB541A"/>
    <w:rsid w:val="00FB6A07"/>
    <w:rsid w:val="00FB6ABE"/>
    <w:rsid w:val="00FB79B2"/>
    <w:rsid w:val="00FC016E"/>
    <w:rsid w:val="00FC062D"/>
    <w:rsid w:val="00FC15D2"/>
    <w:rsid w:val="00FC2230"/>
    <w:rsid w:val="00FC3614"/>
    <w:rsid w:val="00FC649A"/>
    <w:rsid w:val="00FC7122"/>
    <w:rsid w:val="00FC7578"/>
    <w:rsid w:val="00FD1C98"/>
    <w:rsid w:val="00FD20B1"/>
    <w:rsid w:val="00FD23AB"/>
    <w:rsid w:val="00FD2654"/>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FEB"/>
    <w:rsid w:val="00FF4D50"/>
    <w:rsid w:val="00FF55A8"/>
    <w:rsid w:val="00FF5B79"/>
    <w:rsid w:val="00FF5B8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C4372"/>
  <w15:chartTrackingRefBased/>
  <w15:docId w15:val="{0E4283F6-223A-402D-B42F-3C24C10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C86"/>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F224E5"/>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F224E5"/>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EC5604"/>
    <w:pPr>
      <w:spacing w:line="276" w:lineRule="auto"/>
      <w:ind w:left="709" w:hanging="709"/>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EC5604"/>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a">
    <w:name w:val="List"/>
    <w:basedOn w:val="Normal"/>
    <w:uiPriority w:val="99"/>
    <w:unhideWhenUsed/>
    <w:rsid w:val="005F1494"/>
    <w:pPr>
      <w:ind w:left="283" w:hanging="283"/>
      <w:contextualSpacing/>
    </w:pPr>
  </w:style>
  <w:style w:type="paragraph" w:styleId="Continuarlista">
    <w:name w:val="List Continue"/>
    <w:basedOn w:val="Normal"/>
    <w:uiPriority w:val="99"/>
    <w:unhideWhenUsed/>
    <w:rsid w:val="005F1494"/>
    <w:pPr>
      <w:spacing w:after="120"/>
      <w:ind w:left="283"/>
      <w:contextualSpacing/>
    </w:pPr>
  </w:style>
  <w:style w:type="paragraph" w:styleId="Continuarlista2">
    <w:name w:val="List Continue 2"/>
    <w:basedOn w:val="Normal"/>
    <w:uiPriority w:val="99"/>
    <w:unhideWhenUsed/>
    <w:rsid w:val="005F1494"/>
    <w:pPr>
      <w:spacing w:after="120"/>
      <w:ind w:left="566"/>
      <w:contextualSpacing/>
    </w:pPr>
  </w:style>
  <w:style w:type="paragraph" w:styleId="Textoindependiente">
    <w:name w:val="Body Text"/>
    <w:basedOn w:val="Normal"/>
    <w:link w:val="TextoindependienteCar"/>
    <w:uiPriority w:val="99"/>
    <w:unhideWhenUsed/>
    <w:rsid w:val="005F1494"/>
    <w:pPr>
      <w:spacing w:after="120"/>
    </w:pPr>
  </w:style>
  <w:style w:type="character" w:customStyle="1" w:styleId="TextoindependienteCar">
    <w:name w:val="Texto independiente Car"/>
    <w:basedOn w:val="Fuentedeprrafopredeter"/>
    <w:link w:val="Textoindependiente"/>
    <w:uiPriority w:val="99"/>
    <w:rsid w:val="005F1494"/>
    <w:rPr>
      <w:sz w:val="16"/>
      <w:szCs w:val="16"/>
      <w:lang w:eastAsia="es-ES_tradnl"/>
    </w:rPr>
  </w:style>
  <w:style w:type="table" w:styleId="Tablaconcuadrcula">
    <w:name w:val="Table Grid"/>
    <w:basedOn w:val="Tablanormal"/>
    <w:uiPriority w:val="39"/>
    <w:rsid w:val="007314C6"/>
    <w:rPr>
      <w:rFonts w:ascii="Calibri" w:eastAsiaTheme="minorHAnsi" w:hAnsi="Calibr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unhideWhenUsed/>
    <w:rsid w:val="002C73F8"/>
    <w:rPr>
      <w:color w:val="605E5C"/>
      <w:shd w:val="clear" w:color="auto" w:fill="E1DFDD"/>
    </w:rPr>
  </w:style>
  <w:style w:type="character" w:customStyle="1" w:styleId="Mencinsinresolver1">
    <w:name w:val="Mención sin resolver1"/>
    <w:basedOn w:val="Fuentedeprrafopredeter"/>
    <w:uiPriority w:val="99"/>
    <w:semiHidden/>
    <w:unhideWhenUsed/>
    <w:rsid w:val="00EC5604"/>
    <w:rPr>
      <w:color w:val="605E5C"/>
      <w:shd w:val="clear" w:color="auto" w:fill="E1DFDD"/>
    </w:rPr>
  </w:style>
  <w:style w:type="paragraph" w:styleId="Revisi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fa">
    <w:name w:val="Bibliography"/>
    <w:basedOn w:val="Normal"/>
    <w:next w:val="Normal"/>
    <w:uiPriority w:val="37"/>
    <w:unhideWhenUsed/>
    <w:rsid w:val="00990B08"/>
  </w:style>
  <w:style w:type="paragraph" w:styleId="Asuntodelcomentario">
    <w:name w:val="annotation subject"/>
    <w:basedOn w:val="Textocomentario"/>
    <w:next w:val="Textocomentario"/>
    <w:link w:val="AsuntodelcomentarioCar"/>
    <w:uiPriority w:val="99"/>
    <w:semiHidden/>
    <w:unhideWhenUsed/>
    <w:rsid w:val="0019417E"/>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9417E"/>
    <w:rPr>
      <w:rFonts w:ascii="Calibri" w:hAnsi="Calibri" w:cs="Times New Roman"/>
      <w:b/>
      <w:bCs/>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8842BF05-580F-4F7E-A50E-FED9B63A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701F8-230E-4F4A-B900-C2B394D0F577}">
  <ds:schemaRefs>
    <ds:schemaRef ds:uri="http://schemas.microsoft.com/office/2006/metadata/properties"/>
    <ds:schemaRef ds:uri="http://purl.org/dc/elements/1.1/"/>
    <ds:schemaRef ds:uri="http://schemas.openxmlformats.org/package/2006/metadata/core-properties"/>
    <ds:schemaRef ds:uri="5a0f1219-a438-4924-b71a-3e41fc7be27a"/>
    <ds:schemaRef ds:uri="http://purl.org/dc/terms/"/>
    <ds:schemaRef ds:uri="http://www.w3.org/XML/1998/namespace"/>
    <ds:schemaRef ds:uri="http://schemas.microsoft.com/office/2006/documentManagement/types"/>
    <ds:schemaRef ds:uri="http://schemas.microsoft.com/office/infopath/2007/PartnerControls"/>
    <ds:schemaRef ds:uri="702ffa33-a583-4c97-92f9-a8023697160b"/>
    <ds:schemaRef ds:uri="http://purl.org/dc/dcmitype/"/>
  </ds:schemaRefs>
</ds:datastoreItem>
</file>

<file path=customXml/itemProps4.xml><?xml version="1.0" encoding="utf-8"?>
<ds:datastoreItem xmlns:ds="http://schemas.openxmlformats.org/officeDocument/2006/customXml" ds:itemID="{1C6D2338-B46B-4FD4-8923-44945C4E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12116</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3</cp:revision>
  <cp:lastPrinted>2020-03-11T14:38:00Z</cp:lastPrinted>
  <dcterms:created xsi:type="dcterms:W3CDTF">2021-02-19T19:08:00Z</dcterms:created>
  <dcterms:modified xsi:type="dcterms:W3CDTF">2021-02-19T19:09:00Z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