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11EF66" w14:textId="2FC40D0B" w:rsidR="00454900" w:rsidRPr="00682149" w:rsidRDefault="00454900" w:rsidP="001C138F">
      <w:pPr>
        <w:overflowPunct w:val="0"/>
        <w:autoSpaceDE w:val="0"/>
        <w:autoSpaceDN w:val="0"/>
        <w:adjustRightInd w:val="0"/>
        <w:spacing w:after="0" w:line="276" w:lineRule="auto"/>
        <w:jc w:val="center"/>
        <w:rPr>
          <w:rFonts w:ascii="Arial" w:eastAsia="Times New Roman" w:hAnsi="Arial" w:cs="Arial"/>
          <w:b/>
          <w:color w:val="000000" w:themeColor="text1"/>
          <w:sz w:val="24"/>
          <w:szCs w:val="24"/>
          <w:lang w:val="es-ES" w:eastAsia="es-ES"/>
        </w:rPr>
      </w:pPr>
      <w:bookmarkStart w:id="0" w:name="_GoBack"/>
      <w:bookmarkEnd w:id="0"/>
      <w:r w:rsidRPr="00682149">
        <w:rPr>
          <w:rFonts w:ascii="Arial" w:eastAsia="Times New Roman" w:hAnsi="Arial" w:cs="Arial"/>
          <w:b/>
          <w:bCs/>
          <w:noProof/>
          <w:color w:val="000000" w:themeColor="text1"/>
          <w:sz w:val="24"/>
          <w:szCs w:val="24"/>
          <w:lang w:val="es-CO" w:eastAsia="es-CO"/>
        </w:rPr>
        <w:drawing>
          <wp:anchor distT="0" distB="0" distL="114300" distR="114300" simplePos="0" relativeHeight="251657728" behindDoc="1" locked="0" layoutInCell="1" allowOverlap="1" wp14:anchorId="1F43281F" wp14:editId="6E66F26B">
            <wp:simplePos x="0" y="0"/>
            <wp:positionH relativeFrom="column">
              <wp:posOffset>-258445</wp:posOffset>
            </wp:positionH>
            <wp:positionV relativeFrom="paragraph">
              <wp:posOffset>-165100</wp:posOffset>
            </wp:positionV>
            <wp:extent cx="1117600" cy="1040130"/>
            <wp:effectExtent l="0" t="0" r="0" b="0"/>
            <wp:wrapNone/>
            <wp:docPr id="1" name="Imagen 1" descr="ESCUDO FINAL FF-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 FINAL FF-0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7600" cy="1040130"/>
                    </a:xfrm>
                    <a:prstGeom prst="rect">
                      <a:avLst/>
                    </a:prstGeom>
                    <a:noFill/>
                    <a:ln>
                      <a:noFill/>
                    </a:ln>
                  </pic:spPr>
                </pic:pic>
              </a:graphicData>
            </a:graphic>
            <wp14:sizeRelH relativeFrom="page">
              <wp14:pctWidth>0</wp14:pctWidth>
            </wp14:sizeRelH>
            <wp14:sizeRelV relativeFrom="page">
              <wp14:pctHeight>0</wp14:pctHeight>
            </wp14:sizeRelV>
          </wp:anchor>
        </w:drawing>
      </w:r>
      <w:r w:rsidR="00F00045" w:rsidRPr="00682149">
        <w:rPr>
          <w:rFonts w:ascii="Arial" w:eastAsia="Times New Roman" w:hAnsi="Arial" w:cs="Arial"/>
          <w:b/>
          <w:color w:val="000000" w:themeColor="text1"/>
          <w:sz w:val="24"/>
          <w:szCs w:val="24"/>
          <w:lang w:val="es-ES" w:eastAsia="es-ES"/>
        </w:rPr>
        <w:t>C</w:t>
      </w:r>
      <w:r w:rsidRPr="00682149">
        <w:rPr>
          <w:rFonts w:ascii="Arial" w:eastAsia="Times New Roman" w:hAnsi="Arial" w:cs="Arial"/>
          <w:b/>
          <w:color w:val="000000" w:themeColor="text1"/>
          <w:sz w:val="24"/>
          <w:szCs w:val="24"/>
          <w:lang w:val="es-ES" w:eastAsia="es-ES"/>
        </w:rPr>
        <w:t>ONSEJO DE ESTADO</w:t>
      </w:r>
    </w:p>
    <w:p w14:paraId="7719DD77" w14:textId="77777777" w:rsidR="00454900" w:rsidRPr="00682149" w:rsidRDefault="00454900" w:rsidP="001C138F">
      <w:pPr>
        <w:spacing w:after="0" w:line="276" w:lineRule="auto"/>
        <w:jc w:val="center"/>
        <w:rPr>
          <w:rFonts w:ascii="Arial" w:eastAsia="Times New Roman" w:hAnsi="Arial" w:cs="Arial"/>
          <w:b/>
          <w:bCs/>
          <w:color w:val="000000" w:themeColor="text1"/>
          <w:sz w:val="24"/>
          <w:szCs w:val="24"/>
          <w:lang w:val="es-ES" w:eastAsia="es-ES"/>
        </w:rPr>
      </w:pPr>
      <w:r w:rsidRPr="00682149">
        <w:rPr>
          <w:rFonts w:ascii="Arial" w:eastAsia="Times New Roman" w:hAnsi="Arial" w:cs="Arial"/>
          <w:b/>
          <w:bCs/>
          <w:color w:val="000000" w:themeColor="text1"/>
          <w:sz w:val="24"/>
          <w:szCs w:val="24"/>
          <w:lang w:val="es-ES" w:eastAsia="es-ES"/>
        </w:rPr>
        <w:t>SALA PLENA DE LO CONTENCIOSO ADMINISTRATIVO</w:t>
      </w:r>
    </w:p>
    <w:p w14:paraId="36520E06" w14:textId="77777777" w:rsidR="00454900" w:rsidRPr="00682149" w:rsidRDefault="00454900" w:rsidP="001C138F">
      <w:pPr>
        <w:spacing w:after="0" w:line="276" w:lineRule="auto"/>
        <w:jc w:val="center"/>
        <w:rPr>
          <w:rFonts w:ascii="Arial" w:eastAsia="Times New Roman" w:hAnsi="Arial" w:cs="Arial"/>
          <w:b/>
          <w:bCs/>
          <w:color w:val="000000" w:themeColor="text1"/>
          <w:sz w:val="24"/>
          <w:szCs w:val="24"/>
          <w:lang w:val="es-ES" w:eastAsia="es-ES"/>
        </w:rPr>
      </w:pPr>
      <w:r w:rsidRPr="00682149">
        <w:rPr>
          <w:rFonts w:ascii="Arial" w:eastAsia="Times New Roman" w:hAnsi="Arial" w:cs="Arial"/>
          <w:b/>
          <w:bCs/>
          <w:color w:val="000000" w:themeColor="text1"/>
          <w:sz w:val="24"/>
          <w:szCs w:val="24"/>
          <w:lang w:val="es-ES" w:eastAsia="es-ES"/>
        </w:rPr>
        <w:t xml:space="preserve">SALA ESPECIAL DE DECISIÓN VEINTITRÉS </w:t>
      </w:r>
    </w:p>
    <w:p w14:paraId="04F0D653" w14:textId="35161BA5" w:rsidR="00454900" w:rsidRDefault="00454900" w:rsidP="001C138F">
      <w:pPr>
        <w:spacing w:after="0" w:line="276" w:lineRule="auto"/>
        <w:rPr>
          <w:rFonts w:ascii="Arial" w:eastAsia="Times New Roman" w:hAnsi="Arial" w:cs="Arial"/>
          <w:b/>
          <w:bCs/>
          <w:color w:val="000000" w:themeColor="text1"/>
          <w:sz w:val="24"/>
          <w:szCs w:val="24"/>
          <w:lang w:val="es-ES" w:eastAsia="es-ES"/>
        </w:rPr>
      </w:pPr>
    </w:p>
    <w:p w14:paraId="2C2F62EF" w14:textId="77777777" w:rsidR="000C2447" w:rsidRPr="00682149" w:rsidRDefault="000C2447" w:rsidP="001C138F">
      <w:pPr>
        <w:spacing w:after="0" w:line="276" w:lineRule="auto"/>
        <w:rPr>
          <w:rFonts w:ascii="Arial" w:eastAsia="Times New Roman" w:hAnsi="Arial" w:cs="Arial"/>
          <w:b/>
          <w:bCs/>
          <w:color w:val="000000" w:themeColor="text1"/>
          <w:sz w:val="24"/>
          <w:szCs w:val="24"/>
          <w:lang w:val="es-ES" w:eastAsia="es-ES"/>
        </w:rPr>
      </w:pPr>
    </w:p>
    <w:p w14:paraId="265ACEF9" w14:textId="77777777" w:rsidR="00454900" w:rsidRPr="00682149" w:rsidRDefault="00454900" w:rsidP="001C138F">
      <w:pPr>
        <w:spacing w:after="0" w:line="276" w:lineRule="auto"/>
        <w:jc w:val="center"/>
        <w:rPr>
          <w:rFonts w:ascii="Arial" w:eastAsia="Times New Roman" w:hAnsi="Arial" w:cs="Arial"/>
          <w:color w:val="000000" w:themeColor="text1"/>
          <w:sz w:val="24"/>
          <w:szCs w:val="24"/>
          <w:lang w:val="es-ES" w:eastAsia="es-ES"/>
        </w:rPr>
      </w:pPr>
      <w:r w:rsidRPr="00682149">
        <w:rPr>
          <w:rFonts w:ascii="Arial" w:eastAsia="Times New Roman" w:hAnsi="Arial" w:cs="Arial"/>
          <w:b/>
          <w:bCs/>
          <w:color w:val="000000" w:themeColor="text1"/>
          <w:sz w:val="24"/>
          <w:szCs w:val="24"/>
          <w:lang w:val="es-ES" w:eastAsia="es-ES"/>
        </w:rPr>
        <w:t xml:space="preserve">Consejero Ponente: JOSÉ ROBERTO SÁCHICA MÉNDEZ </w:t>
      </w:r>
    </w:p>
    <w:p w14:paraId="1DBD4565" w14:textId="77777777" w:rsidR="00976D77" w:rsidRDefault="00976D77" w:rsidP="001C138F">
      <w:pPr>
        <w:tabs>
          <w:tab w:val="center" w:pos="4252"/>
          <w:tab w:val="right" w:pos="8504"/>
        </w:tabs>
        <w:overflowPunct w:val="0"/>
        <w:autoSpaceDE w:val="0"/>
        <w:autoSpaceDN w:val="0"/>
        <w:adjustRightInd w:val="0"/>
        <w:spacing w:after="0" w:line="276" w:lineRule="auto"/>
        <w:jc w:val="both"/>
        <w:rPr>
          <w:rFonts w:ascii="Arial" w:eastAsia="Times New Roman" w:hAnsi="Arial" w:cs="Arial"/>
          <w:color w:val="000000" w:themeColor="text1"/>
          <w:sz w:val="24"/>
          <w:szCs w:val="24"/>
          <w:lang w:val="es-ES" w:eastAsia="es-ES"/>
        </w:rPr>
      </w:pPr>
    </w:p>
    <w:p w14:paraId="09431867" w14:textId="1FFEDD54" w:rsidR="00976D77" w:rsidRDefault="00976D77" w:rsidP="001C138F">
      <w:pPr>
        <w:tabs>
          <w:tab w:val="center" w:pos="4252"/>
          <w:tab w:val="right" w:pos="8504"/>
        </w:tabs>
        <w:overflowPunct w:val="0"/>
        <w:autoSpaceDE w:val="0"/>
        <w:autoSpaceDN w:val="0"/>
        <w:adjustRightInd w:val="0"/>
        <w:spacing w:after="0" w:line="276" w:lineRule="auto"/>
        <w:jc w:val="both"/>
        <w:rPr>
          <w:rFonts w:ascii="Arial" w:eastAsia="Times New Roman" w:hAnsi="Arial" w:cs="Arial"/>
          <w:color w:val="000000" w:themeColor="text1"/>
          <w:sz w:val="24"/>
          <w:szCs w:val="24"/>
          <w:lang w:val="es-ES" w:eastAsia="es-ES"/>
        </w:rPr>
      </w:pPr>
      <w:r>
        <w:rPr>
          <w:rFonts w:ascii="Arial" w:eastAsia="Times New Roman" w:hAnsi="Arial" w:cs="Arial"/>
          <w:color w:val="000000" w:themeColor="text1"/>
          <w:sz w:val="24"/>
          <w:szCs w:val="24"/>
          <w:lang w:val="es-ES" w:eastAsia="es-ES"/>
        </w:rPr>
        <w:t xml:space="preserve">Bogotá D.C., veinte (20) de enero de dos mil veintiuno (2021) </w:t>
      </w:r>
    </w:p>
    <w:p w14:paraId="03ADFBEA" w14:textId="77777777" w:rsidR="000C2447" w:rsidRPr="00682149" w:rsidRDefault="000C2447" w:rsidP="001C138F">
      <w:pPr>
        <w:tabs>
          <w:tab w:val="center" w:pos="4252"/>
          <w:tab w:val="right" w:pos="8504"/>
        </w:tabs>
        <w:overflowPunct w:val="0"/>
        <w:autoSpaceDE w:val="0"/>
        <w:autoSpaceDN w:val="0"/>
        <w:adjustRightInd w:val="0"/>
        <w:spacing w:after="0" w:line="276" w:lineRule="auto"/>
        <w:jc w:val="both"/>
        <w:rPr>
          <w:rFonts w:ascii="Arial" w:eastAsia="Times New Roman" w:hAnsi="Arial" w:cs="Arial"/>
          <w:color w:val="000000" w:themeColor="text1"/>
          <w:sz w:val="24"/>
          <w:szCs w:val="24"/>
          <w:lang w:val="es-ES" w:eastAsia="es-ES"/>
        </w:rPr>
      </w:pPr>
    </w:p>
    <w:p w14:paraId="64B26941" w14:textId="77777777" w:rsidR="00454900" w:rsidRPr="00682149" w:rsidRDefault="00454900" w:rsidP="001C138F">
      <w:pPr>
        <w:tabs>
          <w:tab w:val="center" w:pos="4252"/>
          <w:tab w:val="right" w:pos="8504"/>
        </w:tabs>
        <w:overflowPunct w:val="0"/>
        <w:autoSpaceDE w:val="0"/>
        <w:autoSpaceDN w:val="0"/>
        <w:adjustRightInd w:val="0"/>
        <w:spacing w:after="0" w:line="276" w:lineRule="auto"/>
        <w:jc w:val="both"/>
        <w:rPr>
          <w:rFonts w:ascii="Arial" w:eastAsia="Times New Roman" w:hAnsi="Arial" w:cs="Arial"/>
          <w:color w:val="000000" w:themeColor="text1"/>
          <w:sz w:val="24"/>
          <w:szCs w:val="24"/>
          <w:lang w:val="es-ES" w:eastAsia="es-ES"/>
        </w:rPr>
      </w:pPr>
      <w:r w:rsidRPr="00682149">
        <w:rPr>
          <w:rFonts w:ascii="Arial" w:eastAsia="Times New Roman" w:hAnsi="Arial" w:cs="Arial"/>
          <w:b/>
          <w:bCs/>
          <w:color w:val="000000" w:themeColor="text1"/>
          <w:sz w:val="24"/>
          <w:szCs w:val="24"/>
          <w:lang w:val="es-ES" w:eastAsia="es-ES"/>
        </w:rPr>
        <w:t>Radicación</w:t>
      </w:r>
      <w:r w:rsidRPr="00682149">
        <w:rPr>
          <w:rFonts w:ascii="Arial" w:eastAsia="Times New Roman" w:hAnsi="Arial" w:cs="Arial"/>
          <w:color w:val="000000" w:themeColor="text1"/>
          <w:sz w:val="24"/>
          <w:szCs w:val="24"/>
          <w:lang w:val="es-ES" w:eastAsia="es-ES"/>
        </w:rPr>
        <w:t xml:space="preserve">:            </w:t>
      </w:r>
      <w:r w:rsidRPr="00682149">
        <w:rPr>
          <w:rFonts w:ascii="Arial" w:eastAsia="Times New Roman" w:hAnsi="Arial" w:cs="Arial"/>
          <w:color w:val="000000" w:themeColor="text1"/>
          <w:sz w:val="24"/>
          <w:szCs w:val="24"/>
          <w:lang w:val="es-ES" w:eastAsia="es-ES"/>
        </w:rPr>
        <w:tab/>
        <w:t xml:space="preserve">   11001031500020200397800</w:t>
      </w:r>
    </w:p>
    <w:p w14:paraId="2B7CCF43" w14:textId="77777777" w:rsidR="00454900" w:rsidRPr="00682149" w:rsidRDefault="00454900" w:rsidP="001C138F">
      <w:pPr>
        <w:tabs>
          <w:tab w:val="left" w:pos="2835"/>
          <w:tab w:val="center" w:pos="4252"/>
          <w:tab w:val="right" w:pos="8504"/>
        </w:tabs>
        <w:overflowPunct w:val="0"/>
        <w:autoSpaceDE w:val="0"/>
        <w:autoSpaceDN w:val="0"/>
        <w:adjustRightInd w:val="0"/>
        <w:spacing w:after="0" w:line="276" w:lineRule="auto"/>
        <w:ind w:left="2835" w:hanging="2835"/>
        <w:jc w:val="both"/>
        <w:rPr>
          <w:rFonts w:ascii="Arial" w:eastAsia="Times New Roman" w:hAnsi="Arial" w:cs="Arial"/>
          <w:color w:val="000000" w:themeColor="text1"/>
          <w:sz w:val="24"/>
          <w:szCs w:val="24"/>
          <w:lang w:val="es-ES" w:eastAsia="es-ES"/>
        </w:rPr>
      </w:pPr>
      <w:r w:rsidRPr="00682149">
        <w:rPr>
          <w:rFonts w:ascii="Arial" w:eastAsia="Times New Roman" w:hAnsi="Arial" w:cs="Arial"/>
          <w:b/>
          <w:color w:val="000000" w:themeColor="text1"/>
          <w:sz w:val="24"/>
          <w:szCs w:val="24"/>
          <w:lang w:val="es-ES" w:eastAsia="es-ES"/>
        </w:rPr>
        <w:t xml:space="preserve">Objeto de control:      </w:t>
      </w:r>
      <w:r w:rsidRPr="00682149">
        <w:rPr>
          <w:rFonts w:ascii="Arial" w:eastAsia="Times New Roman" w:hAnsi="Arial" w:cs="Arial"/>
          <w:b/>
          <w:color w:val="000000" w:themeColor="text1"/>
          <w:sz w:val="24"/>
          <w:szCs w:val="24"/>
          <w:lang w:val="es-ES" w:eastAsia="es-ES"/>
        </w:rPr>
        <w:tab/>
      </w:r>
      <w:r w:rsidRPr="00682149">
        <w:rPr>
          <w:rFonts w:ascii="Arial" w:eastAsia="Times New Roman" w:hAnsi="Arial" w:cs="Arial"/>
          <w:color w:val="000000" w:themeColor="text1"/>
          <w:sz w:val="24"/>
          <w:szCs w:val="24"/>
          <w:lang w:val="es-ES" w:eastAsia="es-ES"/>
        </w:rPr>
        <w:t xml:space="preserve">Resolución 166 </w:t>
      </w:r>
      <w:r w:rsidRPr="00682149">
        <w:rPr>
          <w:rFonts w:ascii="Arial" w:eastAsia="Times New Roman" w:hAnsi="Arial" w:cs="Arial"/>
          <w:color w:val="000000" w:themeColor="text1"/>
          <w:sz w:val="24"/>
          <w:szCs w:val="24"/>
          <w:lang w:eastAsia="es-ES"/>
        </w:rPr>
        <w:t>proferida el</w:t>
      </w:r>
      <w:r w:rsidRPr="00682149">
        <w:rPr>
          <w:rFonts w:ascii="Arial" w:eastAsia="Times New Roman" w:hAnsi="Arial" w:cs="Arial"/>
          <w:color w:val="000000" w:themeColor="text1"/>
          <w:sz w:val="24"/>
          <w:szCs w:val="24"/>
          <w:lang w:val="es-ES" w:eastAsia="es-ES"/>
        </w:rPr>
        <w:t xml:space="preserve"> 3 de septiembre de 2020 por la Comisión de Regulación de Energía y Gas –CREG-</w:t>
      </w:r>
    </w:p>
    <w:p w14:paraId="6E27FF59" w14:textId="77777777" w:rsidR="00454900" w:rsidRPr="00682149" w:rsidRDefault="00454900" w:rsidP="001C138F">
      <w:pPr>
        <w:spacing w:after="0" w:line="276" w:lineRule="auto"/>
        <w:jc w:val="both"/>
        <w:rPr>
          <w:rFonts w:ascii="Arial" w:eastAsia="Times New Roman" w:hAnsi="Arial" w:cs="Arial"/>
          <w:color w:val="000000" w:themeColor="text1"/>
          <w:sz w:val="24"/>
          <w:szCs w:val="24"/>
          <w:lang w:val="es-ES" w:eastAsia="es-ES"/>
        </w:rPr>
      </w:pPr>
      <w:r w:rsidRPr="00682149">
        <w:rPr>
          <w:rFonts w:ascii="Arial" w:eastAsia="Times New Roman" w:hAnsi="Arial" w:cs="Arial"/>
          <w:b/>
          <w:bCs/>
          <w:color w:val="000000" w:themeColor="text1"/>
          <w:sz w:val="24"/>
          <w:szCs w:val="24"/>
          <w:lang w:val="es-ES" w:eastAsia="es-ES"/>
        </w:rPr>
        <w:t>Referencia:</w:t>
      </w:r>
      <w:r w:rsidRPr="00682149">
        <w:rPr>
          <w:rFonts w:ascii="Arial" w:eastAsia="Times New Roman" w:hAnsi="Arial" w:cs="Arial"/>
          <w:b/>
          <w:bCs/>
          <w:color w:val="000000" w:themeColor="text1"/>
          <w:sz w:val="24"/>
          <w:szCs w:val="24"/>
          <w:lang w:val="es-ES" w:eastAsia="es-ES"/>
        </w:rPr>
        <w:tab/>
      </w:r>
      <w:r w:rsidRPr="00682149">
        <w:rPr>
          <w:rFonts w:ascii="Arial" w:eastAsia="Times New Roman" w:hAnsi="Arial" w:cs="Arial"/>
          <w:b/>
          <w:bCs/>
          <w:color w:val="000000" w:themeColor="text1"/>
          <w:sz w:val="24"/>
          <w:szCs w:val="24"/>
          <w:lang w:val="es-ES" w:eastAsia="es-ES"/>
        </w:rPr>
        <w:tab/>
        <w:t xml:space="preserve">          </w:t>
      </w:r>
      <w:r w:rsidRPr="00682149">
        <w:rPr>
          <w:rFonts w:ascii="Arial" w:eastAsia="Times New Roman" w:hAnsi="Arial" w:cs="Arial"/>
          <w:bCs/>
          <w:color w:val="000000" w:themeColor="text1"/>
          <w:sz w:val="24"/>
          <w:szCs w:val="24"/>
          <w:lang w:val="es-ES" w:eastAsia="es-ES"/>
        </w:rPr>
        <w:t>Control inmediato de legalidad</w:t>
      </w:r>
    </w:p>
    <w:p w14:paraId="0F7BFA83" w14:textId="77777777" w:rsidR="00454900" w:rsidRPr="00682149" w:rsidRDefault="00454900" w:rsidP="001C138F">
      <w:pPr>
        <w:spacing w:after="0" w:line="276" w:lineRule="auto"/>
        <w:jc w:val="both"/>
        <w:rPr>
          <w:rFonts w:ascii="Arial" w:eastAsia="Times New Roman" w:hAnsi="Arial" w:cs="Arial"/>
          <w:b/>
          <w:bCs/>
          <w:color w:val="000000" w:themeColor="text1"/>
          <w:sz w:val="24"/>
          <w:szCs w:val="24"/>
          <w:lang w:val="es-ES" w:eastAsia="es-ES"/>
        </w:rPr>
      </w:pPr>
      <w:r w:rsidRPr="00682149">
        <w:rPr>
          <w:rFonts w:ascii="Arial" w:eastAsia="Times New Roman" w:hAnsi="Arial" w:cs="Arial"/>
          <w:b/>
          <w:bCs/>
          <w:color w:val="000000" w:themeColor="text1"/>
          <w:sz w:val="24"/>
          <w:szCs w:val="24"/>
          <w:lang w:val="es-ES" w:eastAsia="es-ES"/>
        </w:rPr>
        <w:t>Asunto:</w:t>
      </w:r>
      <w:r w:rsidRPr="00682149">
        <w:rPr>
          <w:rFonts w:ascii="Arial" w:eastAsia="Times New Roman" w:hAnsi="Arial" w:cs="Arial"/>
          <w:b/>
          <w:bCs/>
          <w:color w:val="000000" w:themeColor="text1"/>
          <w:sz w:val="24"/>
          <w:szCs w:val="24"/>
          <w:lang w:val="es-ES" w:eastAsia="es-ES"/>
        </w:rPr>
        <w:tab/>
      </w:r>
      <w:r w:rsidRPr="00682149">
        <w:rPr>
          <w:rFonts w:ascii="Arial" w:eastAsia="Times New Roman" w:hAnsi="Arial" w:cs="Arial"/>
          <w:b/>
          <w:bCs/>
          <w:color w:val="000000" w:themeColor="text1"/>
          <w:sz w:val="24"/>
          <w:szCs w:val="24"/>
          <w:lang w:val="es-ES" w:eastAsia="es-ES"/>
        </w:rPr>
        <w:tab/>
      </w:r>
      <w:r w:rsidRPr="00682149">
        <w:rPr>
          <w:rFonts w:ascii="Arial" w:eastAsia="Times New Roman" w:hAnsi="Arial" w:cs="Arial"/>
          <w:b/>
          <w:bCs/>
          <w:color w:val="000000" w:themeColor="text1"/>
          <w:sz w:val="24"/>
          <w:szCs w:val="24"/>
          <w:lang w:val="es-ES" w:eastAsia="es-ES"/>
        </w:rPr>
        <w:tab/>
      </w:r>
      <w:r w:rsidRPr="00682149">
        <w:rPr>
          <w:rFonts w:ascii="Arial" w:eastAsia="Times New Roman" w:hAnsi="Arial" w:cs="Arial"/>
          <w:bCs/>
          <w:color w:val="000000" w:themeColor="text1"/>
          <w:sz w:val="24"/>
          <w:szCs w:val="24"/>
          <w:lang w:val="es-ES" w:eastAsia="es-ES"/>
        </w:rPr>
        <w:t>Sentencia</w:t>
      </w:r>
    </w:p>
    <w:p w14:paraId="22462CC3" w14:textId="3B42BBB4" w:rsidR="00454900" w:rsidRDefault="00454900" w:rsidP="001C138F">
      <w:pPr>
        <w:spacing w:after="0" w:line="276" w:lineRule="auto"/>
        <w:jc w:val="both"/>
        <w:rPr>
          <w:rFonts w:ascii="Arial" w:eastAsia="Times New Roman" w:hAnsi="Arial" w:cs="Arial"/>
          <w:b/>
          <w:bCs/>
          <w:color w:val="000000" w:themeColor="text1"/>
          <w:sz w:val="24"/>
          <w:szCs w:val="24"/>
          <w:lang w:val="es-ES" w:eastAsia="es-ES"/>
        </w:rPr>
      </w:pPr>
    </w:p>
    <w:p w14:paraId="0A27A8FC" w14:textId="77777777" w:rsidR="000C2447" w:rsidRPr="00682149" w:rsidRDefault="000C2447" w:rsidP="001C138F">
      <w:pPr>
        <w:spacing w:after="0" w:line="276" w:lineRule="auto"/>
        <w:jc w:val="both"/>
        <w:rPr>
          <w:rFonts w:ascii="Arial" w:eastAsia="Times New Roman" w:hAnsi="Arial" w:cs="Arial"/>
          <w:b/>
          <w:bCs/>
          <w:color w:val="000000" w:themeColor="text1"/>
          <w:sz w:val="24"/>
          <w:szCs w:val="24"/>
          <w:lang w:val="es-ES" w:eastAsia="es-ES"/>
        </w:rPr>
      </w:pPr>
    </w:p>
    <w:p w14:paraId="792FFF04" w14:textId="0F7D9A7D" w:rsidR="00DF6924" w:rsidRPr="00682149" w:rsidRDefault="00454900" w:rsidP="001C138F">
      <w:pPr>
        <w:spacing w:after="0" w:line="276" w:lineRule="auto"/>
        <w:jc w:val="both"/>
        <w:rPr>
          <w:rFonts w:ascii="Arial" w:eastAsia="Times New Roman" w:hAnsi="Arial" w:cs="Arial"/>
          <w:bCs/>
          <w:color w:val="000000" w:themeColor="text1"/>
          <w:sz w:val="24"/>
          <w:szCs w:val="24"/>
          <w:lang w:val="es-ES" w:eastAsia="es-ES"/>
        </w:rPr>
      </w:pPr>
      <w:r w:rsidRPr="00682149">
        <w:rPr>
          <w:rFonts w:ascii="Arial" w:eastAsia="Times New Roman" w:hAnsi="Arial" w:cs="Arial"/>
          <w:bCs/>
          <w:color w:val="000000" w:themeColor="text1"/>
          <w:sz w:val="24"/>
          <w:szCs w:val="24"/>
          <w:lang w:val="es-ES" w:eastAsia="es-ES"/>
        </w:rPr>
        <w:t>De conformidad con lo señalado en los artículos 20 de la Ley 137 de 1994 y 136 de la Ley 1437 de 2011, procede la Sala Especial de Decisión</w:t>
      </w:r>
      <w:r w:rsidRPr="00682149">
        <w:rPr>
          <w:rStyle w:val="Refdenotaalpie"/>
          <w:rFonts w:ascii="Arial" w:eastAsia="Times New Roman" w:hAnsi="Arial" w:cs="Arial"/>
          <w:bCs/>
          <w:color w:val="000000" w:themeColor="text1"/>
          <w:sz w:val="24"/>
          <w:szCs w:val="24"/>
          <w:lang w:val="es-ES" w:eastAsia="es-ES"/>
        </w:rPr>
        <w:footnoteReference w:id="1"/>
      </w:r>
      <w:r w:rsidRPr="00682149">
        <w:rPr>
          <w:rFonts w:ascii="Arial" w:eastAsia="Times New Roman" w:hAnsi="Arial" w:cs="Arial"/>
          <w:bCs/>
          <w:color w:val="000000" w:themeColor="text1"/>
          <w:sz w:val="24"/>
          <w:szCs w:val="24"/>
          <w:lang w:val="es-ES" w:eastAsia="es-ES"/>
        </w:rPr>
        <w:t xml:space="preserve"> a efectuar el control inmediato de legalidad respecto de la </w:t>
      </w:r>
      <w:r w:rsidRPr="00682149">
        <w:rPr>
          <w:rFonts w:ascii="Arial" w:eastAsia="Times New Roman" w:hAnsi="Arial" w:cs="Arial"/>
          <w:color w:val="000000" w:themeColor="text1"/>
          <w:sz w:val="24"/>
          <w:szCs w:val="24"/>
          <w:lang w:val="es-ES" w:eastAsia="es-ES"/>
        </w:rPr>
        <w:t xml:space="preserve">Resolución </w:t>
      </w:r>
      <w:r w:rsidR="00A46B68" w:rsidRPr="00682149">
        <w:rPr>
          <w:rFonts w:ascii="Arial" w:eastAsia="Times New Roman" w:hAnsi="Arial" w:cs="Arial"/>
          <w:color w:val="000000" w:themeColor="text1"/>
          <w:sz w:val="24"/>
          <w:szCs w:val="24"/>
          <w:lang w:val="es-ES" w:eastAsia="es-ES"/>
        </w:rPr>
        <w:t>CREG-</w:t>
      </w:r>
      <w:r w:rsidRPr="00682149">
        <w:rPr>
          <w:rFonts w:ascii="Arial" w:eastAsia="Times New Roman" w:hAnsi="Arial" w:cs="Arial"/>
          <w:color w:val="000000" w:themeColor="text1"/>
          <w:sz w:val="24"/>
          <w:szCs w:val="24"/>
          <w:lang w:val="es-CO" w:eastAsia="es-ES"/>
        </w:rPr>
        <w:t xml:space="preserve">166 </w:t>
      </w:r>
      <w:r w:rsidR="00E75949" w:rsidRPr="00682149">
        <w:rPr>
          <w:rFonts w:ascii="Arial" w:eastAsia="Times New Roman" w:hAnsi="Arial" w:cs="Arial"/>
          <w:color w:val="000000" w:themeColor="text1"/>
          <w:sz w:val="24"/>
          <w:szCs w:val="24"/>
          <w:lang w:val="es-CO" w:eastAsia="es-ES"/>
        </w:rPr>
        <w:t xml:space="preserve">expedida </w:t>
      </w:r>
      <w:r w:rsidRPr="00682149">
        <w:rPr>
          <w:rFonts w:ascii="Arial" w:eastAsia="Times New Roman" w:hAnsi="Arial" w:cs="Arial"/>
          <w:color w:val="000000" w:themeColor="text1"/>
          <w:sz w:val="24"/>
          <w:szCs w:val="24"/>
          <w:lang w:val="es-CO" w:eastAsia="es-ES"/>
        </w:rPr>
        <w:t xml:space="preserve">el 3 de septiembre de 2020 por </w:t>
      </w:r>
      <w:r w:rsidRPr="00682149">
        <w:rPr>
          <w:rFonts w:ascii="Arial" w:eastAsia="Times New Roman" w:hAnsi="Arial" w:cs="Arial"/>
          <w:bCs/>
          <w:color w:val="000000" w:themeColor="text1"/>
          <w:sz w:val="24"/>
          <w:szCs w:val="24"/>
          <w:lang w:val="es-ES" w:eastAsia="es-ES"/>
        </w:rPr>
        <w:t xml:space="preserve">la Comisión de Regulación de Energía y Gas </w:t>
      </w:r>
      <w:r w:rsidRPr="00682149">
        <w:rPr>
          <w:rFonts w:ascii="Arial" w:eastAsia="Times New Roman" w:hAnsi="Arial" w:cs="Arial"/>
          <w:color w:val="000000" w:themeColor="text1"/>
          <w:sz w:val="24"/>
          <w:szCs w:val="24"/>
          <w:lang w:val="es-ES" w:eastAsia="es-ES"/>
        </w:rPr>
        <w:t>–</w:t>
      </w:r>
      <w:r w:rsidRPr="00682149">
        <w:rPr>
          <w:rFonts w:ascii="Arial" w:eastAsia="Times New Roman" w:hAnsi="Arial" w:cs="Arial"/>
          <w:bCs/>
          <w:color w:val="000000" w:themeColor="text1"/>
          <w:sz w:val="24"/>
          <w:szCs w:val="24"/>
          <w:lang w:val="es-ES" w:eastAsia="es-ES"/>
        </w:rPr>
        <w:t>CREG</w:t>
      </w:r>
      <w:r w:rsidRPr="00682149">
        <w:rPr>
          <w:rFonts w:ascii="Arial" w:eastAsia="Times New Roman" w:hAnsi="Arial" w:cs="Arial"/>
          <w:color w:val="000000" w:themeColor="text1"/>
          <w:sz w:val="24"/>
          <w:szCs w:val="24"/>
          <w:lang w:val="es-ES" w:eastAsia="es-ES"/>
        </w:rPr>
        <w:t>–</w:t>
      </w:r>
      <w:r w:rsidR="00214413" w:rsidRPr="00682149">
        <w:rPr>
          <w:rFonts w:ascii="Arial" w:eastAsia="Times New Roman" w:hAnsi="Arial" w:cs="Arial"/>
          <w:color w:val="000000" w:themeColor="text1"/>
          <w:sz w:val="24"/>
          <w:szCs w:val="24"/>
          <w:lang w:val="es-ES" w:eastAsia="es-ES"/>
        </w:rPr>
        <w:t>,</w:t>
      </w:r>
      <w:r w:rsidRPr="00682149">
        <w:rPr>
          <w:rFonts w:ascii="Arial" w:eastAsia="Times New Roman" w:hAnsi="Arial" w:cs="Arial"/>
          <w:color w:val="000000" w:themeColor="text1"/>
          <w:sz w:val="24"/>
          <w:szCs w:val="24"/>
          <w:lang w:val="es-ES" w:eastAsia="es-ES"/>
        </w:rPr>
        <w:t xml:space="preserve"> </w:t>
      </w:r>
      <w:r w:rsidR="00E75949" w:rsidRPr="00682149">
        <w:rPr>
          <w:rFonts w:ascii="Arial" w:eastAsia="Times New Roman" w:hAnsi="Arial" w:cs="Arial"/>
          <w:color w:val="000000" w:themeColor="text1"/>
          <w:sz w:val="24"/>
          <w:szCs w:val="24"/>
          <w:lang w:val="es-ES" w:eastAsia="es-ES"/>
        </w:rPr>
        <w:t xml:space="preserve">que </w:t>
      </w:r>
      <w:r w:rsidRPr="00682149">
        <w:rPr>
          <w:rFonts w:ascii="Arial" w:eastAsia="Times New Roman" w:hAnsi="Arial" w:cs="Arial"/>
          <w:color w:val="000000" w:themeColor="text1"/>
          <w:sz w:val="24"/>
          <w:szCs w:val="24"/>
          <w:lang w:val="es-ES" w:eastAsia="es-ES"/>
        </w:rPr>
        <w:t xml:space="preserve">definió </w:t>
      </w:r>
      <w:r w:rsidRPr="00682149">
        <w:rPr>
          <w:rFonts w:ascii="Arial" w:eastAsia="Times New Roman" w:hAnsi="Arial" w:cs="Arial"/>
          <w:i/>
          <w:color w:val="000000" w:themeColor="text1"/>
          <w:sz w:val="24"/>
          <w:szCs w:val="24"/>
          <w:lang w:val="es-ES" w:eastAsia="es-ES"/>
        </w:rPr>
        <w:t>“una tarifa transitoria para el servicio de energía eléctrica en las Zonas No Interconectadas”</w:t>
      </w:r>
      <w:r w:rsidRPr="00682149">
        <w:rPr>
          <w:rFonts w:ascii="Arial" w:eastAsia="Times New Roman" w:hAnsi="Arial" w:cs="Arial"/>
          <w:bCs/>
          <w:color w:val="000000" w:themeColor="text1"/>
          <w:sz w:val="24"/>
          <w:szCs w:val="24"/>
          <w:lang w:val="es-ES" w:eastAsia="es-ES"/>
        </w:rPr>
        <w:t>.</w:t>
      </w:r>
    </w:p>
    <w:p w14:paraId="415735EA" w14:textId="77777777" w:rsidR="00DF6924" w:rsidRPr="00682149" w:rsidRDefault="00DF6924" w:rsidP="001C138F">
      <w:pPr>
        <w:spacing w:after="0" w:line="276" w:lineRule="auto"/>
        <w:jc w:val="both"/>
        <w:rPr>
          <w:rFonts w:ascii="Arial" w:eastAsia="Times New Roman" w:hAnsi="Arial" w:cs="Arial"/>
          <w:bCs/>
          <w:color w:val="000000" w:themeColor="text1"/>
          <w:sz w:val="24"/>
          <w:szCs w:val="24"/>
          <w:lang w:val="es-ES" w:eastAsia="es-ES"/>
        </w:rPr>
      </w:pPr>
    </w:p>
    <w:p w14:paraId="49BC166B" w14:textId="3E3D5DF7" w:rsidR="00454900" w:rsidRPr="00682149" w:rsidRDefault="00454900" w:rsidP="001C138F">
      <w:pPr>
        <w:pStyle w:val="Prrafodelista"/>
        <w:numPr>
          <w:ilvl w:val="0"/>
          <w:numId w:val="23"/>
        </w:numPr>
        <w:spacing w:after="0" w:line="276" w:lineRule="auto"/>
        <w:jc w:val="center"/>
        <w:rPr>
          <w:rFonts w:ascii="Arial" w:hAnsi="Arial" w:cs="Arial"/>
          <w:b/>
          <w:color w:val="000000" w:themeColor="text1"/>
          <w:u w:val="single"/>
        </w:rPr>
      </w:pPr>
      <w:r w:rsidRPr="00682149">
        <w:rPr>
          <w:rFonts w:ascii="Arial" w:hAnsi="Arial" w:cs="Arial"/>
          <w:b/>
          <w:color w:val="000000" w:themeColor="text1"/>
          <w:u w:val="single"/>
        </w:rPr>
        <w:t>ACTO OBJETO DE CONTROL</w:t>
      </w:r>
    </w:p>
    <w:p w14:paraId="5ECC5DC8" w14:textId="77777777" w:rsidR="00ED0FA8" w:rsidRPr="00682149" w:rsidRDefault="00ED0FA8" w:rsidP="001C138F">
      <w:pPr>
        <w:spacing w:after="0"/>
        <w:rPr>
          <w:rFonts w:ascii="Arial" w:eastAsia="Arial" w:hAnsi="Arial" w:cs="Arial"/>
          <w:b/>
          <w:color w:val="000000" w:themeColor="text1"/>
          <w:sz w:val="24"/>
        </w:rPr>
      </w:pPr>
    </w:p>
    <w:p w14:paraId="682EE285" w14:textId="3D8217AD" w:rsidR="00454900" w:rsidRPr="00682149" w:rsidRDefault="00454900" w:rsidP="001C138F">
      <w:pPr>
        <w:tabs>
          <w:tab w:val="left" w:pos="1225"/>
        </w:tabs>
        <w:spacing w:after="0" w:line="276" w:lineRule="auto"/>
        <w:ind w:right="268"/>
        <w:jc w:val="both"/>
        <w:rPr>
          <w:rFonts w:ascii="Arial" w:eastAsia="Times New Roman" w:hAnsi="Arial" w:cs="Arial"/>
          <w:bCs/>
          <w:color w:val="000000" w:themeColor="text1"/>
          <w:sz w:val="24"/>
          <w:szCs w:val="24"/>
          <w:lang w:val="es-ES" w:eastAsia="es-ES"/>
        </w:rPr>
      </w:pPr>
      <w:r w:rsidRPr="00682149">
        <w:rPr>
          <w:rFonts w:ascii="Arial" w:eastAsia="Arial" w:hAnsi="Arial" w:cs="Arial"/>
          <w:b/>
          <w:color w:val="000000" w:themeColor="text1"/>
          <w:sz w:val="24"/>
          <w:szCs w:val="24"/>
          <w:lang w:val="es-CO"/>
        </w:rPr>
        <w:t>1.</w:t>
      </w:r>
      <w:r w:rsidRPr="00682149">
        <w:rPr>
          <w:rFonts w:ascii="Arial" w:eastAsia="Arial" w:hAnsi="Arial" w:cs="Arial"/>
          <w:color w:val="000000" w:themeColor="text1"/>
          <w:sz w:val="24"/>
          <w:szCs w:val="24"/>
          <w:lang w:val="es-CO"/>
        </w:rPr>
        <w:t xml:space="preserve"> </w:t>
      </w:r>
      <w:r w:rsidR="008E4B25" w:rsidRPr="00682149">
        <w:rPr>
          <w:rFonts w:ascii="Arial" w:eastAsia="Arial" w:hAnsi="Arial" w:cs="Arial"/>
          <w:color w:val="000000" w:themeColor="text1"/>
          <w:sz w:val="24"/>
          <w:szCs w:val="24"/>
          <w:lang w:val="es-CO"/>
        </w:rPr>
        <w:t>C</w:t>
      </w:r>
      <w:r w:rsidR="001C138F" w:rsidRPr="00682149">
        <w:rPr>
          <w:rFonts w:ascii="Arial" w:eastAsia="Arial" w:hAnsi="Arial" w:cs="Arial"/>
          <w:color w:val="000000" w:themeColor="text1"/>
          <w:sz w:val="24"/>
          <w:szCs w:val="24"/>
          <w:lang w:val="es-CO"/>
        </w:rPr>
        <w:t>orresponde al ya indicado, cuya</w:t>
      </w:r>
      <w:r w:rsidRPr="00682149">
        <w:rPr>
          <w:rFonts w:ascii="Arial" w:eastAsia="Times New Roman" w:hAnsi="Arial" w:cs="Arial"/>
          <w:bCs/>
          <w:color w:val="000000" w:themeColor="text1"/>
          <w:sz w:val="24"/>
          <w:szCs w:val="24"/>
          <w:lang w:val="es-ES" w:eastAsia="es-ES"/>
        </w:rPr>
        <w:t xml:space="preserve"> parte resolutiva disp</w:t>
      </w:r>
      <w:r w:rsidR="00E75949" w:rsidRPr="00682149">
        <w:rPr>
          <w:rFonts w:ascii="Arial" w:eastAsia="Times New Roman" w:hAnsi="Arial" w:cs="Arial"/>
          <w:bCs/>
          <w:color w:val="000000" w:themeColor="text1"/>
          <w:sz w:val="24"/>
          <w:szCs w:val="24"/>
          <w:lang w:val="es-ES" w:eastAsia="es-ES"/>
        </w:rPr>
        <w:t>uso</w:t>
      </w:r>
      <w:r w:rsidR="008E4B25" w:rsidRPr="00682149">
        <w:rPr>
          <w:rFonts w:ascii="Arial" w:eastAsia="Times New Roman" w:hAnsi="Arial" w:cs="Arial"/>
          <w:bCs/>
          <w:color w:val="000000" w:themeColor="text1"/>
          <w:sz w:val="24"/>
          <w:szCs w:val="24"/>
          <w:lang w:val="es-ES" w:eastAsia="es-ES"/>
        </w:rPr>
        <w:t>, lo siguiente</w:t>
      </w:r>
      <w:r w:rsidRPr="00682149">
        <w:rPr>
          <w:rFonts w:ascii="Arial" w:eastAsia="Times New Roman" w:hAnsi="Arial" w:cs="Arial"/>
          <w:bCs/>
          <w:color w:val="000000" w:themeColor="text1"/>
          <w:sz w:val="24"/>
          <w:szCs w:val="24"/>
          <w:lang w:val="es-ES" w:eastAsia="es-ES"/>
        </w:rPr>
        <w:t xml:space="preserve">: </w:t>
      </w:r>
    </w:p>
    <w:p w14:paraId="3944336D" w14:textId="77777777" w:rsidR="00B54782" w:rsidRPr="00682149" w:rsidRDefault="00B54782" w:rsidP="001C138F">
      <w:pPr>
        <w:spacing w:after="0" w:line="276" w:lineRule="auto"/>
        <w:ind w:left="703" w:right="1693"/>
        <w:rPr>
          <w:b/>
          <w:i/>
          <w:color w:val="000000" w:themeColor="text1"/>
          <w:sz w:val="20"/>
        </w:rPr>
      </w:pPr>
    </w:p>
    <w:p w14:paraId="4C3449E6" w14:textId="2910BE26" w:rsidR="00B54782" w:rsidRPr="00682149" w:rsidRDefault="008E4B25"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w:t>
      </w:r>
      <w:r w:rsidR="00B54782" w:rsidRPr="00682149">
        <w:rPr>
          <w:rFonts w:ascii="Arial" w:hAnsi="Arial" w:cs="Arial"/>
          <w:b/>
          <w:i/>
          <w:color w:val="000000" w:themeColor="text1"/>
        </w:rPr>
        <w:t xml:space="preserve">Artículo 1. Objeto. </w:t>
      </w:r>
      <w:r w:rsidR="00B54782" w:rsidRPr="00682149">
        <w:rPr>
          <w:rFonts w:ascii="Arial" w:hAnsi="Arial" w:cs="Arial"/>
          <w:i/>
          <w:color w:val="000000" w:themeColor="text1"/>
        </w:rPr>
        <w:t xml:space="preserve">Definir una tarifa transitoria para el servicio de energía eléctrica mediante sistemas solares fotovoltaicos individuales AC con potencia mayor a 0.5 kW. </w:t>
      </w:r>
    </w:p>
    <w:p w14:paraId="0D03CE01"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 </w:t>
      </w:r>
    </w:p>
    <w:p w14:paraId="6602C0D9"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Arial" w:hAnsi="Arial" w:cs="Arial"/>
          <w:b/>
          <w:i/>
          <w:color w:val="000000" w:themeColor="text1"/>
        </w:rPr>
        <w:t xml:space="preserve">Artículo 2. Ámbito de aplicación. </w:t>
      </w:r>
      <w:r w:rsidRPr="00682149">
        <w:rPr>
          <w:rFonts w:ascii="Arial" w:hAnsi="Arial" w:cs="Arial"/>
          <w:i/>
          <w:color w:val="000000" w:themeColor="text1"/>
        </w:rPr>
        <w:t xml:space="preserve">Esta resolución se aplica a todas las personas que, estando organizadas en alguna de las formas dispuestas por el Título I de la Ley 142 de 1994, desarrollan las actividades relacionadas con el suministro de energía eléctrica a un domicilio mediante sistemas solares fotovoltaicos individuales AC con potencia mayor a 0.5 kW. </w:t>
      </w:r>
    </w:p>
    <w:p w14:paraId="12AD1F6C"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 </w:t>
      </w:r>
    </w:p>
    <w:p w14:paraId="169B3CDE"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Arial" w:hAnsi="Arial" w:cs="Arial"/>
          <w:b/>
          <w:i/>
          <w:color w:val="000000" w:themeColor="text1"/>
        </w:rPr>
        <w:t xml:space="preserve">Artículo 3. Definiciones. </w:t>
      </w:r>
      <w:r w:rsidRPr="00682149">
        <w:rPr>
          <w:rFonts w:ascii="Arial" w:hAnsi="Arial" w:cs="Arial"/>
          <w:i/>
          <w:color w:val="000000" w:themeColor="text1"/>
        </w:rPr>
        <w:t xml:space="preserve">Para la interpretación y aplicación de esta resolución se tendrán en cuenta, además de las definiciones contenidas en las Leyes 142 y 143 de 1994, y en las resoluciones vigentes de la CREG, las siguientes:  </w:t>
      </w:r>
    </w:p>
    <w:p w14:paraId="5C7AC0D3"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 </w:t>
      </w:r>
    </w:p>
    <w:p w14:paraId="6C4456FC"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Arial" w:hAnsi="Arial" w:cs="Arial"/>
          <w:b/>
          <w:i/>
          <w:color w:val="000000" w:themeColor="text1"/>
        </w:rPr>
        <w:t xml:space="preserve">Fecha Base: </w:t>
      </w:r>
      <w:r w:rsidRPr="00682149">
        <w:rPr>
          <w:rFonts w:ascii="Arial" w:hAnsi="Arial" w:cs="Arial"/>
          <w:i/>
          <w:color w:val="000000" w:themeColor="text1"/>
        </w:rPr>
        <w:t xml:space="preserve">Corresponderá al mes de junio de 2020. </w:t>
      </w:r>
    </w:p>
    <w:p w14:paraId="14C9F6D0"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lastRenderedPageBreak/>
        <w:t xml:space="preserve"> </w:t>
      </w:r>
    </w:p>
    <w:p w14:paraId="230E4761"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Arial" w:hAnsi="Arial" w:cs="Arial"/>
          <w:b/>
          <w:i/>
          <w:color w:val="000000" w:themeColor="text1"/>
        </w:rPr>
        <w:t xml:space="preserve">Artículo 4. Cargo máximo de generación de energía eléctrica de sistemas solares fotovoltaicos individuales AC con potencia mayor a 0.5 kW, </w:t>
      </w:r>
      <w:r w:rsidRPr="00682149">
        <w:rPr>
          <w:rFonts w:ascii="Cambria Math" w:eastAsia="Cambria Math" w:hAnsi="Cambria Math" w:cs="Cambria Math"/>
          <w:color w:val="000000" w:themeColor="text1"/>
        </w:rPr>
        <w:t>𝑮</w:t>
      </w:r>
      <w:r w:rsidRPr="00682149">
        <w:rPr>
          <w:rFonts w:ascii="Cambria Math" w:eastAsia="Cambria Math" w:hAnsi="Cambria Math" w:cs="Cambria Math"/>
          <w:color w:val="000000" w:themeColor="text1"/>
          <w:vertAlign w:val="subscript"/>
        </w:rPr>
        <w:t>𝟎</w:t>
      </w:r>
      <w:r w:rsidRPr="00682149">
        <w:rPr>
          <w:rFonts w:ascii="Arial" w:hAnsi="Arial" w:cs="Arial"/>
          <w:b/>
          <w:i/>
          <w:color w:val="000000" w:themeColor="text1"/>
        </w:rPr>
        <w:t xml:space="preserve">. </w:t>
      </w:r>
      <w:r w:rsidRPr="00682149">
        <w:rPr>
          <w:rFonts w:ascii="Arial" w:hAnsi="Arial" w:cs="Arial"/>
          <w:i/>
          <w:color w:val="000000" w:themeColor="text1"/>
        </w:rPr>
        <w:t xml:space="preserve">La fórmula para determinar el cargo máximo de generación es la siguiente: </w:t>
      </w:r>
    </w:p>
    <w:p w14:paraId="75D52874"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 </w:t>
      </w:r>
    </w:p>
    <w:p w14:paraId="0D7DF0A4"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Cambria Math" w:eastAsia="Cambria Math" w:hAnsi="Cambria Math" w:cs="Cambria Math"/>
          <w:color w:val="000000" w:themeColor="text1"/>
        </w:rPr>
        <w:t>𝐺</w:t>
      </w:r>
      <w:r w:rsidRPr="00682149">
        <w:rPr>
          <w:rFonts w:ascii="Arial" w:hAnsi="Arial" w:cs="Arial"/>
          <w:i/>
          <w:color w:val="000000" w:themeColor="text1"/>
        </w:rPr>
        <w:t xml:space="preserve">0 = </w:t>
      </w:r>
      <w:r w:rsidRPr="00682149">
        <w:rPr>
          <w:rFonts w:ascii="Cambria Math" w:eastAsia="Cambria Math" w:hAnsi="Cambria Math" w:cs="Cambria Math"/>
          <w:color w:val="000000" w:themeColor="text1"/>
        </w:rPr>
        <w:t>𝐺</w:t>
      </w:r>
      <w:r w:rsidRPr="00682149">
        <w:rPr>
          <w:rFonts w:ascii="Arial" w:hAnsi="Arial" w:cs="Arial"/>
          <w:i/>
          <w:color w:val="000000" w:themeColor="text1"/>
        </w:rPr>
        <w:t xml:space="preserve">10 + </w:t>
      </w:r>
      <w:r w:rsidRPr="00682149">
        <w:rPr>
          <w:rFonts w:ascii="Cambria Math" w:eastAsia="Cambria Math" w:hAnsi="Cambria Math" w:cs="Cambria Math"/>
          <w:color w:val="000000" w:themeColor="text1"/>
        </w:rPr>
        <w:t>𝐺</w:t>
      </w:r>
      <w:r w:rsidRPr="00682149">
        <w:rPr>
          <w:rFonts w:ascii="Arial" w:hAnsi="Arial" w:cs="Arial"/>
          <w:i/>
          <w:color w:val="000000" w:themeColor="text1"/>
        </w:rPr>
        <w:t xml:space="preserve">A0M0 </w:t>
      </w:r>
    </w:p>
    <w:tbl>
      <w:tblPr>
        <w:tblW w:w="8894" w:type="dxa"/>
        <w:tblCellMar>
          <w:left w:w="0" w:type="dxa"/>
          <w:right w:w="0" w:type="dxa"/>
        </w:tblCellMar>
        <w:tblLook w:val="04A0" w:firstRow="1" w:lastRow="0" w:firstColumn="1" w:lastColumn="0" w:noHBand="0" w:noVBand="1"/>
      </w:tblPr>
      <w:tblGrid>
        <w:gridCol w:w="2125"/>
        <w:gridCol w:w="6769"/>
      </w:tblGrid>
      <w:tr w:rsidR="00682149" w:rsidRPr="00682149" w14:paraId="3B0553FC" w14:textId="77777777" w:rsidTr="00932B8E">
        <w:trPr>
          <w:trHeight w:val="781"/>
        </w:trPr>
        <w:tc>
          <w:tcPr>
            <w:tcW w:w="2125" w:type="dxa"/>
            <w:tcBorders>
              <w:top w:val="nil"/>
              <w:left w:val="nil"/>
              <w:bottom w:val="nil"/>
              <w:right w:val="nil"/>
            </w:tcBorders>
            <w:shd w:val="clear" w:color="auto" w:fill="auto"/>
          </w:tcPr>
          <w:p w14:paraId="338578DA"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 </w:t>
            </w:r>
          </w:p>
          <w:p w14:paraId="227A22A8"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En donde, </w:t>
            </w:r>
          </w:p>
          <w:p w14:paraId="42904A3E"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 </w:t>
            </w:r>
          </w:p>
        </w:tc>
        <w:tc>
          <w:tcPr>
            <w:tcW w:w="6769" w:type="dxa"/>
            <w:tcBorders>
              <w:top w:val="nil"/>
              <w:left w:val="nil"/>
              <w:bottom w:val="nil"/>
              <w:right w:val="nil"/>
            </w:tcBorders>
            <w:shd w:val="clear" w:color="auto" w:fill="auto"/>
          </w:tcPr>
          <w:p w14:paraId="347D03BE" w14:textId="77777777" w:rsidR="00B54782" w:rsidRPr="00682149" w:rsidRDefault="00B54782" w:rsidP="001C138F">
            <w:pPr>
              <w:spacing w:after="0" w:line="276" w:lineRule="auto"/>
              <w:ind w:left="567"/>
              <w:jc w:val="both"/>
              <w:rPr>
                <w:rFonts w:ascii="Arial" w:hAnsi="Arial" w:cs="Arial"/>
                <w:color w:val="000000" w:themeColor="text1"/>
              </w:rPr>
            </w:pPr>
          </w:p>
        </w:tc>
      </w:tr>
      <w:tr w:rsidR="00682149" w:rsidRPr="00682149" w14:paraId="5001FF60" w14:textId="77777777" w:rsidTr="00932B8E">
        <w:trPr>
          <w:trHeight w:val="925"/>
        </w:trPr>
        <w:tc>
          <w:tcPr>
            <w:tcW w:w="2125" w:type="dxa"/>
            <w:tcBorders>
              <w:top w:val="nil"/>
              <w:left w:val="nil"/>
              <w:bottom w:val="nil"/>
              <w:right w:val="nil"/>
            </w:tcBorders>
            <w:shd w:val="clear" w:color="auto" w:fill="auto"/>
          </w:tcPr>
          <w:p w14:paraId="5673BAB8"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Cambria Math" w:eastAsia="Cambria Math" w:hAnsi="Cambria Math" w:cs="Cambria Math"/>
                <w:color w:val="000000" w:themeColor="text1"/>
              </w:rPr>
              <w:t>𝐺</w:t>
            </w:r>
            <w:r w:rsidRPr="00682149">
              <w:rPr>
                <w:rFonts w:ascii="Arial" w:hAnsi="Arial" w:cs="Arial"/>
                <w:i/>
                <w:color w:val="000000" w:themeColor="text1"/>
                <w:vertAlign w:val="subscript"/>
              </w:rPr>
              <w:t>10</w:t>
            </w:r>
            <w:r w:rsidRPr="00682149">
              <w:rPr>
                <w:rFonts w:ascii="Arial" w:hAnsi="Arial" w:cs="Arial"/>
                <w:i/>
                <w:color w:val="000000" w:themeColor="text1"/>
              </w:rPr>
              <w:t xml:space="preserve">            : </w:t>
            </w:r>
          </w:p>
          <w:p w14:paraId="30CF0C52"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 </w:t>
            </w:r>
          </w:p>
        </w:tc>
        <w:tc>
          <w:tcPr>
            <w:tcW w:w="6769" w:type="dxa"/>
            <w:tcBorders>
              <w:top w:val="nil"/>
              <w:left w:val="nil"/>
              <w:bottom w:val="nil"/>
              <w:right w:val="nil"/>
            </w:tcBorders>
            <w:shd w:val="clear" w:color="auto" w:fill="auto"/>
          </w:tcPr>
          <w:p w14:paraId="121879B6"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Componente que remunera los costos de inversión de sistemas solares fotovoltaicos individuales AC con potencia mayor a 0.5 kW, expresado en pesos por usuario al mes ($/mes), en pesos de la fecha base. </w:t>
            </w:r>
          </w:p>
        </w:tc>
      </w:tr>
      <w:tr w:rsidR="00682149" w:rsidRPr="00682149" w14:paraId="12ABD211" w14:textId="77777777" w:rsidTr="00932B8E">
        <w:trPr>
          <w:trHeight w:val="929"/>
        </w:trPr>
        <w:tc>
          <w:tcPr>
            <w:tcW w:w="2125" w:type="dxa"/>
            <w:tcBorders>
              <w:top w:val="nil"/>
              <w:left w:val="nil"/>
              <w:bottom w:val="nil"/>
              <w:right w:val="nil"/>
            </w:tcBorders>
            <w:shd w:val="clear" w:color="auto" w:fill="auto"/>
          </w:tcPr>
          <w:p w14:paraId="77AEF1EB"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Cambria Math" w:eastAsia="Cambria Math" w:hAnsi="Cambria Math" w:cs="Cambria Math"/>
                <w:color w:val="000000" w:themeColor="text1"/>
              </w:rPr>
              <w:t>𝐺</w:t>
            </w:r>
            <w:r w:rsidRPr="00682149">
              <w:rPr>
                <w:rFonts w:ascii="Arial" w:hAnsi="Arial" w:cs="Arial"/>
                <w:i/>
                <w:color w:val="000000" w:themeColor="text1"/>
                <w:vertAlign w:val="subscript"/>
              </w:rPr>
              <w:t>A0M0</w:t>
            </w:r>
            <w:r w:rsidRPr="00682149">
              <w:rPr>
                <w:rFonts w:ascii="Arial" w:hAnsi="Arial" w:cs="Arial"/>
                <w:i/>
                <w:color w:val="000000" w:themeColor="text1"/>
              </w:rPr>
              <w:t xml:space="preserve">     : </w:t>
            </w:r>
          </w:p>
        </w:tc>
        <w:tc>
          <w:tcPr>
            <w:tcW w:w="6769" w:type="dxa"/>
            <w:tcBorders>
              <w:top w:val="nil"/>
              <w:left w:val="nil"/>
              <w:bottom w:val="nil"/>
              <w:right w:val="nil"/>
            </w:tcBorders>
            <w:shd w:val="clear" w:color="auto" w:fill="auto"/>
          </w:tcPr>
          <w:p w14:paraId="0D83C1BB"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Componente que remunera los costos de administración, operación y mantenimiento, AOM, de sistemas solares fotovoltaicos individuales AC con potencia mayor a 0.5 kW, expresado en pesos por usuario al mes ($/mes), en pesos de la fecha base. </w:t>
            </w:r>
          </w:p>
        </w:tc>
      </w:tr>
    </w:tbl>
    <w:p w14:paraId="13E655B0" w14:textId="611D5958" w:rsidR="00ED0FA8" w:rsidRPr="00682149" w:rsidRDefault="00B54782" w:rsidP="001C138F">
      <w:pPr>
        <w:spacing w:after="0" w:line="276" w:lineRule="auto"/>
        <w:ind w:left="567"/>
        <w:jc w:val="both"/>
        <w:rPr>
          <w:rFonts w:ascii="Arial" w:hAnsi="Arial" w:cs="Arial"/>
          <w:b/>
          <w:i/>
          <w:color w:val="000000" w:themeColor="text1"/>
        </w:rPr>
      </w:pPr>
      <w:r w:rsidRPr="00682149">
        <w:rPr>
          <w:rFonts w:ascii="Arial" w:hAnsi="Arial" w:cs="Arial"/>
          <w:i/>
          <w:color w:val="000000" w:themeColor="text1"/>
        </w:rPr>
        <w:t xml:space="preserve"> </w:t>
      </w:r>
    </w:p>
    <w:p w14:paraId="656E6CA8"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Arial" w:hAnsi="Arial" w:cs="Arial"/>
          <w:b/>
          <w:i/>
          <w:color w:val="000000" w:themeColor="text1"/>
        </w:rPr>
        <w:t xml:space="preserve">Artículo 5. Remuneración de la componente de inversión, </w:t>
      </w:r>
      <w:r w:rsidRPr="00682149">
        <w:rPr>
          <w:rFonts w:ascii="Cambria Math" w:eastAsia="Cambria Math" w:hAnsi="Cambria Math" w:cs="Cambria Math"/>
          <w:color w:val="000000" w:themeColor="text1"/>
        </w:rPr>
        <w:t>𝑮</w:t>
      </w:r>
      <w:r w:rsidRPr="00682149">
        <w:rPr>
          <w:rFonts w:ascii="Cambria Math" w:eastAsia="Cambria Math" w:hAnsi="Cambria Math" w:cs="Cambria Math"/>
          <w:color w:val="000000" w:themeColor="text1"/>
          <w:vertAlign w:val="subscript"/>
        </w:rPr>
        <w:t>𝑰𝟎</w:t>
      </w:r>
      <w:r w:rsidRPr="00682149">
        <w:rPr>
          <w:rFonts w:ascii="Arial" w:hAnsi="Arial" w:cs="Arial"/>
          <w:b/>
          <w:i/>
          <w:color w:val="000000" w:themeColor="text1"/>
        </w:rPr>
        <w:t xml:space="preserve">. </w:t>
      </w:r>
      <w:r w:rsidRPr="00682149">
        <w:rPr>
          <w:rFonts w:ascii="Arial" w:hAnsi="Arial" w:cs="Arial"/>
          <w:i/>
          <w:color w:val="000000" w:themeColor="text1"/>
        </w:rPr>
        <w:t xml:space="preserve">La componente que remunera los costos de inversión de sistemas solares fotovoltaicos individuales AC con potencia mayor a 0.5 kW, será:  </w:t>
      </w:r>
    </w:p>
    <w:p w14:paraId="584B47E4"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 </w:t>
      </w:r>
    </w:p>
    <w:p w14:paraId="5B11CE04"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Arial" w:hAnsi="Arial" w:cs="Arial"/>
          <w:b/>
          <w:i/>
          <w:color w:val="000000" w:themeColor="text1"/>
        </w:rPr>
        <w:t xml:space="preserve">TABLA 1. Componente de remuneración de inversiones </w:t>
      </w:r>
    </w:p>
    <w:p w14:paraId="551967A3"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Arial" w:hAnsi="Arial" w:cs="Arial"/>
          <w:b/>
          <w:i/>
          <w:color w:val="000000" w:themeColor="text1"/>
        </w:rPr>
        <w:t xml:space="preserve">    ($ de la fecha base).</w:t>
      </w:r>
      <w:r w:rsidRPr="00682149">
        <w:rPr>
          <w:rFonts w:ascii="Arial" w:hAnsi="Arial" w:cs="Arial"/>
          <w:i/>
          <w:color w:val="000000" w:themeColor="text1"/>
        </w:rPr>
        <w:t xml:space="preserve"> </w:t>
      </w:r>
    </w:p>
    <w:p w14:paraId="4AA9BF8A"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 </w:t>
      </w:r>
    </w:p>
    <w:tbl>
      <w:tblPr>
        <w:tblW w:w="6522" w:type="dxa"/>
        <w:tblInd w:w="1560" w:type="dxa"/>
        <w:tblCellMar>
          <w:top w:w="7" w:type="dxa"/>
          <w:right w:w="7" w:type="dxa"/>
        </w:tblCellMar>
        <w:tblLook w:val="04A0" w:firstRow="1" w:lastRow="0" w:firstColumn="1" w:lastColumn="0" w:noHBand="0" w:noVBand="1"/>
      </w:tblPr>
      <w:tblGrid>
        <w:gridCol w:w="4395"/>
        <w:gridCol w:w="2127"/>
      </w:tblGrid>
      <w:tr w:rsidR="00682149" w:rsidRPr="00682149" w14:paraId="04E98905" w14:textId="77777777" w:rsidTr="00932B8E">
        <w:trPr>
          <w:trHeight w:val="701"/>
        </w:trPr>
        <w:tc>
          <w:tcPr>
            <w:tcW w:w="4395" w:type="dxa"/>
            <w:tcBorders>
              <w:top w:val="single" w:sz="4" w:space="0" w:color="000000"/>
              <w:left w:val="single" w:sz="4" w:space="0" w:color="000000"/>
              <w:bottom w:val="single" w:sz="4" w:space="0" w:color="000000"/>
              <w:right w:val="single" w:sz="4" w:space="0" w:color="000000"/>
            </w:tcBorders>
            <w:shd w:val="clear" w:color="auto" w:fill="auto"/>
          </w:tcPr>
          <w:p w14:paraId="6D25FD7A"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Arial" w:hAnsi="Arial" w:cs="Arial"/>
                <w:b/>
                <w:i/>
                <w:color w:val="000000" w:themeColor="text1"/>
              </w:rPr>
              <w:t xml:space="preserve"> </w:t>
            </w:r>
          </w:p>
          <w:p w14:paraId="657A242F"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Arial" w:hAnsi="Arial" w:cs="Arial"/>
                <w:b/>
                <w:i/>
                <w:color w:val="000000" w:themeColor="text1"/>
              </w:rPr>
              <w:t xml:space="preserve">Componente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19CB0A73"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Arial" w:hAnsi="Arial" w:cs="Arial"/>
                <w:b/>
                <w:i/>
                <w:color w:val="000000" w:themeColor="text1"/>
              </w:rPr>
              <w:t xml:space="preserve">Pesos por usuario al mes </w:t>
            </w:r>
          </w:p>
          <w:p w14:paraId="1D5C9C6B"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Arial" w:hAnsi="Arial" w:cs="Arial"/>
                <w:b/>
                <w:i/>
                <w:color w:val="000000" w:themeColor="text1"/>
              </w:rPr>
              <w:t>($/mes)</w:t>
            </w:r>
            <w:r w:rsidRPr="00682149">
              <w:rPr>
                <w:rFonts w:ascii="Arial" w:hAnsi="Arial" w:cs="Arial"/>
                <w:i/>
                <w:color w:val="000000" w:themeColor="text1"/>
              </w:rPr>
              <w:t xml:space="preserve"> </w:t>
            </w:r>
          </w:p>
        </w:tc>
      </w:tr>
      <w:tr w:rsidR="00682149" w:rsidRPr="00682149" w14:paraId="139565BF" w14:textId="77777777" w:rsidTr="00932B8E">
        <w:trPr>
          <w:trHeight w:val="240"/>
        </w:trPr>
        <w:tc>
          <w:tcPr>
            <w:tcW w:w="4395" w:type="dxa"/>
            <w:tcBorders>
              <w:top w:val="single" w:sz="4" w:space="0" w:color="000000"/>
              <w:left w:val="single" w:sz="4" w:space="0" w:color="000000"/>
              <w:bottom w:val="single" w:sz="4" w:space="0" w:color="000000"/>
              <w:right w:val="single" w:sz="4" w:space="0" w:color="000000"/>
            </w:tcBorders>
            <w:shd w:val="clear" w:color="auto" w:fill="auto"/>
          </w:tcPr>
          <w:p w14:paraId="0E3A379F"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Módulos, estructuras, obra eléctrica y obra civil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A748814"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83,151 </w:t>
            </w:r>
          </w:p>
        </w:tc>
      </w:tr>
      <w:tr w:rsidR="00682149" w:rsidRPr="00682149" w14:paraId="0CFACC49" w14:textId="77777777" w:rsidTr="00932B8E">
        <w:trPr>
          <w:trHeight w:val="240"/>
        </w:trPr>
        <w:tc>
          <w:tcPr>
            <w:tcW w:w="4395" w:type="dxa"/>
            <w:tcBorders>
              <w:top w:val="single" w:sz="4" w:space="0" w:color="000000"/>
              <w:left w:val="single" w:sz="4" w:space="0" w:color="000000"/>
              <w:bottom w:val="single" w:sz="4" w:space="0" w:color="000000"/>
              <w:right w:val="single" w:sz="4" w:space="0" w:color="000000"/>
            </w:tcBorders>
            <w:shd w:val="clear" w:color="auto" w:fill="auto"/>
          </w:tcPr>
          <w:p w14:paraId="656D1B3D"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Controlador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5BADE9C"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15,986 </w:t>
            </w:r>
          </w:p>
        </w:tc>
      </w:tr>
      <w:tr w:rsidR="00682149" w:rsidRPr="00682149" w14:paraId="4BF65F69" w14:textId="77777777" w:rsidTr="00932B8E">
        <w:trPr>
          <w:trHeight w:val="240"/>
        </w:trPr>
        <w:tc>
          <w:tcPr>
            <w:tcW w:w="4395" w:type="dxa"/>
            <w:tcBorders>
              <w:top w:val="single" w:sz="4" w:space="0" w:color="000000"/>
              <w:left w:val="single" w:sz="4" w:space="0" w:color="000000"/>
              <w:bottom w:val="single" w:sz="4" w:space="0" w:color="000000"/>
              <w:right w:val="single" w:sz="4" w:space="0" w:color="000000"/>
            </w:tcBorders>
            <w:shd w:val="clear" w:color="auto" w:fill="auto"/>
          </w:tcPr>
          <w:p w14:paraId="0C7BB62F"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Inversor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108DC41"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25,617 </w:t>
            </w:r>
          </w:p>
        </w:tc>
      </w:tr>
      <w:tr w:rsidR="00682149" w:rsidRPr="00682149" w14:paraId="00A1878D" w14:textId="77777777" w:rsidTr="00932B8E">
        <w:trPr>
          <w:trHeight w:val="241"/>
        </w:trPr>
        <w:tc>
          <w:tcPr>
            <w:tcW w:w="4395" w:type="dxa"/>
            <w:tcBorders>
              <w:top w:val="single" w:sz="4" w:space="0" w:color="000000"/>
              <w:left w:val="single" w:sz="4" w:space="0" w:color="000000"/>
              <w:bottom w:val="single" w:sz="4" w:space="0" w:color="000000"/>
              <w:right w:val="single" w:sz="4" w:space="0" w:color="000000"/>
            </w:tcBorders>
            <w:shd w:val="clear" w:color="auto" w:fill="auto"/>
          </w:tcPr>
          <w:p w14:paraId="45B72905"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Batería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1EAD7D02"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15,986 </w:t>
            </w:r>
          </w:p>
        </w:tc>
      </w:tr>
      <w:tr w:rsidR="00682149" w:rsidRPr="00682149" w14:paraId="511BD733" w14:textId="77777777" w:rsidTr="00932B8E">
        <w:trPr>
          <w:trHeight w:val="240"/>
        </w:trPr>
        <w:tc>
          <w:tcPr>
            <w:tcW w:w="4395" w:type="dxa"/>
            <w:tcBorders>
              <w:top w:val="single" w:sz="4" w:space="0" w:color="000000"/>
              <w:left w:val="single" w:sz="4" w:space="0" w:color="000000"/>
              <w:bottom w:val="single" w:sz="4" w:space="0" w:color="000000"/>
              <w:right w:val="single" w:sz="4" w:space="0" w:color="000000"/>
            </w:tcBorders>
            <w:shd w:val="clear" w:color="auto" w:fill="auto"/>
          </w:tcPr>
          <w:p w14:paraId="4FD9ED2F"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TOTAL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66D106B"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229,293 </w:t>
            </w:r>
          </w:p>
        </w:tc>
      </w:tr>
    </w:tbl>
    <w:p w14:paraId="23476C45" w14:textId="43A60D36" w:rsidR="00B54782" w:rsidRPr="00682149" w:rsidRDefault="00B54782"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  </w:t>
      </w:r>
    </w:p>
    <w:p w14:paraId="06114FB0"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Arial" w:hAnsi="Arial" w:cs="Arial"/>
          <w:b/>
          <w:i/>
          <w:color w:val="000000" w:themeColor="text1"/>
        </w:rPr>
        <w:t xml:space="preserve">Parágrafo. </w:t>
      </w:r>
      <w:r w:rsidRPr="00682149">
        <w:rPr>
          <w:rFonts w:ascii="Arial" w:hAnsi="Arial" w:cs="Arial"/>
          <w:i/>
          <w:color w:val="000000" w:themeColor="text1"/>
        </w:rPr>
        <w:t xml:space="preserve">No deberán incluirse en el cálculo de las tarifas aquellas inversiones a las que se hace referencia en el numeral 87.9, del artículo 87 de la Ley 142 de 1994, modificado por el artículo 99 de la Ley 1450 de 2011 o aquella norma que la modifique o sustituya. </w:t>
      </w:r>
    </w:p>
    <w:p w14:paraId="612AC463"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 </w:t>
      </w:r>
    </w:p>
    <w:p w14:paraId="40BD05AC"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Arial" w:hAnsi="Arial" w:cs="Arial"/>
          <w:b/>
          <w:i/>
          <w:color w:val="000000" w:themeColor="text1"/>
        </w:rPr>
        <w:t xml:space="preserve">Artículo 6. Remuneración de la componente de administración, operación y mantenimiento, </w:t>
      </w:r>
      <w:r w:rsidRPr="00682149">
        <w:rPr>
          <w:rFonts w:ascii="Cambria Math" w:eastAsia="Cambria Math" w:hAnsi="Cambria Math" w:cs="Cambria Math"/>
          <w:color w:val="000000" w:themeColor="text1"/>
        </w:rPr>
        <w:t>𝑮</w:t>
      </w:r>
      <w:r w:rsidRPr="00682149">
        <w:rPr>
          <w:rFonts w:ascii="Cambria Math" w:eastAsia="Cambria Math" w:hAnsi="Cambria Math" w:cs="Cambria Math"/>
          <w:color w:val="000000" w:themeColor="text1"/>
          <w:vertAlign w:val="subscript"/>
        </w:rPr>
        <w:t>𝑨𝑶𝑴𝟎</w:t>
      </w:r>
      <w:r w:rsidRPr="00682149">
        <w:rPr>
          <w:rFonts w:ascii="Arial" w:hAnsi="Arial" w:cs="Arial"/>
          <w:b/>
          <w:i/>
          <w:color w:val="000000" w:themeColor="text1"/>
        </w:rPr>
        <w:t xml:space="preserve">. </w:t>
      </w:r>
      <w:r w:rsidRPr="00682149">
        <w:rPr>
          <w:rFonts w:ascii="Arial" w:hAnsi="Arial" w:cs="Arial"/>
          <w:i/>
          <w:color w:val="000000" w:themeColor="text1"/>
        </w:rPr>
        <w:t xml:space="preserve">La componente que remunera los costos de administración, operación y mantenimiento, AOM, de sistemas solares fotovoltaicos individuales AC con potencia instalada mayor a 0.5 kW será de $86,525 / mes por usuario, expresada en pesos de la fecha base. </w:t>
      </w:r>
    </w:p>
    <w:p w14:paraId="2E8F6D0E"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 </w:t>
      </w:r>
    </w:p>
    <w:p w14:paraId="4F577632"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Arial" w:hAnsi="Arial" w:cs="Arial"/>
          <w:b/>
          <w:i/>
          <w:color w:val="000000" w:themeColor="text1"/>
        </w:rPr>
        <w:t xml:space="preserve">Artículo 7. Fórmula de actualización del cargo máximo de generación de energía eléctrica de sistemas solares fotovoltaicos individuales AC con </w:t>
      </w:r>
      <w:r w:rsidRPr="00682149">
        <w:rPr>
          <w:rFonts w:ascii="Arial" w:hAnsi="Arial" w:cs="Arial"/>
          <w:b/>
          <w:i/>
          <w:color w:val="000000" w:themeColor="text1"/>
        </w:rPr>
        <w:lastRenderedPageBreak/>
        <w:t xml:space="preserve">potencia mayor a 0.5 kW. </w:t>
      </w:r>
      <w:r w:rsidRPr="00682149">
        <w:rPr>
          <w:rFonts w:ascii="Arial" w:hAnsi="Arial" w:cs="Arial"/>
          <w:i/>
          <w:color w:val="000000" w:themeColor="text1"/>
        </w:rPr>
        <w:t xml:space="preserve">El cargo máximo de generación se actualizará utilizando la siguiente fórmula: </w:t>
      </w:r>
    </w:p>
    <w:p w14:paraId="695E3A46" w14:textId="77777777" w:rsidR="00B54782" w:rsidRPr="00682149" w:rsidRDefault="00B54782" w:rsidP="001C138F">
      <w:pPr>
        <w:spacing w:after="0" w:line="276" w:lineRule="auto"/>
        <w:ind w:left="567" w:hanging="4561"/>
        <w:jc w:val="both"/>
        <w:rPr>
          <w:rFonts w:ascii="Arial" w:hAnsi="Arial" w:cs="Arial"/>
          <w:color w:val="000000" w:themeColor="text1"/>
        </w:rPr>
      </w:pPr>
      <w:r w:rsidRPr="00682149">
        <w:rPr>
          <w:rFonts w:ascii="Arial" w:hAnsi="Arial" w:cs="Arial"/>
          <w:i/>
          <w:color w:val="000000" w:themeColor="text1"/>
        </w:rPr>
        <w:t xml:space="preserve"> </w:t>
      </w:r>
      <w:r w:rsidRPr="00682149">
        <w:rPr>
          <w:rFonts w:ascii="Cambria Math" w:eastAsia="Cambria Math" w:hAnsi="Cambria Math" w:cs="Cambria Math"/>
          <w:color w:val="000000" w:themeColor="text1"/>
        </w:rPr>
        <w:t>𝐼𝑃𝑃</w:t>
      </w:r>
      <w:r w:rsidRPr="00682149">
        <w:rPr>
          <w:rFonts w:ascii="Cambria Math" w:eastAsia="Cambria Math" w:hAnsi="Cambria Math" w:cs="Cambria Math"/>
          <w:color w:val="000000" w:themeColor="text1"/>
          <w:vertAlign w:val="subscript"/>
        </w:rPr>
        <w:t>𝑚</w:t>
      </w:r>
      <w:r w:rsidRPr="00682149">
        <w:rPr>
          <w:rFonts w:ascii="Arial" w:eastAsia="Cambria Math" w:hAnsi="Arial" w:cs="Arial"/>
          <w:color w:val="000000" w:themeColor="text1"/>
        </w:rPr>
        <w:t>−1</w:t>
      </w:r>
    </w:p>
    <w:p w14:paraId="7A1214C8" w14:textId="77777777" w:rsidR="00E1628A" w:rsidRPr="00682149" w:rsidRDefault="00E1628A" w:rsidP="001C138F">
      <w:pPr>
        <w:spacing w:after="0" w:line="276" w:lineRule="auto"/>
        <w:ind w:left="4561" w:right="5354" w:hanging="1729"/>
        <w:rPr>
          <w:color w:val="000000" w:themeColor="text1"/>
        </w:rPr>
      </w:pPr>
      <w:r w:rsidRPr="00682149">
        <w:rPr>
          <w:rFonts w:ascii="Cambria Math" w:eastAsia="Cambria Math" w:hAnsi="Cambria Math" w:cs="Cambria Math"/>
          <w:color w:val="000000" w:themeColor="text1"/>
          <w:sz w:val="20"/>
        </w:rPr>
        <w:t>𝐼𝑃𝑃</w:t>
      </w:r>
      <w:r w:rsidRPr="00682149">
        <w:rPr>
          <w:rFonts w:ascii="Cambria Math" w:eastAsia="Cambria Math" w:hAnsi="Cambria Math" w:cs="Cambria Math"/>
          <w:color w:val="000000" w:themeColor="text1"/>
          <w:sz w:val="20"/>
          <w:vertAlign w:val="subscript"/>
        </w:rPr>
        <w:t>𝑚</w:t>
      </w:r>
      <w:r w:rsidRPr="00682149">
        <w:rPr>
          <w:rFonts w:ascii="Cambria Math" w:eastAsia="Cambria Math" w:hAnsi="Cambria Math" w:cs="Cambria Math"/>
          <w:color w:val="000000" w:themeColor="text1"/>
          <w:sz w:val="14"/>
        </w:rPr>
        <w:t>−1</w:t>
      </w:r>
    </w:p>
    <w:p w14:paraId="22B42B1A" w14:textId="1AC46C61" w:rsidR="00E1628A" w:rsidRPr="00682149" w:rsidRDefault="00E1628A" w:rsidP="001C138F">
      <w:pPr>
        <w:spacing w:after="0" w:line="276" w:lineRule="auto"/>
        <w:ind w:right="1642"/>
        <w:rPr>
          <w:color w:val="000000" w:themeColor="text1"/>
        </w:rPr>
      </w:pPr>
      <w:r w:rsidRPr="00682149">
        <w:rPr>
          <w:rFonts w:ascii="Cambria Math" w:eastAsia="Cambria Math" w:hAnsi="Cambria Math" w:cs="Cambria Math"/>
          <w:color w:val="000000" w:themeColor="text1"/>
          <w:sz w:val="20"/>
        </w:rPr>
        <w:t xml:space="preserve">                                             𝐺</w:t>
      </w:r>
      <w:r w:rsidRPr="00682149">
        <w:rPr>
          <w:rFonts w:ascii="Cambria Math" w:eastAsia="Cambria Math" w:hAnsi="Cambria Math" w:cs="Cambria Math"/>
          <w:color w:val="000000" w:themeColor="text1"/>
          <w:sz w:val="20"/>
          <w:vertAlign w:val="subscript"/>
        </w:rPr>
        <w:t xml:space="preserve">𝑚 </w:t>
      </w:r>
      <w:r w:rsidRPr="00682149">
        <w:rPr>
          <w:rFonts w:ascii="Cambria Math" w:eastAsia="Cambria Math" w:hAnsi="Cambria Math" w:cs="Cambria Math"/>
          <w:color w:val="000000" w:themeColor="text1"/>
          <w:sz w:val="20"/>
        </w:rPr>
        <w:t>= 𝐺</w:t>
      </w:r>
      <w:r w:rsidRPr="00682149">
        <w:rPr>
          <w:rFonts w:ascii="Cambria Math" w:eastAsia="Cambria Math" w:hAnsi="Cambria Math" w:cs="Cambria Math"/>
          <w:color w:val="000000" w:themeColor="text1"/>
          <w:sz w:val="20"/>
          <w:vertAlign w:val="subscript"/>
        </w:rPr>
        <w:t>0</w:t>
      </w:r>
      <w:r w:rsidRPr="00682149">
        <w:rPr>
          <w:rFonts w:ascii="Cambria Math" w:eastAsia="Cambria Math" w:hAnsi="Cambria Math" w:cs="Cambria Math"/>
          <w:color w:val="000000" w:themeColor="text1"/>
          <w:sz w:val="20"/>
        </w:rPr>
        <w:t xml:space="preserve"> 𝑥 </w:t>
      </w:r>
      <w:r w:rsidRPr="00682149">
        <w:rPr>
          <w:noProof/>
          <w:color w:val="000000" w:themeColor="text1"/>
          <w:lang w:val="es-CO" w:eastAsia="es-CO"/>
        </w:rPr>
        <mc:AlternateContent>
          <mc:Choice Requires="wpg">
            <w:drawing>
              <wp:inline distT="0" distB="0" distL="0" distR="0" wp14:anchorId="7726B941" wp14:editId="77946E5E">
                <wp:extent cx="400685" cy="7620"/>
                <wp:effectExtent l="0" t="0" r="0" b="0"/>
                <wp:docPr id="4" name="Group 555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685" cy="7620"/>
                          <a:chOff x="0" y="0"/>
                          <a:chExt cx="400812" cy="7620"/>
                        </a:xfrm>
                      </wpg:grpSpPr>
                      <wps:wsp>
                        <wps:cNvPr id="5" name="Shape 68444"/>
                        <wps:cNvSpPr/>
                        <wps:spPr>
                          <a:xfrm>
                            <a:off x="0" y="0"/>
                            <a:ext cx="400812" cy="9144"/>
                          </a:xfrm>
                          <a:custGeom>
                            <a:avLst/>
                            <a:gdLst/>
                            <a:ahLst/>
                            <a:cxnLst/>
                            <a:rect l="0" t="0" r="0" b="0"/>
                            <a:pathLst>
                              <a:path w="400812" h="9144">
                                <a:moveTo>
                                  <a:pt x="0" y="0"/>
                                </a:moveTo>
                                <a:lnTo>
                                  <a:pt x="400812" y="0"/>
                                </a:lnTo>
                                <a:lnTo>
                                  <a:pt x="400812"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69A6F703" id="Group 55591" o:spid="_x0000_s1026" style="width:31.55pt;height:.6pt;mso-position-horizontal-relative:char;mso-position-vertical-relative:line" coordsize="400812,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">
                <v:shape id="Shape 68444" o:spid="_x0000_s1027" style="position:absolute;width:400812;height:9144;visibility:visible;mso-wrap-style:square;v-text-anchor:top" coordsize="4008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" path="m,l400812,r,9144l,9144,,e" fillcolor="black" stroked="f" strokeweight="0">
                  <v:stroke miterlimit="83231f" joinstyle="miter"/>
                  <v:path arrowok="t" textboxrect="0,0,400812,9144"/>
                </v:shape>
                <w10:anchorlock/>
              </v:group>
            </w:pict>
          </mc:Fallback>
        </mc:AlternateContent>
      </w:r>
      <w:r w:rsidRPr="00682149">
        <w:rPr>
          <w:i/>
          <w:color w:val="000000" w:themeColor="text1"/>
          <w:sz w:val="20"/>
        </w:rPr>
        <w:t xml:space="preserve"> </w:t>
      </w:r>
    </w:p>
    <w:p w14:paraId="74E65464" w14:textId="7C7E7963" w:rsidR="00E1628A" w:rsidRPr="00682149" w:rsidRDefault="00E1628A" w:rsidP="001C138F">
      <w:pPr>
        <w:spacing w:after="0" w:line="276" w:lineRule="auto"/>
        <w:ind w:right="793"/>
        <w:rPr>
          <w:color w:val="000000" w:themeColor="text1"/>
        </w:rPr>
      </w:pPr>
      <w:r w:rsidRPr="00682149">
        <w:rPr>
          <w:rFonts w:ascii="Cambria Math" w:eastAsia="Cambria Math" w:hAnsi="Cambria Math" w:cs="Cambria Math"/>
          <w:color w:val="000000" w:themeColor="text1"/>
          <w:sz w:val="20"/>
        </w:rPr>
        <w:t xml:space="preserve">                                                                𝐼𝑃𝑃</w:t>
      </w:r>
      <w:r w:rsidRPr="00682149">
        <w:rPr>
          <w:rFonts w:ascii="Cambria Math" w:eastAsia="Cambria Math" w:hAnsi="Cambria Math" w:cs="Cambria Math"/>
          <w:color w:val="000000" w:themeColor="text1"/>
          <w:sz w:val="20"/>
          <w:vertAlign w:val="subscript"/>
        </w:rPr>
        <w:t>0</w:t>
      </w:r>
    </w:p>
    <w:p w14:paraId="7C18446C" w14:textId="1B03B4FE" w:rsidR="00B54782" w:rsidRPr="00682149" w:rsidRDefault="00B54782" w:rsidP="001C138F">
      <w:pPr>
        <w:spacing w:after="0" w:line="276" w:lineRule="auto"/>
        <w:jc w:val="both"/>
        <w:rPr>
          <w:rFonts w:ascii="Arial" w:hAnsi="Arial" w:cs="Arial"/>
          <w:color w:val="000000" w:themeColor="text1"/>
        </w:rPr>
      </w:pPr>
    </w:p>
    <w:tbl>
      <w:tblPr>
        <w:tblW w:w="8747" w:type="dxa"/>
        <w:tblCellMar>
          <w:left w:w="0" w:type="dxa"/>
          <w:right w:w="0" w:type="dxa"/>
        </w:tblCellMar>
        <w:tblLook w:val="04A0" w:firstRow="1" w:lastRow="0" w:firstColumn="1" w:lastColumn="0" w:noHBand="0" w:noVBand="1"/>
      </w:tblPr>
      <w:tblGrid>
        <w:gridCol w:w="2125"/>
        <w:gridCol w:w="6622"/>
      </w:tblGrid>
      <w:tr w:rsidR="00682149" w:rsidRPr="00682149" w14:paraId="088494E7" w14:textId="77777777" w:rsidTr="00932B8E">
        <w:trPr>
          <w:trHeight w:val="779"/>
        </w:trPr>
        <w:tc>
          <w:tcPr>
            <w:tcW w:w="2125" w:type="dxa"/>
            <w:tcBorders>
              <w:top w:val="nil"/>
              <w:left w:val="nil"/>
              <w:bottom w:val="nil"/>
              <w:right w:val="nil"/>
            </w:tcBorders>
            <w:shd w:val="clear" w:color="auto" w:fill="auto"/>
          </w:tcPr>
          <w:p w14:paraId="2DB27578"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En donde: </w:t>
            </w:r>
          </w:p>
          <w:p w14:paraId="3251510A"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 </w:t>
            </w:r>
          </w:p>
        </w:tc>
        <w:tc>
          <w:tcPr>
            <w:tcW w:w="6623" w:type="dxa"/>
            <w:tcBorders>
              <w:top w:val="nil"/>
              <w:left w:val="nil"/>
              <w:bottom w:val="nil"/>
              <w:right w:val="nil"/>
            </w:tcBorders>
            <w:shd w:val="clear" w:color="auto" w:fill="auto"/>
          </w:tcPr>
          <w:p w14:paraId="749EBB4E" w14:textId="77777777" w:rsidR="00B54782" w:rsidRPr="00682149" w:rsidRDefault="00B54782" w:rsidP="001C138F">
            <w:pPr>
              <w:spacing w:after="0" w:line="276" w:lineRule="auto"/>
              <w:ind w:left="567"/>
              <w:jc w:val="both"/>
              <w:rPr>
                <w:rFonts w:ascii="Arial" w:hAnsi="Arial" w:cs="Arial"/>
                <w:color w:val="000000" w:themeColor="text1"/>
              </w:rPr>
            </w:pPr>
          </w:p>
        </w:tc>
      </w:tr>
      <w:tr w:rsidR="00682149" w:rsidRPr="00682149" w14:paraId="6D1FEE3D" w14:textId="77777777" w:rsidTr="00932B8E">
        <w:trPr>
          <w:trHeight w:val="695"/>
        </w:trPr>
        <w:tc>
          <w:tcPr>
            <w:tcW w:w="2125" w:type="dxa"/>
            <w:tcBorders>
              <w:top w:val="nil"/>
              <w:left w:val="nil"/>
              <w:bottom w:val="nil"/>
              <w:right w:val="nil"/>
            </w:tcBorders>
            <w:shd w:val="clear" w:color="auto" w:fill="auto"/>
          </w:tcPr>
          <w:p w14:paraId="6151153E"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Cambria Math" w:eastAsia="Cambria Math" w:hAnsi="Cambria Math" w:cs="Cambria Math"/>
                <w:color w:val="000000" w:themeColor="text1"/>
              </w:rPr>
              <w:t>𝐺</w:t>
            </w:r>
            <w:r w:rsidRPr="00682149">
              <w:rPr>
                <w:rFonts w:ascii="Arial" w:hAnsi="Arial" w:cs="Arial"/>
                <w:i/>
                <w:color w:val="000000" w:themeColor="text1"/>
              </w:rPr>
              <w:t xml:space="preserve">m                  : </w:t>
            </w:r>
          </w:p>
          <w:p w14:paraId="7EA8D59E"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 </w:t>
            </w:r>
          </w:p>
        </w:tc>
        <w:tc>
          <w:tcPr>
            <w:tcW w:w="6623" w:type="dxa"/>
            <w:tcBorders>
              <w:top w:val="nil"/>
              <w:left w:val="nil"/>
              <w:bottom w:val="nil"/>
              <w:right w:val="nil"/>
            </w:tcBorders>
            <w:shd w:val="clear" w:color="auto" w:fill="auto"/>
          </w:tcPr>
          <w:p w14:paraId="2E181665"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Cargo máximo de generación del mes m, expresado en pesos por usuario al mes ($/mes). </w:t>
            </w:r>
          </w:p>
        </w:tc>
      </w:tr>
      <w:tr w:rsidR="00682149" w:rsidRPr="00682149" w14:paraId="07C24ADF" w14:textId="77777777" w:rsidTr="00932B8E">
        <w:trPr>
          <w:trHeight w:val="925"/>
        </w:trPr>
        <w:tc>
          <w:tcPr>
            <w:tcW w:w="2125" w:type="dxa"/>
            <w:tcBorders>
              <w:top w:val="nil"/>
              <w:left w:val="nil"/>
              <w:bottom w:val="nil"/>
              <w:right w:val="nil"/>
            </w:tcBorders>
            <w:shd w:val="clear" w:color="auto" w:fill="auto"/>
          </w:tcPr>
          <w:p w14:paraId="7D039A49"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Cambria Math" w:eastAsia="Cambria Math" w:hAnsi="Cambria Math" w:cs="Cambria Math"/>
                <w:color w:val="000000" w:themeColor="text1"/>
              </w:rPr>
              <w:t>𝐺</w:t>
            </w:r>
            <w:r w:rsidRPr="00682149">
              <w:rPr>
                <w:rFonts w:ascii="Arial" w:hAnsi="Arial" w:cs="Arial"/>
                <w:i/>
                <w:color w:val="000000" w:themeColor="text1"/>
                <w:vertAlign w:val="subscript"/>
              </w:rPr>
              <w:t>0</w:t>
            </w:r>
            <w:r w:rsidRPr="00682149">
              <w:rPr>
                <w:rFonts w:ascii="Arial" w:hAnsi="Arial" w:cs="Arial"/>
                <w:i/>
                <w:color w:val="000000" w:themeColor="text1"/>
              </w:rPr>
              <w:t xml:space="preserve">            : </w:t>
            </w:r>
          </w:p>
          <w:p w14:paraId="0E42D3BD"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 </w:t>
            </w:r>
          </w:p>
        </w:tc>
        <w:tc>
          <w:tcPr>
            <w:tcW w:w="6623" w:type="dxa"/>
            <w:tcBorders>
              <w:top w:val="nil"/>
              <w:left w:val="nil"/>
              <w:bottom w:val="nil"/>
              <w:right w:val="nil"/>
            </w:tcBorders>
            <w:shd w:val="clear" w:color="auto" w:fill="auto"/>
          </w:tcPr>
          <w:p w14:paraId="34C1BED2"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Cargo máximo de generación de energía eléctrica de sistemas solares fotovoltaicos individuales AC con potencia mayor a 0.5 kW, expresado en pesos por usuario al mes ($/mes), en pesos de la fecha base. </w:t>
            </w:r>
          </w:p>
        </w:tc>
      </w:tr>
      <w:tr w:rsidR="00682149" w:rsidRPr="00682149" w14:paraId="3942485B" w14:textId="77777777" w:rsidTr="00932B8E">
        <w:trPr>
          <w:trHeight w:val="463"/>
        </w:trPr>
        <w:tc>
          <w:tcPr>
            <w:tcW w:w="2125" w:type="dxa"/>
            <w:tcBorders>
              <w:top w:val="nil"/>
              <w:left w:val="nil"/>
              <w:bottom w:val="nil"/>
              <w:right w:val="nil"/>
            </w:tcBorders>
            <w:shd w:val="clear" w:color="auto" w:fill="auto"/>
          </w:tcPr>
          <w:p w14:paraId="43BEF28D" w14:textId="77777777" w:rsidR="00B54782" w:rsidRPr="00682149" w:rsidRDefault="00B54782" w:rsidP="001C138F">
            <w:pPr>
              <w:spacing w:after="0" w:line="276" w:lineRule="auto"/>
              <w:ind w:left="567" w:hanging="15"/>
              <w:jc w:val="both"/>
              <w:rPr>
                <w:rFonts w:ascii="Arial" w:hAnsi="Arial" w:cs="Arial"/>
                <w:color w:val="000000" w:themeColor="text1"/>
              </w:rPr>
            </w:pPr>
            <w:r w:rsidRPr="00682149">
              <w:rPr>
                <w:rFonts w:ascii="Cambria Math" w:eastAsia="Cambria Math" w:hAnsi="Cambria Math" w:cs="Cambria Math"/>
                <w:color w:val="000000" w:themeColor="text1"/>
              </w:rPr>
              <w:t>𝐼𝑃𝑃</w:t>
            </w:r>
            <w:r w:rsidRPr="00682149">
              <w:rPr>
                <w:rFonts w:ascii="Arial" w:hAnsi="Arial" w:cs="Arial"/>
                <w:i/>
                <w:color w:val="000000" w:themeColor="text1"/>
              </w:rPr>
              <w:t xml:space="preserve">m-1         :  </w:t>
            </w:r>
          </w:p>
        </w:tc>
        <w:tc>
          <w:tcPr>
            <w:tcW w:w="6623" w:type="dxa"/>
            <w:tcBorders>
              <w:top w:val="nil"/>
              <w:left w:val="nil"/>
              <w:bottom w:val="nil"/>
              <w:right w:val="nil"/>
            </w:tcBorders>
            <w:shd w:val="clear" w:color="auto" w:fill="auto"/>
          </w:tcPr>
          <w:p w14:paraId="0F6BE524"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Índice de precios al productor, Oferta Interna, del mes m-1. </w:t>
            </w:r>
          </w:p>
        </w:tc>
      </w:tr>
      <w:tr w:rsidR="00682149" w:rsidRPr="00682149" w14:paraId="51349821" w14:textId="77777777" w:rsidTr="00932B8E">
        <w:trPr>
          <w:trHeight w:val="466"/>
        </w:trPr>
        <w:tc>
          <w:tcPr>
            <w:tcW w:w="2125" w:type="dxa"/>
            <w:tcBorders>
              <w:top w:val="nil"/>
              <w:left w:val="nil"/>
              <w:bottom w:val="nil"/>
              <w:right w:val="nil"/>
            </w:tcBorders>
            <w:shd w:val="clear" w:color="auto" w:fill="auto"/>
          </w:tcPr>
          <w:p w14:paraId="3EDEA054" w14:textId="77777777" w:rsidR="00B54782" w:rsidRPr="00682149" w:rsidRDefault="00B54782" w:rsidP="001C138F">
            <w:pPr>
              <w:spacing w:after="0" w:line="276" w:lineRule="auto"/>
              <w:ind w:left="567" w:hanging="15"/>
              <w:jc w:val="both"/>
              <w:rPr>
                <w:rFonts w:ascii="Arial" w:hAnsi="Arial" w:cs="Arial"/>
                <w:color w:val="000000" w:themeColor="text1"/>
              </w:rPr>
            </w:pPr>
            <w:r w:rsidRPr="00682149">
              <w:rPr>
                <w:rFonts w:ascii="Cambria Math" w:eastAsia="Cambria Math" w:hAnsi="Cambria Math" w:cs="Cambria Math"/>
                <w:color w:val="000000" w:themeColor="text1"/>
              </w:rPr>
              <w:t>𝐼𝑃𝑃</w:t>
            </w:r>
            <w:r w:rsidRPr="00682149">
              <w:rPr>
                <w:rFonts w:ascii="Arial" w:hAnsi="Arial" w:cs="Arial"/>
                <w:i/>
                <w:color w:val="000000" w:themeColor="text1"/>
              </w:rPr>
              <w:t xml:space="preserve">0             :  </w:t>
            </w:r>
          </w:p>
        </w:tc>
        <w:tc>
          <w:tcPr>
            <w:tcW w:w="6623" w:type="dxa"/>
            <w:tcBorders>
              <w:top w:val="nil"/>
              <w:left w:val="nil"/>
              <w:bottom w:val="nil"/>
              <w:right w:val="nil"/>
            </w:tcBorders>
            <w:shd w:val="clear" w:color="auto" w:fill="auto"/>
          </w:tcPr>
          <w:p w14:paraId="7DB9851D"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Índice de precios al productor, Oferta Interna, de la fecha base. </w:t>
            </w:r>
          </w:p>
        </w:tc>
      </w:tr>
      <w:tr w:rsidR="00682149" w:rsidRPr="00682149" w14:paraId="4C8994A4" w14:textId="77777777" w:rsidTr="00932B8E">
        <w:trPr>
          <w:trHeight w:val="231"/>
        </w:trPr>
        <w:tc>
          <w:tcPr>
            <w:tcW w:w="2125" w:type="dxa"/>
            <w:tcBorders>
              <w:top w:val="nil"/>
              <w:left w:val="nil"/>
              <w:bottom w:val="nil"/>
              <w:right w:val="nil"/>
            </w:tcBorders>
            <w:shd w:val="clear" w:color="auto" w:fill="auto"/>
          </w:tcPr>
          <w:p w14:paraId="69BD07B9"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Cambria Math" w:eastAsia="Cambria Math" w:hAnsi="Cambria Math" w:cs="Cambria Math"/>
                <w:color w:val="000000" w:themeColor="text1"/>
              </w:rPr>
              <w:t>𝑚</w:t>
            </w:r>
            <w:r w:rsidRPr="00682149">
              <w:rPr>
                <w:rFonts w:ascii="Arial" w:eastAsia="Cambria Math" w:hAnsi="Arial" w:cs="Arial"/>
                <w:color w:val="000000" w:themeColor="text1"/>
              </w:rPr>
              <w:t xml:space="preserve">               </w:t>
            </w:r>
            <w:r w:rsidRPr="00682149">
              <w:rPr>
                <w:rFonts w:ascii="Arial" w:hAnsi="Arial" w:cs="Arial"/>
                <w:i/>
                <w:color w:val="000000" w:themeColor="text1"/>
              </w:rPr>
              <w:t xml:space="preserve"> : </w:t>
            </w:r>
          </w:p>
        </w:tc>
        <w:tc>
          <w:tcPr>
            <w:tcW w:w="6623" w:type="dxa"/>
            <w:tcBorders>
              <w:top w:val="nil"/>
              <w:left w:val="nil"/>
              <w:bottom w:val="nil"/>
              <w:right w:val="nil"/>
            </w:tcBorders>
            <w:shd w:val="clear" w:color="auto" w:fill="auto"/>
          </w:tcPr>
          <w:p w14:paraId="13DE26F7"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Mes de cálculo del costo de prestación del servicio. </w:t>
            </w:r>
          </w:p>
        </w:tc>
      </w:tr>
    </w:tbl>
    <w:p w14:paraId="55183949"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 </w:t>
      </w:r>
    </w:p>
    <w:p w14:paraId="1D5A79F7"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Arial" w:hAnsi="Arial" w:cs="Arial"/>
          <w:b/>
          <w:i/>
          <w:color w:val="000000" w:themeColor="text1"/>
        </w:rPr>
        <w:t xml:space="preserve">Artículo 8. Cargo máximo de comercialización de energía eléctrica de sistemas solares fotovoltaicos individuales AC con potencia mayor a 0.5 kW, </w:t>
      </w:r>
      <w:r w:rsidRPr="00682149">
        <w:rPr>
          <w:rFonts w:ascii="Cambria Math" w:eastAsia="Cambria Math" w:hAnsi="Cambria Math" w:cs="Cambria Math"/>
          <w:color w:val="000000" w:themeColor="text1"/>
        </w:rPr>
        <w:t>𝑪</w:t>
      </w:r>
      <w:r w:rsidRPr="00682149">
        <w:rPr>
          <w:rFonts w:ascii="Cambria Math" w:eastAsia="Cambria Math" w:hAnsi="Cambria Math" w:cs="Cambria Math"/>
          <w:color w:val="000000" w:themeColor="text1"/>
          <w:vertAlign w:val="subscript"/>
        </w:rPr>
        <w:t>𝟎</w:t>
      </w:r>
      <w:r w:rsidRPr="00682149">
        <w:rPr>
          <w:rFonts w:ascii="Arial" w:hAnsi="Arial" w:cs="Arial"/>
          <w:b/>
          <w:i/>
          <w:color w:val="000000" w:themeColor="text1"/>
        </w:rPr>
        <w:t xml:space="preserve">. </w:t>
      </w:r>
      <w:r w:rsidRPr="00682149">
        <w:rPr>
          <w:rFonts w:ascii="Arial" w:hAnsi="Arial" w:cs="Arial"/>
          <w:i/>
          <w:color w:val="000000" w:themeColor="text1"/>
        </w:rPr>
        <w:t xml:space="preserve">El cargo máximo de comercialización de energía eléctrica será de $23,181 / es por usuario, expresado en pesos de la fecha base. </w:t>
      </w:r>
    </w:p>
    <w:p w14:paraId="3305C768"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 </w:t>
      </w:r>
    </w:p>
    <w:p w14:paraId="7FBFAFFA"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Arial" w:hAnsi="Arial" w:cs="Arial"/>
          <w:b/>
          <w:i/>
          <w:color w:val="000000" w:themeColor="text1"/>
        </w:rPr>
        <w:t>Parágrafo.</w:t>
      </w:r>
      <w:r w:rsidRPr="00682149">
        <w:rPr>
          <w:rFonts w:ascii="Arial" w:hAnsi="Arial" w:cs="Arial"/>
          <w:i/>
          <w:color w:val="000000" w:themeColor="text1"/>
        </w:rPr>
        <w:t xml:space="preserve"> Cuando el prestador del servicio, con recursos propios, le instale medidor al usuario podrá adicionarle al cargo máximo de comercialización, </w:t>
      </w:r>
      <w:r w:rsidRPr="00682149">
        <w:rPr>
          <w:rFonts w:ascii="Cambria Math" w:eastAsia="Cambria Math" w:hAnsi="Cambria Math" w:cs="Cambria Math"/>
          <w:color w:val="000000" w:themeColor="text1"/>
        </w:rPr>
        <w:t>𝐶</w:t>
      </w:r>
      <w:r w:rsidRPr="00682149">
        <w:rPr>
          <w:rFonts w:ascii="Arial" w:eastAsia="Cambria Math" w:hAnsi="Arial" w:cs="Arial"/>
          <w:color w:val="000000" w:themeColor="text1"/>
          <w:vertAlign w:val="subscript"/>
        </w:rPr>
        <w:t>0</w:t>
      </w:r>
      <w:r w:rsidRPr="00682149">
        <w:rPr>
          <w:rFonts w:ascii="Arial" w:hAnsi="Arial" w:cs="Arial"/>
          <w:i/>
          <w:color w:val="000000" w:themeColor="text1"/>
        </w:rPr>
        <w:t xml:space="preserve">, un cargo de $6,938 / mes por usuario. </w:t>
      </w:r>
    </w:p>
    <w:p w14:paraId="77CF09CB"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 </w:t>
      </w:r>
    </w:p>
    <w:p w14:paraId="5CB7BA3D"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Arial" w:hAnsi="Arial" w:cs="Arial"/>
          <w:b/>
          <w:i/>
          <w:color w:val="000000" w:themeColor="text1"/>
        </w:rPr>
        <w:t>Artículo 9. Fórmula de actualización del cargo máximo de comercialización de energía eléctrica de sistemas solares fotovoltaicos individuales AC con potencia mayor a 0.5 kW.</w:t>
      </w:r>
      <w:r w:rsidRPr="00682149">
        <w:rPr>
          <w:rFonts w:ascii="Arial" w:hAnsi="Arial" w:cs="Arial"/>
          <w:i/>
          <w:color w:val="000000" w:themeColor="text1"/>
        </w:rPr>
        <w:t xml:space="preserve"> El cargo máximo de comercialización se actualizará utilizando la siguiente fórmula: </w:t>
      </w:r>
    </w:p>
    <w:p w14:paraId="33D1BFDD" w14:textId="4DEDBEAB" w:rsidR="00E1628A" w:rsidRPr="00682149" w:rsidRDefault="00B54782" w:rsidP="001C138F">
      <w:pPr>
        <w:spacing w:after="0" w:line="276" w:lineRule="auto"/>
        <w:ind w:left="567"/>
        <w:jc w:val="both"/>
        <w:rPr>
          <w:rFonts w:ascii="Arial" w:hAnsi="Arial" w:cs="Arial"/>
          <w:color w:val="000000" w:themeColor="text1"/>
        </w:rPr>
      </w:pPr>
      <w:r w:rsidRPr="00682149">
        <w:rPr>
          <w:rFonts w:ascii="Arial" w:eastAsia="Cambria Math" w:hAnsi="Arial" w:cs="Arial"/>
          <w:color w:val="000000" w:themeColor="text1"/>
        </w:rPr>
        <w:t xml:space="preserve"> </w:t>
      </w:r>
    </w:p>
    <w:p w14:paraId="10BA59B4" w14:textId="77777777" w:rsidR="00E1628A" w:rsidRPr="00682149" w:rsidRDefault="00E1628A" w:rsidP="001C138F">
      <w:pPr>
        <w:spacing w:after="0" w:line="276" w:lineRule="auto"/>
        <w:ind w:right="116"/>
        <w:jc w:val="center"/>
        <w:rPr>
          <w:color w:val="000000" w:themeColor="text1"/>
        </w:rPr>
      </w:pPr>
      <w:r w:rsidRPr="00682149">
        <w:rPr>
          <w:rFonts w:ascii="Cambria Math" w:eastAsia="Cambria Math" w:hAnsi="Cambria Math" w:cs="Cambria Math"/>
          <w:color w:val="000000" w:themeColor="text1"/>
          <w:sz w:val="20"/>
        </w:rPr>
        <w:t>𝐼𝑃𝐶</w:t>
      </w:r>
      <w:r w:rsidRPr="00682149">
        <w:rPr>
          <w:rFonts w:ascii="Cambria Math" w:eastAsia="Cambria Math" w:hAnsi="Cambria Math" w:cs="Cambria Math"/>
          <w:color w:val="000000" w:themeColor="text1"/>
          <w:sz w:val="20"/>
          <w:vertAlign w:val="subscript"/>
        </w:rPr>
        <w:t>𝑚</w:t>
      </w:r>
      <w:r w:rsidRPr="00682149">
        <w:rPr>
          <w:rFonts w:ascii="Cambria Math" w:eastAsia="Cambria Math" w:hAnsi="Cambria Math" w:cs="Cambria Math"/>
          <w:color w:val="000000" w:themeColor="text1"/>
          <w:sz w:val="14"/>
        </w:rPr>
        <w:t>−1</w:t>
      </w:r>
    </w:p>
    <w:p w14:paraId="58100EC1" w14:textId="5C7B01B1" w:rsidR="00E1628A" w:rsidRPr="00682149" w:rsidRDefault="00E1628A" w:rsidP="001C138F">
      <w:pPr>
        <w:spacing w:after="0" w:line="276" w:lineRule="auto"/>
        <w:ind w:right="896"/>
        <w:jc w:val="center"/>
        <w:rPr>
          <w:color w:val="000000" w:themeColor="text1"/>
        </w:rPr>
      </w:pPr>
      <w:r w:rsidRPr="00682149">
        <w:rPr>
          <w:rFonts w:ascii="Cambria Math" w:eastAsia="Cambria Math" w:hAnsi="Cambria Math" w:cs="Cambria Math"/>
          <w:color w:val="000000" w:themeColor="text1"/>
          <w:sz w:val="20"/>
        </w:rPr>
        <w:t>𝐶</w:t>
      </w:r>
      <w:r w:rsidRPr="00682149">
        <w:rPr>
          <w:rFonts w:ascii="Cambria Math" w:eastAsia="Cambria Math" w:hAnsi="Cambria Math" w:cs="Cambria Math"/>
          <w:color w:val="000000" w:themeColor="text1"/>
          <w:sz w:val="14"/>
        </w:rPr>
        <w:t xml:space="preserve">𝑚 </w:t>
      </w:r>
      <w:r w:rsidRPr="00682149">
        <w:rPr>
          <w:rFonts w:ascii="Cambria Math" w:eastAsia="Cambria Math" w:hAnsi="Cambria Math" w:cs="Cambria Math"/>
          <w:color w:val="000000" w:themeColor="text1"/>
          <w:sz w:val="20"/>
        </w:rPr>
        <w:t>= 𝐶</w:t>
      </w:r>
      <w:r w:rsidRPr="00682149">
        <w:rPr>
          <w:rFonts w:ascii="Cambria Math" w:eastAsia="Cambria Math" w:hAnsi="Cambria Math" w:cs="Cambria Math"/>
          <w:color w:val="000000" w:themeColor="text1"/>
          <w:sz w:val="14"/>
        </w:rPr>
        <w:t xml:space="preserve">0 </w:t>
      </w:r>
      <w:r w:rsidRPr="00682149">
        <w:rPr>
          <w:rFonts w:ascii="Cambria Math" w:eastAsia="Cambria Math" w:hAnsi="Cambria Math" w:cs="Cambria Math"/>
          <w:color w:val="000000" w:themeColor="text1"/>
          <w:sz w:val="20"/>
        </w:rPr>
        <w:t xml:space="preserve">𝑥 </w:t>
      </w:r>
      <w:r w:rsidRPr="00682149">
        <w:rPr>
          <w:noProof/>
          <w:color w:val="000000" w:themeColor="text1"/>
          <w:lang w:val="es-CO" w:eastAsia="es-CO"/>
        </w:rPr>
        <mc:AlternateContent>
          <mc:Choice Requires="wpg">
            <w:drawing>
              <wp:inline distT="0" distB="0" distL="0" distR="0" wp14:anchorId="25437C65" wp14:editId="5B6C1553">
                <wp:extent cx="403860" cy="7620"/>
                <wp:effectExtent l="0" t="0" r="0" b="0"/>
                <wp:docPr id="2" name="Group 555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3860" cy="7620"/>
                          <a:chOff x="0" y="0"/>
                          <a:chExt cx="403860" cy="7620"/>
                        </a:xfrm>
                      </wpg:grpSpPr>
                      <wps:wsp>
                        <wps:cNvPr id="3" name="Shape 68446"/>
                        <wps:cNvSpPr/>
                        <wps:spPr>
                          <a:xfrm>
                            <a:off x="0" y="0"/>
                            <a:ext cx="403860" cy="9144"/>
                          </a:xfrm>
                          <a:custGeom>
                            <a:avLst/>
                            <a:gdLst/>
                            <a:ahLst/>
                            <a:cxnLst/>
                            <a:rect l="0" t="0" r="0" b="0"/>
                            <a:pathLst>
                              <a:path w="403860" h="9144">
                                <a:moveTo>
                                  <a:pt x="0" y="0"/>
                                </a:moveTo>
                                <a:lnTo>
                                  <a:pt x="403860" y="0"/>
                                </a:lnTo>
                                <a:lnTo>
                                  <a:pt x="40386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098A64D5" id="Group 55592" o:spid="_x0000_s1026" style="width:31.8pt;height:.6pt;mso-position-horizontal-relative:char;mso-position-vertical-relative:line" coordsize="4038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">
                <v:shape id="Shape 68446" o:spid="_x0000_s1027" style="position:absolute;width:403860;height:9144;visibility:visible;mso-wrap-style:square;v-text-anchor:top" coordsize="4038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" path="m,l403860,r,9144l,9144,,e" fillcolor="black" stroked="f" strokeweight="0">
                  <v:stroke miterlimit="83231f" joinstyle="miter"/>
                  <v:path arrowok="t" textboxrect="0,0,403860,9144"/>
                </v:shape>
                <w10:anchorlock/>
              </v:group>
            </w:pict>
          </mc:Fallback>
        </mc:AlternateContent>
      </w:r>
      <w:r w:rsidRPr="00682149">
        <w:rPr>
          <w:rFonts w:ascii="Cambria Math" w:eastAsia="Cambria Math" w:hAnsi="Cambria Math" w:cs="Cambria Math"/>
          <w:color w:val="000000" w:themeColor="text1"/>
          <w:sz w:val="21"/>
        </w:rPr>
        <w:t xml:space="preserve"> </w:t>
      </w:r>
    </w:p>
    <w:p w14:paraId="53922C1E" w14:textId="00ADE92E" w:rsidR="00B54782" w:rsidRPr="00682149" w:rsidRDefault="00E1628A" w:rsidP="001C138F">
      <w:pPr>
        <w:spacing w:after="0" w:line="276" w:lineRule="auto"/>
        <w:ind w:right="116"/>
        <w:jc w:val="center"/>
        <w:rPr>
          <w:color w:val="000000" w:themeColor="text1"/>
        </w:rPr>
      </w:pPr>
      <w:r w:rsidRPr="00682149">
        <w:rPr>
          <w:rFonts w:ascii="Cambria Math" w:eastAsia="Cambria Math" w:hAnsi="Cambria Math" w:cs="Cambria Math"/>
          <w:color w:val="000000" w:themeColor="text1"/>
          <w:sz w:val="20"/>
        </w:rPr>
        <w:t>𝐼𝑃𝐶</w:t>
      </w:r>
      <w:r w:rsidRPr="00682149">
        <w:rPr>
          <w:rFonts w:ascii="Cambria Math" w:eastAsia="Cambria Math" w:hAnsi="Cambria Math" w:cs="Cambria Math"/>
          <w:color w:val="000000" w:themeColor="text1"/>
          <w:sz w:val="20"/>
          <w:vertAlign w:val="subscript"/>
        </w:rPr>
        <w:t>0</w:t>
      </w:r>
    </w:p>
    <w:tbl>
      <w:tblPr>
        <w:tblW w:w="8893" w:type="dxa"/>
        <w:tblCellMar>
          <w:left w:w="0" w:type="dxa"/>
          <w:right w:w="0" w:type="dxa"/>
        </w:tblCellMar>
        <w:tblLook w:val="04A0" w:firstRow="1" w:lastRow="0" w:firstColumn="1" w:lastColumn="0" w:noHBand="0" w:noVBand="1"/>
      </w:tblPr>
      <w:tblGrid>
        <w:gridCol w:w="2125"/>
        <w:gridCol w:w="6768"/>
      </w:tblGrid>
      <w:tr w:rsidR="00682149" w:rsidRPr="00682149" w14:paraId="6A6F73CD" w14:textId="77777777" w:rsidTr="00932B8E">
        <w:trPr>
          <w:trHeight w:val="765"/>
        </w:trPr>
        <w:tc>
          <w:tcPr>
            <w:tcW w:w="2125" w:type="dxa"/>
            <w:tcBorders>
              <w:top w:val="nil"/>
              <w:left w:val="nil"/>
              <w:bottom w:val="nil"/>
              <w:right w:val="nil"/>
            </w:tcBorders>
            <w:shd w:val="clear" w:color="auto" w:fill="auto"/>
          </w:tcPr>
          <w:p w14:paraId="60845FCB" w14:textId="64CE0048" w:rsidR="00B54782" w:rsidRPr="00682149" w:rsidRDefault="00B54782" w:rsidP="001C138F">
            <w:pPr>
              <w:spacing w:after="0" w:line="276" w:lineRule="auto"/>
              <w:ind w:left="567"/>
              <w:jc w:val="both"/>
              <w:rPr>
                <w:rFonts w:ascii="Arial" w:hAnsi="Arial" w:cs="Arial"/>
                <w:color w:val="000000" w:themeColor="text1"/>
              </w:rPr>
            </w:pPr>
            <w:r w:rsidRPr="00682149">
              <w:rPr>
                <w:rFonts w:ascii="Arial" w:eastAsia="Cambria Math" w:hAnsi="Arial" w:cs="Arial"/>
                <w:color w:val="000000" w:themeColor="text1"/>
              </w:rPr>
              <w:t xml:space="preserve">  </w:t>
            </w:r>
          </w:p>
          <w:p w14:paraId="515BEB0D"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En donde: </w:t>
            </w:r>
          </w:p>
          <w:p w14:paraId="4E5538AC"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 </w:t>
            </w:r>
          </w:p>
        </w:tc>
        <w:tc>
          <w:tcPr>
            <w:tcW w:w="6769" w:type="dxa"/>
            <w:tcBorders>
              <w:top w:val="nil"/>
              <w:left w:val="nil"/>
              <w:bottom w:val="nil"/>
              <w:right w:val="nil"/>
            </w:tcBorders>
            <w:shd w:val="clear" w:color="auto" w:fill="auto"/>
          </w:tcPr>
          <w:p w14:paraId="366C0E5A" w14:textId="77777777" w:rsidR="00B54782" w:rsidRPr="00682149" w:rsidRDefault="00B54782" w:rsidP="001C138F">
            <w:pPr>
              <w:spacing w:after="0" w:line="276" w:lineRule="auto"/>
              <w:ind w:left="567"/>
              <w:jc w:val="both"/>
              <w:rPr>
                <w:rFonts w:ascii="Arial" w:hAnsi="Arial" w:cs="Arial"/>
                <w:color w:val="000000" w:themeColor="text1"/>
              </w:rPr>
            </w:pPr>
          </w:p>
        </w:tc>
      </w:tr>
      <w:tr w:rsidR="00682149" w:rsidRPr="00682149" w14:paraId="0A88A457" w14:textId="77777777" w:rsidTr="00932B8E">
        <w:trPr>
          <w:trHeight w:val="695"/>
        </w:trPr>
        <w:tc>
          <w:tcPr>
            <w:tcW w:w="2125" w:type="dxa"/>
            <w:tcBorders>
              <w:top w:val="nil"/>
              <w:left w:val="nil"/>
              <w:bottom w:val="nil"/>
              <w:right w:val="nil"/>
            </w:tcBorders>
            <w:shd w:val="clear" w:color="auto" w:fill="auto"/>
          </w:tcPr>
          <w:p w14:paraId="50BA68E5"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Cambria Math" w:eastAsia="Cambria Math" w:hAnsi="Cambria Math" w:cs="Cambria Math"/>
                <w:color w:val="000000" w:themeColor="text1"/>
              </w:rPr>
              <w:t>𝐶</w:t>
            </w:r>
            <w:r w:rsidRPr="00682149">
              <w:rPr>
                <w:rFonts w:ascii="Arial" w:hAnsi="Arial" w:cs="Arial"/>
                <w:i/>
                <w:color w:val="000000" w:themeColor="text1"/>
                <w:vertAlign w:val="subscript"/>
              </w:rPr>
              <w:t>m</w:t>
            </w:r>
            <w:r w:rsidRPr="00682149">
              <w:rPr>
                <w:rFonts w:ascii="Arial" w:hAnsi="Arial" w:cs="Arial"/>
                <w:i/>
                <w:color w:val="000000" w:themeColor="text1"/>
              </w:rPr>
              <w:t xml:space="preserve">            : </w:t>
            </w:r>
          </w:p>
          <w:p w14:paraId="1A5708D6"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 </w:t>
            </w:r>
          </w:p>
        </w:tc>
        <w:tc>
          <w:tcPr>
            <w:tcW w:w="6769" w:type="dxa"/>
            <w:tcBorders>
              <w:top w:val="nil"/>
              <w:left w:val="nil"/>
              <w:bottom w:val="nil"/>
              <w:right w:val="nil"/>
            </w:tcBorders>
            <w:shd w:val="clear" w:color="auto" w:fill="auto"/>
          </w:tcPr>
          <w:p w14:paraId="17FAC5F2"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Cargo máximo de comercialización del mes m, expresado en pesos por usuario al mes ($/mes). </w:t>
            </w:r>
          </w:p>
        </w:tc>
      </w:tr>
      <w:tr w:rsidR="00682149" w:rsidRPr="00682149" w14:paraId="6F85B0F9" w14:textId="77777777" w:rsidTr="00932B8E">
        <w:trPr>
          <w:trHeight w:val="925"/>
        </w:trPr>
        <w:tc>
          <w:tcPr>
            <w:tcW w:w="2125" w:type="dxa"/>
            <w:tcBorders>
              <w:top w:val="nil"/>
              <w:left w:val="nil"/>
              <w:bottom w:val="nil"/>
              <w:right w:val="nil"/>
            </w:tcBorders>
            <w:shd w:val="clear" w:color="auto" w:fill="auto"/>
          </w:tcPr>
          <w:p w14:paraId="371565C3"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Cambria Math" w:eastAsia="Cambria Math" w:hAnsi="Cambria Math" w:cs="Cambria Math"/>
                <w:color w:val="000000" w:themeColor="text1"/>
              </w:rPr>
              <w:t>𝐶</w:t>
            </w:r>
            <w:r w:rsidRPr="00682149">
              <w:rPr>
                <w:rFonts w:ascii="Arial" w:hAnsi="Arial" w:cs="Arial"/>
                <w:i/>
                <w:color w:val="000000" w:themeColor="text1"/>
              </w:rPr>
              <w:t xml:space="preserve">0                   :  </w:t>
            </w:r>
          </w:p>
          <w:p w14:paraId="4AEDC09B"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 </w:t>
            </w:r>
          </w:p>
        </w:tc>
        <w:tc>
          <w:tcPr>
            <w:tcW w:w="6769" w:type="dxa"/>
            <w:tcBorders>
              <w:top w:val="nil"/>
              <w:left w:val="nil"/>
              <w:bottom w:val="nil"/>
              <w:right w:val="nil"/>
            </w:tcBorders>
            <w:shd w:val="clear" w:color="auto" w:fill="auto"/>
          </w:tcPr>
          <w:p w14:paraId="1E02E130"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Cargo máximo de comercialización de energía eléctrica de sistemas solares fotovoltaicos individuales AC con potencia mayor a 0.5 kW, expresado en pesos por usuario al mes ($/mes), en pesos de la fecha base. </w:t>
            </w:r>
          </w:p>
        </w:tc>
      </w:tr>
      <w:tr w:rsidR="00682149" w:rsidRPr="00682149" w14:paraId="6D140DDF" w14:textId="77777777" w:rsidTr="00932B8E">
        <w:trPr>
          <w:trHeight w:val="466"/>
        </w:trPr>
        <w:tc>
          <w:tcPr>
            <w:tcW w:w="2125" w:type="dxa"/>
            <w:tcBorders>
              <w:top w:val="nil"/>
              <w:left w:val="nil"/>
              <w:bottom w:val="nil"/>
              <w:right w:val="nil"/>
            </w:tcBorders>
            <w:shd w:val="clear" w:color="auto" w:fill="auto"/>
          </w:tcPr>
          <w:p w14:paraId="76E325AF" w14:textId="77777777" w:rsidR="00B54782" w:rsidRPr="00682149" w:rsidRDefault="00B54782" w:rsidP="001C138F">
            <w:pPr>
              <w:spacing w:after="0" w:line="276" w:lineRule="auto"/>
              <w:ind w:left="567" w:hanging="15"/>
              <w:jc w:val="both"/>
              <w:rPr>
                <w:rFonts w:ascii="Arial" w:hAnsi="Arial" w:cs="Arial"/>
                <w:color w:val="000000" w:themeColor="text1"/>
              </w:rPr>
            </w:pPr>
            <w:r w:rsidRPr="00682149">
              <w:rPr>
                <w:rFonts w:ascii="Cambria Math" w:eastAsia="Cambria Math" w:hAnsi="Cambria Math" w:cs="Cambria Math"/>
                <w:color w:val="000000" w:themeColor="text1"/>
              </w:rPr>
              <w:t>𝐼𝑃𝐶</w:t>
            </w:r>
            <w:r w:rsidRPr="00682149">
              <w:rPr>
                <w:rFonts w:ascii="Arial" w:hAnsi="Arial" w:cs="Arial"/>
                <w:i/>
                <w:color w:val="000000" w:themeColor="text1"/>
              </w:rPr>
              <w:t xml:space="preserve">m-1         :  </w:t>
            </w:r>
          </w:p>
        </w:tc>
        <w:tc>
          <w:tcPr>
            <w:tcW w:w="6769" w:type="dxa"/>
            <w:tcBorders>
              <w:top w:val="nil"/>
              <w:left w:val="nil"/>
              <w:bottom w:val="nil"/>
              <w:right w:val="nil"/>
            </w:tcBorders>
            <w:shd w:val="clear" w:color="auto" w:fill="auto"/>
          </w:tcPr>
          <w:p w14:paraId="032993B4"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Índice de precios al consumidor, del mes m-1. </w:t>
            </w:r>
          </w:p>
        </w:tc>
      </w:tr>
      <w:tr w:rsidR="00682149" w:rsidRPr="00682149" w14:paraId="6AAD56E1" w14:textId="77777777" w:rsidTr="00932B8E">
        <w:trPr>
          <w:trHeight w:val="463"/>
        </w:trPr>
        <w:tc>
          <w:tcPr>
            <w:tcW w:w="2125" w:type="dxa"/>
            <w:tcBorders>
              <w:top w:val="nil"/>
              <w:left w:val="nil"/>
              <w:bottom w:val="nil"/>
              <w:right w:val="nil"/>
            </w:tcBorders>
            <w:shd w:val="clear" w:color="auto" w:fill="auto"/>
          </w:tcPr>
          <w:p w14:paraId="356507AB" w14:textId="77777777" w:rsidR="00B54782" w:rsidRPr="00682149" w:rsidRDefault="00B54782" w:rsidP="001C138F">
            <w:pPr>
              <w:spacing w:after="0" w:line="276" w:lineRule="auto"/>
              <w:ind w:left="567" w:hanging="15"/>
              <w:jc w:val="both"/>
              <w:rPr>
                <w:rFonts w:ascii="Arial" w:hAnsi="Arial" w:cs="Arial"/>
                <w:color w:val="000000" w:themeColor="text1"/>
              </w:rPr>
            </w:pPr>
            <w:r w:rsidRPr="00682149">
              <w:rPr>
                <w:rFonts w:ascii="Cambria Math" w:eastAsia="Cambria Math" w:hAnsi="Cambria Math" w:cs="Cambria Math"/>
                <w:color w:val="000000" w:themeColor="text1"/>
              </w:rPr>
              <w:t>𝐼𝑃𝐶</w:t>
            </w:r>
            <w:r w:rsidRPr="00682149">
              <w:rPr>
                <w:rFonts w:ascii="Arial" w:hAnsi="Arial" w:cs="Arial"/>
                <w:i/>
                <w:color w:val="000000" w:themeColor="text1"/>
                <w:vertAlign w:val="subscript"/>
              </w:rPr>
              <w:t>0</w:t>
            </w:r>
            <w:r w:rsidRPr="00682149">
              <w:rPr>
                <w:rFonts w:ascii="Arial" w:hAnsi="Arial" w:cs="Arial"/>
                <w:i/>
                <w:color w:val="000000" w:themeColor="text1"/>
              </w:rPr>
              <w:t xml:space="preserve">         :   </w:t>
            </w:r>
          </w:p>
        </w:tc>
        <w:tc>
          <w:tcPr>
            <w:tcW w:w="6769" w:type="dxa"/>
            <w:tcBorders>
              <w:top w:val="nil"/>
              <w:left w:val="nil"/>
              <w:bottom w:val="nil"/>
              <w:right w:val="nil"/>
            </w:tcBorders>
            <w:shd w:val="clear" w:color="auto" w:fill="auto"/>
          </w:tcPr>
          <w:p w14:paraId="7FE40C00"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Índice de precios al consumidor, de la fecha base. </w:t>
            </w:r>
          </w:p>
        </w:tc>
      </w:tr>
      <w:tr w:rsidR="00682149" w:rsidRPr="00682149" w14:paraId="604A6A38" w14:textId="77777777" w:rsidTr="00932B8E">
        <w:trPr>
          <w:trHeight w:val="231"/>
        </w:trPr>
        <w:tc>
          <w:tcPr>
            <w:tcW w:w="2125" w:type="dxa"/>
            <w:tcBorders>
              <w:top w:val="nil"/>
              <w:left w:val="nil"/>
              <w:bottom w:val="nil"/>
              <w:right w:val="nil"/>
            </w:tcBorders>
            <w:shd w:val="clear" w:color="auto" w:fill="auto"/>
          </w:tcPr>
          <w:p w14:paraId="16EAF1BF"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Cambria Math" w:eastAsia="Cambria Math" w:hAnsi="Cambria Math" w:cs="Cambria Math"/>
                <w:color w:val="000000" w:themeColor="text1"/>
              </w:rPr>
              <w:t>𝑚</w:t>
            </w:r>
            <w:r w:rsidRPr="00682149">
              <w:rPr>
                <w:rFonts w:ascii="Arial" w:hAnsi="Arial" w:cs="Arial"/>
                <w:i/>
                <w:color w:val="000000" w:themeColor="text1"/>
              </w:rPr>
              <w:t xml:space="preserve">             : </w:t>
            </w:r>
          </w:p>
        </w:tc>
        <w:tc>
          <w:tcPr>
            <w:tcW w:w="6769" w:type="dxa"/>
            <w:tcBorders>
              <w:top w:val="nil"/>
              <w:left w:val="nil"/>
              <w:bottom w:val="nil"/>
              <w:right w:val="nil"/>
            </w:tcBorders>
            <w:shd w:val="clear" w:color="auto" w:fill="auto"/>
          </w:tcPr>
          <w:p w14:paraId="4E48F777"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Mes de cálculo del costo de prestación del servicio. </w:t>
            </w:r>
          </w:p>
        </w:tc>
      </w:tr>
    </w:tbl>
    <w:p w14:paraId="21D9C5F4"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lastRenderedPageBreak/>
        <w:t xml:space="preserve"> </w:t>
      </w:r>
    </w:p>
    <w:p w14:paraId="3A8BF2CA"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Arial" w:hAnsi="Arial" w:cs="Arial"/>
          <w:b/>
          <w:i/>
          <w:color w:val="000000" w:themeColor="text1"/>
        </w:rPr>
        <w:t xml:space="preserve">Artículo 10. Fórmula tarifaria general. </w:t>
      </w:r>
      <w:r w:rsidRPr="00682149">
        <w:rPr>
          <w:rFonts w:ascii="Arial" w:hAnsi="Arial" w:cs="Arial"/>
          <w:i/>
          <w:color w:val="000000" w:themeColor="text1"/>
        </w:rPr>
        <w:t xml:space="preserve">El costo de prestación del servicio de energía eléctrica para usuarios regulados, atendidos con sistemas solares fotovoltaicos individuales AC con potencia mayor a 0.5 kW, se determinará mediante la siguiente fórmula tarifaria: </w:t>
      </w:r>
    </w:p>
    <w:p w14:paraId="25EDFE5C"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 </w:t>
      </w:r>
    </w:p>
    <w:p w14:paraId="3643D422"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Cambria Math" w:eastAsia="Cambria Math" w:hAnsi="Cambria Math" w:cs="Cambria Math"/>
          <w:color w:val="000000" w:themeColor="text1"/>
        </w:rPr>
        <w:t>𝐶𝑈</w:t>
      </w:r>
      <w:r w:rsidRPr="00682149">
        <w:rPr>
          <w:rFonts w:ascii="Arial" w:eastAsia="Cambria Math" w:hAnsi="Arial" w:cs="Arial"/>
          <w:color w:val="000000" w:themeColor="text1"/>
          <w:vertAlign w:val="subscript"/>
        </w:rPr>
        <w:t>m</w:t>
      </w:r>
      <w:r w:rsidRPr="00682149">
        <w:rPr>
          <w:rFonts w:ascii="Arial" w:eastAsia="MS Gothic" w:hAnsi="Arial" w:cs="Arial"/>
          <w:color w:val="000000" w:themeColor="text1"/>
        </w:rPr>
        <w:t xml:space="preserve"> = </w:t>
      </w:r>
      <w:r w:rsidRPr="00682149">
        <w:rPr>
          <w:rFonts w:ascii="Cambria Math" w:eastAsia="Cambria Math" w:hAnsi="Cambria Math" w:cs="Cambria Math"/>
          <w:color w:val="000000" w:themeColor="text1"/>
        </w:rPr>
        <w:t>𝐺</w:t>
      </w:r>
      <w:r w:rsidRPr="00682149">
        <w:rPr>
          <w:rFonts w:ascii="Arial" w:eastAsia="Cambria Math" w:hAnsi="Arial" w:cs="Arial"/>
          <w:color w:val="000000" w:themeColor="text1"/>
          <w:vertAlign w:val="subscript"/>
        </w:rPr>
        <w:t>m</w:t>
      </w:r>
      <w:r w:rsidRPr="00682149">
        <w:rPr>
          <w:rFonts w:ascii="Arial" w:eastAsia="MS Gothic" w:hAnsi="Arial" w:cs="Arial"/>
          <w:color w:val="000000" w:themeColor="text1"/>
        </w:rPr>
        <w:t xml:space="preserve"> + </w:t>
      </w:r>
      <w:r w:rsidRPr="00682149">
        <w:rPr>
          <w:rFonts w:ascii="Cambria Math" w:eastAsia="Cambria Math" w:hAnsi="Cambria Math" w:cs="Cambria Math"/>
          <w:color w:val="000000" w:themeColor="text1"/>
        </w:rPr>
        <w:t>𝐶</w:t>
      </w:r>
      <w:r w:rsidRPr="00682149">
        <w:rPr>
          <w:rFonts w:ascii="Arial" w:eastAsia="Cambria Math" w:hAnsi="Arial" w:cs="Arial"/>
          <w:color w:val="000000" w:themeColor="text1"/>
          <w:vertAlign w:val="subscript"/>
        </w:rPr>
        <w:t>m</w:t>
      </w:r>
      <w:r w:rsidRPr="00682149">
        <w:rPr>
          <w:rFonts w:ascii="Arial" w:eastAsia="MS Gothic" w:hAnsi="Arial" w:cs="Arial"/>
          <w:color w:val="000000" w:themeColor="text1"/>
        </w:rPr>
        <w:t xml:space="preserve"> </w:t>
      </w:r>
    </w:p>
    <w:tbl>
      <w:tblPr>
        <w:tblW w:w="8942" w:type="dxa"/>
        <w:tblCellMar>
          <w:left w:w="0" w:type="dxa"/>
          <w:right w:w="0" w:type="dxa"/>
        </w:tblCellMar>
        <w:tblLook w:val="04A0" w:firstRow="1" w:lastRow="0" w:firstColumn="1" w:lastColumn="0" w:noHBand="0" w:noVBand="1"/>
      </w:tblPr>
      <w:tblGrid>
        <w:gridCol w:w="2125"/>
        <w:gridCol w:w="6817"/>
      </w:tblGrid>
      <w:tr w:rsidR="00682149" w:rsidRPr="00682149" w14:paraId="47722828" w14:textId="77777777" w:rsidTr="00932B8E">
        <w:trPr>
          <w:trHeight w:val="736"/>
        </w:trPr>
        <w:tc>
          <w:tcPr>
            <w:tcW w:w="2125" w:type="dxa"/>
            <w:tcBorders>
              <w:top w:val="nil"/>
              <w:left w:val="nil"/>
              <w:bottom w:val="nil"/>
              <w:right w:val="nil"/>
            </w:tcBorders>
            <w:shd w:val="clear" w:color="auto" w:fill="auto"/>
          </w:tcPr>
          <w:p w14:paraId="632DE57B"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 </w:t>
            </w:r>
          </w:p>
          <w:p w14:paraId="72C9844F"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En donde, </w:t>
            </w:r>
          </w:p>
          <w:p w14:paraId="37E5C8BB"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 </w:t>
            </w:r>
          </w:p>
        </w:tc>
        <w:tc>
          <w:tcPr>
            <w:tcW w:w="6817" w:type="dxa"/>
            <w:tcBorders>
              <w:top w:val="nil"/>
              <w:left w:val="nil"/>
              <w:bottom w:val="nil"/>
              <w:right w:val="nil"/>
            </w:tcBorders>
            <w:shd w:val="clear" w:color="auto" w:fill="auto"/>
          </w:tcPr>
          <w:p w14:paraId="0552757E" w14:textId="77777777" w:rsidR="00B54782" w:rsidRPr="00682149" w:rsidRDefault="00B54782" w:rsidP="001C138F">
            <w:pPr>
              <w:spacing w:after="0" w:line="276" w:lineRule="auto"/>
              <w:ind w:left="567"/>
              <w:jc w:val="both"/>
              <w:rPr>
                <w:rFonts w:ascii="Arial" w:hAnsi="Arial" w:cs="Arial"/>
                <w:color w:val="000000" w:themeColor="text1"/>
              </w:rPr>
            </w:pPr>
          </w:p>
        </w:tc>
      </w:tr>
      <w:tr w:rsidR="00682149" w:rsidRPr="00682149" w14:paraId="739555C0" w14:textId="77777777" w:rsidTr="00932B8E">
        <w:trPr>
          <w:trHeight w:val="1154"/>
        </w:trPr>
        <w:tc>
          <w:tcPr>
            <w:tcW w:w="2125" w:type="dxa"/>
            <w:tcBorders>
              <w:top w:val="nil"/>
              <w:left w:val="nil"/>
              <w:bottom w:val="nil"/>
              <w:right w:val="nil"/>
            </w:tcBorders>
            <w:shd w:val="clear" w:color="auto" w:fill="auto"/>
          </w:tcPr>
          <w:p w14:paraId="017B6804"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Cambria Math" w:eastAsia="Cambria Math" w:hAnsi="Cambria Math" w:cs="Cambria Math"/>
                <w:color w:val="000000" w:themeColor="text1"/>
              </w:rPr>
              <w:t>𝐶𝑈</w:t>
            </w:r>
            <w:r w:rsidRPr="00682149">
              <w:rPr>
                <w:rFonts w:ascii="Arial" w:hAnsi="Arial" w:cs="Arial"/>
                <w:i/>
                <w:color w:val="000000" w:themeColor="text1"/>
                <w:vertAlign w:val="subscript"/>
              </w:rPr>
              <w:t>m</w:t>
            </w:r>
            <w:r w:rsidRPr="00682149">
              <w:rPr>
                <w:rFonts w:ascii="Arial" w:hAnsi="Arial" w:cs="Arial"/>
                <w:i/>
                <w:color w:val="000000" w:themeColor="text1"/>
              </w:rPr>
              <w:t xml:space="preserve">         : </w:t>
            </w:r>
          </w:p>
          <w:p w14:paraId="765220FD"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 </w:t>
            </w:r>
          </w:p>
        </w:tc>
        <w:tc>
          <w:tcPr>
            <w:tcW w:w="6817" w:type="dxa"/>
            <w:tcBorders>
              <w:top w:val="nil"/>
              <w:left w:val="nil"/>
              <w:bottom w:val="nil"/>
              <w:right w:val="nil"/>
            </w:tcBorders>
            <w:shd w:val="clear" w:color="auto" w:fill="auto"/>
          </w:tcPr>
          <w:p w14:paraId="47C88B50"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Costo de prestación del servicio de energía eléctrica para usuarios regulados, atendidos con sistemas solares fotovoltaicos individuales AC con  potencia mayor a 0.5 kW, expresado en pesos por usuario al mes ($/mes), en pesos del mes m. </w:t>
            </w:r>
          </w:p>
        </w:tc>
      </w:tr>
      <w:tr w:rsidR="00682149" w:rsidRPr="00682149" w14:paraId="5DEDB28C" w14:textId="77777777" w:rsidTr="00932B8E">
        <w:trPr>
          <w:trHeight w:val="694"/>
        </w:trPr>
        <w:tc>
          <w:tcPr>
            <w:tcW w:w="2125" w:type="dxa"/>
            <w:tcBorders>
              <w:top w:val="nil"/>
              <w:left w:val="nil"/>
              <w:bottom w:val="nil"/>
              <w:right w:val="nil"/>
            </w:tcBorders>
            <w:shd w:val="clear" w:color="auto" w:fill="auto"/>
          </w:tcPr>
          <w:p w14:paraId="430790D9"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Cambria Math" w:eastAsia="Cambria Math" w:hAnsi="Cambria Math" w:cs="Cambria Math"/>
                <w:color w:val="000000" w:themeColor="text1"/>
              </w:rPr>
              <w:t>𝐺</w:t>
            </w:r>
            <w:r w:rsidRPr="00682149">
              <w:rPr>
                <w:rFonts w:ascii="Arial" w:hAnsi="Arial" w:cs="Arial"/>
                <w:i/>
                <w:color w:val="000000" w:themeColor="text1"/>
              </w:rPr>
              <w:t xml:space="preserve">m                : </w:t>
            </w:r>
          </w:p>
          <w:p w14:paraId="144CB677"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 </w:t>
            </w:r>
          </w:p>
        </w:tc>
        <w:tc>
          <w:tcPr>
            <w:tcW w:w="6817" w:type="dxa"/>
            <w:tcBorders>
              <w:top w:val="nil"/>
              <w:left w:val="nil"/>
              <w:bottom w:val="nil"/>
              <w:right w:val="nil"/>
            </w:tcBorders>
            <w:shd w:val="clear" w:color="auto" w:fill="auto"/>
          </w:tcPr>
          <w:p w14:paraId="5E00C0B4"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Cargo máximo de generación del mes m, expresado en pesos por usuario al mes ($/mes). </w:t>
            </w:r>
          </w:p>
        </w:tc>
      </w:tr>
      <w:tr w:rsidR="00682149" w:rsidRPr="00682149" w14:paraId="4505FE19" w14:textId="77777777" w:rsidTr="00932B8E">
        <w:trPr>
          <w:trHeight w:val="678"/>
        </w:trPr>
        <w:tc>
          <w:tcPr>
            <w:tcW w:w="2125" w:type="dxa"/>
            <w:tcBorders>
              <w:top w:val="nil"/>
              <w:left w:val="nil"/>
              <w:bottom w:val="nil"/>
              <w:right w:val="nil"/>
            </w:tcBorders>
            <w:shd w:val="clear" w:color="auto" w:fill="auto"/>
          </w:tcPr>
          <w:p w14:paraId="02E79A0D"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Cambria Math" w:eastAsia="Cambria Math" w:hAnsi="Cambria Math" w:cs="Cambria Math"/>
                <w:color w:val="000000" w:themeColor="text1"/>
              </w:rPr>
              <w:t>𝐶</w:t>
            </w:r>
            <w:r w:rsidRPr="00682149">
              <w:rPr>
                <w:rFonts w:ascii="Arial" w:hAnsi="Arial" w:cs="Arial"/>
                <w:i/>
                <w:color w:val="000000" w:themeColor="text1"/>
                <w:vertAlign w:val="subscript"/>
              </w:rPr>
              <w:t>m</w:t>
            </w:r>
            <w:r w:rsidRPr="00682149">
              <w:rPr>
                <w:rFonts w:ascii="Arial" w:hAnsi="Arial" w:cs="Arial"/>
                <w:i/>
                <w:color w:val="000000" w:themeColor="text1"/>
              </w:rPr>
              <w:t xml:space="preserve">           : </w:t>
            </w:r>
          </w:p>
          <w:p w14:paraId="0A0D9B80"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 </w:t>
            </w:r>
          </w:p>
        </w:tc>
        <w:tc>
          <w:tcPr>
            <w:tcW w:w="6817" w:type="dxa"/>
            <w:tcBorders>
              <w:top w:val="nil"/>
              <w:left w:val="nil"/>
              <w:bottom w:val="nil"/>
              <w:right w:val="nil"/>
            </w:tcBorders>
            <w:shd w:val="clear" w:color="auto" w:fill="auto"/>
          </w:tcPr>
          <w:p w14:paraId="47132883"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Cargo máximo de comercialización del mes m, expresado en pesos por usuario al mes ($/mes). </w:t>
            </w:r>
          </w:p>
        </w:tc>
      </w:tr>
      <w:tr w:rsidR="00682149" w:rsidRPr="00682149" w14:paraId="79B50C9D" w14:textId="77777777" w:rsidTr="00932B8E">
        <w:trPr>
          <w:trHeight w:val="255"/>
        </w:trPr>
        <w:tc>
          <w:tcPr>
            <w:tcW w:w="2125" w:type="dxa"/>
            <w:tcBorders>
              <w:top w:val="nil"/>
              <w:left w:val="nil"/>
              <w:bottom w:val="nil"/>
              <w:right w:val="nil"/>
            </w:tcBorders>
            <w:shd w:val="clear" w:color="auto" w:fill="auto"/>
          </w:tcPr>
          <w:p w14:paraId="11F1F1CE"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Cambria Math" w:eastAsia="Cambria Math" w:hAnsi="Cambria Math" w:cs="Cambria Math"/>
                <w:color w:val="000000" w:themeColor="text1"/>
              </w:rPr>
              <w:t>𝑚</w:t>
            </w:r>
            <w:r w:rsidRPr="00682149">
              <w:rPr>
                <w:rFonts w:ascii="Arial" w:hAnsi="Arial" w:cs="Arial"/>
                <w:i/>
                <w:color w:val="000000" w:themeColor="text1"/>
              </w:rPr>
              <w:t xml:space="preserve">            : </w:t>
            </w:r>
          </w:p>
        </w:tc>
        <w:tc>
          <w:tcPr>
            <w:tcW w:w="6817" w:type="dxa"/>
            <w:tcBorders>
              <w:top w:val="nil"/>
              <w:left w:val="nil"/>
              <w:bottom w:val="nil"/>
              <w:right w:val="nil"/>
            </w:tcBorders>
            <w:shd w:val="clear" w:color="auto" w:fill="auto"/>
          </w:tcPr>
          <w:p w14:paraId="09D634D2"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Mes de cálculo del costo de prestación del servicio. </w:t>
            </w:r>
          </w:p>
        </w:tc>
      </w:tr>
    </w:tbl>
    <w:p w14:paraId="31B1E94F"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Arial" w:hAnsi="Arial" w:cs="Arial"/>
          <w:b/>
          <w:i/>
          <w:color w:val="000000" w:themeColor="text1"/>
        </w:rPr>
        <w:t xml:space="preserve"> </w:t>
      </w:r>
    </w:p>
    <w:p w14:paraId="1150425C"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Arial" w:hAnsi="Arial" w:cs="Arial"/>
          <w:b/>
          <w:i/>
          <w:color w:val="000000" w:themeColor="text1"/>
        </w:rPr>
        <w:t xml:space="preserve">Parágrafo. </w:t>
      </w:r>
      <w:r w:rsidRPr="00682149">
        <w:rPr>
          <w:rFonts w:ascii="Arial" w:hAnsi="Arial" w:cs="Arial"/>
          <w:i/>
          <w:color w:val="000000" w:themeColor="text1"/>
        </w:rPr>
        <w:t xml:space="preserve">El prestador del servicio solamente podrá trasladar el porcentaje del costo proporcional a la disponibilidad real del servicio en cada mes. Toda vez que el equipo de medición se encuentra remunerado en el componente de comercialización, el prestador del servicio deberá contar con los medios idóneos para demostrar dicha disponibilidad y reportar la información a la SSPD para lo de su competencia. </w:t>
      </w:r>
    </w:p>
    <w:p w14:paraId="4F0E81E9"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 </w:t>
      </w:r>
    </w:p>
    <w:p w14:paraId="7A9AB436"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Arial" w:hAnsi="Arial" w:cs="Arial"/>
          <w:b/>
          <w:i/>
          <w:color w:val="000000" w:themeColor="text1"/>
        </w:rPr>
        <w:t xml:space="preserve">Artículo 11. Publicidad. </w:t>
      </w:r>
      <w:r w:rsidRPr="00682149">
        <w:rPr>
          <w:rFonts w:ascii="Arial" w:hAnsi="Arial" w:cs="Arial"/>
          <w:i/>
          <w:color w:val="000000" w:themeColor="text1"/>
        </w:rPr>
        <w:t xml:space="preserve">Mensualmente y antes de su aplicación, el prestador del servicio hará públicas las tarifas que facturará a los usuarios en forma simple y comprensible, a través de un medio de comunicación de amplia divulgación en los municipios donde preste el servicio, o en caso de no contarse con ello, a través de un medio de comunicación idóneo y que garantice que cualquier usuario puede tener acceso efectivo y oportuno a dicha información. Dicha publicación incluirá los valores de cada componente del costo de prestación del servicio. Los nuevos valores deberán ser comunicados por el prestador a la Superintendencia de Servicios Públicos Domiciliarios y a la Comisión de Regulación de Energía y Gas. </w:t>
      </w:r>
    </w:p>
    <w:p w14:paraId="1C008364"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 </w:t>
      </w:r>
    </w:p>
    <w:p w14:paraId="5ABD4BE6"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Arial" w:hAnsi="Arial" w:cs="Arial"/>
          <w:b/>
          <w:i/>
          <w:color w:val="000000" w:themeColor="text1"/>
        </w:rPr>
        <w:t xml:space="preserve">Artículo 12. Autorización para fijar Tarifas. </w:t>
      </w:r>
      <w:r w:rsidRPr="00682149">
        <w:rPr>
          <w:rFonts w:ascii="Arial" w:hAnsi="Arial" w:cs="Arial"/>
          <w:i/>
          <w:color w:val="000000" w:themeColor="text1"/>
        </w:rPr>
        <w:t xml:space="preserve">Dentro del régimen de libertad regulada, previsto en la Ley 142 de 1994, los prestadores del servicio de energía eléctrica a los que se refiere la presente resolución podrán aplicar la fórmula tarifaria correspondiente, a partir del mes siguiente a la publicación tarifaria de que trata el artículo 11 de la presente resolución. </w:t>
      </w:r>
    </w:p>
    <w:p w14:paraId="2B1595B7" w14:textId="77777777" w:rsidR="00B54782" w:rsidRPr="00682149" w:rsidRDefault="00B54782"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 </w:t>
      </w:r>
    </w:p>
    <w:p w14:paraId="761D5B2E" w14:textId="717A08FF" w:rsidR="00B54782" w:rsidRPr="00682149" w:rsidRDefault="00B54782" w:rsidP="001C138F">
      <w:pPr>
        <w:spacing w:after="0" w:line="276" w:lineRule="auto"/>
        <w:ind w:left="567"/>
        <w:jc w:val="both"/>
        <w:rPr>
          <w:rFonts w:ascii="Arial" w:hAnsi="Arial" w:cs="Arial"/>
          <w:color w:val="000000" w:themeColor="text1"/>
        </w:rPr>
      </w:pPr>
      <w:r w:rsidRPr="00682149">
        <w:rPr>
          <w:rFonts w:ascii="Arial" w:hAnsi="Arial" w:cs="Arial"/>
          <w:b/>
          <w:i/>
          <w:color w:val="000000" w:themeColor="text1"/>
        </w:rPr>
        <w:t xml:space="preserve">Artículo 13. Vigencia. </w:t>
      </w:r>
      <w:r w:rsidRPr="00682149">
        <w:rPr>
          <w:rFonts w:ascii="Arial" w:hAnsi="Arial" w:cs="Arial"/>
          <w:i/>
          <w:color w:val="000000" w:themeColor="text1"/>
        </w:rPr>
        <w:t xml:space="preserve">Esta resolución rige a partir de su publicación en el Diario Oficial y hasta la entrada en vigencia de la resolución por la cual se defina la fórmula tarifaria general para establecer la remuneración de la prestación del servicio de energía eléctrica mediante Soluciones Individuales Solares Fotovoltaicas.” </w:t>
      </w:r>
    </w:p>
    <w:p w14:paraId="4CA49D42" w14:textId="77777777" w:rsidR="000C2447" w:rsidRPr="00682149" w:rsidRDefault="000C2447" w:rsidP="001C138F">
      <w:pPr>
        <w:spacing w:after="0" w:line="276" w:lineRule="auto"/>
        <w:ind w:left="708"/>
        <w:rPr>
          <w:color w:val="000000" w:themeColor="text1"/>
        </w:rPr>
      </w:pPr>
    </w:p>
    <w:p w14:paraId="6FE5EC15" w14:textId="7482A025" w:rsidR="00454900" w:rsidRPr="00682149" w:rsidRDefault="00A73B92" w:rsidP="00AE3FC9">
      <w:pPr>
        <w:spacing w:after="0" w:line="276" w:lineRule="auto"/>
        <w:rPr>
          <w:rFonts w:ascii="Arial" w:eastAsia="Times New Roman" w:hAnsi="Arial" w:cs="Arial"/>
          <w:b/>
          <w:bCs/>
          <w:color w:val="000000" w:themeColor="text1"/>
          <w:sz w:val="24"/>
          <w:szCs w:val="24"/>
          <w:u w:val="single"/>
          <w:lang w:val="es-CO"/>
        </w:rPr>
      </w:pPr>
      <w:r w:rsidRPr="00682149">
        <w:rPr>
          <w:rFonts w:ascii="Arial" w:eastAsia="Arial" w:hAnsi="Arial" w:cs="Arial"/>
          <w:b/>
          <w:bCs/>
          <w:iCs/>
          <w:color w:val="000000" w:themeColor="text1"/>
          <w:sz w:val="24"/>
          <w:szCs w:val="24"/>
          <w:lang w:val="es-CO"/>
        </w:rPr>
        <w:t>2</w:t>
      </w:r>
      <w:r w:rsidR="00454900" w:rsidRPr="00682149">
        <w:rPr>
          <w:rFonts w:ascii="Arial" w:eastAsia="Arial" w:hAnsi="Arial" w:cs="Arial"/>
          <w:b/>
          <w:bCs/>
          <w:iCs/>
          <w:color w:val="000000" w:themeColor="text1"/>
          <w:sz w:val="24"/>
          <w:szCs w:val="24"/>
          <w:lang w:val="es-CO"/>
        </w:rPr>
        <w:t xml:space="preserve">.  </w:t>
      </w:r>
      <w:r w:rsidR="00454900" w:rsidRPr="00682149">
        <w:rPr>
          <w:rFonts w:ascii="Arial" w:eastAsia="Times New Roman" w:hAnsi="Arial" w:cs="Arial"/>
          <w:b/>
          <w:bCs/>
          <w:color w:val="000000" w:themeColor="text1"/>
          <w:sz w:val="24"/>
          <w:szCs w:val="24"/>
          <w:lang w:val="es-CO"/>
        </w:rPr>
        <w:tab/>
        <w:t xml:space="preserve"> Actuaciones surtidas</w:t>
      </w:r>
    </w:p>
    <w:p w14:paraId="4AA7F35B" w14:textId="77777777" w:rsidR="00AE3FC9" w:rsidRPr="00682149" w:rsidRDefault="00AE3FC9" w:rsidP="001C138F">
      <w:pPr>
        <w:spacing w:after="0" w:line="276" w:lineRule="auto"/>
        <w:jc w:val="both"/>
        <w:rPr>
          <w:rFonts w:ascii="Arial" w:hAnsi="Arial" w:cs="Arial"/>
          <w:b/>
          <w:color w:val="000000" w:themeColor="text1"/>
          <w:sz w:val="24"/>
          <w:szCs w:val="24"/>
          <w:lang w:val="es-CO"/>
        </w:rPr>
      </w:pPr>
    </w:p>
    <w:p w14:paraId="0042887C" w14:textId="69ADC693" w:rsidR="00454900" w:rsidRPr="00682149" w:rsidRDefault="00A73B92" w:rsidP="001C138F">
      <w:pPr>
        <w:spacing w:after="0" w:line="276" w:lineRule="auto"/>
        <w:jc w:val="both"/>
        <w:rPr>
          <w:rFonts w:ascii="Arial" w:eastAsia="Times New Roman" w:hAnsi="Arial" w:cs="Arial"/>
          <w:color w:val="000000" w:themeColor="text1"/>
          <w:sz w:val="24"/>
          <w:szCs w:val="24"/>
          <w:lang w:val="es-ES" w:eastAsia="es-ES"/>
        </w:rPr>
      </w:pPr>
      <w:r w:rsidRPr="00682149">
        <w:rPr>
          <w:rFonts w:ascii="Arial" w:hAnsi="Arial" w:cs="Arial"/>
          <w:b/>
          <w:color w:val="000000" w:themeColor="text1"/>
          <w:sz w:val="24"/>
          <w:szCs w:val="24"/>
          <w:lang w:val="es-CO"/>
        </w:rPr>
        <w:lastRenderedPageBreak/>
        <w:t>2</w:t>
      </w:r>
      <w:r w:rsidR="00454900" w:rsidRPr="00682149">
        <w:rPr>
          <w:rFonts w:ascii="Arial" w:hAnsi="Arial" w:cs="Arial"/>
          <w:b/>
          <w:color w:val="000000" w:themeColor="text1"/>
          <w:sz w:val="24"/>
          <w:szCs w:val="24"/>
          <w:lang w:val="es-CO"/>
        </w:rPr>
        <w:t>.1.</w:t>
      </w:r>
      <w:r w:rsidR="00454900" w:rsidRPr="00682149">
        <w:rPr>
          <w:rFonts w:ascii="Arial" w:hAnsi="Arial" w:cs="Arial"/>
          <w:color w:val="000000" w:themeColor="text1"/>
          <w:sz w:val="24"/>
          <w:szCs w:val="24"/>
          <w:lang w:val="es-CO"/>
        </w:rPr>
        <w:t xml:space="preserve"> Como lo registra el expediente, el Magistrado conductor del Proceso avocó el conocimiento del control inmediato de legalidad </w:t>
      </w:r>
      <w:r w:rsidR="00454900" w:rsidRPr="00682149">
        <w:rPr>
          <w:rFonts w:ascii="Arial" w:eastAsia="Times New Roman" w:hAnsi="Arial" w:cs="Arial"/>
          <w:color w:val="000000" w:themeColor="text1"/>
          <w:sz w:val="24"/>
          <w:szCs w:val="24"/>
          <w:lang w:val="es-ES" w:eastAsia="es-ES"/>
        </w:rPr>
        <w:t>del acto,</w:t>
      </w:r>
      <w:r w:rsidR="00454900" w:rsidRPr="00682149">
        <w:rPr>
          <w:rFonts w:ascii="Arial" w:eastAsia="Times New Roman" w:hAnsi="Arial" w:cs="Arial"/>
          <w:bCs/>
          <w:color w:val="000000" w:themeColor="text1"/>
          <w:sz w:val="24"/>
          <w:szCs w:val="24"/>
          <w:lang w:val="es-CO" w:eastAsia="es-ES"/>
        </w:rPr>
        <w:t xml:space="preserve"> al tiempo que ordenó: i) </w:t>
      </w:r>
      <w:r w:rsidR="00454900" w:rsidRPr="00682149">
        <w:rPr>
          <w:rFonts w:ascii="Arial" w:eastAsia="Times New Roman" w:hAnsi="Arial" w:cs="Arial"/>
          <w:color w:val="000000" w:themeColor="text1"/>
          <w:sz w:val="24"/>
          <w:szCs w:val="24"/>
          <w:lang w:val="es-CO" w:eastAsia="es-ES"/>
        </w:rPr>
        <w:t xml:space="preserve">fijar </w:t>
      </w:r>
      <w:r w:rsidR="00454900" w:rsidRPr="00682149">
        <w:rPr>
          <w:rFonts w:ascii="Arial" w:eastAsia="Times New Roman" w:hAnsi="Arial" w:cs="Arial"/>
          <w:color w:val="000000" w:themeColor="text1"/>
          <w:sz w:val="24"/>
          <w:szCs w:val="24"/>
          <w:lang w:val="es-ES" w:eastAsia="es-ES"/>
        </w:rPr>
        <w:t xml:space="preserve">en el sitio </w:t>
      </w:r>
      <w:r w:rsidR="00454900" w:rsidRPr="00682149">
        <w:rPr>
          <w:rFonts w:ascii="Arial" w:eastAsia="Times New Roman" w:hAnsi="Arial" w:cs="Arial"/>
          <w:i/>
          <w:iCs/>
          <w:color w:val="000000" w:themeColor="text1"/>
          <w:sz w:val="24"/>
          <w:szCs w:val="24"/>
          <w:lang w:val="es-ES" w:eastAsia="es-ES"/>
        </w:rPr>
        <w:t>web</w:t>
      </w:r>
      <w:r w:rsidR="00454900" w:rsidRPr="00682149">
        <w:rPr>
          <w:rFonts w:ascii="Arial" w:eastAsia="Times New Roman" w:hAnsi="Arial" w:cs="Arial"/>
          <w:color w:val="000000" w:themeColor="text1"/>
          <w:sz w:val="24"/>
          <w:szCs w:val="24"/>
          <w:lang w:val="es-ES" w:eastAsia="es-ES"/>
        </w:rPr>
        <w:t xml:space="preserve"> de la Jurisdicción de lo Contencioso Administrativo y de la Rama Judicial,</w:t>
      </w:r>
      <w:r w:rsidR="00454900" w:rsidRPr="00682149">
        <w:rPr>
          <w:rFonts w:ascii="Arial" w:eastAsia="Times New Roman" w:hAnsi="Arial" w:cs="Arial"/>
          <w:color w:val="000000" w:themeColor="text1"/>
          <w:sz w:val="24"/>
          <w:szCs w:val="24"/>
          <w:lang w:val="es-CO" w:eastAsia="es-ES"/>
        </w:rPr>
        <w:t xml:space="preserve"> un aviso sobre la existencia del proceso de la referencia, por el término de diez (10) días, para que cualquier ciudadano pu</w:t>
      </w:r>
      <w:r w:rsidR="004C20FF" w:rsidRPr="00682149">
        <w:rPr>
          <w:rFonts w:ascii="Arial" w:eastAsia="Times New Roman" w:hAnsi="Arial" w:cs="Arial"/>
          <w:color w:val="000000" w:themeColor="text1"/>
          <w:sz w:val="24"/>
          <w:szCs w:val="24"/>
          <w:lang w:val="es-CO" w:eastAsia="es-ES"/>
        </w:rPr>
        <w:t>diera</w:t>
      </w:r>
      <w:r w:rsidR="00454900" w:rsidRPr="00682149">
        <w:rPr>
          <w:rFonts w:ascii="Arial" w:eastAsia="Times New Roman" w:hAnsi="Arial" w:cs="Arial"/>
          <w:color w:val="000000" w:themeColor="text1"/>
          <w:sz w:val="24"/>
          <w:szCs w:val="24"/>
          <w:lang w:val="es-CO" w:eastAsia="es-ES"/>
        </w:rPr>
        <w:t xml:space="preserve"> intervenir para defender o impugnar la legalidad del acto; ii) </w:t>
      </w:r>
      <w:r w:rsidR="00454900" w:rsidRPr="00682149">
        <w:rPr>
          <w:rFonts w:ascii="Arial" w:eastAsia="Times New Roman" w:hAnsi="Arial" w:cs="Arial"/>
          <w:color w:val="000000" w:themeColor="text1"/>
          <w:sz w:val="24"/>
          <w:szCs w:val="24"/>
          <w:lang w:val="es-ES" w:eastAsia="es-ES"/>
        </w:rPr>
        <w:t xml:space="preserve">pedir a la </w:t>
      </w:r>
      <w:r w:rsidR="00395116" w:rsidRPr="00682149">
        <w:rPr>
          <w:rFonts w:ascii="Arial" w:eastAsia="Times New Roman" w:hAnsi="Arial" w:cs="Arial"/>
          <w:color w:val="000000" w:themeColor="text1"/>
          <w:sz w:val="24"/>
          <w:szCs w:val="24"/>
          <w:lang w:val="es-ES" w:eastAsia="es-ES"/>
        </w:rPr>
        <w:t>Comisió</w:t>
      </w:r>
      <w:r w:rsidR="008123B1" w:rsidRPr="00682149">
        <w:rPr>
          <w:rFonts w:ascii="Arial" w:eastAsia="Times New Roman" w:hAnsi="Arial" w:cs="Arial"/>
          <w:color w:val="000000" w:themeColor="text1"/>
          <w:sz w:val="24"/>
          <w:szCs w:val="24"/>
          <w:lang w:val="es-ES" w:eastAsia="es-ES"/>
        </w:rPr>
        <w:t xml:space="preserve">n de Regulación de Energía y Gas </w:t>
      </w:r>
      <w:r w:rsidR="00454900" w:rsidRPr="00682149">
        <w:rPr>
          <w:rFonts w:ascii="Arial" w:eastAsia="Times New Roman" w:hAnsi="Arial" w:cs="Arial"/>
          <w:color w:val="000000" w:themeColor="text1"/>
          <w:sz w:val="24"/>
          <w:szCs w:val="24"/>
          <w:lang w:val="es-ES" w:eastAsia="es-ES"/>
        </w:rPr>
        <w:t xml:space="preserve">los antecedentes administrativos de la </w:t>
      </w:r>
      <w:r w:rsidR="00454900" w:rsidRPr="00682149">
        <w:rPr>
          <w:rFonts w:ascii="Arial" w:eastAsia="Times New Roman" w:hAnsi="Arial" w:cs="Arial"/>
          <w:bCs/>
          <w:color w:val="000000" w:themeColor="text1"/>
          <w:sz w:val="24"/>
          <w:szCs w:val="24"/>
          <w:lang w:val="es-ES" w:eastAsia="es-ES"/>
        </w:rPr>
        <w:t xml:space="preserve">Resolución </w:t>
      </w:r>
      <w:r w:rsidR="004C20FF" w:rsidRPr="00682149">
        <w:rPr>
          <w:rFonts w:ascii="Arial" w:eastAsia="Times New Roman" w:hAnsi="Arial" w:cs="Arial"/>
          <w:bCs/>
          <w:color w:val="000000" w:themeColor="text1"/>
          <w:sz w:val="24"/>
          <w:szCs w:val="24"/>
          <w:lang w:val="es-ES" w:eastAsia="es-ES"/>
        </w:rPr>
        <w:t>CREG-</w:t>
      </w:r>
      <w:r w:rsidR="008123B1" w:rsidRPr="00682149">
        <w:rPr>
          <w:rFonts w:ascii="Arial" w:eastAsia="Times New Roman" w:hAnsi="Arial" w:cs="Arial"/>
          <w:bCs/>
          <w:color w:val="000000" w:themeColor="text1"/>
          <w:sz w:val="24"/>
          <w:szCs w:val="24"/>
          <w:lang w:val="es-ES" w:eastAsia="es-ES"/>
        </w:rPr>
        <w:t xml:space="preserve">166 </w:t>
      </w:r>
      <w:r w:rsidR="00454900" w:rsidRPr="00682149">
        <w:rPr>
          <w:rFonts w:ascii="Arial" w:eastAsia="Times New Roman" w:hAnsi="Arial" w:cs="Arial"/>
          <w:color w:val="000000" w:themeColor="text1"/>
          <w:sz w:val="24"/>
          <w:szCs w:val="24"/>
          <w:lang w:val="es-CO" w:eastAsia="es-ES"/>
        </w:rPr>
        <w:t xml:space="preserve"> proferida el </w:t>
      </w:r>
      <w:r w:rsidR="008123B1" w:rsidRPr="00682149">
        <w:rPr>
          <w:rFonts w:ascii="Arial" w:eastAsia="Times New Roman" w:hAnsi="Arial" w:cs="Arial"/>
          <w:color w:val="000000" w:themeColor="text1"/>
          <w:sz w:val="24"/>
          <w:szCs w:val="24"/>
          <w:lang w:val="es-CO" w:eastAsia="es-ES"/>
        </w:rPr>
        <w:t xml:space="preserve">3 de septiembre de </w:t>
      </w:r>
      <w:r w:rsidR="00454900" w:rsidRPr="00682149">
        <w:rPr>
          <w:rFonts w:ascii="Arial" w:eastAsia="Times New Roman" w:hAnsi="Arial" w:cs="Arial"/>
          <w:color w:val="000000" w:themeColor="text1"/>
          <w:sz w:val="24"/>
          <w:szCs w:val="24"/>
          <w:lang w:val="es-CO" w:eastAsia="es-ES"/>
        </w:rPr>
        <w:t xml:space="preserve">2020; </w:t>
      </w:r>
      <w:r w:rsidR="00454900" w:rsidRPr="00682149">
        <w:rPr>
          <w:rFonts w:ascii="Arial" w:eastAsia="Times New Roman" w:hAnsi="Arial" w:cs="Arial"/>
          <w:bCs/>
          <w:color w:val="000000" w:themeColor="text1"/>
          <w:sz w:val="24"/>
          <w:szCs w:val="24"/>
          <w:lang w:val="es-ES" w:eastAsia="es-ES"/>
        </w:rPr>
        <w:t xml:space="preserve">y, iii) correr </w:t>
      </w:r>
      <w:r w:rsidR="00454900" w:rsidRPr="00682149">
        <w:rPr>
          <w:rFonts w:ascii="Arial" w:eastAsia="Times New Roman" w:hAnsi="Arial" w:cs="Arial"/>
          <w:color w:val="000000" w:themeColor="text1"/>
          <w:sz w:val="24"/>
          <w:szCs w:val="24"/>
          <w:lang w:val="es-ES" w:eastAsia="es-ES"/>
        </w:rPr>
        <w:t xml:space="preserve">traslado al Ministerio Público por el término de diez (10) días para rendir concepto de fondo. </w:t>
      </w:r>
    </w:p>
    <w:p w14:paraId="137A9F5E" w14:textId="77777777" w:rsidR="00454900" w:rsidRPr="00682149" w:rsidRDefault="00454900" w:rsidP="001C138F">
      <w:pPr>
        <w:spacing w:after="0" w:line="276" w:lineRule="auto"/>
        <w:jc w:val="both"/>
        <w:rPr>
          <w:rFonts w:ascii="Arial" w:eastAsia="Times New Roman" w:hAnsi="Arial" w:cs="Arial"/>
          <w:color w:val="000000" w:themeColor="text1"/>
          <w:sz w:val="24"/>
          <w:szCs w:val="24"/>
          <w:lang w:val="es-ES" w:eastAsia="es-ES"/>
        </w:rPr>
      </w:pPr>
    </w:p>
    <w:p w14:paraId="2734D802" w14:textId="6BDD8C94" w:rsidR="002D6718" w:rsidRPr="00682149" w:rsidRDefault="00D71E0E" w:rsidP="001C138F">
      <w:pPr>
        <w:spacing w:after="0" w:line="276" w:lineRule="auto"/>
        <w:jc w:val="both"/>
        <w:rPr>
          <w:rFonts w:ascii="Arial" w:eastAsia="Times New Roman" w:hAnsi="Arial" w:cs="Arial"/>
          <w:b/>
          <w:color w:val="000000" w:themeColor="text1"/>
          <w:sz w:val="24"/>
          <w:szCs w:val="24"/>
          <w:lang w:val="es-ES" w:eastAsia="es-ES"/>
        </w:rPr>
      </w:pPr>
      <w:r w:rsidRPr="00682149">
        <w:rPr>
          <w:rFonts w:ascii="Arial" w:eastAsia="Times New Roman" w:hAnsi="Arial" w:cs="Arial"/>
          <w:b/>
          <w:color w:val="000000" w:themeColor="text1"/>
          <w:sz w:val="24"/>
          <w:szCs w:val="24"/>
          <w:lang w:val="es-ES" w:eastAsia="es-ES"/>
        </w:rPr>
        <w:t>3.</w:t>
      </w:r>
      <w:r w:rsidR="00A73B92" w:rsidRPr="00682149">
        <w:rPr>
          <w:rFonts w:ascii="Arial" w:eastAsia="Times New Roman" w:hAnsi="Arial" w:cs="Arial"/>
          <w:b/>
          <w:color w:val="000000" w:themeColor="text1"/>
          <w:sz w:val="24"/>
          <w:szCs w:val="24"/>
          <w:lang w:val="es-ES" w:eastAsia="es-ES"/>
        </w:rPr>
        <w:tab/>
      </w:r>
      <w:r w:rsidR="00A80EBA" w:rsidRPr="00682149">
        <w:rPr>
          <w:rFonts w:ascii="Arial" w:eastAsia="Times New Roman" w:hAnsi="Arial" w:cs="Arial"/>
          <w:b/>
          <w:color w:val="000000" w:themeColor="text1"/>
          <w:sz w:val="24"/>
          <w:szCs w:val="24"/>
          <w:lang w:val="es-ES" w:eastAsia="es-ES"/>
        </w:rPr>
        <w:t>Antecedentes del acto</w:t>
      </w:r>
    </w:p>
    <w:p w14:paraId="43E2DE4A" w14:textId="77777777" w:rsidR="00FC6238" w:rsidRPr="00682149" w:rsidRDefault="00FC6238" w:rsidP="001C138F">
      <w:pPr>
        <w:spacing w:after="0" w:line="276" w:lineRule="auto"/>
        <w:jc w:val="both"/>
        <w:rPr>
          <w:rFonts w:ascii="Arial" w:hAnsi="Arial" w:cs="Arial"/>
          <w:i/>
          <w:color w:val="000000" w:themeColor="text1"/>
        </w:rPr>
      </w:pPr>
    </w:p>
    <w:p w14:paraId="2AA64BB7" w14:textId="4F7C7C1A" w:rsidR="004C20FF" w:rsidRPr="00682149" w:rsidRDefault="00EF7C3E" w:rsidP="001C138F">
      <w:pPr>
        <w:spacing w:after="0" w:line="276" w:lineRule="auto"/>
        <w:jc w:val="both"/>
        <w:rPr>
          <w:rFonts w:ascii="Arial" w:hAnsi="Arial" w:cs="Arial"/>
          <w:color w:val="000000" w:themeColor="text1"/>
          <w:sz w:val="24"/>
          <w:szCs w:val="24"/>
        </w:rPr>
      </w:pPr>
      <w:r w:rsidRPr="00682149">
        <w:rPr>
          <w:rFonts w:ascii="Arial" w:eastAsia="Times New Roman" w:hAnsi="Arial" w:cs="Arial"/>
          <w:b/>
          <w:color w:val="000000" w:themeColor="text1"/>
          <w:sz w:val="24"/>
          <w:szCs w:val="24"/>
          <w:lang w:val="es-ES" w:eastAsia="es-ES"/>
        </w:rPr>
        <w:t>3.1</w:t>
      </w:r>
      <w:r w:rsidR="00D71E0E" w:rsidRPr="00682149">
        <w:rPr>
          <w:rFonts w:ascii="Arial" w:eastAsia="Times New Roman" w:hAnsi="Arial" w:cs="Arial"/>
          <w:b/>
          <w:color w:val="000000" w:themeColor="text1"/>
          <w:sz w:val="24"/>
          <w:szCs w:val="24"/>
          <w:lang w:val="es-ES" w:eastAsia="es-ES"/>
        </w:rPr>
        <w:t xml:space="preserve">. </w:t>
      </w:r>
      <w:r w:rsidR="00D71E0E" w:rsidRPr="00682149">
        <w:rPr>
          <w:rFonts w:ascii="Arial" w:eastAsia="Times New Roman" w:hAnsi="Arial" w:cs="Arial"/>
          <w:color w:val="000000" w:themeColor="text1"/>
          <w:sz w:val="24"/>
          <w:szCs w:val="24"/>
          <w:lang w:val="es-ES" w:eastAsia="es-ES"/>
        </w:rPr>
        <w:t xml:space="preserve">Consta el </w:t>
      </w:r>
      <w:r w:rsidR="00A80EBA" w:rsidRPr="00682149">
        <w:rPr>
          <w:rFonts w:ascii="Arial" w:eastAsia="Times New Roman" w:hAnsi="Arial" w:cs="Arial"/>
          <w:color w:val="000000" w:themeColor="text1"/>
          <w:sz w:val="24"/>
          <w:szCs w:val="24"/>
          <w:lang w:val="es-ES" w:eastAsia="es-ES"/>
        </w:rPr>
        <w:t xml:space="preserve">Documento </w:t>
      </w:r>
      <w:r w:rsidR="00D71E0E" w:rsidRPr="00682149">
        <w:rPr>
          <w:rFonts w:ascii="Arial" w:eastAsia="Times New Roman" w:hAnsi="Arial" w:cs="Arial"/>
          <w:color w:val="000000" w:themeColor="text1"/>
          <w:sz w:val="24"/>
          <w:szCs w:val="24"/>
          <w:lang w:val="es-ES" w:eastAsia="es-ES"/>
        </w:rPr>
        <w:t xml:space="preserve">de trabajo </w:t>
      </w:r>
      <w:r w:rsidR="00A80EBA" w:rsidRPr="00682149">
        <w:rPr>
          <w:rFonts w:ascii="Arial" w:hAnsi="Arial" w:cs="Arial"/>
          <w:color w:val="000000" w:themeColor="text1"/>
          <w:sz w:val="24"/>
          <w:szCs w:val="24"/>
        </w:rPr>
        <w:t>CREG-123 14-08-2020”</w:t>
      </w:r>
      <w:r w:rsidR="004C20FF" w:rsidRPr="00682149">
        <w:rPr>
          <w:rFonts w:ascii="Arial" w:hAnsi="Arial" w:cs="Arial"/>
          <w:color w:val="000000" w:themeColor="text1"/>
          <w:sz w:val="24"/>
          <w:szCs w:val="24"/>
        </w:rPr>
        <w:t>,</w:t>
      </w:r>
      <w:r w:rsidR="00A80EBA" w:rsidRPr="00682149">
        <w:rPr>
          <w:rFonts w:ascii="Arial" w:hAnsi="Arial" w:cs="Arial"/>
          <w:color w:val="000000" w:themeColor="text1"/>
          <w:sz w:val="24"/>
          <w:szCs w:val="24"/>
        </w:rPr>
        <w:t xml:space="preserve"> que contiene </w:t>
      </w:r>
      <w:r w:rsidR="00D71E0E" w:rsidRPr="00682149">
        <w:rPr>
          <w:rFonts w:ascii="Arial" w:hAnsi="Arial" w:cs="Arial"/>
          <w:color w:val="000000" w:themeColor="text1"/>
          <w:sz w:val="24"/>
          <w:szCs w:val="24"/>
        </w:rPr>
        <w:t xml:space="preserve">las variables sobre </w:t>
      </w:r>
      <w:r w:rsidR="00A80EBA" w:rsidRPr="00682149">
        <w:rPr>
          <w:rFonts w:ascii="Arial" w:eastAsia="Times New Roman" w:hAnsi="Arial" w:cs="Arial"/>
          <w:i/>
          <w:color w:val="000000" w:themeColor="text1"/>
          <w:sz w:val="24"/>
          <w:szCs w:val="24"/>
          <w:lang w:val="es-ES" w:eastAsia="es-ES"/>
        </w:rPr>
        <w:t>“</w:t>
      </w:r>
      <w:r w:rsidR="00A80EBA" w:rsidRPr="00682149">
        <w:rPr>
          <w:rFonts w:ascii="Arial" w:hAnsi="Arial" w:cs="Arial"/>
          <w:b/>
          <w:i/>
          <w:color w:val="000000" w:themeColor="text1"/>
          <w:sz w:val="24"/>
          <w:szCs w:val="24"/>
        </w:rPr>
        <w:t>TARIFA TRANSITORIA PARA EL SERVICIO DE ENERGÍA ELÉCTRICA CON SOLUCIONES INDIVIDUALES SOLARES FOTOVOLTAICAS AC CON POTENCIA MAYOR A 500 W</w:t>
      </w:r>
      <w:r w:rsidR="00A80EBA" w:rsidRPr="00682149">
        <w:rPr>
          <w:rFonts w:ascii="Arial" w:hAnsi="Arial" w:cs="Arial"/>
          <w:b/>
          <w:color w:val="000000" w:themeColor="text1"/>
          <w:sz w:val="24"/>
          <w:szCs w:val="24"/>
        </w:rPr>
        <w:t>”</w:t>
      </w:r>
      <w:r w:rsidR="00A80EBA" w:rsidRPr="00682149">
        <w:rPr>
          <w:rFonts w:ascii="Arial" w:hAnsi="Arial" w:cs="Arial"/>
          <w:color w:val="000000" w:themeColor="text1"/>
          <w:sz w:val="24"/>
          <w:szCs w:val="24"/>
        </w:rPr>
        <w:t xml:space="preserve"> </w:t>
      </w:r>
      <w:r w:rsidR="00A73B92" w:rsidRPr="00682149">
        <w:rPr>
          <w:rFonts w:ascii="Arial" w:hAnsi="Arial" w:cs="Arial"/>
          <w:color w:val="000000" w:themeColor="text1"/>
          <w:sz w:val="24"/>
          <w:szCs w:val="24"/>
        </w:rPr>
        <w:t>-</w:t>
      </w:r>
      <w:r w:rsidR="00A80EBA" w:rsidRPr="00682149">
        <w:rPr>
          <w:rFonts w:ascii="Arial" w:hAnsi="Arial" w:cs="Arial"/>
          <w:color w:val="000000" w:themeColor="text1"/>
          <w:sz w:val="24"/>
          <w:szCs w:val="24"/>
        </w:rPr>
        <w:t>presentado a los miembros de la Comisión de Regulación de Energía y Gas CREG</w:t>
      </w:r>
      <w:r w:rsidR="00A73B92" w:rsidRPr="00682149">
        <w:rPr>
          <w:rFonts w:ascii="Arial" w:hAnsi="Arial" w:cs="Arial"/>
          <w:color w:val="000000" w:themeColor="text1"/>
          <w:sz w:val="24"/>
          <w:szCs w:val="24"/>
        </w:rPr>
        <w:t>-</w:t>
      </w:r>
      <w:r w:rsidR="003B7D2F" w:rsidRPr="00682149">
        <w:rPr>
          <w:rFonts w:ascii="Arial" w:hAnsi="Arial" w:cs="Arial"/>
          <w:color w:val="000000" w:themeColor="text1"/>
          <w:sz w:val="24"/>
          <w:szCs w:val="24"/>
        </w:rPr>
        <w:t xml:space="preserve">, </w:t>
      </w:r>
      <w:r w:rsidR="00D71E0E" w:rsidRPr="00682149">
        <w:rPr>
          <w:rFonts w:ascii="Arial" w:hAnsi="Arial" w:cs="Arial"/>
          <w:color w:val="000000" w:themeColor="text1"/>
          <w:sz w:val="24"/>
          <w:szCs w:val="24"/>
        </w:rPr>
        <w:t>los siguientes puntos: L</w:t>
      </w:r>
      <w:r w:rsidR="00463C47" w:rsidRPr="00682149">
        <w:rPr>
          <w:rFonts w:ascii="Arial" w:hAnsi="Arial" w:cs="Arial"/>
          <w:color w:val="000000" w:themeColor="text1"/>
          <w:sz w:val="24"/>
          <w:szCs w:val="24"/>
        </w:rPr>
        <w:t xml:space="preserve">as causas que le dieron origen, los antecedentes de las soluciones individuales, la regulación vigente, la descripción del problema, </w:t>
      </w:r>
      <w:r w:rsidR="00C135C5" w:rsidRPr="00682149">
        <w:rPr>
          <w:rFonts w:ascii="Arial" w:hAnsi="Arial" w:cs="Arial"/>
          <w:color w:val="000000" w:themeColor="text1"/>
          <w:sz w:val="24"/>
          <w:szCs w:val="24"/>
        </w:rPr>
        <w:t xml:space="preserve">las inversiones, </w:t>
      </w:r>
      <w:r w:rsidR="00713354" w:rsidRPr="00682149">
        <w:rPr>
          <w:rFonts w:ascii="Arial" w:hAnsi="Arial" w:cs="Arial"/>
          <w:color w:val="000000" w:themeColor="text1"/>
          <w:sz w:val="24"/>
          <w:szCs w:val="24"/>
        </w:rPr>
        <w:t xml:space="preserve">los </w:t>
      </w:r>
      <w:r w:rsidR="00463C47" w:rsidRPr="00682149">
        <w:rPr>
          <w:rFonts w:ascii="Arial" w:hAnsi="Arial" w:cs="Arial"/>
          <w:color w:val="000000" w:themeColor="text1"/>
          <w:sz w:val="24"/>
          <w:szCs w:val="24"/>
        </w:rPr>
        <w:t>costo</w:t>
      </w:r>
      <w:r w:rsidR="00713354" w:rsidRPr="00682149">
        <w:rPr>
          <w:rFonts w:ascii="Arial" w:hAnsi="Arial" w:cs="Arial"/>
          <w:color w:val="000000" w:themeColor="text1"/>
          <w:sz w:val="24"/>
          <w:szCs w:val="24"/>
        </w:rPr>
        <w:t>s</w:t>
      </w:r>
      <w:r w:rsidR="00463C47" w:rsidRPr="00682149">
        <w:rPr>
          <w:rFonts w:ascii="Arial" w:hAnsi="Arial" w:cs="Arial"/>
          <w:color w:val="000000" w:themeColor="text1"/>
          <w:sz w:val="24"/>
          <w:szCs w:val="24"/>
        </w:rPr>
        <w:t xml:space="preserve"> de prestación del servicio y costos al usuario, la propuesta</w:t>
      </w:r>
      <w:r w:rsidR="00C135C5" w:rsidRPr="00682149">
        <w:rPr>
          <w:rFonts w:ascii="Arial" w:hAnsi="Arial" w:cs="Arial"/>
          <w:color w:val="000000" w:themeColor="text1"/>
          <w:sz w:val="24"/>
          <w:szCs w:val="24"/>
        </w:rPr>
        <w:t xml:space="preserve"> tarifaria</w:t>
      </w:r>
      <w:r w:rsidR="00713354" w:rsidRPr="00682149">
        <w:rPr>
          <w:rFonts w:ascii="Arial" w:hAnsi="Arial" w:cs="Arial"/>
          <w:color w:val="000000" w:themeColor="text1"/>
          <w:sz w:val="24"/>
          <w:szCs w:val="24"/>
        </w:rPr>
        <w:t xml:space="preserve"> y </w:t>
      </w:r>
      <w:r w:rsidR="00463C47" w:rsidRPr="00682149">
        <w:rPr>
          <w:rFonts w:ascii="Arial" w:hAnsi="Arial" w:cs="Arial"/>
          <w:color w:val="000000" w:themeColor="text1"/>
          <w:sz w:val="24"/>
          <w:szCs w:val="24"/>
        </w:rPr>
        <w:t xml:space="preserve"> las tasas de descuento para remuneración de las inversiones </w:t>
      </w:r>
      <w:r w:rsidR="00C135C5" w:rsidRPr="00682149">
        <w:rPr>
          <w:rFonts w:ascii="Arial" w:hAnsi="Arial" w:cs="Arial"/>
          <w:color w:val="000000" w:themeColor="text1"/>
          <w:sz w:val="24"/>
          <w:szCs w:val="24"/>
        </w:rPr>
        <w:t>que dan origen a su expedición</w:t>
      </w:r>
      <w:r w:rsidR="00713354" w:rsidRPr="00682149">
        <w:rPr>
          <w:rFonts w:ascii="Arial" w:hAnsi="Arial" w:cs="Arial"/>
          <w:color w:val="000000" w:themeColor="text1"/>
          <w:sz w:val="24"/>
          <w:szCs w:val="24"/>
        </w:rPr>
        <w:t>, entre otros aspectos</w:t>
      </w:r>
      <w:r w:rsidR="00C135C5" w:rsidRPr="00682149">
        <w:rPr>
          <w:rFonts w:ascii="Arial" w:hAnsi="Arial" w:cs="Arial"/>
          <w:color w:val="000000" w:themeColor="text1"/>
          <w:sz w:val="24"/>
          <w:szCs w:val="24"/>
        </w:rPr>
        <w:t xml:space="preserve">. </w:t>
      </w:r>
    </w:p>
    <w:p w14:paraId="25FAFB68" w14:textId="77777777" w:rsidR="004C20FF" w:rsidRPr="00682149" w:rsidRDefault="004C20FF" w:rsidP="001C138F">
      <w:pPr>
        <w:spacing w:after="0" w:line="276" w:lineRule="auto"/>
        <w:jc w:val="both"/>
        <w:rPr>
          <w:rFonts w:ascii="Arial" w:hAnsi="Arial" w:cs="Arial"/>
          <w:color w:val="000000" w:themeColor="text1"/>
          <w:sz w:val="24"/>
          <w:szCs w:val="24"/>
        </w:rPr>
      </w:pPr>
    </w:p>
    <w:p w14:paraId="5085EB6C" w14:textId="75B1C4D6" w:rsidR="00FA5CF6" w:rsidRPr="00682149" w:rsidRDefault="00A73B92" w:rsidP="001C138F">
      <w:pPr>
        <w:spacing w:after="0" w:line="276" w:lineRule="auto"/>
        <w:jc w:val="both"/>
        <w:rPr>
          <w:rFonts w:ascii="Arial" w:eastAsia="Times New Roman" w:hAnsi="Arial" w:cs="Arial"/>
          <w:color w:val="000000" w:themeColor="text1"/>
          <w:sz w:val="24"/>
          <w:szCs w:val="24"/>
          <w:lang w:val="es-ES" w:eastAsia="es-ES"/>
        </w:rPr>
      </w:pPr>
      <w:r w:rsidRPr="00682149">
        <w:rPr>
          <w:rFonts w:ascii="Arial" w:hAnsi="Arial" w:cs="Arial"/>
          <w:b/>
          <w:bCs/>
          <w:color w:val="000000" w:themeColor="text1"/>
          <w:sz w:val="24"/>
          <w:szCs w:val="24"/>
        </w:rPr>
        <w:t>3.2.</w:t>
      </w:r>
      <w:r w:rsidRPr="00682149">
        <w:rPr>
          <w:rFonts w:ascii="Arial" w:hAnsi="Arial" w:cs="Arial"/>
          <w:color w:val="000000" w:themeColor="text1"/>
          <w:sz w:val="24"/>
          <w:szCs w:val="24"/>
        </w:rPr>
        <w:tab/>
      </w:r>
      <w:r w:rsidR="00713354" w:rsidRPr="00682149">
        <w:rPr>
          <w:rFonts w:ascii="Arial" w:hAnsi="Arial" w:cs="Arial"/>
          <w:color w:val="000000" w:themeColor="text1"/>
          <w:sz w:val="24"/>
          <w:szCs w:val="24"/>
        </w:rPr>
        <w:t>En los antecedentes administrativos del acto, s</w:t>
      </w:r>
      <w:r w:rsidR="00A80EBA" w:rsidRPr="00682149">
        <w:rPr>
          <w:rFonts w:ascii="Arial" w:hAnsi="Arial" w:cs="Arial"/>
          <w:color w:val="000000" w:themeColor="text1"/>
          <w:sz w:val="24"/>
          <w:szCs w:val="24"/>
        </w:rPr>
        <w:t xml:space="preserve">e destacan </w:t>
      </w:r>
      <w:r w:rsidRPr="00682149">
        <w:rPr>
          <w:rFonts w:ascii="Arial" w:hAnsi="Arial" w:cs="Arial"/>
          <w:color w:val="000000" w:themeColor="text1"/>
          <w:sz w:val="24"/>
          <w:szCs w:val="24"/>
        </w:rPr>
        <w:t xml:space="preserve">entre sus </w:t>
      </w:r>
      <w:r w:rsidR="00A80EBA" w:rsidRPr="00682149">
        <w:rPr>
          <w:rFonts w:ascii="Arial" w:hAnsi="Arial" w:cs="Arial"/>
          <w:color w:val="000000" w:themeColor="text1"/>
          <w:sz w:val="24"/>
          <w:szCs w:val="24"/>
        </w:rPr>
        <w:t>contenidos más relevantes y fuentes de información</w:t>
      </w:r>
      <w:r w:rsidR="004C20FF" w:rsidRPr="00682149">
        <w:rPr>
          <w:rFonts w:ascii="Arial" w:hAnsi="Arial" w:cs="Arial"/>
          <w:color w:val="000000" w:themeColor="text1"/>
          <w:sz w:val="24"/>
          <w:szCs w:val="24"/>
        </w:rPr>
        <w:t xml:space="preserve">, </w:t>
      </w:r>
      <w:r w:rsidRPr="00682149">
        <w:rPr>
          <w:rFonts w:ascii="Arial" w:hAnsi="Arial" w:cs="Arial"/>
          <w:color w:val="000000" w:themeColor="text1"/>
          <w:sz w:val="24"/>
          <w:szCs w:val="24"/>
        </w:rPr>
        <w:t>los siguientes</w:t>
      </w:r>
      <w:r w:rsidR="004C20FF" w:rsidRPr="00682149">
        <w:rPr>
          <w:rFonts w:ascii="Arial" w:hAnsi="Arial" w:cs="Arial"/>
          <w:color w:val="000000" w:themeColor="text1"/>
          <w:sz w:val="24"/>
          <w:szCs w:val="24"/>
        </w:rPr>
        <w:t xml:space="preserve">: </w:t>
      </w:r>
    </w:p>
    <w:p w14:paraId="1B44CCAD" w14:textId="77777777" w:rsidR="00C135C5" w:rsidRPr="00682149" w:rsidRDefault="00C135C5" w:rsidP="001C138F">
      <w:pPr>
        <w:spacing w:after="0" w:line="276" w:lineRule="auto"/>
        <w:jc w:val="both"/>
        <w:rPr>
          <w:rFonts w:ascii="Arial" w:hAnsi="Arial" w:cs="Arial"/>
          <w:color w:val="000000" w:themeColor="text1"/>
          <w:sz w:val="24"/>
          <w:szCs w:val="24"/>
          <w:vertAlign w:val="subscript"/>
        </w:rPr>
      </w:pPr>
    </w:p>
    <w:p w14:paraId="1FCECAE1" w14:textId="7D4BEFE2" w:rsidR="00FA5CF6" w:rsidRPr="00682149" w:rsidRDefault="00A73B92" w:rsidP="001C138F">
      <w:pPr>
        <w:spacing w:after="0" w:line="276" w:lineRule="auto"/>
        <w:ind w:left="567"/>
        <w:jc w:val="both"/>
        <w:rPr>
          <w:rFonts w:ascii="Arial" w:hAnsi="Arial" w:cs="Arial"/>
          <w:i/>
          <w:color w:val="000000" w:themeColor="text1"/>
        </w:rPr>
      </w:pPr>
      <w:r w:rsidRPr="00682149">
        <w:rPr>
          <w:rFonts w:ascii="Arial" w:hAnsi="Arial" w:cs="Arial"/>
          <w:color w:val="000000" w:themeColor="text1"/>
        </w:rPr>
        <w:t>3.2.1.</w:t>
      </w:r>
      <w:r w:rsidRPr="00682149">
        <w:rPr>
          <w:rFonts w:ascii="Arial" w:hAnsi="Arial" w:cs="Arial"/>
          <w:color w:val="000000" w:themeColor="text1"/>
        </w:rPr>
        <w:tab/>
      </w:r>
      <w:r w:rsidR="00B56124" w:rsidRPr="00682149">
        <w:rPr>
          <w:rFonts w:ascii="Arial" w:hAnsi="Arial" w:cs="Arial"/>
          <w:i/>
          <w:color w:val="000000" w:themeColor="text1"/>
        </w:rPr>
        <w:t>“</w:t>
      </w:r>
      <w:r w:rsidR="00FA5CF6" w:rsidRPr="00682149">
        <w:rPr>
          <w:rFonts w:ascii="Arial" w:hAnsi="Arial" w:cs="Arial"/>
          <w:i/>
          <w:color w:val="000000" w:themeColor="text1"/>
        </w:rPr>
        <w:t>De acuerdo con información del Ministerio de Minas y Energía, MME, relacionada con soluciones individuales solares fotovoltaicas, SISFV, que son financiadas con recursos del FAZNI</w:t>
      </w:r>
      <w:r w:rsidR="00FA5CF6" w:rsidRPr="00682149">
        <w:rPr>
          <w:rFonts w:ascii="Arial" w:hAnsi="Arial" w:cs="Arial"/>
          <w:i/>
          <w:color w:val="000000" w:themeColor="text1"/>
          <w:vertAlign w:val="superscript"/>
        </w:rPr>
        <w:footnoteReference w:id="2"/>
      </w:r>
      <w:r w:rsidR="00FA5CF6" w:rsidRPr="00682149">
        <w:rPr>
          <w:rFonts w:ascii="Arial" w:hAnsi="Arial" w:cs="Arial"/>
          <w:i/>
          <w:color w:val="000000" w:themeColor="text1"/>
        </w:rPr>
        <w:t xml:space="preserve">, actualmente se encuentran instaladas un total de 13.377, de las cuales, 8.066 (60%) se encuentran en los departamentos de Caquetá, Vaupés, Chocó, Córdoba y Putumayo. </w:t>
      </w:r>
    </w:p>
    <w:p w14:paraId="5B49E7AA" w14:textId="14E9E6AC" w:rsidR="00FA5CF6" w:rsidRPr="00682149" w:rsidRDefault="00FA5CF6" w:rsidP="001C138F">
      <w:pPr>
        <w:spacing w:after="0" w:line="276" w:lineRule="auto"/>
        <w:jc w:val="both"/>
        <w:rPr>
          <w:rFonts w:ascii="Arial" w:hAnsi="Arial" w:cs="Arial"/>
          <w:i/>
          <w:color w:val="000000" w:themeColor="text1"/>
        </w:rPr>
      </w:pPr>
    </w:p>
    <w:p w14:paraId="3D493B00" w14:textId="5275ED54" w:rsidR="00FA5CF6" w:rsidRDefault="00FA5CF6" w:rsidP="001C138F">
      <w:pPr>
        <w:pStyle w:val="Ttulo3"/>
        <w:spacing w:line="276" w:lineRule="auto"/>
        <w:ind w:left="10" w:right="7"/>
        <w:jc w:val="center"/>
        <w:rPr>
          <w:i/>
          <w:iCs/>
          <w:color w:val="000000" w:themeColor="text1"/>
          <w:sz w:val="24"/>
          <w:szCs w:val="24"/>
          <w:lang w:val="es-ES_tradnl"/>
        </w:rPr>
      </w:pPr>
      <w:r w:rsidRPr="00682149">
        <w:rPr>
          <w:i/>
          <w:iCs/>
          <w:color w:val="000000" w:themeColor="text1"/>
          <w:sz w:val="24"/>
          <w:szCs w:val="24"/>
          <w:lang w:val="es-ES_tradnl"/>
        </w:rPr>
        <w:t xml:space="preserve">Tabla 1. Usuarios atendidos con soluciones individuales por departamento </w:t>
      </w:r>
    </w:p>
    <w:p w14:paraId="111E9AAB" w14:textId="77777777" w:rsidR="000C2447" w:rsidRPr="000C2447" w:rsidRDefault="000C2447" w:rsidP="000C2447"/>
    <w:tbl>
      <w:tblPr>
        <w:tblW w:w="4528" w:type="dxa"/>
        <w:tblInd w:w="2439" w:type="dxa"/>
        <w:tblCellMar>
          <w:top w:w="7" w:type="dxa"/>
          <w:left w:w="77" w:type="dxa"/>
          <w:right w:w="83" w:type="dxa"/>
        </w:tblCellMar>
        <w:tblLook w:val="04A0" w:firstRow="1" w:lastRow="0" w:firstColumn="1" w:lastColumn="0" w:noHBand="0" w:noVBand="1"/>
      </w:tblPr>
      <w:tblGrid>
        <w:gridCol w:w="2261"/>
        <w:gridCol w:w="2267"/>
      </w:tblGrid>
      <w:tr w:rsidR="00682149" w:rsidRPr="00682149" w14:paraId="674EF2DB" w14:textId="77777777" w:rsidTr="00313BD6">
        <w:trPr>
          <w:trHeight w:val="259"/>
        </w:trPr>
        <w:tc>
          <w:tcPr>
            <w:tcW w:w="2261" w:type="dxa"/>
            <w:tcBorders>
              <w:top w:val="single" w:sz="2" w:space="0" w:color="000000"/>
              <w:left w:val="single" w:sz="2" w:space="0" w:color="000000"/>
              <w:bottom w:val="single" w:sz="2" w:space="0" w:color="000000"/>
              <w:right w:val="single" w:sz="2" w:space="0" w:color="FFFFFF"/>
            </w:tcBorders>
            <w:shd w:val="clear" w:color="auto" w:fill="auto"/>
          </w:tcPr>
          <w:p w14:paraId="3D694B76" w14:textId="77777777" w:rsidR="00FA5CF6" w:rsidRPr="00682149" w:rsidRDefault="00FA5CF6" w:rsidP="001C138F">
            <w:pPr>
              <w:spacing w:after="0" w:line="276" w:lineRule="auto"/>
              <w:ind w:left="68"/>
              <w:rPr>
                <w:color w:val="000000" w:themeColor="text1"/>
              </w:rPr>
            </w:pPr>
            <w:r w:rsidRPr="00682149">
              <w:rPr>
                <w:b/>
                <w:color w:val="000000" w:themeColor="text1"/>
              </w:rPr>
              <w:t xml:space="preserve">DEPARTAMENTO </w:t>
            </w:r>
          </w:p>
        </w:tc>
        <w:tc>
          <w:tcPr>
            <w:tcW w:w="2267" w:type="dxa"/>
            <w:tcBorders>
              <w:top w:val="single" w:sz="2" w:space="0" w:color="000000"/>
              <w:left w:val="single" w:sz="2" w:space="0" w:color="FFFFFF"/>
              <w:bottom w:val="single" w:sz="2" w:space="0" w:color="000000"/>
              <w:right w:val="single" w:sz="2" w:space="0" w:color="000000"/>
            </w:tcBorders>
            <w:shd w:val="clear" w:color="auto" w:fill="auto"/>
          </w:tcPr>
          <w:p w14:paraId="0B80CD41" w14:textId="77777777" w:rsidR="00FA5CF6" w:rsidRPr="00682149" w:rsidRDefault="00FA5CF6" w:rsidP="001C138F">
            <w:pPr>
              <w:spacing w:after="0" w:line="276" w:lineRule="auto"/>
              <w:ind w:left="8"/>
              <w:jc w:val="center"/>
              <w:rPr>
                <w:color w:val="000000" w:themeColor="text1"/>
              </w:rPr>
            </w:pPr>
            <w:r w:rsidRPr="00682149">
              <w:rPr>
                <w:b/>
                <w:color w:val="000000" w:themeColor="text1"/>
              </w:rPr>
              <w:t xml:space="preserve">USUARIOS </w:t>
            </w:r>
          </w:p>
        </w:tc>
      </w:tr>
      <w:tr w:rsidR="00682149" w:rsidRPr="00682149" w14:paraId="086F6DC7" w14:textId="77777777" w:rsidTr="00313BD6">
        <w:trPr>
          <w:trHeight w:val="289"/>
        </w:trPr>
        <w:tc>
          <w:tcPr>
            <w:tcW w:w="2261" w:type="dxa"/>
            <w:tcBorders>
              <w:top w:val="single" w:sz="2" w:space="0" w:color="000000"/>
              <w:left w:val="single" w:sz="2" w:space="0" w:color="000000"/>
              <w:bottom w:val="single" w:sz="2" w:space="0" w:color="000000"/>
              <w:right w:val="single" w:sz="2" w:space="0" w:color="000000"/>
            </w:tcBorders>
            <w:shd w:val="clear" w:color="auto" w:fill="auto"/>
          </w:tcPr>
          <w:p w14:paraId="5AC796E5" w14:textId="77777777" w:rsidR="00FA5CF6" w:rsidRPr="00682149" w:rsidRDefault="00FA5CF6" w:rsidP="001C138F">
            <w:pPr>
              <w:spacing w:after="0" w:line="276" w:lineRule="auto"/>
              <w:rPr>
                <w:color w:val="000000" w:themeColor="text1"/>
              </w:rPr>
            </w:pPr>
            <w:r w:rsidRPr="00682149">
              <w:rPr>
                <w:color w:val="000000" w:themeColor="text1"/>
              </w:rPr>
              <w:t>Caquetá</w:t>
            </w:r>
            <w:r w:rsidRPr="00682149">
              <w:rPr>
                <w:b/>
                <w:color w:val="000000" w:themeColor="text1"/>
              </w:rPr>
              <w:t xml:space="preserve"> </w:t>
            </w:r>
          </w:p>
        </w:tc>
        <w:tc>
          <w:tcPr>
            <w:tcW w:w="2267" w:type="dxa"/>
            <w:tcBorders>
              <w:top w:val="single" w:sz="2" w:space="0" w:color="000000"/>
              <w:left w:val="single" w:sz="2" w:space="0" w:color="000000"/>
              <w:bottom w:val="single" w:sz="2" w:space="0" w:color="000000"/>
              <w:right w:val="single" w:sz="2" w:space="0" w:color="000000"/>
            </w:tcBorders>
            <w:shd w:val="clear" w:color="auto" w:fill="auto"/>
          </w:tcPr>
          <w:p w14:paraId="35F4B924" w14:textId="77777777" w:rsidR="00FA5CF6" w:rsidRPr="00682149" w:rsidRDefault="00FA5CF6" w:rsidP="001C138F">
            <w:pPr>
              <w:spacing w:after="0" w:line="276" w:lineRule="auto"/>
              <w:ind w:left="6"/>
              <w:jc w:val="center"/>
              <w:rPr>
                <w:color w:val="000000" w:themeColor="text1"/>
              </w:rPr>
            </w:pPr>
            <w:r w:rsidRPr="00682149">
              <w:rPr>
                <w:color w:val="000000" w:themeColor="text1"/>
              </w:rPr>
              <w:t xml:space="preserve">3178 </w:t>
            </w:r>
          </w:p>
        </w:tc>
      </w:tr>
      <w:tr w:rsidR="00682149" w:rsidRPr="00682149" w14:paraId="13296691" w14:textId="77777777" w:rsidTr="00313BD6">
        <w:trPr>
          <w:trHeight w:val="286"/>
        </w:trPr>
        <w:tc>
          <w:tcPr>
            <w:tcW w:w="2261" w:type="dxa"/>
            <w:tcBorders>
              <w:top w:val="single" w:sz="2" w:space="0" w:color="000000"/>
              <w:left w:val="single" w:sz="2" w:space="0" w:color="000000"/>
              <w:bottom w:val="single" w:sz="2" w:space="0" w:color="000000"/>
              <w:right w:val="single" w:sz="2" w:space="0" w:color="000000"/>
            </w:tcBorders>
            <w:shd w:val="clear" w:color="auto" w:fill="auto"/>
          </w:tcPr>
          <w:p w14:paraId="35D31AA6" w14:textId="77777777" w:rsidR="00FA5CF6" w:rsidRPr="00682149" w:rsidRDefault="00FA5CF6" w:rsidP="001C138F">
            <w:pPr>
              <w:spacing w:after="0" w:line="276" w:lineRule="auto"/>
              <w:rPr>
                <w:color w:val="000000" w:themeColor="text1"/>
              </w:rPr>
            </w:pPr>
            <w:r w:rsidRPr="00682149">
              <w:rPr>
                <w:color w:val="000000" w:themeColor="text1"/>
              </w:rPr>
              <w:t>Vaupés</w:t>
            </w:r>
            <w:r w:rsidRPr="00682149">
              <w:rPr>
                <w:b/>
                <w:color w:val="000000" w:themeColor="text1"/>
              </w:rPr>
              <w:t xml:space="preserve"> </w:t>
            </w:r>
          </w:p>
        </w:tc>
        <w:tc>
          <w:tcPr>
            <w:tcW w:w="2267" w:type="dxa"/>
            <w:tcBorders>
              <w:top w:val="single" w:sz="2" w:space="0" w:color="000000"/>
              <w:left w:val="single" w:sz="2" w:space="0" w:color="000000"/>
              <w:bottom w:val="single" w:sz="2" w:space="0" w:color="000000"/>
              <w:right w:val="single" w:sz="2" w:space="0" w:color="000000"/>
            </w:tcBorders>
            <w:shd w:val="clear" w:color="auto" w:fill="auto"/>
          </w:tcPr>
          <w:p w14:paraId="7EB22459" w14:textId="77777777" w:rsidR="00FA5CF6" w:rsidRPr="00682149" w:rsidRDefault="00FA5CF6" w:rsidP="001C138F">
            <w:pPr>
              <w:spacing w:after="0" w:line="276" w:lineRule="auto"/>
              <w:ind w:left="6"/>
              <w:jc w:val="center"/>
              <w:rPr>
                <w:color w:val="000000" w:themeColor="text1"/>
              </w:rPr>
            </w:pPr>
            <w:r w:rsidRPr="00682149">
              <w:rPr>
                <w:color w:val="000000" w:themeColor="text1"/>
              </w:rPr>
              <w:t xml:space="preserve">1555 </w:t>
            </w:r>
          </w:p>
        </w:tc>
      </w:tr>
      <w:tr w:rsidR="00682149" w:rsidRPr="00682149" w14:paraId="79E2914F" w14:textId="77777777" w:rsidTr="00313BD6">
        <w:trPr>
          <w:trHeight w:val="286"/>
        </w:trPr>
        <w:tc>
          <w:tcPr>
            <w:tcW w:w="2261" w:type="dxa"/>
            <w:tcBorders>
              <w:top w:val="single" w:sz="2" w:space="0" w:color="000000"/>
              <w:left w:val="single" w:sz="2" w:space="0" w:color="000000"/>
              <w:bottom w:val="single" w:sz="2" w:space="0" w:color="000000"/>
              <w:right w:val="single" w:sz="2" w:space="0" w:color="000000"/>
            </w:tcBorders>
            <w:shd w:val="clear" w:color="auto" w:fill="auto"/>
          </w:tcPr>
          <w:p w14:paraId="36508272" w14:textId="77777777" w:rsidR="00FA5CF6" w:rsidRPr="00682149" w:rsidRDefault="00FA5CF6" w:rsidP="001C138F">
            <w:pPr>
              <w:spacing w:after="0" w:line="276" w:lineRule="auto"/>
              <w:rPr>
                <w:color w:val="000000" w:themeColor="text1"/>
              </w:rPr>
            </w:pPr>
            <w:r w:rsidRPr="00682149">
              <w:rPr>
                <w:color w:val="000000" w:themeColor="text1"/>
              </w:rPr>
              <w:t>Chocó</w:t>
            </w:r>
            <w:r w:rsidRPr="00682149">
              <w:rPr>
                <w:b/>
                <w:color w:val="000000" w:themeColor="text1"/>
              </w:rPr>
              <w:t xml:space="preserve"> </w:t>
            </w:r>
          </w:p>
        </w:tc>
        <w:tc>
          <w:tcPr>
            <w:tcW w:w="2267" w:type="dxa"/>
            <w:tcBorders>
              <w:top w:val="single" w:sz="2" w:space="0" w:color="000000"/>
              <w:left w:val="single" w:sz="2" w:space="0" w:color="000000"/>
              <w:bottom w:val="single" w:sz="2" w:space="0" w:color="000000"/>
              <w:right w:val="single" w:sz="2" w:space="0" w:color="000000"/>
            </w:tcBorders>
            <w:shd w:val="clear" w:color="auto" w:fill="auto"/>
          </w:tcPr>
          <w:p w14:paraId="49A92AFA" w14:textId="77777777" w:rsidR="00FA5CF6" w:rsidRPr="00682149" w:rsidRDefault="00FA5CF6" w:rsidP="001C138F">
            <w:pPr>
              <w:spacing w:after="0" w:line="276" w:lineRule="auto"/>
              <w:ind w:left="6"/>
              <w:jc w:val="center"/>
              <w:rPr>
                <w:color w:val="000000" w:themeColor="text1"/>
              </w:rPr>
            </w:pPr>
            <w:r w:rsidRPr="00682149">
              <w:rPr>
                <w:color w:val="000000" w:themeColor="text1"/>
              </w:rPr>
              <w:t xml:space="preserve">1191 </w:t>
            </w:r>
          </w:p>
        </w:tc>
      </w:tr>
      <w:tr w:rsidR="00682149" w:rsidRPr="00682149" w14:paraId="4C1B7D40" w14:textId="77777777" w:rsidTr="00313BD6">
        <w:trPr>
          <w:trHeight w:val="286"/>
        </w:trPr>
        <w:tc>
          <w:tcPr>
            <w:tcW w:w="2261" w:type="dxa"/>
            <w:tcBorders>
              <w:top w:val="single" w:sz="2" w:space="0" w:color="000000"/>
              <w:left w:val="single" w:sz="2" w:space="0" w:color="000000"/>
              <w:bottom w:val="single" w:sz="2" w:space="0" w:color="000000"/>
              <w:right w:val="single" w:sz="2" w:space="0" w:color="000000"/>
            </w:tcBorders>
            <w:shd w:val="clear" w:color="auto" w:fill="auto"/>
          </w:tcPr>
          <w:p w14:paraId="03ED7166" w14:textId="77777777" w:rsidR="00FA5CF6" w:rsidRPr="00682149" w:rsidRDefault="00FA5CF6" w:rsidP="001C138F">
            <w:pPr>
              <w:spacing w:after="0" w:line="276" w:lineRule="auto"/>
              <w:rPr>
                <w:color w:val="000000" w:themeColor="text1"/>
              </w:rPr>
            </w:pPr>
            <w:r w:rsidRPr="00682149">
              <w:rPr>
                <w:color w:val="000000" w:themeColor="text1"/>
              </w:rPr>
              <w:t>Córdoba</w:t>
            </w:r>
            <w:r w:rsidRPr="00682149">
              <w:rPr>
                <w:b/>
                <w:color w:val="000000" w:themeColor="text1"/>
              </w:rPr>
              <w:t xml:space="preserve"> </w:t>
            </w:r>
          </w:p>
        </w:tc>
        <w:tc>
          <w:tcPr>
            <w:tcW w:w="2267" w:type="dxa"/>
            <w:tcBorders>
              <w:top w:val="single" w:sz="2" w:space="0" w:color="000000"/>
              <w:left w:val="single" w:sz="2" w:space="0" w:color="000000"/>
              <w:bottom w:val="single" w:sz="2" w:space="0" w:color="000000"/>
              <w:right w:val="single" w:sz="2" w:space="0" w:color="000000"/>
            </w:tcBorders>
            <w:shd w:val="clear" w:color="auto" w:fill="auto"/>
          </w:tcPr>
          <w:p w14:paraId="47240688" w14:textId="77777777" w:rsidR="00FA5CF6" w:rsidRPr="00682149" w:rsidRDefault="00FA5CF6" w:rsidP="001C138F">
            <w:pPr>
              <w:spacing w:after="0" w:line="276" w:lineRule="auto"/>
              <w:ind w:left="6"/>
              <w:jc w:val="center"/>
              <w:rPr>
                <w:color w:val="000000" w:themeColor="text1"/>
              </w:rPr>
            </w:pPr>
            <w:r w:rsidRPr="00682149">
              <w:rPr>
                <w:color w:val="000000" w:themeColor="text1"/>
              </w:rPr>
              <w:t xml:space="preserve">1095 </w:t>
            </w:r>
          </w:p>
        </w:tc>
      </w:tr>
      <w:tr w:rsidR="00682149" w:rsidRPr="00682149" w14:paraId="607427F8" w14:textId="77777777" w:rsidTr="00313BD6">
        <w:trPr>
          <w:trHeight w:val="286"/>
        </w:trPr>
        <w:tc>
          <w:tcPr>
            <w:tcW w:w="2261" w:type="dxa"/>
            <w:tcBorders>
              <w:top w:val="single" w:sz="2" w:space="0" w:color="000000"/>
              <w:left w:val="single" w:sz="2" w:space="0" w:color="000000"/>
              <w:bottom w:val="single" w:sz="2" w:space="0" w:color="000000"/>
              <w:right w:val="single" w:sz="2" w:space="0" w:color="000000"/>
            </w:tcBorders>
            <w:shd w:val="clear" w:color="auto" w:fill="auto"/>
          </w:tcPr>
          <w:p w14:paraId="55A0E507" w14:textId="77777777" w:rsidR="00FA5CF6" w:rsidRPr="00682149" w:rsidRDefault="00FA5CF6" w:rsidP="001C138F">
            <w:pPr>
              <w:spacing w:after="0" w:line="276" w:lineRule="auto"/>
              <w:rPr>
                <w:color w:val="000000" w:themeColor="text1"/>
              </w:rPr>
            </w:pPr>
            <w:r w:rsidRPr="00682149">
              <w:rPr>
                <w:color w:val="000000" w:themeColor="text1"/>
              </w:rPr>
              <w:t>Putumayo</w:t>
            </w:r>
            <w:r w:rsidRPr="00682149">
              <w:rPr>
                <w:b/>
                <w:color w:val="000000" w:themeColor="text1"/>
              </w:rPr>
              <w:t xml:space="preserve"> </w:t>
            </w:r>
          </w:p>
        </w:tc>
        <w:tc>
          <w:tcPr>
            <w:tcW w:w="2267" w:type="dxa"/>
            <w:tcBorders>
              <w:top w:val="single" w:sz="2" w:space="0" w:color="000000"/>
              <w:left w:val="single" w:sz="2" w:space="0" w:color="000000"/>
              <w:bottom w:val="single" w:sz="2" w:space="0" w:color="000000"/>
              <w:right w:val="single" w:sz="2" w:space="0" w:color="000000"/>
            </w:tcBorders>
            <w:shd w:val="clear" w:color="auto" w:fill="auto"/>
          </w:tcPr>
          <w:p w14:paraId="187F2326" w14:textId="77777777" w:rsidR="00FA5CF6" w:rsidRPr="00682149" w:rsidRDefault="00FA5CF6" w:rsidP="001C138F">
            <w:pPr>
              <w:spacing w:after="0" w:line="276" w:lineRule="auto"/>
              <w:ind w:left="6"/>
              <w:jc w:val="center"/>
              <w:rPr>
                <w:color w:val="000000" w:themeColor="text1"/>
              </w:rPr>
            </w:pPr>
            <w:r w:rsidRPr="00682149">
              <w:rPr>
                <w:color w:val="000000" w:themeColor="text1"/>
              </w:rPr>
              <w:t xml:space="preserve">1047 </w:t>
            </w:r>
          </w:p>
        </w:tc>
      </w:tr>
      <w:tr w:rsidR="00682149" w:rsidRPr="00682149" w14:paraId="2062E8A4" w14:textId="77777777" w:rsidTr="00313BD6">
        <w:trPr>
          <w:trHeight w:val="286"/>
        </w:trPr>
        <w:tc>
          <w:tcPr>
            <w:tcW w:w="2261" w:type="dxa"/>
            <w:tcBorders>
              <w:top w:val="single" w:sz="2" w:space="0" w:color="000000"/>
              <w:left w:val="single" w:sz="2" w:space="0" w:color="000000"/>
              <w:bottom w:val="single" w:sz="2" w:space="0" w:color="000000"/>
              <w:right w:val="single" w:sz="2" w:space="0" w:color="000000"/>
            </w:tcBorders>
            <w:shd w:val="clear" w:color="auto" w:fill="auto"/>
          </w:tcPr>
          <w:p w14:paraId="632E33A7" w14:textId="77777777" w:rsidR="00FA5CF6" w:rsidRPr="00682149" w:rsidRDefault="00FA5CF6" w:rsidP="001C138F">
            <w:pPr>
              <w:spacing w:after="0" w:line="276" w:lineRule="auto"/>
              <w:rPr>
                <w:color w:val="000000" w:themeColor="text1"/>
              </w:rPr>
            </w:pPr>
            <w:r w:rsidRPr="00682149">
              <w:rPr>
                <w:color w:val="000000" w:themeColor="text1"/>
              </w:rPr>
              <w:t>Vichada</w:t>
            </w:r>
            <w:r w:rsidRPr="00682149">
              <w:rPr>
                <w:b/>
                <w:color w:val="000000" w:themeColor="text1"/>
              </w:rPr>
              <w:t xml:space="preserve"> </w:t>
            </w:r>
          </w:p>
        </w:tc>
        <w:tc>
          <w:tcPr>
            <w:tcW w:w="2267" w:type="dxa"/>
            <w:tcBorders>
              <w:top w:val="single" w:sz="2" w:space="0" w:color="000000"/>
              <w:left w:val="single" w:sz="2" w:space="0" w:color="000000"/>
              <w:bottom w:val="single" w:sz="2" w:space="0" w:color="000000"/>
              <w:right w:val="single" w:sz="2" w:space="0" w:color="000000"/>
            </w:tcBorders>
            <w:shd w:val="clear" w:color="auto" w:fill="auto"/>
          </w:tcPr>
          <w:p w14:paraId="7E807058" w14:textId="77777777" w:rsidR="00FA5CF6" w:rsidRPr="00682149" w:rsidRDefault="00FA5CF6" w:rsidP="001C138F">
            <w:pPr>
              <w:spacing w:after="0" w:line="276" w:lineRule="auto"/>
              <w:ind w:left="8"/>
              <w:jc w:val="center"/>
              <w:rPr>
                <w:color w:val="000000" w:themeColor="text1"/>
              </w:rPr>
            </w:pPr>
            <w:r w:rsidRPr="00682149">
              <w:rPr>
                <w:color w:val="000000" w:themeColor="text1"/>
              </w:rPr>
              <w:t xml:space="preserve">977 </w:t>
            </w:r>
          </w:p>
        </w:tc>
      </w:tr>
      <w:tr w:rsidR="00682149" w:rsidRPr="00682149" w14:paraId="00316360" w14:textId="77777777" w:rsidTr="00313BD6">
        <w:trPr>
          <w:trHeight w:val="288"/>
        </w:trPr>
        <w:tc>
          <w:tcPr>
            <w:tcW w:w="2261" w:type="dxa"/>
            <w:tcBorders>
              <w:top w:val="single" w:sz="2" w:space="0" w:color="000000"/>
              <w:left w:val="single" w:sz="2" w:space="0" w:color="000000"/>
              <w:bottom w:val="single" w:sz="2" w:space="0" w:color="000000"/>
              <w:right w:val="single" w:sz="2" w:space="0" w:color="000000"/>
            </w:tcBorders>
            <w:shd w:val="clear" w:color="auto" w:fill="auto"/>
          </w:tcPr>
          <w:p w14:paraId="0D839B0C" w14:textId="77777777" w:rsidR="00FA5CF6" w:rsidRPr="00682149" w:rsidRDefault="00FA5CF6" w:rsidP="001C138F">
            <w:pPr>
              <w:spacing w:after="0" w:line="276" w:lineRule="auto"/>
              <w:rPr>
                <w:color w:val="000000" w:themeColor="text1"/>
              </w:rPr>
            </w:pPr>
            <w:r w:rsidRPr="00682149">
              <w:rPr>
                <w:color w:val="000000" w:themeColor="text1"/>
              </w:rPr>
              <w:t>Guajira</w:t>
            </w:r>
            <w:r w:rsidRPr="00682149">
              <w:rPr>
                <w:b/>
                <w:color w:val="000000" w:themeColor="text1"/>
              </w:rPr>
              <w:t xml:space="preserve"> </w:t>
            </w:r>
          </w:p>
        </w:tc>
        <w:tc>
          <w:tcPr>
            <w:tcW w:w="2267" w:type="dxa"/>
            <w:tcBorders>
              <w:top w:val="single" w:sz="2" w:space="0" w:color="000000"/>
              <w:left w:val="single" w:sz="2" w:space="0" w:color="000000"/>
              <w:bottom w:val="single" w:sz="2" w:space="0" w:color="000000"/>
              <w:right w:val="single" w:sz="2" w:space="0" w:color="000000"/>
            </w:tcBorders>
            <w:shd w:val="clear" w:color="auto" w:fill="auto"/>
          </w:tcPr>
          <w:p w14:paraId="0CDFC912" w14:textId="77777777" w:rsidR="00FA5CF6" w:rsidRPr="00682149" w:rsidRDefault="00FA5CF6" w:rsidP="001C138F">
            <w:pPr>
              <w:spacing w:after="0" w:line="276" w:lineRule="auto"/>
              <w:ind w:left="8"/>
              <w:jc w:val="center"/>
              <w:rPr>
                <w:color w:val="000000" w:themeColor="text1"/>
              </w:rPr>
            </w:pPr>
            <w:r w:rsidRPr="00682149">
              <w:rPr>
                <w:color w:val="000000" w:themeColor="text1"/>
              </w:rPr>
              <w:t xml:space="preserve">701 </w:t>
            </w:r>
          </w:p>
        </w:tc>
      </w:tr>
      <w:tr w:rsidR="00682149" w:rsidRPr="00682149" w14:paraId="06A38C60" w14:textId="77777777" w:rsidTr="00313BD6">
        <w:trPr>
          <w:trHeight w:val="286"/>
        </w:trPr>
        <w:tc>
          <w:tcPr>
            <w:tcW w:w="2261" w:type="dxa"/>
            <w:tcBorders>
              <w:top w:val="single" w:sz="2" w:space="0" w:color="000000"/>
              <w:left w:val="single" w:sz="2" w:space="0" w:color="000000"/>
              <w:bottom w:val="single" w:sz="2" w:space="0" w:color="000000"/>
              <w:right w:val="single" w:sz="2" w:space="0" w:color="000000"/>
            </w:tcBorders>
            <w:shd w:val="clear" w:color="auto" w:fill="auto"/>
          </w:tcPr>
          <w:p w14:paraId="01BE1752" w14:textId="77777777" w:rsidR="00FA5CF6" w:rsidRPr="00682149" w:rsidRDefault="00FA5CF6" w:rsidP="001C138F">
            <w:pPr>
              <w:spacing w:after="0" w:line="276" w:lineRule="auto"/>
              <w:rPr>
                <w:color w:val="000000" w:themeColor="text1"/>
              </w:rPr>
            </w:pPr>
            <w:r w:rsidRPr="00682149">
              <w:rPr>
                <w:color w:val="000000" w:themeColor="text1"/>
              </w:rPr>
              <w:t>Casanare</w:t>
            </w:r>
            <w:r w:rsidRPr="00682149">
              <w:rPr>
                <w:b/>
                <w:color w:val="000000" w:themeColor="text1"/>
              </w:rPr>
              <w:t xml:space="preserve"> </w:t>
            </w:r>
          </w:p>
        </w:tc>
        <w:tc>
          <w:tcPr>
            <w:tcW w:w="2267" w:type="dxa"/>
            <w:tcBorders>
              <w:top w:val="single" w:sz="2" w:space="0" w:color="000000"/>
              <w:left w:val="single" w:sz="2" w:space="0" w:color="000000"/>
              <w:bottom w:val="single" w:sz="2" w:space="0" w:color="000000"/>
              <w:right w:val="single" w:sz="2" w:space="0" w:color="000000"/>
            </w:tcBorders>
            <w:shd w:val="clear" w:color="auto" w:fill="auto"/>
          </w:tcPr>
          <w:p w14:paraId="7491562A" w14:textId="77777777" w:rsidR="00FA5CF6" w:rsidRPr="00682149" w:rsidRDefault="00FA5CF6" w:rsidP="001C138F">
            <w:pPr>
              <w:spacing w:after="0" w:line="276" w:lineRule="auto"/>
              <w:ind w:left="8"/>
              <w:jc w:val="center"/>
              <w:rPr>
                <w:color w:val="000000" w:themeColor="text1"/>
              </w:rPr>
            </w:pPr>
            <w:r w:rsidRPr="00682149">
              <w:rPr>
                <w:color w:val="000000" w:themeColor="text1"/>
              </w:rPr>
              <w:t xml:space="preserve">647 </w:t>
            </w:r>
          </w:p>
        </w:tc>
      </w:tr>
      <w:tr w:rsidR="00682149" w:rsidRPr="00682149" w14:paraId="45B6CE89" w14:textId="77777777" w:rsidTr="00313BD6">
        <w:trPr>
          <w:trHeight w:val="286"/>
        </w:trPr>
        <w:tc>
          <w:tcPr>
            <w:tcW w:w="2261" w:type="dxa"/>
            <w:tcBorders>
              <w:top w:val="single" w:sz="2" w:space="0" w:color="000000"/>
              <w:left w:val="single" w:sz="2" w:space="0" w:color="000000"/>
              <w:bottom w:val="single" w:sz="2" w:space="0" w:color="000000"/>
              <w:right w:val="single" w:sz="2" w:space="0" w:color="000000"/>
            </w:tcBorders>
            <w:shd w:val="clear" w:color="auto" w:fill="auto"/>
          </w:tcPr>
          <w:p w14:paraId="4B4CED8E" w14:textId="77777777" w:rsidR="00FA5CF6" w:rsidRPr="00682149" w:rsidRDefault="00FA5CF6" w:rsidP="001C138F">
            <w:pPr>
              <w:spacing w:after="0" w:line="276" w:lineRule="auto"/>
              <w:rPr>
                <w:color w:val="000000" w:themeColor="text1"/>
              </w:rPr>
            </w:pPr>
            <w:r w:rsidRPr="00682149">
              <w:rPr>
                <w:color w:val="000000" w:themeColor="text1"/>
              </w:rPr>
              <w:t>Cesar</w:t>
            </w:r>
            <w:r w:rsidRPr="00682149">
              <w:rPr>
                <w:b/>
                <w:color w:val="000000" w:themeColor="text1"/>
              </w:rPr>
              <w:t xml:space="preserve"> </w:t>
            </w:r>
          </w:p>
        </w:tc>
        <w:tc>
          <w:tcPr>
            <w:tcW w:w="2267" w:type="dxa"/>
            <w:tcBorders>
              <w:top w:val="single" w:sz="2" w:space="0" w:color="000000"/>
              <w:left w:val="single" w:sz="2" w:space="0" w:color="000000"/>
              <w:bottom w:val="single" w:sz="2" w:space="0" w:color="000000"/>
              <w:right w:val="single" w:sz="2" w:space="0" w:color="000000"/>
            </w:tcBorders>
            <w:shd w:val="clear" w:color="auto" w:fill="auto"/>
          </w:tcPr>
          <w:p w14:paraId="614240A4" w14:textId="77777777" w:rsidR="00FA5CF6" w:rsidRPr="00682149" w:rsidRDefault="00FA5CF6" w:rsidP="001C138F">
            <w:pPr>
              <w:spacing w:after="0" w:line="276" w:lineRule="auto"/>
              <w:ind w:left="8"/>
              <w:jc w:val="center"/>
              <w:rPr>
                <w:color w:val="000000" w:themeColor="text1"/>
              </w:rPr>
            </w:pPr>
            <w:r w:rsidRPr="00682149">
              <w:rPr>
                <w:color w:val="000000" w:themeColor="text1"/>
              </w:rPr>
              <w:t xml:space="preserve">577 </w:t>
            </w:r>
          </w:p>
        </w:tc>
      </w:tr>
      <w:tr w:rsidR="00682149" w:rsidRPr="00682149" w14:paraId="0F2DB051" w14:textId="77777777" w:rsidTr="00313BD6">
        <w:trPr>
          <w:trHeight w:val="286"/>
        </w:trPr>
        <w:tc>
          <w:tcPr>
            <w:tcW w:w="2261" w:type="dxa"/>
            <w:tcBorders>
              <w:top w:val="single" w:sz="2" w:space="0" w:color="000000"/>
              <w:left w:val="single" w:sz="2" w:space="0" w:color="000000"/>
              <w:bottom w:val="single" w:sz="2" w:space="0" w:color="000000"/>
              <w:right w:val="single" w:sz="2" w:space="0" w:color="000000"/>
            </w:tcBorders>
            <w:shd w:val="clear" w:color="auto" w:fill="auto"/>
          </w:tcPr>
          <w:p w14:paraId="111E3A62" w14:textId="77777777" w:rsidR="00FA5CF6" w:rsidRPr="00682149" w:rsidRDefault="00FA5CF6" w:rsidP="001C138F">
            <w:pPr>
              <w:spacing w:after="0" w:line="276" w:lineRule="auto"/>
              <w:rPr>
                <w:color w:val="000000" w:themeColor="text1"/>
              </w:rPr>
            </w:pPr>
            <w:r w:rsidRPr="00682149">
              <w:rPr>
                <w:color w:val="000000" w:themeColor="text1"/>
              </w:rPr>
              <w:t xml:space="preserve">Guaviare </w:t>
            </w:r>
            <w:r w:rsidRPr="00682149">
              <w:rPr>
                <w:b/>
                <w:color w:val="000000" w:themeColor="text1"/>
              </w:rPr>
              <w:t xml:space="preserve"> </w:t>
            </w:r>
          </w:p>
        </w:tc>
        <w:tc>
          <w:tcPr>
            <w:tcW w:w="2267" w:type="dxa"/>
            <w:tcBorders>
              <w:top w:val="single" w:sz="2" w:space="0" w:color="000000"/>
              <w:left w:val="single" w:sz="2" w:space="0" w:color="000000"/>
              <w:bottom w:val="single" w:sz="2" w:space="0" w:color="000000"/>
              <w:right w:val="single" w:sz="2" w:space="0" w:color="000000"/>
            </w:tcBorders>
            <w:shd w:val="clear" w:color="auto" w:fill="auto"/>
          </w:tcPr>
          <w:p w14:paraId="4FB2888F" w14:textId="77777777" w:rsidR="00FA5CF6" w:rsidRPr="00682149" w:rsidRDefault="00FA5CF6" w:rsidP="001C138F">
            <w:pPr>
              <w:spacing w:after="0" w:line="276" w:lineRule="auto"/>
              <w:ind w:left="8"/>
              <w:jc w:val="center"/>
              <w:rPr>
                <w:color w:val="000000" w:themeColor="text1"/>
              </w:rPr>
            </w:pPr>
            <w:r w:rsidRPr="00682149">
              <w:rPr>
                <w:color w:val="000000" w:themeColor="text1"/>
              </w:rPr>
              <w:t xml:space="preserve">563 </w:t>
            </w:r>
          </w:p>
        </w:tc>
      </w:tr>
      <w:tr w:rsidR="00682149" w:rsidRPr="00682149" w14:paraId="45FBABF7" w14:textId="77777777" w:rsidTr="00313BD6">
        <w:trPr>
          <w:trHeight w:val="286"/>
        </w:trPr>
        <w:tc>
          <w:tcPr>
            <w:tcW w:w="2261" w:type="dxa"/>
            <w:tcBorders>
              <w:top w:val="single" w:sz="2" w:space="0" w:color="000000"/>
              <w:left w:val="single" w:sz="2" w:space="0" w:color="000000"/>
              <w:bottom w:val="single" w:sz="2" w:space="0" w:color="000000"/>
              <w:right w:val="single" w:sz="2" w:space="0" w:color="000000"/>
            </w:tcBorders>
            <w:shd w:val="clear" w:color="auto" w:fill="auto"/>
          </w:tcPr>
          <w:p w14:paraId="66D1C926" w14:textId="77777777" w:rsidR="00FA5CF6" w:rsidRPr="00682149" w:rsidRDefault="00FA5CF6" w:rsidP="001C138F">
            <w:pPr>
              <w:spacing w:after="0" w:line="276" w:lineRule="auto"/>
              <w:rPr>
                <w:color w:val="000000" w:themeColor="text1"/>
              </w:rPr>
            </w:pPr>
            <w:r w:rsidRPr="00682149">
              <w:rPr>
                <w:color w:val="000000" w:themeColor="text1"/>
              </w:rPr>
              <w:t>Magdalena</w:t>
            </w:r>
            <w:r w:rsidRPr="00682149">
              <w:rPr>
                <w:b/>
                <w:color w:val="000000" w:themeColor="text1"/>
              </w:rPr>
              <w:t xml:space="preserve"> </w:t>
            </w:r>
          </w:p>
        </w:tc>
        <w:tc>
          <w:tcPr>
            <w:tcW w:w="2267" w:type="dxa"/>
            <w:tcBorders>
              <w:top w:val="single" w:sz="2" w:space="0" w:color="000000"/>
              <w:left w:val="single" w:sz="2" w:space="0" w:color="000000"/>
              <w:bottom w:val="single" w:sz="2" w:space="0" w:color="000000"/>
              <w:right w:val="single" w:sz="2" w:space="0" w:color="000000"/>
            </w:tcBorders>
            <w:shd w:val="clear" w:color="auto" w:fill="auto"/>
          </w:tcPr>
          <w:p w14:paraId="191E99B6" w14:textId="77777777" w:rsidR="00FA5CF6" w:rsidRPr="00682149" w:rsidRDefault="00FA5CF6" w:rsidP="001C138F">
            <w:pPr>
              <w:spacing w:after="0" w:line="276" w:lineRule="auto"/>
              <w:ind w:left="8"/>
              <w:jc w:val="center"/>
              <w:rPr>
                <w:color w:val="000000" w:themeColor="text1"/>
              </w:rPr>
            </w:pPr>
            <w:r w:rsidRPr="00682149">
              <w:rPr>
                <w:color w:val="000000" w:themeColor="text1"/>
              </w:rPr>
              <w:t xml:space="preserve">515 </w:t>
            </w:r>
          </w:p>
        </w:tc>
      </w:tr>
      <w:tr w:rsidR="00682149" w:rsidRPr="00682149" w14:paraId="6FA0940D" w14:textId="77777777" w:rsidTr="00313BD6">
        <w:trPr>
          <w:trHeight w:val="286"/>
        </w:trPr>
        <w:tc>
          <w:tcPr>
            <w:tcW w:w="2261" w:type="dxa"/>
            <w:tcBorders>
              <w:top w:val="single" w:sz="2" w:space="0" w:color="000000"/>
              <w:left w:val="single" w:sz="2" w:space="0" w:color="000000"/>
              <w:bottom w:val="single" w:sz="2" w:space="0" w:color="000000"/>
              <w:right w:val="single" w:sz="2" w:space="0" w:color="000000"/>
            </w:tcBorders>
            <w:shd w:val="clear" w:color="auto" w:fill="auto"/>
          </w:tcPr>
          <w:p w14:paraId="6300FC31" w14:textId="77777777" w:rsidR="00FA5CF6" w:rsidRPr="00682149" w:rsidRDefault="00FA5CF6" w:rsidP="001C138F">
            <w:pPr>
              <w:spacing w:after="0" w:line="276" w:lineRule="auto"/>
              <w:rPr>
                <w:color w:val="000000" w:themeColor="text1"/>
              </w:rPr>
            </w:pPr>
            <w:r w:rsidRPr="00682149">
              <w:rPr>
                <w:color w:val="000000" w:themeColor="text1"/>
              </w:rPr>
              <w:lastRenderedPageBreak/>
              <w:t>Meta</w:t>
            </w:r>
            <w:r w:rsidRPr="00682149">
              <w:rPr>
                <w:b/>
                <w:color w:val="000000" w:themeColor="text1"/>
              </w:rPr>
              <w:t xml:space="preserve"> </w:t>
            </w:r>
          </w:p>
        </w:tc>
        <w:tc>
          <w:tcPr>
            <w:tcW w:w="2267" w:type="dxa"/>
            <w:tcBorders>
              <w:top w:val="single" w:sz="2" w:space="0" w:color="000000"/>
              <w:left w:val="single" w:sz="2" w:space="0" w:color="000000"/>
              <w:bottom w:val="single" w:sz="2" w:space="0" w:color="000000"/>
              <w:right w:val="single" w:sz="2" w:space="0" w:color="000000"/>
            </w:tcBorders>
            <w:shd w:val="clear" w:color="auto" w:fill="auto"/>
          </w:tcPr>
          <w:p w14:paraId="37D7DF5C" w14:textId="77777777" w:rsidR="00FA5CF6" w:rsidRPr="00682149" w:rsidRDefault="00FA5CF6" w:rsidP="001C138F">
            <w:pPr>
              <w:spacing w:after="0" w:line="276" w:lineRule="auto"/>
              <w:ind w:left="8"/>
              <w:jc w:val="center"/>
              <w:rPr>
                <w:color w:val="000000" w:themeColor="text1"/>
              </w:rPr>
            </w:pPr>
            <w:r w:rsidRPr="00682149">
              <w:rPr>
                <w:color w:val="000000" w:themeColor="text1"/>
              </w:rPr>
              <w:t xml:space="preserve">423 </w:t>
            </w:r>
          </w:p>
        </w:tc>
      </w:tr>
      <w:tr w:rsidR="00682149" w:rsidRPr="00682149" w14:paraId="12009196" w14:textId="77777777" w:rsidTr="00313BD6">
        <w:trPr>
          <w:trHeight w:val="288"/>
        </w:trPr>
        <w:tc>
          <w:tcPr>
            <w:tcW w:w="2261" w:type="dxa"/>
            <w:tcBorders>
              <w:top w:val="single" w:sz="2" w:space="0" w:color="000000"/>
              <w:left w:val="single" w:sz="2" w:space="0" w:color="000000"/>
              <w:bottom w:val="single" w:sz="2" w:space="0" w:color="000000"/>
              <w:right w:val="single" w:sz="2" w:space="0" w:color="000000"/>
            </w:tcBorders>
            <w:shd w:val="clear" w:color="auto" w:fill="auto"/>
          </w:tcPr>
          <w:p w14:paraId="7E5CA96F" w14:textId="77777777" w:rsidR="00FA5CF6" w:rsidRPr="00682149" w:rsidRDefault="00FA5CF6" w:rsidP="001C138F">
            <w:pPr>
              <w:spacing w:after="0" w:line="276" w:lineRule="auto"/>
              <w:rPr>
                <w:color w:val="000000" w:themeColor="text1"/>
              </w:rPr>
            </w:pPr>
            <w:r w:rsidRPr="00682149">
              <w:rPr>
                <w:color w:val="000000" w:themeColor="text1"/>
              </w:rPr>
              <w:t>Arauca</w:t>
            </w:r>
            <w:r w:rsidRPr="00682149">
              <w:rPr>
                <w:b/>
                <w:color w:val="000000" w:themeColor="text1"/>
              </w:rPr>
              <w:t xml:space="preserve"> </w:t>
            </w:r>
          </w:p>
        </w:tc>
        <w:tc>
          <w:tcPr>
            <w:tcW w:w="2267" w:type="dxa"/>
            <w:tcBorders>
              <w:top w:val="single" w:sz="2" w:space="0" w:color="000000"/>
              <w:left w:val="single" w:sz="2" w:space="0" w:color="000000"/>
              <w:bottom w:val="single" w:sz="2" w:space="0" w:color="000000"/>
              <w:right w:val="single" w:sz="2" w:space="0" w:color="000000"/>
            </w:tcBorders>
            <w:shd w:val="clear" w:color="auto" w:fill="auto"/>
          </w:tcPr>
          <w:p w14:paraId="43DD0B20" w14:textId="77777777" w:rsidR="00FA5CF6" w:rsidRPr="00682149" w:rsidRDefault="00FA5CF6" w:rsidP="001C138F">
            <w:pPr>
              <w:spacing w:after="0" w:line="276" w:lineRule="auto"/>
              <w:ind w:left="8"/>
              <w:jc w:val="center"/>
              <w:rPr>
                <w:color w:val="000000" w:themeColor="text1"/>
              </w:rPr>
            </w:pPr>
            <w:r w:rsidRPr="00682149">
              <w:rPr>
                <w:color w:val="000000" w:themeColor="text1"/>
              </w:rPr>
              <w:t xml:space="preserve">296 </w:t>
            </w:r>
          </w:p>
        </w:tc>
      </w:tr>
      <w:tr w:rsidR="00682149" w:rsidRPr="00682149" w14:paraId="13A376D5" w14:textId="77777777" w:rsidTr="00313BD6">
        <w:trPr>
          <w:trHeight w:val="286"/>
        </w:trPr>
        <w:tc>
          <w:tcPr>
            <w:tcW w:w="2261" w:type="dxa"/>
            <w:tcBorders>
              <w:top w:val="single" w:sz="2" w:space="0" w:color="000000"/>
              <w:left w:val="single" w:sz="2" w:space="0" w:color="000000"/>
              <w:bottom w:val="single" w:sz="2" w:space="0" w:color="000000"/>
              <w:right w:val="single" w:sz="2" w:space="0" w:color="000000"/>
            </w:tcBorders>
            <w:shd w:val="clear" w:color="auto" w:fill="auto"/>
          </w:tcPr>
          <w:p w14:paraId="3ADDDB7E" w14:textId="77777777" w:rsidR="00FA5CF6" w:rsidRPr="00682149" w:rsidRDefault="00FA5CF6" w:rsidP="001C138F">
            <w:pPr>
              <w:spacing w:after="0" w:line="276" w:lineRule="auto"/>
              <w:rPr>
                <w:color w:val="000000" w:themeColor="text1"/>
              </w:rPr>
            </w:pPr>
            <w:r w:rsidRPr="00682149">
              <w:rPr>
                <w:color w:val="000000" w:themeColor="text1"/>
              </w:rPr>
              <w:t xml:space="preserve">Bolívar </w:t>
            </w:r>
            <w:r w:rsidRPr="00682149">
              <w:rPr>
                <w:b/>
                <w:color w:val="000000" w:themeColor="text1"/>
              </w:rPr>
              <w:t xml:space="preserve"> </w:t>
            </w:r>
          </w:p>
        </w:tc>
        <w:tc>
          <w:tcPr>
            <w:tcW w:w="2267" w:type="dxa"/>
            <w:tcBorders>
              <w:top w:val="single" w:sz="2" w:space="0" w:color="000000"/>
              <w:left w:val="single" w:sz="2" w:space="0" w:color="000000"/>
              <w:bottom w:val="single" w:sz="2" w:space="0" w:color="000000"/>
              <w:right w:val="single" w:sz="2" w:space="0" w:color="000000"/>
            </w:tcBorders>
            <w:shd w:val="clear" w:color="auto" w:fill="auto"/>
          </w:tcPr>
          <w:p w14:paraId="6C3A4CDC" w14:textId="77777777" w:rsidR="00FA5CF6" w:rsidRPr="00682149" w:rsidRDefault="00FA5CF6" w:rsidP="001C138F">
            <w:pPr>
              <w:spacing w:after="0" w:line="276" w:lineRule="auto"/>
              <w:ind w:left="8"/>
              <w:jc w:val="center"/>
              <w:rPr>
                <w:color w:val="000000" w:themeColor="text1"/>
              </w:rPr>
            </w:pPr>
            <w:r w:rsidRPr="00682149">
              <w:rPr>
                <w:color w:val="000000" w:themeColor="text1"/>
              </w:rPr>
              <w:t xml:space="preserve">200 </w:t>
            </w:r>
          </w:p>
        </w:tc>
      </w:tr>
      <w:tr w:rsidR="00682149" w:rsidRPr="00682149" w14:paraId="10E9A0F3" w14:textId="77777777" w:rsidTr="00313BD6">
        <w:trPr>
          <w:trHeight w:val="286"/>
        </w:trPr>
        <w:tc>
          <w:tcPr>
            <w:tcW w:w="2261" w:type="dxa"/>
            <w:tcBorders>
              <w:top w:val="single" w:sz="2" w:space="0" w:color="000000"/>
              <w:left w:val="single" w:sz="2" w:space="0" w:color="000000"/>
              <w:bottom w:val="single" w:sz="2" w:space="0" w:color="000000"/>
              <w:right w:val="single" w:sz="2" w:space="0" w:color="000000"/>
            </w:tcBorders>
            <w:shd w:val="clear" w:color="auto" w:fill="auto"/>
          </w:tcPr>
          <w:p w14:paraId="011273DE" w14:textId="77777777" w:rsidR="00FA5CF6" w:rsidRPr="00682149" w:rsidRDefault="00FA5CF6" w:rsidP="001C138F">
            <w:pPr>
              <w:spacing w:after="0" w:line="276" w:lineRule="auto"/>
              <w:rPr>
                <w:color w:val="000000" w:themeColor="text1"/>
              </w:rPr>
            </w:pPr>
            <w:r w:rsidRPr="00682149">
              <w:rPr>
                <w:color w:val="000000" w:themeColor="text1"/>
              </w:rPr>
              <w:t xml:space="preserve">Huila </w:t>
            </w:r>
            <w:r w:rsidRPr="00682149">
              <w:rPr>
                <w:b/>
                <w:color w:val="000000" w:themeColor="text1"/>
              </w:rPr>
              <w:t xml:space="preserve"> </w:t>
            </w:r>
          </w:p>
        </w:tc>
        <w:tc>
          <w:tcPr>
            <w:tcW w:w="2267" w:type="dxa"/>
            <w:tcBorders>
              <w:top w:val="single" w:sz="2" w:space="0" w:color="000000"/>
              <w:left w:val="single" w:sz="2" w:space="0" w:color="000000"/>
              <w:bottom w:val="single" w:sz="2" w:space="0" w:color="000000"/>
              <w:right w:val="single" w:sz="2" w:space="0" w:color="000000"/>
            </w:tcBorders>
            <w:shd w:val="clear" w:color="auto" w:fill="auto"/>
          </w:tcPr>
          <w:p w14:paraId="3BF3BEC0" w14:textId="77777777" w:rsidR="00FA5CF6" w:rsidRPr="00682149" w:rsidRDefault="00FA5CF6" w:rsidP="001C138F">
            <w:pPr>
              <w:spacing w:after="0" w:line="276" w:lineRule="auto"/>
              <w:ind w:left="8"/>
              <w:jc w:val="center"/>
              <w:rPr>
                <w:color w:val="000000" w:themeColor="text1"/>
              </w:rPr>
            </w:pPr>
            <w:r w:rsidRPr="00682149">
              <w:rPr>
                <w:color w:val="000000" w:themeColor="text1"/>
              </w:rPr>
              <w:t xml:space="preserve">189 </w:t>
            </w:r>
          </w:p>
        </w:tc>
      </w:tr>
      <w:tr w:rsidR="00682149" w:rsidRPr="00682149" w14:paraId="5F2A4C3F" w14:textId="77777777" w:rsidTr="00313BD6">
        <w:trPr>
          <w:trHeight w:val="286"/>
        </w:trPr>
        <w:tc>
          <w:tcPr>
            <w:tcW w:w="2261" w:type="dxa"/>
            <w:tcBorders>
              <w:top w:val="single" w:sz="2" w:space="0" w:color="000000"/>
              <w:left w:val="single" w:sz="2" w:space="0" w:color="000000"/>
              <w:bottom w:val="single" w:sz="2" w:space="0" w:color="000000"/>
              <w:right w:val="single" w:sz="2" w:space="0" w:color="000000"/>
            </w:tcBorders>
            <w:shd w:val="clear" w:color="auto" w:fill="auto"/>
          </w:tcPr>
          <w:p w14:paraId="6DD03702" w14:textId="77777777" w:rsidR="00FA5CF6" w:rsidRPr="00682149" w:rsidRDefault="00FA5CF6" w:rsidP="001C138F">
            <w:pPr>
              <w:spacing w:after="0" w:line="276" w:lineRule="auto"/>
              <w:rPr>
                <w:color w:val="000000" w:themeColor="text1"/>
              </w:rPr>
            </w:pPr>
            <w:r w:rsidRPr="00682149">
              <w:rPr>
                <w:color w:val="000000" w:themeColor="text1"/>
              </w:rPr>
              <w:t xml:space="preserve">Nariño </w:t>
            </w:r>
            <w:r w:rsidRPr="00682149">
              <w:rPr>
                <w:b/>
                <w:color w:val="000000" w:themeColor="text1"/>
              </w:rPr>
              <w:t xml:space="preserve"> </w:t>
            </w:r>
          </w:p>
        </w:tc>
        <w:tc>
          <w:tcPr>
            <w:tcW w:w="2267" w:type="dxa"/>
            <w:tcBorders>
              <w:top w:val="single" w:sz="2" w:space="0" w:color="000000"/>
              <w:left w:val="single" w:sz="2" w:space="0" w:color="000000"/>
              <w:bottom w:val="single" w:sz="2" w:space="0" w:color="000000"/>
              <w:right w:val="single" w:sz="2" w:space="0" w:color="000000"/>
            </w:tcBorders>
            <w:shd w:val="clear" w:color="auto" w:fill="auto"/>
          </w:tcPr>
          <w:p w14:paraId="67DB326C" w14:textId="77777777" w:rsidR="00FA5CF6" w:rsidRPr="00682149" w:rsidRDefault="00FA5CF6" w:rsidP="001C138F">
            <w:pPr>
              <w:spacing w:after="0" w:line="276" w:lineRule="auto"/>
              <w:ind w:left="8"/>
              <w:jc w:val="center"/>
              <w:rPr>
                <w:color w:val="000000" w:themeColor="text1"/>
              </w:rPr>
            </w:pPr>
            <w:r w:rsidRPr="00682149">
              <w:rPr>
                <w:color w:val="000000" w:themeColor="text1"/>
              </w:rPr>
              <w:t xml:space="preserve">84 </w:t>
            </w:r>
          </w:p>
        </w:tc>
      </w:tr>
      <w:tr w:rsidR="00682149" w:rsidRPr="00682149" w14:paraId="7AB9572C" w14:textId="77777777" w:rsidTr="00313BD6">
        <w:trPr>
          <w:trHeight w:val="286"/>
        </w:trPr>
        <w:tc>
          <w:tcPr>
            <w:tcW w:w="2261" w:type="dxa"/>
            <w:tcBorders>
              <w:top w:val="single" w:sz="2" w:space="0" w:color="000000"/>
              <w:left w:val="single" w:sz="2" w:space="0" w:color="000000"/>
              <w:bottom w:val="single" w:sz="2" w:space="0" w:color="000000"/>
              <w:right w:val="single" w:sz="2" w:space="0" w:color="000000"/>
            </w:tcBorders>
            <w:shd w:val="clear" w:color="auto" w:fill="auto"/>
          </w:tcPr>
          <w:p w14:paraId="74BC061E" w14:textId="77777777" w:rsidR="00FA5CF6" w:rsidRPr="00682149" w:rsidRDefault="00FA5CF6" w:rsidP="001C138F">
            <w:pPr>
              <w:spacing w:after="0" w:line="276" w:lineRule="auto"/>
              <w:rPr>
                <w:color w:val="000000" w:themeColor="text1"/>
              </w:rPr>
            </w:pPr>
            <w:r w:rsidRPr="00682149">
              <w:rPr>
                <w:color w:val="000000" w:themeColor="text1"/>
              </w:rPr>
              <w:t xml:space="preserve">Sucre </w:t>
            </w:r>
            <w:r w:rsidRPr="00682149">
              <w:rPr>
                <w:b/>
                <w:color w:val="000000" w:themeColor="text1"/>
              </w:rPr>
              <w:t xml:space="preserve"> </w:t>
            </w:r>
          </w:p>
        </w:tc>
        <w:tc>
          <w:tcPr>
            <w:tcW w:w="2267" w:type="dxa"/>
            <w:tcBorders>
              <w:top w:val="single" w:sz="2" w:space="0" w:color="000000"/>
              <w:left w:val="single" w:sz="2" w:space="0" w:color="000000"/>
              <w:bottom w:val="single" w:sz="2" w:space="0" w:color="000000"/>
              <w:right w:val="single" w:sz="2" w:space="0" w:color="000000"/>
            </w:tcBorders>
            <w:shd w:val="clear" w:color="auto" w:fill="auto"/>
          </w:tcPr>
          <w:p w14:paraId="6C43A90D" w14:textId="77777777" w:rsidR="00FA5CF6" w:rsidRPr="00682149" w:rsidRDefault="00FA5CF6" w:rsidP="001C138F">
            <w:pPr>
              <w:spacing w:after="0" w:line="276" w:lineRule="auto"/>
              <w:ind w:left="8"/>
              <w:jc w:val="center"/>
              <w:rPr>
                <w:color w:val="000000" w:themeColor="text1"/>
              </w:rPr>
            </w:pPr>
            <w:r w:rsidRPr="00682149">
              <w:rPr>
                <w:color w:val="000000" w:themeColor="text1"/>
              </w:rPr>
              <w:t xml:space="preserve">75 </w:t>
            </w:r>
          </w:p>
        </w:tc>
      </w:tr>
      <w:tr w:rsidR="00682149" w:rsidRPr="00682149" w14:paraId="6A2242F6" w14:textId="77777777" w:rsidTr="00313BD6">
        <w:trPr>
          <w:trHeight w:val="286"/>
        </w:trPr>
        <w:tc>
          <w:tcPr>
            <w:tcW w:w="2261" w:type="dxa"/>
            <w:tcBorders>
              <w:top w:val="single" w:sz="2" w:space="0" w:color="000000"/>
              <w:left w:val="single" w:sz="2" w:space="0" w:color="000000"/>
              <w:bottom w:val="single" w:sz="2" w:space="0" w:color="000000"/>
              <w:right w:val="single" w:sz="2" w:space="0" w:color="000000"/>
            </w:tcBorders>
            <w:shd w:val="clear" w:color="auto" w:fill="auto"/>
          </w:tcPr>
          <w:p w14:paraId="33523224" w14:textId="77777777" w:rsidR="00FA5CF6" w:rsidRPr="00682149" w:rsidRDefault="00FA5CF6" w:rsidP="001C138F">
            <w:pPr>
              <w:spacing w:after="0" w:line="276" w:lineRule="auto"/>
              <w:rPr>
                <w:color w:val="000000" w:themeColor="text1"/>
              </w:rPr>
            </w:pPr>
            <w:r w:rsidRPr="00682149">
              <w:rPr>
                <w:color w:val="000000" w:themeColor="text1"/>
              </w:rPr>
              <w:t>Guainía</w:t>
            </w:r>
            <w:r w:rsidRPr="00682149">
              <w:rPr>
                <w:b/>
                <w:color w:val="000000" w:themeColor="text1"/>
              </w:rPr>
              <w:t xml:space="preserve"> </w:t>
            </w:r>
          </w:p>
        </w:tc>
        <w:tc>
          <w:tcPr>
            <w:tcW w:w="2267" w:type="dxa"/>
            <w:tcBorders>
              <w:top w:val="single" w:sz="2" w:space="0" w:color="000000"/>
              <w:left w:val="single" w:sz="2" w:space="0" w:color="000000"/>
              <w:bottom w:val="single" w:sz="2" w:space="0" w:color="000000"/>
              <w:right w:val="single" w:sz="2" w:space="0" w:color="000000"/>
            </w:tcBorders>
            <w:shd w:val="clear" w:color="auto" w:fill="auto"/>
          </w:tcPr>
          <w:p w14:paraId="735A4BFE" w14:textId="77777777" w:rsidR="00FA5CF6" w:rsidRPr="00682149" w:rsidRDefault="00FA5CF6" w:rsidP="001C138F">
            <w:pPr>
              <w:spacing w:after="0" w:line="276" w:lineRule="auto"/>
              <w:ind w:left="8"/>
              <w:jc w:val="center"/>
              <w:rPr>
                <w:color w:val="000000" w:themeColor="text1"/>
              </w:rPr>
            </w:pPr>
            <w:r w:rsidRPr="00682149">
              <w:rPr>
                <w:color w:val="000000" w:themeColor="text1"/>
              </w:rPr>
              <w:t xml:space="preserve">58 </w:t>
            </w:r>
          </w:p>
        </w:tc>
      </w:tr>
      <w:tr w:rsidR="00682149" w:rsidRPr="00682149" w14:paraId="49B5C71F" w14:textId="77777777" w:rsidTr="00313BD6">
        <w:trPr>
          <w:trHeight w:val="286"/>
        </w:trPr>
        <w:tc>
          <w:tcPr>
            <w:tcW w:w="2261" w:type="dxa"/>
            <w:tcBorders>
              <w:top w:val="single" w:sz="2" w:space="0" w:color="000000"/>
              <w:left w:val="single" w:sz="2" w:space="0" w:color="000000"/>
              <w:bottom w:val="single" w:sz="2" w:space="0" w:color="000000"/>
              <w:right w:val="single" w:sz="2" w:space="0" w:color="000000"/>
            </w:tcBorders>
            <w:shd w:val="clear" w:color="auto" w:fill="auto"/>
          </w:tcPr>
          <w:p w14:paraId="3F6FC297" w14:textId="77777777" w:rsidR="00FA5CF6" w:rsidRPr="00682149" w:rsidRDefault="00FA5CF6" w:rsidP="001C138F">
            <w:pPr>
              <w:spacing w:after="0" w:line="276" w:lineRule="auto"/>
              <w:rPr>
                <w:color w:val="000000" w:themeColor="text1"/>
              </w:rPr>
            </w:pPr>
            <w:r w:rsidRPr="00682149">
              <w:rPr>
                <w:color w:val="000000" w:themeColor="text1"/>
              </w:rPr>
              <w:t>Amazonas</w:t>
            </w:r>
            <w:r w:rsidRPr="00682149">
              <w:rPr>
                <w:b/>
                <w:color w:val="000000" w:themeColor="text1"/>
              </w:rPr>
              <w:t xml:space="preserve"> </w:t>
            </w:r>
          </w:p>
        </w:tc>
        <w:tc>
          <w:tcPr>
            <w:tcW w:w="2267" w:type="dxa"/>
            <w:tcBorders>
              <w:top w:val="single" w:sz="2" w:space="0" w:color="000000"/>
              <w:left w:val="single" w:sz="2" w:space="0" w:color="000000"/>
              <w:bottom w:val="single" w:sz="2" w:space="0" w:color="000000"/>
              <w:right w:val="single" w:sz="2" w:space="0" w:color="000000"/>
            </w:tcBorders>
            <w:shd w:val="clear" w:color="auto" w:fill="auto"/>
          </w:tcPr>
          <w:p w14:paraId="3D88F1EC" w14:textId="77777777" w:rsidR="00FA5CF6" w:rsidRPr="00682149" w:rsidRDefault="00FA5CF6" w:rsidP="001C138F">
            <w:pPr>
              <w:spacing w:after="0" w:line="276" w:lineRule="auto"/>
              <w:ind w:left="5"/>
              <w:jc w:val="center"/>
              <w:rPr>
                <w:color w:val="000000" w:themeColor="text1"/>
              </w:rPr>
            </w:pPr>
            <w:r w:rsidRPr="00682149">
              <w:rPr>
                <w:color w:val="000000" w:themeColor="text1"/>
              </w:rPr>
              <w:t xml:space="preserve">6 </w:t>
            </w:r>
          </w:p>
        </w:tc>
      </w:tr>
      <w:tr w:rsidR="00682149" w:rsidRPr="00682149" w14:paraId="2198915E" w14:textId="77777777" w:rsidTr="00313BD6">
        <w:trPr>
          <w:trHeight w:val="288"/>
        </w:trPr>
        <w:tc>
          <w:tcPr>
            <w:tcW w:w="2261" w:type="dxa"/>
            <w:tcBorders>
              <w:top w:val="single" w:sz="2" w:space="0" w:color="000000"/>
              <w:left w:val="single" w:sz="2" w:space="0" w:color="000000"/>
              <w:bottom w:val="single" w:sz="2" w:space="0" w:color="000000"/>
              <w:right w:val="single" w:sz="2" w:space="0" w:color="000000"/>
            </w:tcBorders>
            <w:shd w:val="clear" w:color="auto" w:fill="auto"/>
          </w:tcPr>
          <w:p w14:paraId="5DA4C8AD" w14:textId="77777777" w:rsidR="00FA5CF6" w:rsidRPr="00682149" w:rsidRDefault="00FA5CF6" w:rsidP="001C138F">
            <w:pPr>
              <w:spacing w:after="0" w:line="276" w:lineRule="auto"/>
              <w:rPr>
                <w:color w:val="000000" w:themeColor="text1"/>
              </w:rPr>
            </w:pPr>
            <w:r w:rsidRPr="00682149">
              <w:rPr>
                <w:color w:val="000000" w:themeColor="text1"/>
              </w:rPr>
              <w:t>Total</w:t>
            </w:r>
            <w:r w:rsidRPr="00682149">
              <w:rPr>
                <w:b/>
                <w:color w:val="000000" w:themeColor="text1"/>
              </w:rPr>
              <w:t xml:space="preserve"> </w:t>
            </w:r>
          </w:p>
        </w:tc>
        <w:tc>
          <w:tcPr>
            <w:tcW w:w="2267" w:type="dxa"/>
            <w:tcBorders>
              <w:top w:val="single" w:sz="2" w:space="0" w:color="000000"/>
              <w:left w:val="single" w:sz="2" w:space="0" w:color="000000"/>
              <w:bottom w:val="single" w:sz="2" w:space="0" w:color="000000"/>
              <w:right w:val="single" w:sz="2" w:space="0" w:color="000000"/>
            </w:tcBorders>
            <w:shd w:val="clear" w:color="auto" w:fill="auto"/>
          </w:tcPr>
          <w:p w14:paraId="15B37B94" w14:textId="77777777" w:rsidR="00FA5CF6" w:rsidRPr="00682149" w:rsidRDefault="00FA5CF6" w:rsidP="001C138F">
            <w:pPr>
              <w:spacing w:after="0" w:line="276" w:lineRule="auto"/>
              <w:ind w:left="6"/>
              <w:jc w:val="center"/>
              <w:rPr>
                <w:color w:val="000000" w:themeColor="text1"/>
              </w:rPr>
            </w:pPr>
            <w:r w:rsidRPr="00682149">
              <w:rPr>
                <w:color w:val="000000" w:themeColor="text1"/>
              </w:rPr>
              <w:t xml:space="preserve">13377 </w:t>
            </w:r>
          </w:p>
        </w:tc>
      </w:tr>
    </w:tbl>
    <w:p w14:paraId="237DC7EA" w14:textId="711812E5" w:rsidR="00FA5CF6" w:rsidRPr="00682149" w:rsidRDefault="00FA5CF6" w:rsidP="001C138F">
      <w:pPr>
        <w:spacing w:after="0" w:line="276" w:lineRule="auto"/>
        <w:ind w:right="15"/>
        <w:jc w:val="center"/>
        <w:rPr>
          <w:color w:val="000000" w:themeColor="text1"/>
        </w:rPr>
      </w:pPr>
      <w:r w:rsidRPr="00682149">
        <w:rPr>
          <w:color w:val="000000" w:themeColor="text1"/>
          <w:sz w:val="20"/>
        </w:rPr>
        <w:t>Fuente: MME. Elaboración CREG.</w:t>
      </w:r>
    </w:p>
    <w:p w14:paraId="2B6B2FDB" w14:textId="63E0ED8D" w:rsidR="00FA5CF6" w:rsidRPr="00682149" w:rsidRDefault="00FA5CF6" w:rsidP="001C138F">
      <w:pPr>
        <w:spacing w:after="0" w:line="276" w:lineRule="auto"/>
        <w:rPr>
          <w:color w:val="000000" w:themeColor="text1"/>
        </w:rPr>
      </w:pPr>
    </w:p>
    <w:p w14:paraId="07A8F201" w14:textId="73CE1797" w:rsidR="00FA5CF6" w:rsidRPr="00682149" w:rsidRDefault="00A73B92" w:rsidP="001C138F">
      <w:pPr>
        <w:spacing w:after="0" w:line="276" w:lineRule="auto"/>
        <w:jc w:val="both"/>
        <w:rPr>
          <w:rFonts w:ascii="Arial" w:hAnsi="Arial" w:cs="Arial"/>
          <w:iCs/>
          <w:color w:val="000000" w:themeColor="text1"/>
          <w:sz w:val="24"/>
          <w:szCs w:val="24"/>
        </w:rPr>
      </w:pPr>
      <w:r w:rsidRPr="00682149">
        <w:rPr>
          <w:rFonts w:ascii="Arial" w:hAnsi="Arial" w:cs="Arial"/>
          <w:b/>
          <w:iCs/>
          <w:color w:val="000000" w:themeColor="text1"/>
          <w:sz w:val="24"/>
          <w:szCs w:val="24"/>
        </w:rPr>
        <w:t>3.2.2</w:t>
      </w:r>
      <w:r w:rsidRPr="00682149">
        <w:rPr>
          <w:rFonts w:ascii="Arial" w:hAnsi="Arial" w:cs="Arial"/>
          <w:iCs/>
          <w:color w:val="000000" w:themeColor="text1"/>
          <w:sz w:val="24"/>
          <w:szCs w:val="24"/>
        </w:rPr>
        <w:t>.</w:t>
      </w:r>
      <w:r w:rsidR="00713354" w:rsidRPr="00682149">
        <w:rPr>
          <w:rFonts w:ascii="Arial" w:hAnsi="Arial" w:cs="Arial"/>
          <w:iCs/>
          <w:color w:val="000000" w:themeColor="text1"/>
          <w:sz w:val="24"/>
          <w:szCs w:val="24"/>
        </w:rPr>
        <w:t xml:space="preserve"> </w:t>
      </w:r>
      <w:r w:rsidR="00C042D0" w:rsidRPr="00682149">
        <w:rPr>
          <w:rFonts w:ascii="Arial" w:hAnsi="Arial" w:cs="Arial"/>
          <w:iCs/>
          <w:color w:val="000000" w:themeColor="text1"/>
          <w:sz w:val="24"/>
          <w:szCs w:val="24"/>
        </w:rPr>
        <w:t xml:space="preserve">Da cuenta de </w:t>
      </w:r>
      <w:r w:rsidR="00FA5CF6" w:rsidRPr="00682149">
        <w:rPr>
          <w:rFonts w:ascii="Arial" w:hAnsi="Arial" w:cs="Arial"/>
          <w:iCs/>
          <w:color w:val="000000" w:themeColor="text1"/>
          <w:sz w:val="24"/>
          <w:szCs w:val="24"/>
        </w:rPr>
        <w:t>los equipos instalados</w:t>
      </w:r>
      <w:r w:rsidR="00C042D0" w:rsidRPr="00682149">
        <w:rPr>
          <w:rFonts w:ascii="Arial" w:hAnsi="Arial" w:cs="Arial"/>
          <w:iCs/>
          <w:color w:val="000000" w:themeColor="text1"/>
          <w:sz w:val="24"/>
          <w:szCs w:val="24"/>
        </w:rPr>
        <w:t>. En</w:t>
      </w:r>
      <w:r w:rsidR="00FA5CF6" w:rsidRPr="00682149">
        <w:rPr>
          <w:rFonts w:ascii="Arial" w:hAnsi="Arial" w:cs="Arial"/>
          <w:iCs/>
          <w:color w:val="000000" w:themeColor="text1"/>
          <w:sz w:val="24"/>
          <w:szCs w:val="24"/>
        </w:rPr>
        <w:t xml:space="preserve"> la Tabla 2 se presentan datos relacionados con las cantidades de paneles solares, baterías, inversores y controladores. El análisis de los datos muestra que por usuario se ha</w:t>
      </w:r>
      <w:r w:rsidR="008C07CE">
        <w:rPr>
          <w:rFonts w:ascii="Arial" w:hAnsi="Arial" w:cs="Arial"/>
          <w:iCs/>
          <w:color w:val="000000" w:themeColor="text1"/>
          <w:sz w:val="24"/>
          <w:szCs w:val="24"/>
        </w:rPr>
        <w:t>n</w:t>
      </w:r>
      <w:r w:rsidR="00FA5CF6" w:rsidRPr="00682149">
        <w:rPr>
          <w:rFonts w:ascii="Arial" w:hAnsi="Arial" w:cs="Arial"/>
          <w:iCs/>
          <w:color w:val="000000" w:themeColor="text1"/>
          <w:sz w:val="24"/>
          <w:szCs w:val="24"/>
        </w:rPr>
        <w:t xml:space="preserve"> instalado soluciones conformadas en promedio por: 3 paneles solares (con potencias entre 250 W y 300 W), 2 baterías, un controlador y un inversor. La potencia total instalada llega a 10MW, representada en 39.939 paneles solares. </w:t>
      </w:r>
    </w:p>
    <w:p w14:paraId="4E17EA96" w14:textId="68166BA1" w:rsidR="00FA5CF6" w:rsidRPr="00682149" w:rsidRDefault="00FA5CF6" w:rsidP="001C138F">
      <w:pPr>
        <w:spacing w:after="0" w:line="276" w:lineRule="auto"/>
        <w:rPr>
          <w:color w:val="000000" w:themeColor="text1"/>
        </w:rPr>
      </w:pPr>
    </w:p>
    <w:p w14:paraId="068F5775" w14:textId="342C7685" w:rsidR="00FA5CF6" w:rsidRPr="00682149" w:rsidRDefault="00885CAA" w:rsidP="001C138F">
      <w:pPr>
        <w:spacing w:after="0" w:line="276" w:lineRule="auto"/>
        <w:jc w:val="both"/>
        <w:rPr>
          <w:rFonts w:ascii="Arial" w:hAnsi="Arial" w:cs="Arial"/>
          <w:color w:val="000000" w:themeColor="text1"/>
          <w:sz w:val="24"/>
          <w:szCs w:val="24"/>
        </w:rPr>
      </w:pPr>
      <w:r w:rsidRPr="00682149">
        <w:rPr>
          <w:rFonts w:ascii="Arial" w:hAnsi="Arial" w:cs="Arial"/>
          <w:color w:val="000000" w:themeColor="text1"/>
          <w:sz w:val="24"/>
          <w:szCs w:val="24"/>
        </w:rPr>
        <w:t>3.2.3.</w:t>
      </w:r>
      <w:r w:rsidRPr="00682149">
        <w:rPr>
          <w:rFonts w:ascii="Arial" w:hAnsi="Arial" w:cs="Arial"/>
          <w:color w:val="000000" w:themeColor="text1"/>
          <w:sz w:val="24"/>
          <w:szCs w:val="24"/>
        </w:rPr>
        <w:tab/>
      </w:r>
      <w:r w:rsidR="003C7B5D" w:rsidRPr="00682149">
        <w:rPr>
          <w:rFonts w:ascii="Arial" w:hAnsi="Arial" w:cs="Arial"/>
          <w:color w:val="000000" w:themeColor="text1"/>
          <w:sz w:val="24"/>
          <w:szCs w:val="24"/>
        </w:rPr>
        <w:t>En la siguiente tabla i</w:t>
      </w:r>
      <w:r w:rsidR="00D617E8" w:rsidRPr="00682149">
        <w:rPr>
          <w:rFonts w:ascii="Arial" w:hAnsi="Arial" w:cs="Arial"/>
          <w:color w:val="000000" w:themeColor="text1"/>
          <w:sz w:val="24"/>
          <w:szCs w:val="24"/>
        </w:rPr>
        <w:t xml:space="preserve">nforma sobre los </w:t>
      </w:r>
      <w:r w:rsidR="00FA5CF6" w:rsidRPr="00682149">
        <w:rPr>
          <w:rFonts w:ascii="Arial" w:hAnsi="Arial" w:cs="Arial"/>
          <w:color w:val="000000" w:themeColor="text1"/>
          <w:sz w:val="24"/>
          <w:szCs w:val="24"/>
        </w:rPr>
        <w:t>proyectos que se encuentran en ejecución durante esta vigencia 2020,</w:t>
      </w:r>
      <w:r w:rsidR="00D617E8" w:rsidRPr="00682149">
        <w:rPr>
          <w:rFonts w:ascii="Arial" w:hAnsi="Arial" w:cs="Arial"/>
          <w:color w:val="000000" w:themeColor="text1"/>
          <w:sz w:val="24"/>
          <w:szCs w:val="24"/>
        </w:rPr>
        <w:t xml:space="preserve"> </w:t>
      </w:r>
      <w:r w:rsidR="003C7B5D" w:rsidRPr="00682149">
        <w:rPr>
          <w:rFonts w:ascii="Arial" w:hAnsi="Arial" w:cs="Arial"/>
          <w:color w:val="000000" w:themeColor="text1"/>
          <w:sz w:val="24"/>
          <w:szCs w:val="24"/>
        </w:rPr>
        <w:t xml:space="preserve">para </w:t>
      </w:r>
      <w:r w:rsidR="00FA5CF6" w:rsidRPr="00682149">
        <w:rPr>
          <w:rFonts w:ascii="Arial" w:hAnsi="Arial" w:cs="Arial"/>
          <w:color w:val="000000" w:themeColor="text1"/>
          <w:sz w:val="24"/>
          <w:szCs w:val="24"/>
        </w:rPr>
        <w:t xml:space="preserve">atender a 4.821 nuevos usuarios, distribuidos en los departamentos de Córdoba, Nariño, Vaupés Guainía, Guaviare y Meta. </w:t>
      </w:r>
    </w:p>
    <w:p w14:paraId="441AEA9C" w14:textId="77777777" w:rsidR="00FA5CF6" w:rsidRPr="00682149" w:rsidRDefault="00FA5CF6" w:rsidP="001C138F">
      <w:pPr>
        <w:spacing w:after="0" w:line="276" w:lineRule="auto"/>
        <w:rPr>
          <w:color w:val="000000" w:themeColor="text1"/>
          <w:sz w:val="24"/>
          <w:szCs w:val="24"/>
        </w:rPr>
      </w:pPr>
      <w:r w:rsidRPr="00682149">
        <w:rPr>
          <w:color w:val="000000" w:themeColor="text1"/>
          <w:sz w:val="24"/>
          <w:szCs w:val="24"/>
        </w:rPr>
        <w:t xml:space="preserve"> </w:t>
      </w:r>
    </w:p>
    <w:p w14:paraId="57A74AF9" w14:textId="77777777" w:rsidR="00FA5CF6" w:rsidRPr="00682149" w:rsidRDefault="00FA5CF6" w:rsidP="001C138F">
      <w:pPr>
        <w:pStyle w:val="Ttulo3"/>
        <w:spacing w:line="276" w:lineRule="auto"/>
        <w:ind w:left="10" w:right="14"/>
        <w:jc w:val="center"/>
        <w:rPr>
          <w:color w:val="000000" w:themeColor="text1"/>
          <w:sz w:val="22"/>
          <w:lang w:val="es-ES_tradnl"/>
        </w:rPr>
      </w:pPr>
      <w:r w:rsidRPr="00682149">
        <w:rPr>
          <w:color w:val="000000" w:themeColor="text1"/>
          <w:sz w:val="22"/>
          <w:lang w:val="es-ES_tradnl"/>
        </w:rPr>
        <w:t xml:space="preserve">Tabla 4. Potencia instalada por departamento </w:t>
      </w:r>
    </w:p>
    <w:p w14:paraId="52C3D247" w14:textId="77777777" w:rsidR="00C135C5" w:rsidRPr="00682149" w:rsidRDefault="00C135C5" w:rsidP="001C138F">
      <w:pPr>
        <w:spacing w:after="0" w:line="276" w:lineRule="auto"/>
        <w:rPr>
          <w:color w:val="000000" w:themeColor="text1"/>
        </w:rPr>
      </w:pPr>
    </w:p>
    <w:tbl>
      <w:tblPr>
        <w:tblW w:w="9208" w:type="dxa"/>
        <w:tblInd w:w="100" w:type="dxa"/>
        <w:tblCellMar>
          <w:top w:w="8" w:type="dxa"/>
          <w:left w:w="78" w:type="dxa"/>
          <w:right w:w="46" w:type="dxa"/>
        </w:tblCellMar>
        <w:tblLook w:val="04A0" w:firstRow="1" w:lastRow="0" w:firstColumn="1" w:lastColumn="0" w:noHBand="0" w:noVBand="1"/>
      </w:tblPr>
      <w:tblGrid>
        <w:gridCol w:w="2107"/>
        <w:gridCol w:w="3132"/>
        <w:gridCol w:w="1702"/>
        <w:gridCol w:w="2267"/>
      </w:tblGrid>
      <w:tr w:rsidR="00682149" w:rsidRPr="00682149" w14:paraId="2A412FDB" w14:textId="77777777" w:rsidTr="00C135C5">
        <w:trPr>
          <w:trHeight w:val="263"/>
        </w:trPr>
        <w:tc>
          <w:tcPr>
            <w:tcW w:w="2107" w:type="dxa"/>
            <w:tcBorders>
              <w:top w:val="single" w:sz="2" w:space="0" w:color="000000"/>
              <w:left w:val="single" w:sz="2" w:space="0" w:color="000000"/>
              <w:bottom w:val="single" w:sz="2" w:space="0" w:color="000000"/>
              <w:right w:val="single" w:sz="2" w:space="0" w:color="000000"/>
            </w:tcBorders>
            <w:shd w:val="clear" w:color="auto" w:fill="auto"/>
          </w:tcPr>
          <w:p w14:paraId="294CA8BE" w14:textId="77777777" w:rsidR="00FA5CF6" w:rsidRPr="00682149" w:rsidRDefault="00FA5CF6" w:rsidP="001C138F">
            <w:pPr>
              <w:spacing w:after="0" w:line="276" w:lineRule="auto"/>
              <w:rPr>
                <w:color w:val="000000" w:themeColor="text1"/>
              </w:rPr>
            </w:pPr>
            <w:r w:rsidRPr="00682149">
              <w:rPr>
                <w:b/>
                <w:color w:val="000000" w:themeColor="text1"/>
              </w:rPr>
              <w:t xml:space="preserve">CÓRDOBA </w:t>
            </w:r>
          </w:p>
        </w:tc>
        <w:tc>
          <w:tcPr>
            <w:tcW w:w="3132" w:type="dxa"/>
            <w:tcBorders>
              <w:top w:val="single" w:sz="2" w:space="0" w:color="000000"/>
              <w:left w:val="single" w:sz="2" w:space="0" w:color="000000"/>
              <w:bottom w:val="single" w:sz="2" w:space="0" w:color="000000"/>
              <w:right w:val="single" w:sz="2" w:space="0" w:color="000000"/>
            </w:tcBorders>
            <w:shd w:val="clear" w:color="auto" w:fill="auto"/>
          </w:tcPr>
          <w:p w14:paraId="7CF23F83" w14:textId="77777777" w:rsidR="00FA5CF6" w:rsidRPr="00682149" w:rsidRDefault="00FA5CF6" w:rsidP="001C138F">
            <w:pPr>
              <w:spacing w:after="0" w:line="276" w:lineRule="auto"/>
              <w:rPr>
                <w:color w:val="000000" w:themeColor="text1"/>
              </w:rPr>
            </w:pPr>
            <w:r w:rsidRPr="00682149">
              <w:rPr>
                <w:color w:val="000000" w:themeColor="text1"/>
              </w:rPr>
              <w:t xml:space="preserve">TIERRALTA </w:t>
            </w:r>
          </w:p>
        </w:tc>
        <w:tc>
          <w:tcPr>
            <w:tcW w:w="1702" w:type="dxa"/>
            <w:tcBorders>
              <w:top w:val="single" w:sz="2" w:space="0" w:color="000000"/>
              <w:left w:val="single" w:sz="2" w:space="0" w:color="000000"/>
              <w:bottom w:val="single" w:sz="2" w:space="0" w:color="000000"/>
              <w:right w:val="single" w:sz="2" w:space="0" w:color="000000"/>
            </w:tcBorders>
            <w:shd w:val="clear" w:color="auto" w:fill="auto"/>
          </w:tcPr>
          <w:p w14:paraId="747B7128" w14:textId="77777777" w:rsidR="00FA5CF6" w:rsidRPr="00682149" w:rsidRDefault="00FA5CF6" w:rsidP="001C138F">
            <w:pPr>
              <w:spacing w:after="0" w:line="276" w:lineRule="auto"/>
              <w:ind w:right="30"/>
              <w:jc w:val="center"/>
              <w:rPr>
                <w:color w:val="000000" w:themeColor="text1"/>
              </w:rPr>
            </w:pPr>
            <w:r w:rsidRPr="00682149">
              <w:rPr>
                <w:color w:val="000000" w:themeColor="text1"/>
              </w:rPr>
              <w:t xml:space="preserve">401 </w:t>
            </w:r>
          </w:p>
        </w:tc>
        <w:tc>
          <w:tcPr>
            <w:tcW w:w="2267" w:type="dxa"/>
            <w:tcBorders>
              <w:top w:val="single" w:sz="2" w:space="0" w:color="000000"/>
              <w:left w:val="single" w:sz="2" w:space="0" w:color="000000"/>
              <w:bottom w:val="single" w:sz="2" w:space="0" w:color="000000"/>
              <w:right w:val="single" w:sz="2" w:space="0" w:color="000000"/>
            </w:tcBorders>
            <w:shd w:val="clear" w:color="auto" w:fill="auto"/>
          </w:tcPr>
          <w:p w14:paraId="3EB11360" w14:textId="77777777" w:rsidR="00FA5CF6" w:rsidRPr="00682149" w:rsidRDefault="00FA5CF6" w:rsidP="001C138F">
            <w:pPr>
              <w:spacing w:after="0" w:line="276" w:lineRule="auto"/>
              <w:ind w:right="27"/>
              <w:jc w:val="center"/>
              <w:rPr>
                <w:color w:val="000000" w:themeColor="text1"/>
              </w:rPr>
            </w:pPr>
            <w:r w:rsidRPr="00682149">
              <w:rPr>
                <w:color w:val="000000" w:themeColor="text1"/>
              </w:rPr>
              <w:t xml:space="preserve">30-sep-20 </w:t>
            </w:r>
          </w:p>
        </w:tc>
      </w:tr>
      <w:tr w:rsidR="00682149" w:rsidRPr="00682149" w14:paraId="5FFCC044" w14:textId="77777777" w:rsidTr="00C135C5">
        <w:trPr>
          <w:trHeight w:val="264"/>
        </w:trPr>
        <w:tc>
          <w:tcPr>
            <w:tcW w:w="2107" w:type="dxa"/>
            <w:tcBorders>
              <w:top w:val="single" w:sz="2" w:space="0" w:color="000000"/>
              <w:left w:val="single" w:sz="2" w:space="0" w:color="000000"/>
              <w:bottom w:val="single" w:sz="2" w:space="0" w:color="000000"/>
              <w:right w:val="single" w:sz="2" w:space="0" w:color="000000"/>
            </w:tcBorders>
            <w:shd w:val="clear" w:color="auto" w:fill="auto"/>
          </w:tcPr>
          <w:p w14:paraId="21D5A034" w14:textId="77777777" w:rsidR="00FA5CF6" w:rsidRPr="00682149" w:rsidRDefault="00FA5CF6" w:rsidP="001C138F">
            <w:pPr>
              <w:spacing w:after="0" w:line="276" w:lineRule="auto"/>
              <w:rPr>
                <w:color w:val="000000" w:themeColor="text1"/>
              </w:rPr>
            </w:pPr>
            <w:r w:rsidRPr="00682149">
              <w:rPr>
                <w:b/>
                <w:color w:val="000000" w:themeColor="text1"/>
              </w:rPr>
              <w:t xml:space="preserve">NARIÑO </w:t>
            </w:r>
          </w:p>
        </w:tc>
        <w:tc>
          <w:tcPr>
            <w:tcW w:w="3132" w:type="dxa"/>
            <w:tcBorders>
              <w:top w:val="single" w:sz="2" w:space="0" w:color="000000"/>
              <w:left w:val="single" w:sz="2" w:space="0" w:color="000000"/>
              <w:bottom w:val="single" w:sz="2" w:space="0" w:color="000000"/>
              <w:right w:val="single" w:sz="2" w:space="0" w:color="000000"/>
            </w:tcBorders>
            <w:shd w:val="clear" w:color="auto" w:fill="auto"/>
          </w:tcPr>
          <w:p w14:paraId="1B6FB4D9" w14:textId="77777777" w:rsidR="00FA5CF6" w:rsidRPr="00682149" w:rsidRDefault="00FA5CF6" w:rsidP="001C138F">
            <w:pPr>
              <w:spacing w:after="0" w:line="276" w:lineRule="auto"/>
              <w:rPr>
                <w:color w:val="000000" w:themeColor="text1"/>
              </w:rPr>
            </w:pPr>
            <w:r w:rsidRPr="00682149">
              <w:rPr>
                <w:color w:val="000000" w:themeColor="text1"/>
              </w:rPr>
              <w:t xml:space="preserve">TUMACO </w:t>
            </w:r>
          </w:p>
        </w:tc>
        <w:tc>
          <w:tcPr>
            <w:tcW w:w="1702" w:type="dxa"/>
            <w:tcBorders>
              <w:top w:val="single" w:sz="2" w:space="0" w:color="000000"/>
              <w:left w:val="single" w:sz="2" w:space="0" w:color="000000"/>
              <w:bottom w:val="single" w:sz="2" w:space="0" w:color="000000"/>
              <w:right w:val="single" w:sz="2" w:space="0" w:color="000000"/>
            </w:tcBorders>
            <w:shd w:val="clear" w:color="auto" w:fill="auto"/>
          </w:tcPr>
          <w:p w14:paraId="2779A706" w14:textId="77777777" w:rsidR="00FA5CF6" w:rsidRPr="00682149" w:rsidRDefault="00FA5CF6" w:rsidP="001C138F">
            <w:pPr>
              <w:spacing w:after="0" w:line="276" w:lineRule="auto"/>
              <w:ind w:right="30"/>
              <w:jc w:val="center"/>
              <w:rPr>
                <w:color w:val="000000" w:themeColor="text1"/>
              </w:rPr>
            </w:pPr>
            <w:r w:rsidRPr="00682149">
              <w:rPr>
                <w:color w:val="000000" w:themeColor="text1"/>
              </w:rPr>
              <w:t xml:space="preserve">223 </w:t>
            </w:r>
          </w:p>
        </w:tc>
        <w:tc>
          <w:tcPr>
            <w:tcW w:w="2267" w:type="dxa"/>
            <w:tcBorders>
              <w:top w:val="single" w:sz="2" w:space="0" w:color="000000"/>
              <w:left w:val="single" w:sz="2" w:space="0" w:color="000000"/>
              <w:bottom w:val="single" w:sz="2" w:space="0" w:color="000000"/>
              <w:right w:val="single" w:sz="2" w:space="0" w:color="000000"/>
            </w:tcBorders>
            <w:shd w:val="clear" w:color="auto" w:fill="auto"/>
          </w:tcPr>
          <w:p w14:paraId="010961E2" w14:textId="77777777" w:rsidR="00FA5CF6" w:rsidRPr="00682149" w:rsidRDefault="00FA5CF6" w:rsidP="001C138F">
            <w:pPr>
              <w:spacing w:after="0" w:line="276" w:lineRule="auto"/>
              <w:ind w:right="27"/>
              <w:jc w:val="center"/>
              <w:rPr>
                <w:color w:val="000000" w:themeColor="text1"/>
              </w:rPr>
            </w:pPr>
            <w:r w:rsidRPr="00682149">
              <w:rPr>
                <w:color w:val="000000" w:themeColor="text1"/>
              </w:rPr>
              <w:t xml:space="preserve">30-sep-20 </w:t>
            </w:r>
          </w:p>
        </w:tc>
      </w:tr>
      <w:tr w:rsidR="00682149" w:rsidRPr="00682149" w14:paraId="414A51F4" w14:textId="77777777" w:rsidTr="00C135C5">
        <w:trPr>
          <w:trHeight w:val="264"/>
        </w:trPr>
        <w:tc>
          <w:tcPr>
            <w:tcW w:w="2107" w:type="dxa"/>
            <w:tcBorders>
              <w:top w:val="single" w:sz="2" w:space="0" w:color="000000"/>
              <w:left w:val="single" w:sz="2" w:space="0" w:color="000000"/>
              <w:bottom w:val="single" w:sz="2" w:space="0" w:color="000000"/>
              <w:right w:val="single" w:sz="2" w:space="0" w:color="000000"/>
            </w:tcBorders>
            <w:shd w:val="clear" w:color="auto" w:fill="auto"/>
          </w:tcPr>
          <w:p w14:paraId="7E68CE23" w14:textId="77777777" w:rsidR="00FA5CF6" w:rsidRPr="00682149" w:rsidRDefault="00FA5CF6" w:rsidP="001C138F">
            <w:pPr>
              <w:spacing w:after="0" w:line="276" w:lineRule="auto"/>
              <w:rPr>
                <w:color w:val="000000" w:themeColor="text1"/>
              </w:rPr>
            </w:pPr>
            <w:r w:rsidRPr="00682149">
              <w:rPr>
                <w:b/>
                <w:color w:val="000000" w:themeColor="text1"/>
              </w:rPr>
              <w:t xml:space="preserve">NARIÑO </w:t>
            </w:r>
          </w:p>
        </w:tc>
        <w:tc>
          <w:tcPr>
            <w:tcW w:w="3132" w:type="dxa"/>
            <w:tcBorders>
              <w:top w:val="single" w:sz="2" w:space="0" w:color="000000"/>
              <w:left w:val="single" w:sz="2" w:space="0" w:color="000000"/>
              <w:bottom w:val="single" w:sz="2" w:space="0" w:color="000000"/>
              <w:right w:val="single" w:sz="2" w:space="0" w:color="000000"/>
            </w:tcBorders>
            <w:shd w:val="clear" w:color="auto" w:fill="auto"/>
          </w:tcPr>
          <w:p w14:paraId="15B90D6D" w14:textId="77777777" w:rsidR="00FA5CF6" w:rsidRPr="00682149" w:rsidRDefault="00FA5CF6" w:rsidP="001C138F">
            <w:pPr>
              <w:spacing w:after="0" w:line="276" w:lineRule="auto"/>
              <w:rPr>
                <w:color w:val="000000" w:themeColor="text1"/>
              </w:rPr>
            </w:pPr>
            <w:r w:rsidRPr="00682149">
              <w:rPr>
                <w:color w:val="000000" w:themeColor="text1"/>
              </w:rPr>
              <w:t xml:space="preserve">TUMACO </w:t>
            </w:r>
          </w:p>
        </w:tc>
        <w:tc>
          <w:tcPr>
            <w:tcW w:w="1702" w:type="dxa"/>
            <w:tcBorders>
              <w:top w:val="single" w:sz="2" w:space="0" w:color="000000"/>
              <w:left w:val="single" w:sz="2" w:space="0" w:color="000000"/>
              <w:bottom w:val="single" w:sz="2" w:space="0" w:color="000000"/>
              <w:right w:val="single" w:sz="2" w:space="0" w:color="000000"/>
            </w:tcBorders>
            <w:shd w:val="clear" w:color="auto" w:fill="auto"/>
          </w:tcPr>
          <w:p w14:paraId="7744DA0C" w14:textId="77777777" w:rsidR="00FA5CF6" w:rsidRPr="00682149" w:rsidRDefault="00FA5CF6" w:rsidP="001C138F">
            <w:pPr>
              <w:spacing w:after="0" w:line="276" w:lineRule="auto"/>
              <w:ind w:right="30"/>
              <w:jc w:val="center"/>
              <w:rPr>
                <w:color w:val="000000" w:themeColor="text1"/>
              </w:rPr>
            </w:pPr>
            <w:r w:rsidRPr="00682149">
              <w:rPr>
                <w:color w:val="000000" w:themeColor="text1"/>
              </w:rPr>
              <w:t xml:space="preserve">184 </w:t>
            </w:r>
          </w:p>
        </w:tc>
        <w:tc>
          <w:tcPr>
            <w:tcW w:w="2267" w:type="dxa"/>
            <w:tcBorders>
              <w:top w:val="single" w:sz="2" w:space="0" w:color="000000"/>
              <w:left w:val="single" w:sz="2" w:space="0" w:color="000000"/>
              <w:bottom w:val="single" w:sz="2" w:space="0" w:color="000000"/>
              <w:right w:val="single" w:sz="2" w:space="0" w:color="000000"/>
            </w:tcBorders>
            <w:shd w:val="clear" w:color="auto" w:fill="auto"/>
          </w:tcPr>
          <w:p w14:paraId="276DFB31" w14:textId="77777777" w:rsidR="00FA5CF6" w:rsidRPr="00682149" w:rsidRDefault="00FA5CF6" w:rsidP="001C138F">
            <w:pPr>
              <w:spacing w:after="0" w:line="276" w:lineRule="auto"/>
              <w:ind w:right="27"/>
              <w:jc w:val="center"/>
              <w:rPr>
                <w:color w:val="000000" w:themeColor="text1"/>
              </w:rPr>
            </w:pPr>
            <w:r w:rsidRPr="00682149">
              <w:rPr>
                <w:color w:val="000000" w:themeColor="text1"/>
              </w:rPr>
              <w:t xml:space="preserve">30-sep-20 </w:t>
            </w:r>
          </w:p>
        </w:tc>
      </w:tr>
      <w:tr w:rsidR="00682149" w:rsidRPr="00682149" w14:paraId="535CA32B" w14:textId="77777777" w:rsidTr="00C135C5">
        <w:trPr>
          <w:trHeight w:val="262"/>
        </w:trPr>
        <w:tc>
          <w:tcPr>
            <w:tcW w:w="2107" w:type="dxa"/>
            <w:tcBorders>
              <w:top w:val="single" w:sz="2" w:space="0" w:color="000000"/>
              <w:left w:val="single" w:sz="2" w:space="0" w:color="000000"/>
              <w:bottom w:val="single" w:sz="2" w:space="0" w:color="000000"/>
              <w:right w:val="single" w:sz="2" w:space="0" w:color="000000"/>
            </w:tcBorders>
            <w:shd w:val="clear" w:color="auto" w:fill="auto"/>
          </w:tcPr>
          <w:p w14:paraId="5B36DE99" w14:textId="77777777" w:rsidR="00FA5CF6" w:rsidRPr="00682149" w:rsidRDefault="00FA5CF6" w:rsidP="001C138F">
            <w:pPr>
              <w:spacing w:after="0" w:line="276" w:lineRule="auto"/>
              <w:rPr>
                <w:color w:val="000000" w:themeColor="text1"/>
              </w:rPr>
            </w:pPr>
            <w:r w:rsidRPr="00682149">
              <w:rPr>
                <w:b/>
                <w:color w:val="000000" w:themeColor="text1"/>
              </w:rPr>
              <w:t xml:space="preserve">NARIÑO </w:t>
            </w:r>
          </w:p>
        </w:tc>
        <w:tc>
          <w:tcPr>
            <w:tcW w:w="3132" w:type="dxa"/>
            <w:tcBorders>
              <w:top w:val="single" w:sz="2" w:space="0" w:color="000000"/>
              <w:left w:val="single" w:sz="2" w:space="0" w:color="000000"/>
              <w:bottom w:val="single" w:sz="2" w:space="0" w:color="000000"/>
              <w:right w:val="single" w:sz="2" w:space="0" w:color="000000"/>
            </w:tcBorders>
            <w:shd w:val="clear" w:color="auto" w:fill="auto"/>
          </w:tcPr>
          <w:p w14:paraId="63066F11" w14:textId="77777777" w:rsidR="00FA5CF6" w:rsidRPr="00682149" w:rsidRDefault="00FA5CF6" w:rsidP="001C138F">
            <w:pPr>
              <w:spacing w:after="0" w:line="276" w:lineRule="auto"/>
              <w:rPr>
                <w:color w:val="000000" w:themeColor="text1"/>
              </w:rPr>
            </w:pPr>
            <w:r w:rsidRPr="00682149">
              <w:rPr>
                <w:color w:val="000000" w:themeColor="text1"/>
              </w:rPr>
              <w:t xml:space="preserve">TUMACO </w:t>
            </w:r>
          </w:p>
        </w:tc>
        <w:tc>
          <w:tcPr>
            <w:tcW w:w="1702" w:type="dxa"/>
            <w:tcBorders>
              <w:top w:val="single" w:sz="2" w:space="0" w:color="000000"/>
              <w:left w:val="single" w:sz="2" w:space="0" w:color="000000"/>
              <w:bottom w:val="single" w:sz="2" w:space="0" w:color="000000"/>
              <w:right w:val="single" w:sz="2" w:space="0" w:color="000000"/>
            </w:tcBorders>
            <w:shd w:val="clear" w:color="auto" w:fill="auto"/>
          </w:tcPr>
          <w:p w14:paraId="08DFD711" w14:textId="77777777" w:rsidR="00FA5CF6" w:rsidRPr="00682149" w:rsidRDefault="00FA5CF6" w:rsidP="001C138F">
            <w:pPr>
              <w:spacing w:after="0" w:line="276" w:lineRule="auto"/>
              <w:ind w:right="30"/>
              <w:jc w:val="center"/>
              <w:rPr>
                <w:color w:val="000000" w:themeColor="text1"/>
              </w:rPr>
            </w:pPr>
            <w:r w:rsidRPr="00682149">
              <w:rPr>
                <w:color w:val="000000" w:themeColor="text1"/>
              </w:rPr>
              <w:t xml:space="preserve">190 </w:t>
            </w:r>
          </w:p>
        </w:tc>
        <w:tc>
          <w:tcPr>
            <w:tcW w:w="2267" w:type="dxa"/>
            <w:tcBorders>
              <w:top w:val="single" w:sz="2" w:space="0" w:color="000000"/>
              <w:left w:val="single" w:sz="2" w:space="0" w:color="000000"/>
              <w:bottom w:val="single" w:sz="2" w:space="0" w:color="000000"/>
              <w:right w:val="single" w:sz="2" w:space="0" w:color="000000"/>
            </w:tcBorders>
            <w:shd w:val="clear" w:color="auto" w:fill="auto"/>
          </w:tcPr>
          <w:p w14:paraId="0E4A4C45" w14:textId="77777777" w:rsidR="00FA5CF6" w:rsidRPr="00682149" w:rsidRDefault="00FA5CF6" w:rsidP="001C138F">
            <w:pPr>
              <w:spacing w:after="0" w:line="276" w:lineRule="auto"/>
              <w:ind w:right="27"/>
              <w:jc w:val="center"/>
              <w:rPr>
                <w:color w:val="000000" w:themeColor="text1"/>
              </w:rPr>
            </w:pPr>
            <w:r w:rsidRPr="00682149">
              <w:rPr>
                <w:color w:val="000000" w:themeColor="text1"/>
              </w:rPr>
              <w:t xml:space="preserve">30-sep-20 </w:t>
            </w:r>
          </w:p>
        </w:tc>
      </w:tr>
      <w:tr w:rsidR="00682149" w:rsidRPr="00682149" w14:paraId="57F074E6" w14:textId="77777777" w:rsidTr="00C135C5">
        <w:trPr>
          <w:trHeight w:val="264"/>
        </w:trPr>
        <w:tc>
          <w:tcPr>
            <w:tcW w:w="2107" w:type="dxa"/>
            <w:tcBorders>
              <w:top w:val="single" w:sz="2" w:space="0" w:color="000000"/>
              <w:left w:val="single" w:sz="2" w:space="0" w:color="000000"/>
              <w:bottom w:val="single" w:sz="2" w:space="0" w:color="000000"/>
              <w:right w:val="single" w:sz="2" w:space="0" w:color="000000"/>
            </w:tcBorders>
            <w:shd w:val="clear" w:color="auto" w:fill="auto"/>
          </w:tcPr>
          <w:p w14:paraId="23EC99FD" w14:textId="77777777" w:rsidR="00FA5CF6" w:rsidRPr="00682149" w:rsidRDefault="00FA5CF6" w:rsidP="001C138F">
            <w:pPr>
              <w:spacing w:after="0" w:line="276" w:lineRule="auto"/>
              <w:rPr>
                <w:color w:val="000000" w:themeColor="text1"/>
              </w:rPr>
            </w:pPr>
            <w:r w:rsidRPr="00682149">
              <w:rPr>
                <w:b/>
                <w:color w:val="000000" w:themeColor="text1"/>
              </w:rPr>
              <w:t xml:space="preserve">VAUPES </w:t>
            </w:r>
          </w:p>
        </w:tc>
        <w:tc>
          <w:tcPr>
            <w:tcW w:w="3132" w:type="dxa"/>
            <w:tcBorders>
              <w:top w:val="single" w:sz="2" w:space="0" w:color="000000"/>
              <w:left w:val="single" w:sz="2" w:space="0" w:color="000000"/>
              <w:bottom w:val="single" w:sz="2" w:space="0" w:color="000000"/>
              <w:right w:val="single" w:sz="2" w:space="0" w:color="000000"/>
            </w:tcBorders>
            <w:shd w:val="clear" w:color="auto" w:fill="auto"/>
          </w:tcPr>
          <w:p w14:paraId="46DC51EE" w14:textId="77777777" w:rsidR="00FA5CF6" w:rsidRPr="00682149" w:rsidRDefault="00FA5CF6" w:rsidP="001C138F">
            <w:pPr>
              <w:spacing w:after="0" w:line="276" w:lineRule="auto"/>
              <w:rPr>
                <w:color w:val="000000" w:themeColor="text1"/>
              </w:rPr>
            </w:pPr>
            <w:r w:rsidRPr="00682149">
              <w:rPr>
                <w:color w:val="000000" w:themeColor="text1"/>
              </w:rPr>
              <w:t xml:space="preserve">MITÚ </w:t>
            </w:r>
          </w:p>
        </w:tc>
        <w:tc>
          <w:tcPr>
            <w:tcW w:w="1702" w:type="dxa"/>
            <w:tcBorders>
              <w:top w:val="single" w:sz="2" w:space="0" w:color="000000"/>
              <w:left w:val="single" w:sz="2" w:space="0" w:color="000000"/>
              <w:bottom w:val="single" w:sz="2" w:space="0" w:color="000000"/>
              <w:right w:val="single" w:sz="2" w:space="0" w:color="000000"/>
            </w:tcBorders>
            <w:shd w:val="clear" w:color="auto" w:fill="auto"/>
          </w:tcPr>
          <w:p w14:paraId="0D3FFB32" w14:textId="77777777" w:rsidR="00FA5CF6" w:rsidRPr="00682149" w:rsidRDefault="00FA5CF6" w:rsidP="001C138F">
            <w:pPr>
              <w:spacing w:after="0" w:line="276" w:lineRule="auto"/>
              <w:ind w:right="29"/>
              <w:jc w:val="center"/>
              <w:rPr>
                <w:color w:val="000000" w:themeColor="text1"/>
              </w:rPr>
            </w:pPr>
            <w:r w:rsidRPr="00682149">
              <w:rPr>
                <w:color w:val="000000" w:themeColor="text1"/>
              </w:rPr>
              <w:t xml:space="preserve">1.252 </w:t>
            </w:r>
          </w:p>
        </w:tc>
        <w:tc>
          <w:tcPr>
            <w:tcW w:w="2267" w:type="dxa"/>
            <w:tcBorders>
              <w:top w:val="single" w:sz="2" w:space="0" w:color="000000"/>
              <w:left w:val="single" w:sz="2" w:space="0" w:color="000000"/>
              <w:bottom w:val="single" w:sz="2" w:space="0" w:color="000000"/>
              <w:right w:val="single" w:sz="2" w:space="0" w:color="000000"/>
            </w:tcBorders>
            <w:shd w:val="clear" w:color="auto" w:fill="auto"/>
          </w:tcPr>
          <w:p w14:paraId="6A945792" w14:textId="77777777" w:rsidR="00FA5CF6" w:rsidRPr="00682149" w:rsidRDefault="00FA5CF6" w:rsidP="001C138F">
            <w:pPr>
              <w:spacing w:after="0" w:line="276" w:lineRule="auto"/>
              <w:ind w:right="27"/>
              <w:jc w:val="center"/>
              <w:rPr>
                <w:color w:val="000000" w:themeColor="text1"/>
              </w:rPr>
            </w:pPr>
            <w:r w:rsidRPr="00682149">
              <w:rPr>
                <w:color w:val="000000" w:themeColor="text1"/>
              </w:rPr>
              <w:t xml:space="preserve">31-oct-20 </w:t>
            </w:r>
          </w:p>
        </w:tc>
      </w:tr>
      <w:tr w:rsidR="00682149" w:rsidRPr="00682149" w14:paraId="5B3AE5A5" w14:textId="77777777" w:rsidTr="00C135C5">
        <w:trPr>
          <w:trHeight w:val="262"/>
        </w:trPr>
        <w:tc>
          <w:tcPr>
            <w:tcW w:w="2107" w:type="dxa"/>
            <w:tcBorders>
              <w:top w:val="single" w:sz="2" w:space="0" w:color="000000"/>
              <w:left w:val="single" w:sz="2" w:space="0" w:color="000000"/>
              <w:bottom w:val="single" w:sz="2" w:space="0" w:color="000000"/>
              <w:right w:val="single" w:sz="2" w:space="0" w:color="000000"/>
            </w:tcBorders>
            <w:shd w:val="clear" w:color="auto" w:fill="auto"/>
          </w:tcPr>
          <w:p w14:paraId="3EC174DF" w14:textId="77777777" w:rsidR="00FA5CF6" w:rsidRPr="00682149" w:rsidRDefault="00FA5CF6" w:rsidP="001C138F">
            <w:pPr>
              <w:spacing w:after="0" w:line="276" w:lineRule="auto"/>
              <w:rPr>
                <w:color w:val="000000" w:themeColor="text1"/>
              </w:rPr>
            </w:pPr>
            <w:r w:rsidRPr="00682149">
              <w:rPr>
                <w:b/>
                <w:color w:val="000000" w:themeColor="text1"/>
              </w:rPr>
              <w:t xml:space="preserve">GUAINIA </w:t>
            </w:r>
          </w:p>
        </w:tc>
        <w:tc>
          <w:tcPr>
            <w:tcW w:w="3132" w:type="dxa"/>
            <w:tcBorders>
              <w:top w:val="single" w:sz="2" w:space="0" w:color="000000"/>
              <w:left w:val="single" w:sz="2" w:space="0" w:color="000000"/>
              <w:bottom w:val="single" w:sz="2" w:space="0" w:color="000000"/>
              <w:right w:val="single" w:sz="2" w:space="0" w:color="000000"/>
            </w:tcBorders>
            <w:shd w:val="clear" w:color="auto" w:fill="auto"/>
          </w:tcPr>
          <w:p w14:paraId="1EAD5645" w14:textId="77777777" w:rsidR="00FA5CF6" w:rsidRPr="00682149" w:rsidRDefault="00FA5CF6" w:rsidP="001C138F">
            <w:pPr>
              <w:spacing w:after="0" w:line="276" w:lineRule="auto"/>
              <w:rPr>
                <w:color w:val="000000" w:themeColor="text1"/>
              </w:rPr>
            </w:pPr>
            <w:r w:rsidRPr="00682149">
              <w:rPr>
                <w:color w:val="000000" w:themeColor="text1"/>
              </w:rPr>
              <w:t xml:space="preserve">INÍRIDA </w:t>
            </w:r>
          </w:p>
        </w:tc>
        <w:tc>
          <w:tcPr>
            <w:tcW w:w="1702" w:type="dxa"/>
            <w:tcBorders>
              <w:top w:val="single" w:sz="2" w:space="0" w:color="000000"/>
              <w:left w:val="single" w:sz="2" w:space="0" w:color="000000"/>
              <w:bottom w:val="single" w:sz="2" w:space="0" w:color="000000"/>
              <w:right w:val="single" w:sz="2" w:space="0" w:color="000000"/>
            </w:tcBorders>
            <w:shd w:val="clear" w:color="auto" w:fill="auto"/>
          </w:tcPr>
          <w:p w14:paraId="7AD364F0" w14:textId="77777777" w:rsidR="00FA5CF6" w:rsidRPr="00682149" w:rsidRDefault="00FA5CF6" w:rsidP="001C138F">
            <w:pPr>
              <w:spacing w:after="0" w:line="276" w:lineRule="auto"/>
              <w:ind w:right="30"/>
              <w:jc w:val="center"/>
              <w:rPr>
                <w:color w:val="000000" w:themeColor="text1"/>
              </w:rPr>
            </w:pPr>
            <w:r w:rsidRPr="00682149">
              <w:rPr>
                <w:color w:val="000000" w:themeColor="text1"/>
              </w:rPr>
              <w:t xml:space="preserve">624 </w:t>
            </w:r>
          </w:p>
        </w:tc>
        <w:tc>
          <w:tcPr>
            <w:tcW w:w="2267" w:type="dxa"/>
            <w:tcBorders>
              <w:top w:val="single" w:sz="2" w:space="0" w:color="000000"/>
              <w:left w:val="single" w:sz="2" w:space="0" w:color="000000"/>
              <w:bottom w:val="single" w:sz="2" w:space="0" w:color="000000"/>
              <w:right w:val="single" w:sz="2" w:space="0" w:color="000000"/>
            </w:tcBorders>
            <w:shd w:val="clear" w:color="auto" w:fill="auto"/>
          </w:tcPr>
          <w:p w14:paraId="1AD43D28" w14:textId="77777777" w:rsidR="00FA5CF6" w:rsidRPr="00682149" w:rsidRDefault="00FA5CF6" w:rsidP="001C138F">
            <w:pPr>
              <w:spacing w:after="0" w:line="276" w:lineRule="auto"/>
              <w:ind w:right="29"/>
              <w:jc w:val="center"/>
              <w:rPr>
                <w:color w:val="000000" w:themeColor="text1"/>
              </w:rPr>
            </w:pPr>
            <w:r w:rsidRPr="00682149">
              <w:rPr>
                <w:color w:val="000000" w:themeColor="text1"/>
              </w:rPr>
              <w:t xml:space="preserve">31-dic-20 </w:t>
            </w:r>
          </w:p>
        </w:tc>
      </w:tr>
      <w:tr w:rsidR="00682149" w:rsidRPr="00682149" w14:paraId="0009B477" w14:textId="77777777" w:rsidTr="00C135C5">
        <w:trPr>
          <w:trHeight w:val="281"/>
        </w:trPr>
        <w:tc>
          <w:tcPr>
            <w:tcW w:w="2107" w:type="dxa"/>
            <w:tcBorders>
              <w:top w:val="single" w:sz="2" w:space="0" w:color="000000"/>
              <w:left w:val="single" w:sz="2" w:space="0" w:color="000000"/>
              <w:bottom w:val="single" w:sz="2" w:space="0" w:color="000000"/>
              <w:right w:val="single" w:sz="2" w:space="0" w:color="000000"/>
            </w:tcBorders>
            <w:shd w:val="clear" w:color="auto" w:fill="auto"/>
          </w:tcPr>
          <w:p w14:paraId="7D88DB08" w14:textId="77777777" w:rsidR="00FA5CF6" w:rsidRPr="00682149" w:rsidRDefault="00FA5CF6" w:rsidP="001C138F">
            <w:pPr>
              <w:spacing w:after="0" w:line="276" w:lineRule="auto"/>
              <w:rPr>
                <w:color w:val="000000" w:themeColor="text1"/>
              </w:rPr>
            </w:pPr>
            <w:r w:rsidRPr="00682149">
              <w:rPr>
                <w:b/>
                <w:color w:val="000000" w:themeColor="text1"/>
              </w:rPr>
              <w:t xml:space="preserve">GUAVIARE </w:t>
            </w:r>
          </w:p>
        </w:tc>
        <w:tc>
          <w:tcPr>
            <w:tcW w:w="3132" w:type="dxa"/>
            <w:tcBorders>
              <w:top w:val="single" w:sz="2" w:space="0" w:color="000000"/>
              <w:left w:val="single" w:sz="2" w:space="0" w:color="000000"/>
              <w:bottom w:val="single" w:sz="2" w:space="0" w:color="000000"/>
              <w:right w:val="single" w:sz="2" w:space="0" w:color="000000"/>
            </w:tcBorders>
            <w:shd w:val="clear" w:color="auto" w:fill="auto"/>
          </w:tcPr>
          <w:p w14:paraId="0647B7EC" w14:textId="77777777" w:rsidR="00FA5CF6" w:rsidRPr="00682149" w:rsidRDefault="00FA5CF6" w:rsidP="001C138F">
            <w:pPr>
              <w:spacing w:after="0" w:line="276" w:lineRule="auto"/>
              <w:rPr>
                <w:color w:val="000000" w:themeColor="text1"/>
              </w:rPr>
            </w:pPr>
            <w:r w:rsidRPr="00682149">
              <w:rPr>
                <w:color w:val="000000" w:themeColor="text1"/>
              </w:rPr>
              <w:t xml:space="preserve">SAN JOSÉ DEL GUAVIARE </w:t>
            </w:r>
          </w:p>
        </w:tc>
        <w:tc>
          <w:tcPr>
            <w:tcW w:w="1702" w:type="dxa"/>
            <w:tcBorders>
              <w:top w:val="single" w:sz="2" w:space="0" w:color="000000"/>
              <w:left w:val="single" w:sz="2" w:space="0" w:color="000000"/>
              <w:bottom w:val="single" w:sz="2" w:space="0" w:color="000000"/>
              <w:right w:val="single" w:sz="2" w:space="0" w:color="000000"/>
            </w:tcBorders>
            <w:shd w:val="clear" w:color="auto" w:fill="auto"/>
          </w:tcPr>
          <w:p w14:paraId="08678F83" w14:textId="77777777" w:rsidR="00FA5CF6" w:rsidRPr="00682149" w:rsidRDefault="00FA5CF6" w:rsidP="001C138F">
            <w:pPr>
              <w:spacing w:after="0" w:line="276" w:lineRule="auto"/>
              <w:ind w:right="30"/>
              <w:jc w:val="center"/>
              <w:rPr>
                <w:color w:val="000000" w:themeColor="text1"/>
              </w:rPr>
            </w:pPr>
            <w:r w:rsidRPr="00682149">
              <w:rPr>
                <w:color w:val="000000" w:themeColor="text1"/>
              </w:rPr>
              <w:t xml:space="preserve">965 </w:t>
            </w:r>
          </w:p>
        </w:tc>
        <w:tc>
          <w:tcPr>
            <w:tcW w:w="2267" w:type="dxa"/>
            <w:tcBorders>
              <w:top w:val="single" w:sz="2" w:space="0" w:color="000000"/>
              <w:left w:val="single" w:sz="2" w:space="0" w:color="000000"/>
              <w:bottom w:val="single" w:sz="2" w:space="0" w:color="000000"/>
              <w:right w:val="single" w:sz="2" w:space="0" w:color="000000"/>
            </w:tcBorders>
            <w:shd w:val="clear" w:color="auto" w:fill="auto"/>
          </w:tcPr>
          <w:p w14:paraId="07F93F9A" w14:textId="77777777" w:rsidR="00FA5CF6" w:rsidRPr="00682149" w:rsidRDefault="00FA5CF6" w:rsidP="001C138F">
            <w:pPr>
              <w:spacing w:after="0" w:line="276" w:lineRule="auto"/>
              <w:ind w:right="29"/>
              <w:jc w:val="center"/>
              <w:rPr>
                <w:color w:val="000000" w:themeColor="text1"/>
              </w:rPr>
            </w:pPr>
            <w:r w:rsidRPr="00682149">
              <w:rPr>
                <w:color w:val="000000" w:themeColor="text1"/>
              </w:rPr>
              <w:t xml:space="preserve">31-dic-20 </w:t>
            </w:r>
          </w:p>
        </w:tc>
      </w:tr>
      <w:tr w:rsidR="00682149" w:rsidRPr="00682149" w14:paraId="28081AEE" w14:textId="77777777" w:rsidTr="00C135C5">
        <w:trPr>
          <w:trHeight w:val="262"/>
        </w:trPr>
        <w:tc>
          <w:tcPr>
            <w:tcW w:w="2107" w:type="dxa"/>
            <w:tcBorders>
              <w:top w:val="single" w:sz="2" w:space="0" w:color="000000"/>
              <w:left w:val="single" w:sz="2" w:space="0" w:color="000000"/>
              <w:bottom w:val="single" w:sz="2" w:space="0" w:color="000000"/>
              <w:right w:val="single" w:sz="2" w:space="0" w:color="000000"/>
            </w:tcBorders>
            <w:shd w:val="clear" w:color="auto" w:fill="auto"/>
          </w:tcPr>
          <w:p w14:paraId="0F5CF194" w14:textId="77777777" w:rsidR="00FA5CF6" w:rsidRPr="00682149" w:rsidRDefault="00FA5CF6" w:rsidP="001C138F">
            <w:pPr>
              <w:spacing w:after="0" w:line="276" w:lineRule="auto"/>
              <w:rPr>
                <w:color w:val="000000" w:themeColor="text1"/>
              </w:rPr>
            </w:pPr>
            <w:r w:rsidRPr="00682149">
              <w:rPr>
                <w:b/>
                <w:color w:val="000000" w:themeColor="text1"/>
              </w:rPr>
              <w:t xml:space="preserve">META </w:t>
            </w:r>
          </w:p>
        </w:tc>
        <w:tc>
          <w:tcPr>
            <w:tcW w:w="3132" w:type="dxa"/>
            <w:tcBorders>
              <w:top w:val="single" w:sz="2" w:space="0" w:color="000000"/>
              <w:left w:val="single" w:sz="2" w:space="0" w:color="000000"/>
              <w:bottom w:val="single" w:sz="2" w:space="0" w:color="000000"/>
              <w:right w:val="single" w:sz="2" w:space="0" w:color="000000"/>
            </w:tcBorders>
            <w:shd w:val="clear" w:color="auto" w:fill="auto"/>
          </w:tcPr>
          <w:p w14:paraId="7BAC8505" w14:textId="77777777" w:rsidR="00FA5CF6" w:rsidRPr="00682149" w:rsidRDefault="00FA5CF6" w:rsidP="001C138F">
            <w:pPr>
              <w:spacing w:after="0" w:line="276" w:lineRule="auto"/>
              <w:rPr>
                <w:color w:val="000000" w:themeColor="text1"/>
              </w:rPr>
            </w:pPr>
            <w:r w:rsidRPr="00682149">
              <w:rPr>
                <w:color w:val="000000" w:themeColor="text1"/>
              </w:rPr>
              <w:t xml:space="preserve">PUERTO RICO </w:t>
            </w:r>
          </w:p>
        </w:tc>
        <w:tc>
          <w:tcPr>
            <w:tcW w:w="1702" w:type="dxa"/>
            <w:tcBorders>
              <w:top w:val="single" w:sz="2" w:space="0" w:color="000000"/>
              <w:left w:val="single" w:sz="2" w:space="0" w:color="000000"/>
              <w:bottom w:val="single" w:sz="2" w:space="0" w:color="000000"/>
              <w:right w:val="single" w:sz="2" w:space="0" w:color="000000"/>
            </w:tcBorders>
            <w:shd w:val="clear" w:color="auto" w:fill="auto"/>
          </w:tcPr>
          <w:p w14:paraId="2477F88A" w14:textId="77777777" w:rsidR="00FA5CF6" w:rsidRPr="00682149" w:rsidRDefault="00FA5CF6" w:rsidP="001C138F">
            <w:pPr>
              <w:spacing w:after="0" w:line="276" w:lineRule="auto"/>
              <w:ind w:right="30"/>
              <w:jc w:val="center"/>
              <w:rPr>
                <w:color w:val="000000" w:themeColor="text1"/>
              </w:rPr>
            </w:pPr>
            <w:r w:rsidRPr="00682149">
              <w:rPr>
                <w:color w:val="000000" w:themeColor="text1"/>
              </w:rPr>
              <w:t xml:space="preserve">689 </w:t>
            </w:r>
          </w:p>
        </w:tc>
        <w:tc>
          <w:tcPr>
            <w:tcW w:w="2267" w:type="dxa"/>
            <w:tcBorders>
              <w:top w:val="single" w:sz="2" w:space="0" w:color="000000"/>
              <w:left w:val="single" w:sz="2" w:space="0" w:color="000000"/>
              <w:bottom w:val="single" w:sz="2" w:space="0" w:color="000000"/>
              <w:right w:val="single" w:sz="2" w:space="0" w:color="000000"/>
            </w:tcBorders>
            <w:shd w:val="clear" w:color="auto" w:fill="auto"/>
          </w:tcPr>
          <w:p w14:paraId="298680CE" w14:textId="77777777" w:rsidR="00FA5CF6" w:rsidRPr="00682149" w:rsidRDefault="00FA5CF6" w:rsidP="001C138F">
            <w:pPr>
              <w:spacing w:after="0" w:line="276" w:lineRule="auto"/>
              <w:ind w:right="29"/>
              <w:jc w:val="center"/>
              <w:rPr>
                <w:color w:val="000000" w:themeColor="text1"/>
              </w:rPr>
            </w:pPr>
            <w:r w:rsidRPr="00682149">
              <w:rPr>
                <w:color w:val="000000" w:themeColor="text1"/>
              </w:rPr>
              <w:t xml:space="preserve">31-dic-20 </w:t>
            </w:r>
          </w:p>
        </w:tc>
      </w:tr>
      <w:tr w:rsidR="00682149" w:rsidRPr="00682149" w14:paraId="229A972E" w14:textId="77777777" w:rsidTr="00C135C5">
        <w:trPr>
          <w:trHeight w:val="264"/>
        </w:trPr>
        <w:tc>
          <w:tcPr>
            <w:tcW w:w="2107" w:type="dxa"/>
            <w:tcBorders>
              <w:top w:val="single" w:sz="2" w:space="0" w:color="000000"/>
              <w:left w:val="single" w:sz="2" w:space="0" w:color="000000"/>
              <w:bottom w:val="single" w:sz="2" w:space="0" w:color="000000"/>
              <w:right w:val="single" w:sz="2" w:space="0" w:color="000000"/>
            </w:tcBorders>
            <w:shd w:val="clear" w:color="auto" w:fill="auto"/>
          </w:tcPr>
          <w:p w14:paraId="59FDE9DC" w14:textId="77777777" w:rsidR="00FA5CF6" w:rsidRPr="00682149" w:rsidRDefault="00FA5CF6" w:rsidP="001C138F">
            <w:pPr>
              <w:spacing w:after="0" w:line="276" w:lineRule="auto"/>
              <w:rPr>
                <w:color w:val="000000" w:themeColor="text1"/>
              </w:rPr>
            </w:pPr>
            <w:r w:rsidRPr="00682149">
              <w:rPr>
                <w:b/>
                <w:color w:val="000000" w:themeColor="text1"/>
              </w:rPr>
              <w:t xml:space="preserve">NARIÑO </w:t>
            </w:r>
          </w:p>
        </w:tc>
        <w:tc>
          <w:tcPr>
            <w:tcW w:w="3132" w:type="dxa"/>
            <w:tcBorders>
              <w:top w:val="single" w:sz="2" w:space="0" w:color="000000"/>
              <w:left w:val="single" w:sz="2" w:space="0" w:color="000000"/>
              <w:bottom w:val="single" w:sz="2" w:space="0" w:color="000000"/>
              <w:right w:val="single" w:sz="2" w:space="0" w:color="000000"/>
            </w:tcBorders>
            <w:shd w:val="clear" w:color="auto" w:fill="auto"/>
          </w:tcPr>
          <w:p w14:paraId="7D018F1C" w14:textId="77777777" w:rsidR="00FA5CF6" w:rsidRPr="00682149" w:rsidRDefault="00FA5CF6" w:rsidP="001C138F">
            <w:pPr>
              <w:spacing w:after="0" w:line="276" w:lineRule="auto"/>
              <w:rPr>
                <w:color w:val="000000" w:themeColor="text1"/>
              </w:rPr>
            </w:pPr>
            <w:r w:rsidRPr="00682149">
              <w:rPr>
                <w:color w:val="000000" w:themeColor="text1"/>
              </w:rPr>
              <w:t xml:space="preserve">TUMACO </w:t>
            </w:r>
          </w:p>
        </w:tc>
        <w:tc>
          <w:tcPr>
            <w:tcW w:w="1702" w:type="dxa"/>
            <w:tcBorders>
              <w:top w:val="single" w:sz="2" w:space="0" w:color="000000"/>
              <w:left w:val="single" w:sz="2" w:space="0" w:color="000000"/>
              <w:bottom w:val="single" w:sz="2" w:space="0" w:color="000000"/>
              <w:right w:val="single" w:sz="2" w:space="0" w:color="000000"/>
            </w:tcBorders>
            <w:shd w:val="clear" w:color="auto" w:fill="auto"/>
          </w:tcPr>
          <w:p w14:paraId="3FDC1E7B" w14:textId="77777777" w:rsidR="00FA5CF6" w:rsidRPr="00682149" w:rsidRDefault="00FA5CF6" w:rsidP="001C138F">
            <w:pPr>
              <w:spacing w:after="0" w:line="276" w:lineRule="auto"/>
              <w:ind w:right="30"/>
              <w:jc w:val="center"/>
              <w:rPr>
                <w:color w:val="000000" w:themeColor="text1"/>
              </w:rPr>
            </w:pPr>
            <w:r w:rsidRPr="00682149">
              <w:rPr>
                <w:color w:val="000000" w:themeColor="text1"/>
              </w:rPr>
              <w:t xml:space="preserve">293 </w:t>
            </w:r>
          </w:p>
        </w:tc>
        <w:tc>
          <w:tcPr>
            <w:tcW w:w="2267" w:type="dxa"/>
            <w:tcBorders>
              <w:top w:val="single" w:sz="2" w:space="0" w:color="000000"/>
              <w:left w:val="single" w:sz="2" w:space="0" w:color="000000"/>
              <w:bottom w:val="single" w:sz="2" w:space="0" w:color="000000"/>
              <w:right w:val="single" w:sz="2" w:space="0" w:color="000000"/>
            </w:tcBorders>
            <w:shd w:val="clear" w:color="auto" w:fill="auto"/>
          </w:tcPr>
          <w:p w14:paraId="7A8A3184" w14:textId="77777777" w:rsidR="00FA5CF6" w:rsidRPr="00682149" w:rsidRDefault="00FA5CF6" w:rsidP="001C138F">
            <w:pPr>
              <w:spacing w:after="0" w:line="276" w:lineRule="auto"/>
              <w:ind w:right="29"/>
              <w:jc w:val="center"/>
              <w:rPr>
                <w:color w:val="000000" w:themeColor="text1"/>
              </w:rPr>
            </w:pPr>
            <w:r w:rsidRPr="00682149">
              <w:rPr>
                <w:color w:val="000000" w:themeColor="text1"/>
              </w:rPr>
              <w:t xml:space="preserve">31-dic-20 </w:t>
            </w:r>
          </w:p>
        </w:tc>
      </w:tr>
      <w:tr w:rsidR="00682149" w:rsidRPr="00682149" w14:paraId="253C2840" w14:textId="77777777" w:rsidTr="00C135C5">
        <w:trPr>
          <w:trHeight w:val="262"/>
        </w:trPr>
        <w:tc>
          <w:tcPr>
            <w:tcW w:w="2107" w:type="dxa"/>
            <w:tcBorders>
              <w:top w:val="single" w:sz="2" w:space="0" w:color="000000"/>
              <w:left w:val="single" w:sz="2" w:space="0" w:color="000000"/>
              <w:bottom w:val="single" w:sz="2" w:space="0" w:color="000000"/>
              <w:right w:val="single" w:sz="2" w:space="0" w:color="000000"/>
            </w:tcBorders>
            <w:shd w:val="clear" w:color="auto" w:fill="auto"/>
          </w:tcPr>
          <w:p w14:paraId="1FA68DDD" w14:textId="77777777" w:rsidR="00FA5CF6" w:rsidRPr="00682149" w:rsidRDefault="00FA5CF6" w:rsidP="001C138F">
            <w:pPr>
              <w:spacing w:after="0" w:line="276" w:lineRule="auto"/>
              <w:rPr>
                <w:color w:val="000000" w:themeColor="text1"/>
              </w:rPr>
            </w:pPr>
            <w:r w:rsidRPr="00682149">
              <w:rPr>
                <w:b/>
                <w:color w:val="000000" w:themeColor="text1"/>
              </w:rPr>
              <w:t xml:space="preserve">Total </w:t>
            </w:r>
          </w:p>
        </w:tc>
        <w:tc>
          <w:tcPr>
            <w:tcW w:w="3132" w:type="dxa"/>
            <w:tcBorders>
              <w:top w:val="single" w:sz="2" w:space="0" w:color="000000"/>
              <w:left w:val="single" w:sz="2" w:space="0" w:color="000000"/>
              <w:bottom w:val="single" w:sz="2" w:space="0" w:color="000000"/>
              <w:right w:val="single" w:sz="2" w:space="0" w:color="000000"/>
            </w:tcBorders>
            <w:shd w:val="clear" w:color="auto" w:fill="auto"/>
          </w:tcPr>
          <w:p w14:paraId="539D1C12" w14:textId="77777777" w:rsidR="00FA5CF6" w:rsidRPr="00682149" w:rsidRDefault="00FA5CF6" w:rsidP="001C138F">
            <w:pPr>
              <w:spacing w:after="0" w:line="276" w:lineRule="auto"/>
              <w:rPr>
                <w:color w:val="000000" w:themeColor="text1"/>
              </w:rPr>
            </w:pPr>
            <w:r w:rsidRPr="00682149">
              <w:rPr>
                <w:color w:val="000000" w:themeColor="text1"/>
              </w:rPr>
              <w:t xml:space="preserve">  </w:t>
            </w:r>
          </w:p>
        </w:tc>
        <w:tc>
          <w:tcPr>
            <w:tcW w:w="1702" w:type="dxa"/>
            <w:tcBorders>
              <w:top w:val="single" w:sz="2" w:space="0" w:color="000000"/>
              <w:left w:val="single" w:sz="2" w:space="0" w:color="000000"/>
              <w:bottom w:val="single" w:sz="2" w:space="0" w:color="000000"/>
              <w:right w:val="single" w:sz="2" w:space="0" w:color="000000"/>
            </w:tcBorders>
            <w:shd w:val="clear" w:color="auto" w:fill="auto"/>
          </w:tcPr>
          <w:p w14:paraId="4D4AAEA3" w14:textId="77777777" w:rsidR="00FA5CF6" w:rsidRPr="00682149" w:rsidRDefault="00FA5CF6" w:rsidP="001C138F">
            <w:pPr>
              <w:spacing w:after="0" w:line="276" w:lineRule="auto"/>
              <w:ind w:right="29"/>
              <w:jc w:val="center"/>
              <w:rPr>
                <w:color w:val="000000" w:themeColor="text1"/>
              </w:rPr>
            </w:pPr>
            <w:r w:rsidRPr="00682149">
              <w:rPr>
                <w:b/>
                <w:color w:val="000000" w:themeColor="text1"/>
              </w:rPr>
              <w:t xml:space="preserve">4.821 </w:t>
            </w:r>
          </w:p>
        </w:tc>
        <w:tc>
          <w:tcPr>
            <w:tcW w:w="2267" w:type="dxa"/>
            <w:tcBorders>
              <w:top w:val="single" w:sz="2" w:space="0" w:color="000000"/>
              <w:left w:val="single" w:sz="2" w:space="0" w:color="000000"/>
              <w:bottom w:val="single" w:sz="2" w:space="0" w:color="000000"/>
              <w:right w:val="single" w:sz="2" w:space="0" w:color="000000"/>
            </w:tcBorders>
            <w:shd w:val="clear" w:color="auto" w:fill="auto"/>
          </w:tcPr>
          <w:p w14:paraId="451A83B9" w14:textId="77777777" w:rsidR="00FA5CF6" w:rsidRPr="00682149" w:rsidRDefault="00FA5CF6" w:rsidP="001C138F">
            <w:pPr>
              <w:spacing w:after="0" w:line="276" w:lineRule="auto"/>
              <w:ind w:left="1"/>
              <w:rPr>
                <w:color w:val="000000" w:themeColor="text1"/>
              </w:rPr>
            </w:pPr>
            <w:r w:rsidRPr="00682149">
              <w:rPr>
                <w:color w:val="000000" w:themeColor="text1"/>
              </w:rPr>
              <w:t xml:space="preserve">  </w:t>
            </w:r>
          </w:p>
        </w:tc>
      </w:tr>
    </w:tbl>
    <w:p w14:paraId="0FE0E323" w14:textId="77777777" w:rsidR="00FA5CF6" w:rsidRPr="00682149" w:rsidRDefault="00FA5CF6" w:rsidP="001C138F">
      <w:pPr>
        <w:spacing w:after="0" w:line="276" w:lineRule="auto"/>
        <w:ind w:right="15"/>
        <w:jc w:val="center"/>
        <w:rPr>
          <w:color w:val="000000" w:themeColor="text1"/>
        </w:rPr>
      </w:pPr>
      <w:r w:rsidRPr="00682149">
        <w:rPr>
          <w:color w:val="000000" w:themeColor="text1"/>
          <w:sz w:val="20"/>
        </w:rPr>
        <w:t xml:space="preserve">Fuente: MME. Elaboración CREG. </w:t>
      </w:r>
    </w:p>
    <w:p w14:paraId="41767EEC" w14:textId="77777777" w:rsidR="00FA5CF6" w:rsidRPr="00682149" w:rsidRDefault="00FA5CF6" w:rsidP="001C138F">
      <w:pPr>
        <w:spacing w:after="0" w:line="276" w:lineRule="auto"/>
        <w:rPr>
          <w:color w:val="000000" w:themeColor="text1"/>
        </w:rPr>
      </w:pPr>
      <w:r w:rsidRPr="00682149">
        <w:rPr>
          <w:color w:val="000000" w:themeColor="text1"/>
        </w:rPr>
        <w:t xml:space="preserve"> </w:t>
      </w:r>
    </w:p>
    <w:p w14:paraId="7AB18B6B" w14:textId="3E130713" w:rsidR="00313BD6" w:rsidRPr="00682149" w:rsidRDefault="00885CAA" w:rsidP="001C138F">
      <w:pPr>
        <w:spacing w:after="0" w:line="276" w:lineRule="auto"/>
        <w:jc w:val="both"/>
        <w:rPr>
          <w:rFonts w:ascii="Arial" w:hAnsi="Arial" w:cs="Arial"/>
          <w:color w:val="000000" w:themeColor="text1"/>
          <w:sz w:val="24"/>
          <w:szCs w:val="24"/>
        </w:rPr>
      </w:pPr>
      <w:r w:rsidRPr="00682149">
        <w:rPr>
          <w:rFonts w:ascii="Arial" w:hAnsi="Arial" w:cs="Arial"/>
          <w:color w:val="000000" w:themeColor="text1"/>
          <w:sz w:val="24"/>
          <w:szCs w:val="24"/>
        </w:rPr>
        <w:t>3.2.4.</w:t>
      </w:r>
      <w:r w:rsidRPr="00682149">
        <w:rPr>
          <w:rFonts w:ascii="Arial" w:hAnsi="Arial" w:cs="Arial"/>
          <w:color w:val="000000" w:themeColor="text1"/>
          <w:sz w:val="24"/>
          <w:szCs w:val="24"/>
        </w:rPr>
        <w:tab/>
      </w:r>
      <w:r w:rsidR="00461FC9" w:rsidRPr="00682149">
        <w:rPr>
          <w:rFonts w:ascii="Arial" w:hAnsi="Arial" w:cs="Arial"/>
          <w:color w:val="000000" w:themeColor="text1"/>
          <w:sz w:val="24"/>
          <w:szCs w:val="24"/>
        </w:rPr>
        <w:t>Afirma que</w:t>
      </w:r>
      <w:r w:rsidR="00214413" w:rsidRPr="00682149">
        <w:rPr>
          <w:rFonts w:ascii="Arial" w:hAnsi="Arial" w:cs="Arial"/>
          <w:color w:val="000000" w:themeColor="text1"/>
          <w:sz w:val="24"/>
          <w:szCs w:val="24"/>
        </w:rPr>
        <w:t>,</w:t>
      </w:r>
      <w:r w:rsidR="00461FC9" w:rsidRPr="00682149">
        <w:rPr>
          <w:rFonts w:ascii="Arial" w:hAnsi="Arial" w:cs="Arial"/>
          <w:color w:val="000000" w:themeColor="text1"/>
          <w:sz w:val="24"/>
          <w:szCs w:val="24"/>
        </w:rPr>
        <w:t xml:space="preserve"> de acuerdo con la </w:t>
      </w:r>
      <w:r w:rsidR="00FA5CF6" w:rsidRPr="00682149">
        <w:rPr>
          <w:rFonts w:ascii="Arial" w:hAnsi="Arial" w:cs="Arial"/>
          <w:color w:val="000000" w:themeColor="text1"/>
          <w:sz w:val="24"/>
          <w:szCs w:val="24"/>
        </w:rPr>
        <w:t>información</w:t>
      </w:r>
      <w:r w:rsidR="00461FC9" w:rsidRPr="00682149">
        <w:rPr>
          <w:rFonts w:ascii="Arial" w:hAnsi="Arial" w:cs="Arial"/>
          <w:color w:val="000000" w:themeColor="text1"/>
          <w:sz w:val="24"/>
          <w:szCs w:val="24"/>
        </w:rPr>
        <w:t xml:space="preserve"> reportada</w:t>
      </w:r>
      <w:r w:rsidR="00FA5CF6" w:rsidRPr="00682149">
        <w:rPr>
          <w:rFonts w:ascii="Arial" w:hAnsi="Arial" w:cs="Arial"/>
          <w:color w:val="000000" w:themeColor="text1"/>
          <w:sz w:val="24"/>
          <w:szCs w:val="24"/>
        </w:rPr>
        <w:t xml:space="preserve">, se evidencia que actualmente </w:t>
      </w:r>
      <w:r w:rsidR="00FA5CF6" w:rsidRPr="00976D77">
        <w:rPr>
          <w:rFonts w:ascii="Arial" w:hAnsi="Arial" w:cs="Arial"/>
          <w:color w:val="000000" w:themeColor="text1"/>
          <w:sz w:val="24"/>
          <w:szCs w:val="24"/>
        </w:rPr>
        <w:t xml:space="preserve">hay más de 13.000 soluciones a través de las </w:t>
      </w:r>
      <w:r w:rsidR="003C7B5D" w:rsidRPr="00976D77">
        <w:rPr>
          <w:rFonts w:ascii="Arial" w:hAnsi="Arial" w:cs="Arial"/>
          <w:color w:val="000000" w:themeColor="text1"/>
          <w:sz w:val="24"/>
          <w:szCs w:val="24"/>
        </w:rPr>
        <w:t xml:space="preserve">cuales </w:t>
      </w:r>
      <w:r w:rsidR="00FA5CF6" w:rsidRPr="00976D77">
        <w:rPr>
          <w:rFonts w:ascii="Arial" w:hAnsi="Arial" w:cs="Arial"/>
          <w:color w:val="000000" w:themeColor="text1"/>
          <w:sz w:val="24"/>
          <w:szCs w:val="24"/>
        </w:rPr>
        <w:t>se accede a</w:t>
      </w:r>
      <w:r w:rsidR="003C7B5D" w:rsidRPr="00976D77">
        <w:rPr>
          <w:rFonts w:ascii="Arial" w:hAnsi="Arial" w:cs="Arial"/>
          <w:color w:val="000000" w:themeColor="text1"/>
          <w:sz w:val="24"/>
          <w:szCs w:val="24"/>
        </w:rPr>
        <w:t xml:space="preserve"> est</w:t>
      </w:r>
      <w:r w:rsidR="00976D77" w:rsidRPr="00976D77">
        <w:rPr>
          <w:rFonts w:ascii="Arial" w:hAnsi="Arial" w:cs="Arial"/>
          <w:color w:val="000000" w:themeColor="text1"/>
          <w:sz w:val="24"/>
          <w:szCs w:val="24"/>
        </w:rPr>
        <w:t>e sistema</w:t>
      </w:r>
      <w:r w:rsidR="003C7B5D" w:rsidRPr="00682149">
        <w:rPr>
          <w:rFonts w:ascii="Arial" w:hAnsi="Arial" w:cs="Arial"/>
          <w:color w:val="000000" w:themeColor="text1"/>
          <w:sz w:val="24"/>
          <w:szCs w:val="24"/>
        </w:rPr>
        <w:t xml:space="preserve"> </w:t>
      </w:r>
      <w:r w:rsidR="00FA5CF6" w:rsidRPr="00682149">
        <w:rPr>
          <w:rFonts w:ascii="Arial" w:hAnsi="Arial" w:cs="Arial"/>
          <w:color w:val="000000" w:themeColor="text1"/>
          <w:sz w:val="24"/>
          <w:szCs w:val="24"/>
        </w:rPr>
        <w:t>de energía eléctrica,</w:t>
      </w:r>
      <w:r w:rsidR="00FA5CF6" w:rsidRPr="00682149">
        <w:rPr>
          <w:rFonts w:ascii="Arial" w:hAnsi="Arial" w:cs="Arial"/>
          <w:b/>
          <w:color w:val="000000" w:themeColor="text1"/>
          <w:sz w:val="24"/>
          <w:szCs w:val="24"/>
        </w:rPr>
        <w:t xml:space="preserve"> </w:t>
      </w:r>
      <w:r w:rsidR="00FA5CF6" w:rsidRPr="00682149">
        <w:rPr>
          <w:rFonts w:ascii="Arial" w:hAnsi="Arial" w:cs="Arial"/>
          <w:bCs/>
          <w:color w:val="000000" w:themeColor="text1"/>
          <w:sz w:val="24"/>
          <w:szCs w:val="24"/>
        </w:rPr>
        <w:t>para las cuales existe un riesgo potencial de interrupción y no prestación continua y efectiva del servicio, debido a que no se encuentra definida una tarifa regulada</w:t>
      </w:r>
      <w:r w:rsidR="00FA5CF6" w:rsidRPr="00682149">
        <w:rPr>
          <w:rFonts w:ascii="Arial" w:hAnsi="Arial" w:cs="Arial"/>
          <w:bCs/>
          <w:color w:val="000000" w:themeColor="text1"/>
          <w:sz w:val="24"/>
          <w:szCs w:val="24"/>
          <w:vertAlign w:val="superscript"/>
        </w:rPr>
        <w:footnoteReference w:id="3"/>
      </w:r>
      <w:r w:rsidR="00FA5CF6" w:rsidRPr="00682149">
        <w:rPr>
          <w:rFonts w:ascii="Arial" w:hAnsi="Arial" w:cs="Arial"/>
          <w:color w:val="000000" w:themeColor="text1"/>
          <w:sz w:val="24"/>
          <w:szCs w:val="24"/>
        </w:rPr>
        <w:t xml:space="preserve"> que permita trasladar a los usuarios los costos de l</w:t>
      </w:r>
      <w:r w:rsidR="00FA5CF6" w:rsidRPr="00976D77">
        <w:rPr>
          <w:rFonts w:ascii="Arial" w:hAnsi="Arial" w:cs="Arial"/>
          <w:color w:val="000000" w:themeColor="text1"/>
          <w:sz w:val="24"/>
          <w:szCs w:val="24"/>
        </w:rPr>
        <w:t xml:space="preserve">a operación y mantenimiento de dichas soluciones. </w:t>
      </w:r>
      <w:r w:rsidRPr="00976D77">
        <w:rPr>
          <w:rFonts w:ascii="Arial" w:hAnsi="Arial" w:cs="Arial"/>
          <w:color w:val="000000" w:themeColor="text1"/>
          <w:sz w:val="24"/>
          <w:szCs w:val="24"/>
        </w:rPr>
        <w:t>Indica que e</w:t>
      </w:r>
      <w:r w:rsidR="00FA5CF6" w:rsidRPr="00976D77">
        <w:rPr>
          <w:rFonts w:ascii="Arial" w:hAnsi="Arial" w:cs="Arial"/>
          <w:color w:val="000000" w:themeColor="text1"/>
          <w:sz w:val="24"/>
          <w:szCs w:val="24"/>
        </w:rPr>
        <w:t>ste riesgo también podría presentarse en el caso de los usuarios que son beneficiarios de los proy</w:t>
      </w:r>
      <w:r w:rsidR="00FA5CF6" w:rsidRPr="00682149">
        <w:rPr>
          <w:rFonts w:ascii="Arial" w:hAnsi="Arial" w:cs="Arial"/>
          <w:color w:val="000000" w:themeColor="text1"/>
          <w:sz w:val="24"/>
          <w:szCs w:val="24"/>
        </w:rPr>
        <w:t xml:space="preserve">ectos que, se espera, entren en operación durante </w:t>
      </w:r>
      <w:r w:rsidR="00F73446">
        <w:rPr>
          <w:rFonts w:ascii="Arial" w:hAnsi="Arial" w:cs="Arial"/>
          <w:color w:val="000000" w:themeColor="text1"/>
          <w:sz w:val="24"/>
          <w:szCs w:val="24"/>
        </w:rPr>
        <w:t xml:space="preserve">esta vigencia </w:t>
      </w:r>
      <w:r w:rsidR="00FA5CF6" w:rsidRPr="00682149">
        <w:rPr>
          <w:rFonts w:ascii="Arial" w:hAnsi="Arial" w:cs="Arial"/>
          <w:color w:val="000000" w:themeColor="text1"/>
          <w:sz w:val="24"/>
          <w:szCs w:val="24"/>
        </w:rPr>
        <w:t xml:space="preserve">2020. </w:t>
      </w:r>
    </w:p>
    <w:p w14:paraId="764A0906" w14:textId="77777777" w:rsidR="008C4A84" w:rsidRPr="00682149" w:rsidRDefault="008C4A84" w:rsidP="001C138F">
      <w:pPr>
        <w:spacing w:after="0" w:line="276" w:lineRule="auto"/>
        <w:jc w:val="both"/>
        <w:rPr>
          <w:rFonts w:ascii="Arial" w:hAnsi="Arial" w:cs="Arial"/>
          <w:color w:val="000000" w:themeColor="text1"/>
          <w:sz w:val="24"/>
          <w:szCs w:val="24"/>
        </w:rPr>
      </w:pPr>
    </w:p>
    <w:p w14:paraId="083E6E87" w14:textId="15649BD9" w:rsidR="00313BD6" w:rsidRPr="00682149" w:rsidRDefault="00885CAA" w:rsidP="001C138F">
      <w:pPr>
        <w:pStyle w:val="Ttulo2"/>
        <w:spacing w:after="0" w:line="276" w:lineRule="auto"/>
        <w:ind w:left="567"/>
        <w:jc w:val="both"/>
        <w:rPr>
          <w:rFonts w:ascii="Arial" w:hAnsi="Arial" w:cs="Arial"/>
          <w:i/>
          <w:color w:val="000000" w:themeColor="text1"/>
          <w:lang w:val="es-ES_tradnl"/>
        </w:rPr>
      </w:pPr>
      <w:bookmarkStart w:id="1" w:name="_Toc467842433"/>
      <w:r w:rsidRPr="00682149">
        <w:rPr>
          <w:rFonts w:ascii="Arial" w:hAnsi="Arial" w:cs="Arial"/>
          <w:i/>
          <w:color w:val="000000" w:themeColor="text1"/>
          <w:lang w:val="es-ES_tradnl"/>
        </w:rPr>
        <w:lastRenderedPageBreak/>
        <w:t>“</w:t>
      </w:r>
      <w:r w:rsidR="00313BD6" w:rsidRPr="00682149">
        <w:rPr>
          <w:rFonts w:ascii="Arial" w:hAnsi="Arial" w:cs="Arial"/>
          <w:i/>
          <w:color w:val="000000" w:themeColor="text1"/>
          <w:lang w:val="es-ES_tradnl"/>
        </w:rPr>
        <w:t>2.2 Causas y Efectos</w:t>
      </w:r>
      <w:bookmarkEnd w:id="1"/>
      <w:r w:rsidR="00313BD6" w:rsidRPr="00682149">
        <w:rPr>
          <w:rFonts w:ascii="Arial" w:hAnsi="Arial" w:cs="Arial"/>
          <w:i/>
          <w:color w:val="000000" w:themeColor="text1"/>
          <w:lang w:val="es-ES_tradnl"/>
        </w:rPr>
        <w:t xml:space="preserve"> </w:t>
      </w:r>
    </w:p>
    <w:p w14:paraId="2A4B7BCB" w14:textId="77777777" w:rsidR="000C2447" w:rsidRDefault="000C2447" w:rsidP="001C138F">
      <w:pPr>
        <w:spacing w:after="0" w:line="276" w:lineRule="auto"/>
        <w:ind w:left="567"/>
        <w:jc w:val="both"/>
        <w:rPr>
          <w:rFonts w:ascii="Arial" w:hAnsi="Arial" w:cs="Arial"/>
          <w:i/>
          <w:color w:val="000000" w:themeColor="text1"/>
        </w:rPr>
      </w:pPr>
    </w:p>
    <w:p w14:paraId="24821F60" w14:textId="77777777" w:rsidR="000C2447" w:rsidRDefault="00313BD6" w:rsidP="001C138F">
      <w:pPr>
        <w:spacing w:after="0" w:line="276" w:lineRule="auto"/>
        <w:ind w:left="567"/>
        <w:jc w:val="both"/>
        <w:rPr>
          <w:rFonts w:ascii="Arial" w:hAnsi="Arial" w:cs="Arial"/>
          <w:i/>
          <w:color w:val="000000" w:themeColor="text1"/>
        </w:rPr>
      </w:pPr>
      <w:r w:rsidRPr="00682149">
        <w:rPr>
          <w:rFonts w:ascii="Arial" w:hAnsi="Arial" w:cs="Arial"/>
          <w:i/>
          <w:color w:val="000000" w:themeColor="text1"/>
        </w:rPr>
        <w:t>En el análisis del problema antes descrito, se identifican causas y consecuencias relacionadas con la situación actual de los usuarios que están siendo atendidos con soluciones individuales con una potencia instalada mayor a 500 W.</w:t>
      </w:r>
    </w:p>
    <w:p w14:paraId="7ACB1DD0" w14:textId="10804921" w:rsidR="00313BD6" w:rsidRPr="00682149" w:rsidRDefault="00313BD6" w:rsidP="001C138F">
      <w:pPr>
        <w:spacing w:after="0" w:line="276" w:lineRule="auto"/>
        <w:ind w:left="567"/>
        <w:jc w:val="both"/>
        <w:rPr>
          <w:rFonts w:ascii="Arial" w:hAnsi="Arial" w:cs="Arial"/>
          <w:i/>
          <w:color w:val="000000" w:themeColor="text1"/>
        </w:rPr>
      </w:pPr>
      <w:r w:rsidRPr="00682149">
        <w:rPr>
          <w:rFonts w:ascii="Arial" w:hAnsi="Arial" w:cs="Arial"/>
          <w:i/>
          <w:color w:val="000000" w:themeColor="text1"/>
        </w:rPr>
        <w:t xml:space="preserve">   </w:t>
      </w:r>
    </w:p>
    <w:p w14:paraId="5D43BA9C" w14:textId="77777777" w:rsidR="00313BD6" w:rsidRPr="00682149" w:rsidRDefault="00313BD6" w:rsidP="001C138F">
      <w:pPr>
        <w:spacing w:after="0" w:line="276" w:lineRule="auto"/>
        <w:ind w:left="567"/>
        <w:jc w:val="both"/>
        <w:rPr>
          <w:rFonts w:ascii="Arial" w:hAnsi="Arial" w:cs="Arial"/>
          <w:i/>
          <w:color w:val="000000" w:themeColor="text1"/>
        </w:rPr>
      </w:pPr>
      <w:r w:rsidRPr="00682149">
        <w:rPr>
          <w:rFonts w:ascii="Arial" w:hAnsi="Arial" w:cs="Arial"/>
          <w:i/>
          <w:color w:val="000000" w:themeColor="text1"/>
        </w:rPr>
        <w:t xml:space="preserve">Como causas se ha identificado la imposibilidad de trasladar a los usuarios los costos asociados a la prestación del servicio de energía mediante soluciones individuales con potencia mayor a 500 W y la ausencia de solicitudes por parte de las empresas para una definición de una tarifa para este rango de potencia. Si bien la Resolución CREG 091 de 2007 establece la posibilidad para que los prestadores del servicio realicen dicha solicitud, a la fecha la Comisión no ha recibido ninguna solicitud. </w:t>
      </w:r>
    </w:p>
    <w:p w14:paraId="0A5ACADE" w14:textId="77777777" w:rsidR="00313BD6" w:rsidRPr="00682149" w:rsidRDefault="00313BD6" w:rsidP="001C138F">
      <w:pPr>
        <w:spacing w:after="0" w:line="276" w:lineRule="auto"/>
        <w:ind w:left="567"/>
        <w:jc w:val="both"/>
        <w:rPr>
          <w:rFonts w:ascii="Arial" w:hAnsi="Arial" w:cs="Arial"/>
          <w:i/>
          <w:color w:val="000000" w:themeColor="text1"/>
        </w:rPr>
      </w:pPr>
      <w:r w:rsidRPr="00682149">
        <w:rPr>
          <w:rFonts w:ascii="Arial" w:hAnsi="Arial" w:cs="Arial"/>
          <w:i/>
          <w:color w:val="000000" w:themeColor="text1"/>
        </w:rPr>
        <w:t xml:space="preserve"> </w:t>
      </w:r>
    </w:p>
    <w:p w14:paraId="5825521B" w14:textId="77777777" w:rsidR="00313BD6" w:rsidRPr="00682149" w:rsidRDefault="00313BD6" w:rsidP="001C138F">
      <w:pPr>
        <w:spacing w:after="0" w:line="276" w:lineRule="auto"/>
        <w:ind w:left="567"/>
        <w:jc w:val="both"/>
        <w:rPr>
          <w:rFonts w:ascii="Arial" w:hAnsi="Arial" w:cs="Arial"/>
          <w:i/>
          <w:color w:val="000000" w:themeColor="text1"/>
        </w:rPr>
      </w:pPr>
      <w:r w:rsidRPr="00682149">
        <w:rPr>
          <w:rFonts w:ascii="Arial" w:hAnsi="Arial" w:cs="Arial"/>
          <w:i/>
          <w:color w:val="000000" w:themeColor="text1"/>
        </w:rPr>
        <w:t xml:space="preserve">Con respecto a las posibles consecuencias, en el escenario en el que se mantenga la situación actual, tal como se identifica en la Figura 1, ante la carencia de una tarifa regulada para la prestación del servicio con soluciones individuales en AC que superan el rango de potencia de los 500W y, en este sentido, un mecanismo para recuperar los costos propios de esa operación, los prestadores del servicio pueden llegar a la suspensión de las actividades de mantenimiento de los equipos y de la atención de los usuarios. Lo cual conllevaría a que se agrave la situación de los usuarios, derivada de la pandemia, por falta de suministro de energía eléctrica para atender sus necesidades básicas y falta de acceso a otros servicios necesarios para garantizar condiciones de vivienda digna y sus derechos fundamentales.   </w:t>
      </w:r>
    </w:p>
    <w:p w14:paraId="0F12303B" w14:textId="77777777" w:rsidR="000C2447" w:rsidRDefault="000C2447" w:rsidP="001C138F">
      <w:pPr>
        <w:spacing w:after="0" w:line="276" w:lineRule="auto"/>
        <w:ind w:left="567"/>
        <w:jc w:val="both"/>
        <w:rPr>
          <w:rFonts w:ascii="Arial" w:hAnsi="Arial" w:cs="Arial"/>
          <w:i/>
          <w:color w:val="000000" w:themeColor="text1"/>
        </w:rPr>
      </w:pPr>
    </w:p>
    <w:p w14:paraId="16C02A9A" w14:textId="66E58AFE" w:rsidR="00CB2CDB" w:rsidRPr="00682149" w:rsidRDefault="00C417EE" w:rsidP="001C138F">
      <w:pPr>
        <w:spacing w:after="0" w:line="276" w:lineRule="auto"/>
        <w:ind w:left="567"/>
        <w:jc w:val="both"/>
        <w:rPr>
          <w:rFonts w:ascii="Arial" w:hAnsi="Arial" w:cs="Arial"/>
          <w:i/>
          <w:color w:val="000000" w:themeColor="text1"/>
        </w:rPr>
      </w:pPr>
      <w:r w:rsidRPr="00682149">
        <w:rPr>
          <w:rFonts w:ascii="Arial" w:hAnsi="Arial" w:cs="Arial"/>
          <w:i/>
          <w:color w:val="000000" w:themeColor="text1"/>
        </w:rPr>
        <w:t>(..</w:t>
      </w:r>
      <w:r w:rsidR="00CB2CDB" w:rsidRPr="00682149">
        <w:rPr>
          <w:rFonts w:ascii="Arial" w:hAnsi="Arial" w:cs="Arial"/>
          <w:i/>
          <w:color w:val="000000" w:themeColor="text1"/>
        </w:rPr>
        <w:t>.)</w:t>
      </w:r>
    </w:p>
    <w:p w14:paraId="5C4F2BB3" w14:textId="652F02FA" w:rsidR="00CB2CDB" w:rsidRPr="00682149" w:rsidRDefault="00313BD6" w:rsidP="001C138F">
      <w:pPr>
        <w:spacing w:after="0" w:line="276" w:lineRule="auto"/>
        <w:ind w:left="567"/>
        <w:jc w:val="both"/>
        <w:rPr>
          <w:rFonts w:ascii="Arial" w:hAnsi="Arial" w:cs="Arial"/>
          <w:i/>
          <w:color w:val="000000" w:themeColor="text1"/>
        </w:rPr>
      </w:pPr>
      <w:r w:rsidRPr="00682149">
        <w:rPr>
          <w:rFonts w:ascii="Arial" w:hAnsi="Arial" w:cs="Arial"/>
          <w:i/>
          <w:color w:val="000000" w:themeColor="text1"/>
        </w:rPr>
        <w:t xml:space="preserve"> </w:t>
      </w:r>
    </w:p>
    <w:p w14:paraId="5D71DC0B" w14:textId="3DA03739" w:rsidR="00CB2CDB" w:rsidRPr="00682149" w:rsidRDefault="00CB2CDB" w:rsidP="001C138F">
      <w:pPr>
        <w:spacing w:after="0" w:line="276" w:lineRule="auto"/>
        <w:ind w:left="567"/>
        <w:jc w:val="both"/>
        <w:rPr>
          <w:rFonts w:ascii="Arial" w:hAnsi="Arial" w:cs="Arial"/>
          <w:i/>
          <w:color w:val="000000" w:themeColor="text1"/>
        </w:rPr>
      </w:pPr>
      <w:r w:rsidRPr="00682149">
        <w:rPr>
          <w:rFonts w:ascii="Arial" w:hAnsi="Arial" w:cs="Arial"/>
          <w:i/>
          <w:color w:val="000000" w:themeColor="text1"/>
        </w:rPr>
        <w:t xml:space="preserve">En ese sentido, se evidencia que la intervención del regulador está orientada principalmente a evitar los abusos de posición dominante, promover la competencia entre quienes presten servicios públicos y asegurar una adecuada prestación del servicio.  </w:t>
      </w:r>
    </w:p>
    <w:p w14:paraId="46735AFA" w14:textId="77777777" w:rsidR="008C4A84" w:rsidRPr="00682149" w:rsidRDefault="008C4A84" w:rsidP="001C138F">
      <w:pPr>
        <w:spacing w:after="0" w:line="276" w:lineRule="auto"/>
        <w:ind w:left="567"/>
        <w:jc w:val="both"/>
        <w:rPr>
          <w:rFonts w:ascii="Arial" w:hAnsi="Arial" w:cs="Arial"/>
          <w:i/>
          <w:color w:val="000000" w:themeColor="text1"/>
        </w:rPr>
      </w:pPr>
    </w:p>
    <w:p w14:paraId="2B69DC65" w14:textId="4387597B" w:rsidR="00CB2CDB" w:rsidRPr="00682149" w:rsidRDefault="00CB2CDB" w:rsidP="001C138F">
      <w:pPr>
        <w:spacing w:after="0" w:line="276" w:lineRule="auto"/>
        <w:ind w:left="567"/>
        <w:jc w:val="both"/>
        <w:rPr>
          <w:rFonts w:ascii="Arial" w:hAnsi="Arial" w:cs="Arial"/>
          <w:i/>
          <w:color w:val="000000" w:themeColor="text1"/>
        </w:rPr>
      </w:pPr>
      <w:r w:rsidRPr="00682149">
        <w:rPr>
          <w:rFonts w:ascii="Arial" w:hAnsi="Arial" w:cs="Arial"/>
          <w:i/>
          <w:color w:val="000000" w:themeColor="text1"/>
        </w:rPr>
        <w:t xml:space="preserve">A partir de lo expuesto, así como lo descrito en la parte motiva de la resolución, se justifica la intervención de esta Comisión para la definición de una tarifa transitoria para el reconocimiento de los costos asociados a la reposición, operación y mantenimiento de soluciones individuales con potencia instalada mayor a 500W, como medida idónea para conjurar el riesgo de interrupción en el suministro del servicio de energía eléctrica, considerando que el mismo no puede ser mitigado de forma inmediata, ni siquiera en el corto plazo, a través de la adopción de medidas regulatorias como la definición de una metodología tarifaria, en aplicación de los artículos 74, 124 y 127 de la Ley 142 de 1994, artículo 11 del Decreto 2696 de 2004 y el artículo 4 del Decreto 1260 de 2013, o la definición de cargos en resolución particular, amparada en los artículos 22 y 24 de la Resolución CREG 091 de 2007.  </w:t>
      </w:r>
    </w:p>
    <w:p w14:paraId="4709C8E5" w14:textId="77777777" w:rsidR="00CB2CDB" w:rsidRPr="00682149" w:rsidRDefault="00CB2CDB" w:rsidP="001C138F">
      <w:pPr>
        <w:pStyle w:val="Ttulo1"/>
        <w:spacing w:before="0" w:line="276" w:lineRule="auto"/>
        <w:ind w:left="567"/>
        <w:jc w:val="both"/>
        <w:rPr>
          <w:rFonts w:ascii="Arial" w:hAnsi="Arial" w:cs="Arial"/>
          <w:i/>
          <w:color w:val="000000" w:themeColor="text1"/>
          <w:sz w:val="22"/>
          <w:szCs w:val="22"/>
        </w:rPr>
      </w:pPr>
      <w:bookmarkStart w:id="2" w:name="_Toc467842434"/>
      <w:r w:rsidRPr="00682149">
        <w:rPr>
          <w:rFonts w:ascii="Arial" w:hAnsi="Arial" w:cs="Arial"/>
          <w:i/>
          <w:color w:val="000000" w:themeColor="text1"/>
          <w:sz w:val="22"/>
          <w:szCs w:val="22"/>
        </w:rPr>
        <w:t>4. PROPUESTA</w:t>
      </w:r>
      <w:bookmarkEnd w:id="2"/>
      <w:r w:rsidRPr="00682149">
        <w:rPr>
          <w:rFonts w:ascii="Arial" w:hAnsi="Arial" w:cs="Arial"/>
          <w:i/>
          <w:color w:val="000000" w:themeColor="text1"/>
          <w:sz w:val="22"/>
          <w:szCs w:val="22"/>
        </w:rPr>
        <w:t xml:space="preserve">  </w:t>
      </w:r>
    </w:p>
    <w:p w14:paraId="5D6CC8B0" w14:textId="77777777" w:rsidR="00CB2CDB" w:rsidRPr="00682149" w:rsidRDefault="00CB2CDB" w:rsidP="001C138F">
      <w:pPr>
        <w:spacing w:after="0" w:line="276" w:lineRule="auto"/>
        <w:ind w:left="567"/>
        <w:jc w:val="both"/>
        <w:rPr>
          <w:rFonts w:ascii="Arial" w:hAnsi="Arial" w:cs="Arial"/>
          <w:i/>
          <w:color w:val="000000" w:themeColor="text1"/>
        </w:rPr>
      </w:pPr>
      <w:r w:rsidRPr="00682149">
        <w:rPr>
          <w:rFonts w:ascii="Arial" w:hAnsi="Arial" w:cs="Arial"/>
          <w:i/>
          <w:color w:val="000000" w:themeColor="text1"/>
        </w:rPr>
        <w:t xml:space="preserve"> </w:t>
      </w:r>
    </w:p>
    <w:p w14:paraId="3116113F" w14:textId="0004A056" w:rsidR="00CB2CDB" w:rsidRPr="00682149" w:rsidRDefault="00CB2CDB" w:rsidP="001C138F">
      <w:pPr>
        <w:spacing w:after="0" w:line="276" w:lineRule="auto"/>
        <w:ind w:left="567"/>
        <w:jc w:val="both"/>
        <w:rPr>
          <w:rFonts w:ascii="Arial" w:hAnsi="Arial" w:cs="Arial"/>
          <w:i/>
          <w:color w:val="000000" w:themeColor="text1"/>
        </w:rPr>
      </w:pPr>
      <w:r w:rsidRPr="00682149">
        <w:rPr>
          <w:rFonts w:ascii="Arial" w:hAnsi="Arial" w:cs="Arial"/>
          <w:i/>
          <w:color w:val="000000" w:themeColor="text1"/>
        </w:rPr>
        <w:t xml:space="preserve">Ante la necesidad de establecer una tarifa transitoria para el servicio de energía eléctrica con soluciones individuales AC con potencia superior a 500W, la Comisión adelantó una revisión de componentes típicos de las mismas, así como de sus costos, a partir de estudios de mercado adelantados por el IPSE en el pasado, así como de los proyectos que se han presentado para solicitud de recursos del FAZNI. </w:t>
      </w:r>
    </w:p>
    <w:p w14:paraId="4160B74F" w14:textId="2526C231" w:rsidR="00CB2CDB" w:rsidRPr="00682149" w:rsidRDefault="00CB2CDB" w:rsidP="001C138F">
      <w:pPr>
        <w:spacing w:after="0" w:line="276" w:lineRule="auto"/>
        <w:ind w:left="567"/>
        <w:jc w:val="both"/>
        <w:rPr>
          <w:rFonts w:ascii="Arial" w:hAnsi="Arial" w:cs="Arial"/>
          <w:i/>
          <w:color w:val="000000" w:themeColor="text1"/>
        </w:rPr>
      </w:pPr>
      <w:r w:rsidRPr="00682149">
        <w:rPr>
          <w:rFonts w:ascii="Arial" w:hAnsi="Arial" w:cs="Arial"/>
          <w:i/>
          <w:color w:val="000000" w:themeColor="text1"/>
        </w:rPr>
        <w:lastRenderedPageBreak/>
        <w:t xml:space="preserve">Del análisis de la información relacionada anteriormente y como punto de partida para establecer la remuneración para cada uno de los componentes de la tarifa se tienen los siguientes elementos:  </w:t>
      </w:r>
    </w:p>
    <w:p w14:paraId="5AF4A233" w14:textId="77777777" w:rsidR="00CD17D1" w:rsidRPr="00682149" w:rsidRDefault="00CD17D1" w:rsidP="001C138F">
      <w:pPr>
        <w:spacing w:after="0" w:line="276" w:lineRule="auto"/>
        <w:ind w:left="567"/>
        <w:jc w:val="both"/>
        <w:rPr>
          <w:rFonts w:ascii="Arial" w:hAnsi="Arial" w:cs="Arial"/>
          <w:i/>
          <w:color w:val="000000" w:themeColor="text1"/>
        </w:rPr>
      </w:pPr>
    </w:p>
    <w:p w14:paraId="36652253" w14:textId="77777777" w:rsidR="00CB2CDB" w:rsidRPr="00682149" w:rsidRDefault="00CB2CDB" w:rsidP="001C138F">
      <w:pPr>
        <w:numPr>
          <w:ilvl w:val="0"/>
          <w:numId w:val="13"/>
        </w:numPr>
        <w:spacing w:after="0" w:line="276" w:lineRule="auto"/>
        <w:ind w:left="567" w:hanging="427"/>
        <w:jc w:val="both"/>
        <w:rPr>
          <w:rFonts w:ascii="Arial" w:hAnsi="Arial" w:cs="Arial"/>
          <w:i/>
          <w:color w:val="000000" w:themeColor="text1"/>
        </w:rPr>
      </w:pPr>
      <w:r w:rsidRPr="00682149">
        <w:rPr>
          <w:rFonts w:ascii="Arial" w:hAnsi="Arial" w:cs="Arial"/>
          <w:i/>
          <w:color w:val="000000" w:themeColor="text1"/>
        </w:rPr>
        <w:t xml:space="preserve">Se define una solución típica a partir de la cual se define la remuneración del servicio con cualquier solución con potencia superior a los 500W. </w:t>
      </w:r>
    </w:p>
    <w:p w14:paraId="60E28EB6" w14:textId="77777777" w:rsidR="00CB2CDB" w:rsidRPr="00682149" w:rsidRDefault="00CB2CDB" w:rsidP="001C138F">
      <w:pPr>
        <w:spacing w:after="0" w:line="276" w:lineRule="auto"/>
        <w:ind w:left="567"/>
        <w:jc w:val="both"/>
        <w:rPr>
          <w:rFonts w:ascii="Arial" w:hAnsi="Arial" w:cs="Arial"/>
          <w:i/>
          <w:color w:val="000000" w:themeColor="text1"/>
        </w:rPr>
      </w:pPr>
      <w:r w:rsidRPr="00682149">
        <w:rPr>
          <w:rFonts w:ascii="Arial" w:hAnsi="Arial" w:cs="Arial"/>
          <w:i/>
          <w:color w:val="000000" w:themeColor="text1"/>
        </w:rPr>
        <w:t xml:space="preserve"> </w:t>
      </w:r>
    </w:p>
    <w:p w14:paraId="6E89BDAC" w14:textId="77777777" w:rsidR="00CB2CDB" w:rsidRPr="00682149" w:rsidRDefault="00CB2CDB" w:rsidP="001C138F">
      <w:pPr>
        <w:numPr>
          <w:ilvl w:val="0"/>
          <w:numId w:val="13"/>
        </w:numPr>
        <w:spacing w:after="0" w:line="276" w:lineRule="auto"/>
        <w:ind w:left="567" w:hanging="427"/>
        <w:jc w:val="both"/>
        <w:rPr>
          <w:rFonts w:ascii="Arial" w:hAnsi="Arial" w:cs="Arial"/>
          <w:i/>
          <w:color w:val="000000" w:themeColor="text1"/>
        </w:rPr>
      </w:pPr>
      <w:r w:rsidRPr="00682149">
        <w:rPr>
          <w:rFonts w:ascii="Arial" w:hAnsi="Arial" w:cs="Arial"/>
          <w:i/>
          <w:color w:val="000000" w:themeColor="text1"/>
        </w:rPr>
        <w:t xml:space="preserve">La potencia de la solución tipo será de 726W, igual a la potencia promedio por solución, según la información compartida por el Ministerio de Minas y Energía, para las más de 13.000 soluciones que ya se encuentran instaladas. </w:t>
      </w:r>
    </w:p>
    <w:p w14:paraId="353E5C5B" w14:textId="77777777" w:rsidR="00CB2CDB" w:rsidRPr="00682149" w:rsidRDefault="00CB2CDB" w:rsidP="001C138F">
      <w:pPr>
        <w:spacing w:after="0" w:line="276" w:lineRule="auto"/>
        <w:ind w:left="567"/>
        <w:jc w:val="both"/>
        <w:rPr>
          <w:rFonts w:ascii="Arial" w:hAnsi="Arial" w:cs="Arial"/>
          <w:i/>
          <w:color w:val="000000" w:themeColor="text1"/>
        </w:rPr>
      </w:pPr>
      <w:r w:rsidRPr="00682149">
        <w:rPr>
          <w:rFonts w:ascii="Arial" w:hAnsi="Arial" w:cs="Arial"/>
          <w:i/>
          <w:color w:val="000000" w:themeColor="text1"/>
        </w:rPr>
        <w:t xml:space="preserve"> </w:t>
      </w:r>
    </w:p>
    <w:p w14:paraId="3469E60D" w14:textId="77777777" w:rsidR="00CB2CDB" w:rsidRPr="00682149" w:rsidRDefault="00CB2CDB" w:rsidP="001C138F">
      <w:pPr>
        <w:numPr>
          <w:ilvl w:val="0"/>
          <w:numId w:val="13"/>
        </w:numPr>
        <w:spacing w:after="0" w:line="276" w:lineRule="auto"/>
        <w:ind w:left="567" w:hanging="427"/>
        <w:jc w:val="both"/>
        <w:rPr>
          <w:rFonts w:ascii="Arial" w:hAnsi="Arial" w:cs="Arial"/>
          <w:i/>
          <w:color w:val="000000" w:themeColor="text1"/>
        </w:rPr>
      </w:pPr>
      <w:r w:rsidRPr="00682149">
        <w:rPr>
          <w:rFonts w:ascii="Arial" w:hAnsi="Arial" w:cs="Arial"/>
          <w:i/>
          <w:color w:val="000000" w:themeColor="text1"/>
        </w:rPr>
        <w:t xml:space="preserve">Se identifica que los costos y gastos asociados a la administración, operación y mantenimiento tienen inductores de costo distintos a la potencia instalada de la solución y, en ese orden de ideas, se elabora un costeo y propuesta de remuneración según los determinantes identificados. </w:t>
      </w:r>
    </w:p>
    <w:p w14:paraId="5DAB5624" w14:textId="77777777" w:rsidR="00CB2CDB" w:rsidRPr="00682149" w:rsidRDefault="00CB2CDB" w:rsidP="001C138F">
      <w:pPr>
        <w:spacing w:after="0" w:line="276" w:lineRule="auto"/>
        <w:ind w:left="567"/>
        <w:jc w:val="both"/>
        <w:rPr>
          <w:rFonts w:ascii="Arial" w:hAnsi="Arial" w:cs="Arial"/>
          <w:i/>
          <w:color w:val="000000" w:themeColor="text1"/>
        </w:rPr>
      </w:pPr>
      <w:r w:rsidRPr="00682149">
        <w:rPr>
          <w:rFonts w:ascii="Arial" w:hAnsi="Arial" w:cs="Arial"/>
          <w:i/>
          <w:color w:val="000000" w:themeColor="text1"/>
        </w:rPr>
        <w:t xml:space="preserve"> </w:t>
      </w:r>
    </w:p>
    <w:p w14:paraId="11147F9E" w14:textId="77777777" w:rsidR="00CB2CDB" w:rsidRPr="00682149" w:rsidRDefault="00CB2CDB" w:rsidP="001C138F">
      <w:pPr>
        <w:numPr>
          <w:ilvl w:val="0"/>
          <w:numId w:val="13"/>
        </w:numPr>
        <w:spacing w:after="0" w:line="276" w:lineRule="auto"/>
        <w:ind w:left="567" w:hanging="427"/>
        <w:jc w:val="both"/>
        <w:rPr>
          <w:rFonts w:ascii="Arial" w:hAnsi="Arial" w:cs="Arial"/>
          <w:i/>
          <w:color w:val="000000" w:themeColor="text1"/>
        </w:rPr>
      </w:pPr>
      <w:r w:rsidRPr="00682149">
        <w:rPr>
          <w:rFonts w:ascii="Arial" w:hAnsi="Arial" w:cs="Arial"/>
          <w:i/>
          <w:color w:val="000000" w:themeColor="text1"/>
        </w:rPr>
        <w:t xml:space="preserve">Algunos de los gastos asociados a la administración, operación y mantenimiento de las soluciones tienen como inductor de costos el número de usuarios que atiende un prestador. Para estos efectos se suponen en promedio 321 usuarios, que corresponde al número de soluciones promedio por proyecto, según la información de proyectos, objeto de asignación de recursos del FAZNI. </w:t>
      </w:r>
    </w:p>
    <w:p w14:paraId="5A709063" w14:textId="77777777" w:rsidR="00CB2CDB" w:rsidRPr="00682149" w:rsidRDefault="00CB2CDB" w:rsidP="001C138F">
      <w:pPr>
        <w:spacing w:after="0" w:line="276" w:lineRule="auto"/>
        <w:ind w:left="567"/>
        <w:jc w:val="both"/>
        <w:rPr>
          <w:rFonts w:ascii="Arial" w:hAnsi="Arial" w:cs="Arial"/>
          <w:i/>
          <w:color w:val="000000" w:themeColor="text1"/>
        </w:rPr>
      </w:pPr>
      <w:r w:rsidRPr="00682149">
        <w:rPr>
          <w:rFonts w:ascii="Arial" w:hAnsi="Arial" w:cs="Arial"/>
          <w:i/>
          <w:color w:val="000000" w:themeColor="text1"/>
        </w:rPr>
        <w:t xml:space="preserve"> </w:t>
      </w:r>
    </w:p>
    <w:p w14:paraId="59CF20D6" w14:textId="6E99BE02" w:rsidR="00CB2CDB" w:rsidRPr="00682149" w:rsidRDefault="00CB2CDB" w:rsidP="001C138F">
      <w:pPr>
        <w:numPr>
          <w:ilvl w:val="0"/>
          <w:numId w:val="13"/>
        </w:numPr>
        <w:spacing w:after="0" w:line="276" w:lineRule="auto"/>
        <w:ind w:left="567" w:hanging="427"/>
        <w:jc w:val="both"/>
        <w:rPr>
          <w:rFonts w:ascii="Arial" w:hAnsi="Arial" w:cs="Arial"/>
          <w:i/>
          <w:color w:val="000000" w:themeColor="text1"/>
        </w:rPr>
      </w:pPr>
      <w:r w:rsidRPr="00682149">
        <w:rPr>
          <w:rFonts w:ascii="Arial" w:hAnsi="Arial" w:cs="Arial"/>
          <w:i/>
          <w:color w:val="000000" w:themeColor="text1"/>
        </w:rPr>
        <w:t xml:space="preserve">Se identifica como uno de los inductores de costos el nivel de facturación o gastos del prestador del servicio y, en consecuencia, dichos gastos se reconocen como gastos variables de la actividad de comercialización, además de los costos propios de esta actividad, como aquellos relacionados con la atención de usuarios: medición, facturación, cobro, recaudo y atención de peticiones, quejas, reclamos y sugerencias, PQRS. </w:t>
      </w:r>
    </w:p>
    <w:p w14:paraId="71BE7187" w14:textId="77777777" w:rsidR="00B566BE" w:rsidRPr="00682149" w:rsidRDefault="00B566BE" w:rsidP="001C138F">
      <w:pPr>
        <w:pStyle w:val="Ttulo5"/>
        <w:spacing w:before="0" w:line="276" w:lineRule="auto"/>
        <w:ind w:left="140"/>
        <w:jc w:val="both"/>
        <w:rPr>
          <w:rFonts w:ascii="Arial" w:hAnsi="Arial" w:cs="Arial"/>
          <w:color w:val="000000" w:themeColor="text1"/>
          <w:sz w:val="24"/>
          <w:szCs w:val="24"/>
        </w:rPr>
      </w:pPr>
    </w:p>
    <w:p w14:paraId="4C8AAEFE" w14:textId="62D07251" w:rsidR="00461FC9" w:rsidRPr="00682149" w:rsidRDefault="00885CAA" w:rsidP="001C138F">
      <w:pPr>
        <w:pStyle w:val="Ttulo5"/>
        <w:spacing w:before="0" w:line="276" w:lineRule="auto"/>
        <w:ind w:left="140"/>
        <w:jc w:val="both"/>
        <w:rPr>
          <w:rFonts w:ascii="Arial" w:hAnsi="Arial" w:cs="Arial"/>
          <w:color w:val="000000" w:themeColor="text1"/>
          <w:sz w:val="24"/>
          <w:szCs w:val="24"/>
        </w:rPr>
      </w:pPr>
      <w:r w:rsidRPr="00682149">
        <w:rPr>
          <w:rFonts w:ascii="Arial" w:hAnsi="Arial" w:cs="Arial"/>
          <w:color w:val="000000" w:themeColor="text1"/>
          <w:sz w:val="24"/>
          <w:szCs w:val="24"/>
        </w:rPr>
        <w:t>3.2.5.</w:t>
      </w:r>
      <w:r w:rsidRPr="00682149">
        <w:rPr>
          <w:rFonts w:ascii="Arial" w:hAnsi="Arial" w:cs="Arial"/>
          <w:color w:val="000000" w:themeColor="text1"/>
          <w:sz w:val="24"/>
          <w:szCs w:val="24"/>
        </w:rPr>
        <w:tab/>
        <w:t xml:space="preserve">Basado en la información contenida en el </w:t>
      </w:r>
      <w:r w:rsidR="00713354" w:rsidRPr="00682149">
        <w:rPr>
          <w:rFonts w:ascii="Arial" w:hAnsi="Arial" w:cs="Arial"/>
          <w:color w:val="000000" w:themeColor="text1"/>
          <w:sz w:val="24"/>
          <w:szCs w:val="24"/>
        </w:rPr>
        <w:t xml:space="preserve">documento, </w:t>
      </w:r>
      <w:r w:rsidR="007419B4" w:rsidRPr="00682149">
        <w:rPr>
          <w:rFonts w:ascii="Arial" w:hAnsi="Arial" w:cs="Arial"/>
          <w:color w:val="000000" w:themeColor="text1"/>
          <w:sz w:val="24"/>
          <w:szCs w:val="24"/>
        </w:rPr>
        <w:t xml:space="preserve">se </w:t>
      </w:r>
      <w:r w:rsidR="00713354" w:rsidRPr="00682149">
        <w:rPr>
          <w:rFonts w:ascii="Arial" w:hAnsi="Arial" w:cs="Arial"/>
          <w:color w:val="000000" w:themeColor="text1"/>
          <w:sz w:val="24"/>
          <w:szCs w:val="24"/>
        </w:rPr>
        <w:t>presenta</w:t>
      </w:r>
      <w:r w:rsidR="00461FC9" w:rsidRPr="00682149">
        <w:rPr>
          <w:rFonts w:ascii="Arial" w:hAnsi="Arial" w:cs="Arial"/>
          <w:color w:val="000000" w:themeColor="text1"/>
          <w:sz w:val="24"/>
          <w:szCs w:val="24"/>
        </w:rPr>
        <w:t xml:space="preserve"> una propuesta de inversión que en términos generales prevé:</w:t>
      </w:r>
    </w:p>
    <w:p w14:paraId="749197E2" w14:textId="77777777" w:rsidR="00B566BE" w:rsidRPr="00682149" w:rsidRDefault="00B566BE" w:rsidP="001C138F">
      <w:pPr>
        <w:pStyle w:val="Ttulo5"/>
        <w:spacing w:before="0" w:line="276" w:lineRule="auto"/>
        <w:ind w:left="567"/>
        <w:jc w:val="both"/>
        <w:rPr>
          <w:rFonts w:ascii="Arial" w:hAnsi="Arial" w:cs="Arial"/>
          <w:i/>
          <w:color w:val="000000" w:themeColor="text1"/>
        </w:rPr>
      </w:pPr>
    </w:p>
    <w:p w14:paraId="291B739D" w14:textId="01033EEC" w:rsidR="00461FC9" w:rsidRPr="00682149" w:rsidRDefault="00885CAA" w:rsidP="001C138F">
      <w:pPr>
        <w:pStyle w:val="Ttulo5"/>
        <w:spacing w:before="0" w:line="276" w:lineRule="auto"/>
        <w:ind w:left="567"/>
        <w:jc w:val="both"/>
        <w:rPr>
          <w:color w:val="000000" w:themeColor="text1"/>
        </w:rPr>
      </w:pPr>
      <w:r w:rsidRPr="00682149">
        <w:rPr>
          <w:rFonts w:ascii="Arial" w:hAnsi="Arial" w:cs="Arial"/>
          <w:i/>
          <w:color w:val="000000" w:themeColor="text1"/>
        </w:rPr>
        <w:t>“</w:t>
      </w:r>
      <w:r w:rsidR="00537CBE" w:rsidRPr="00682149">
        <w:rPr>
          <w:rFonts w:ascii="Arial" w:hAnsi="Arial" w:cs="Arial"/>
          <w:i/>
          <w:color w:val="000000" w:themeColor="text1"/>
        </w:rPr>
        <w:t xml:space="preserve">4.1.1 Inversión </w:t>
      </w:r>
    </w:p>
    <w:p w14:paraId="5058088B" w14:textId="77777777" w:rsidR="000C2447" w:rsidRDefault="000C2447" w:rsidP="001C138F">
      <w:pPr>
        <w:spacing w:after="0" w:line="276" w:lineRule="auto"/>
        <w:ind w:left="567"/>
        <w:jc w:val="both"/>
        <w:rPr>
          <w:rFonts w:ascii="Arial" w:hAnsi="Arial" w:cs="Arial"/>
          <w:i/>
          <w:color w:val="000000" w:themeColor="text1"/>
        </w:rPr>
      </w:pPr>
    </w:p>
    <w:p w14:paraId="32A61088" w14:textId="08B2D9BE" w:rsidR="00537CBE" w:rsidRPr="00682149" w:rsidRDefault="00537CBE" w:rsidP="001C138F">
      <w:pPr>
        <w:spacing w:after="0" w:line="276" w:lineRule="auto"/>
        <w:ind w:left="567"/>
        <w:jc w:val="both"/>
        <w:rPr>
          <w:rFonts w:ascii="Arial" w:hAnsi="Arial" w:cs="Arial"/>
          <w:i/>
          <w:color w:val="000000" w:themeColor="text1"/>
        </w:rPr>
      </w:pPr>
      <w:r w:rsidRPr="00682149">
        <w:rPr>
          <w:rFonts w:ascii="Arial" w:hAnsi="Arial" w:cs="Arial"/>
          <w:i/>
          <w:color w:val="000000" w:themeColor="text1"/>
        </w:rPr>
        <w:t xml:space="preserve">El reconocimiento de las inversiones parte de establecer los elementos que componen una solución típica que, como se indicó en la introducción de esta sección, será de 726W. Considerando que el sistema tiene como tipo de corriente de salida AC, los siguientes son los elementos genéricos reconocidos: i) Entre 2 o 3 módulos o paneles, según potencia por panel y tecnología; ii) estructura de soporte tipo poste, obra eléctrica y obra civil, agrupados como “otros materiales”; iii) controlador de carga MPPT de 40A; iv) inversor sinusoidal de 1.000W; y v) batería de 3.000 a 3.500 ciclos al 80% DOD.  </w:t>
      </w:r>
    </w:p>
    <w:p w14:paraId="097E122F" w14:textId="77777777" w:rsidR="000C2447" w:rsidRDefault="000C2447" w:rsidP="001C138F">
      <w:pPr>
        <w:pStyle w:val="Ttulo5"/>
        <w:spacing w:before="0" w:line="276" w:lineRule="auto"/>
        <w:ind w:left="567"/>
        <w:jc w:val="both"/>
        <w:rPr>
          <w:rFonts w:ascii="Arial" w:hAnsi="Arial" w:cs="Arial"/>
          <w:i/>
          <w:color w:val="000000" w:themeColor="text1"/>
        </w:rPr>
      </w:pPr>
    </w:p>
    <w:p w14:paraId="3A4BEBEE" w14:textId="471B9DB5" w:rsidR="00461FC9" w:rsidRPr="00682149" w:rsidRDefault="00461FC9" w:rsidP="001C138F">
      <w:pPr>
        <w:pStyle w:val="Ttulo5"/>
        <w:spacing w:before="0" w:line="276" w:lineRule="auto"/>
        <w:ind w:left="567"/>
        <w:jc w:val="both"/>
        <w:rPr>
          <w:rFonts w:ascii="Arial" w:hAnsi="Arial" w:cs="Arial"/>
          <w:i/>
          <w:color w:val="000000" w:themeColor="text1"/>
        </w:rPr>
      </w:pPr>
      <w:r w:rsidRPr="00682149">
        <w:rPr>
          <w:rFonts w:ascii="Arial" w:hAnsi="Arial" w:cs="Arial"/>
          <w:i/>
          <w:color w:val="000000" w:themeColor="text1"/>
        </w:rPr>
        <w:t>(…)</w:t>
      </w:r>
    </w:p>
    <w:p w14:paraId="7DB5E908" w14:textId="77777777" w:rsidR="00A31FF8" w:rsidRPr="00682149" w:rsidRDefault="00A31FF8" w:rsidP="001C138F">
      <w:pPr>
        <w:pStyle w:val="Ttulo5"/>
        <w:spacing w:before="0" w:line="276" w:lineRule="auto"/>
        <w:jc w:val="both"/>
        <w:rPr>
          <w:rFonts w:ascii="Arial" w:hAnsi="Arial" w:cs="Arial"/>
          <w:color w:val="000000" w:themeColor="text1"/>
          <w:sz w:val="24"/>
          <w:szCs w:val="24"/>
        </w:rPr>
      </w:pPr>
    </w:p>
    <w:p w14:paraId="1D2F2448" w14:textId="37E595F0" w:rsidR="00461FC9" w:rsidRPr="00682149" w:rsidRDefault="00885CAA" w:rsidP="001C138F">
      <w:pPr>
        <w:pStyle w:val="Ttulo5"/>
        <w:spacing w:before="0" w:line="276" w:lineRule="auto"/>
        <w:jc w:val="both"/>
        <w:rPr>
          <w:rFonts w:ascii="Arial" w:hAnsi="Arial" w:cs="Arial"/>
          <w:color w:val="000000" w:themeColor="text1"/>
          <w:sz w:val="24"/>
          <w:szCs w:val="24"/>
        </w:rPr>
      </w:pPr>
      <w:r w:rsidRPr="00682149">
        <w:rPr>
          <w:rFonts w:ascii="Arial" w:hAnsi="Arial" w:cs="Arial"/>
          <w:color w:val="000000" w:themeColor="text1"/>
          <w:sz w:val="24"/>
          <w:szCs w:val="24"/>
        </w:rPr>
        <w:t>3.2.6.</w:t>
      </w:r>
      <w:r w:rsidRPr="00682149">
        <w:rPr>
          <w:rFonts w:ascii="Arial" w:hAnsi="Arial" w:cs="Arial"/>
          <w:color w:val="000000" w:themeColor="text1"/>
          <w:sz w:val="24"/>
          <w:szCs w:val="24"/>
        </w:rPr>
        <w:tab/>
      </w:r>
      <w:r w:rsidR="00461FC9" w:rsidRPr="00682149">
        <w:rPr>
          <w:rFonts w:ascii="Arial" w:hAnsi="Arial" w:cs="Arial"/>
          <w:color w:val="000000" w:themeColor="text1"/>
          <w:sz w:val="24"/>
          <w:szCs w:val="24"/>
        </w:rPr>
        <w:t>También presenta una propuesta de administración, operación y mantenimiento, así</w:t>
      </w:r>
      <w:r w:rsidR="00ED0FA8" w:rsidRPr="00682149">
        <w:rPr>
          <w:rFonts w:ascii="Arial" w:hAnsi="Arial" w:cs="Arial"/>
          <w:color w:val="000000" w:themeColor="text1"/>
          <w:sz w:val="24"/>
          <w:szCs w:val="24"/>
        </w:rPr>
        <w:t>:</w:t>
      </w:r>
    </w:p>
    <w:p w14:paraId="5790412A" w14:textId="77777777" w:rsidR="00461FC9" w:rsidRPr="00682149" w:rsidRDefault="00461FC9" w:rsidP="001C138F">
      <w:pPr>
        <w:spacing w:after="0"/>
        <w:rPr>
          <w:color w:val="000000" w:themeColor="text1"/>
          <w:sz w:val="24"/>
          <w:szCs w:val="24"/>
        </w:rPr>
      </w:pPr>
    </w:p>
    <w:p w14:paraId="3F9BBFD6" w14:textId="5785A3D9" w:rsidR="00537CBE" w:rsidRPr="00682149" w:rsidRDefault="00885CAA" w:rsidP="001C138F">
      <w:pPr>
        <w:pStyle w:val="Ttulo5"/>
        <w:spacing w:before="0" w:line="276" w:lineRule="auto"/>
        <w:ind w:left="567"/>
        <w:jc w:val="both"/>
        <w:rPr>
          <w:rFonts w:ascii="Arial" w:hAnsi="Arial" w:cs="Arial"/>
          <w:i/>
          <w:color w:val="000000" w:themeColor="text1"/>
        </w:rPr>
      </w:pPr>
      <w:r w:rsidRPr="00682149">
        <w:rPr>
          <w:rFonts w:ascii="Arial" w:hAnsi="Arial" w:cs="Arial"/>
          <w:i/>
          <w:color w:val="000000" w:themeColor="text1"/>
        </w:rPr>
        <w:t>“</w:t>
      </w:r>
      <w:r w:rsidR="00537CBE" w:rsidRPr="00682149">
        <w:rPr>
          <w:rFonts w:ascii="Arial" w:hAnsi="Arial" w:cs="Arial"/>
          <w:i/>
          <w:color w:val="000000" w:themeColor="text1"/>
        </w:rPr>
        <w:t xml:space="preserve">4.1.2 Administración, operación y mantenimiento </w:t>
      </w:r>
    </w:p>
    <w:p w14:paraId="05231D5A" w14:textId="77777777" w:rsidR="000C2447" w:rsidRDefault="000C2447" w:rsidP="001C138F">
      <w:pPr>
        <w:spacing w:after="0" w:line="276" w:lineRule="auto"/>
        <w:ind w:left="567"/>
        <w:jc w:val="both"/>
        <w:rPr>
          <w:rFonts w:ascii="Arial" w:hAnsi="Arial" w:cs="Arial"/>
          <w:i/>
          <w:color w:val="000000" w:themeColor="text1"/>
        </w:rPr>
      </w:pPr>
    </w:p>
    <w:p w14:paraId="5432E583" w14:textId="4E754D4B" w:rsidR="00537CBE" w:rsidRPr="00682149" w:rsidRDefault="00537CBE" w:rsidP="001C138F">
      <w:pPr>
        <w:spacing w:after="0" w:line="276" w:lineRule="auto"/>
        <w:ind w:left="567"/>
        <w:jc w:val="both"/>
        <w:rPr>
          <w:rFonts w:ascii="Arial" w:hAnsi="Arial" w:cs="Arial"/>
          <w:i/>
          <w:color w:val="000000" w:themeColor="text1"/>
        </w:rPr>
      </w:pPr>
      <w:r w:rsidRPr="00682149">
        <w:rPr>
          <w:rFonts w:ascii="Arial" w:hAnsi="Arial" w:cs="Arial"/>
          <w:i/>
          <w:color w:val="000000" w:themeColor="text1"/>
        </w:rPr>
        <w:lastRenderedPageBreak/>
        <w:t>De la revisión y análisis adelantados por esta Comisión, en el caso de los gastos de administración y mantenimiento y de sus respectivos inductores de costo, se han identificado y considerado las siguientes categorías: Personal administrativo, servicios generales, pólizas, mantenimientos correctivos, mantenimientos preventivos y remuneración del prestador. En las siguientes secciones se presenta el detalle de cálculo mediante el cual se determinó la remuneración para cada una de estas</w:t>
      </w:r>
    </w:p>
    <w:p w14:paraId="563EA9F2" w14:textId="77777777" w:rsidR="000B3E8E" w:rsidRDefault="000B3E8E" w:rsidP="001C138F">
      <w:pPr>
        <w:spacing w:after="0" w:line="276" w:lineRule="auto"/>
        <w:ind w:left="567"/>
        <w:jc w:val="both"/>
        <w:rPr>
          <w:rFonts w:ascii="Arial" w:hAnsi="Arial" w:cs="Arial"/>
          <w:i/>
          <w:color w:val="000000" w:themeColor="text1"/>
        </w:rPr>
      </w:pPr>
    </w:p>
    <w:p w14:paraId="0F29BF96" w14:textId="48D2B38B" w:rsidR="00FA5CF6" w:rsidRPr="00682149" w:rsidRDefault="00537CBE" w:rsidP="001C138F">
      <w:pPr>
        <w:spacing w:after="0" w:line="276" w:lineRule="auto"/>
        <w:ind w:left="567"/>
        <w:jc w:val="both"/>
        <w:rPr>
          <w:rFonts w:ascii="Arial" w:hAnsi="Arial" w:cs="Arial"/>
          <w:i/>
          <w:color w:val="000000" w:themeColor="text1"/>
        </w:rPr>
      </w:pPr>
      <w:r w:rsidRPr="00682149">
        <w:rPr>
          <w:rFonts w:ascii="Arial" w:hAnsi="Arial" w:cs="Arial"/>
          <w:i/>
          <w:color w:val="000000" w:themeColor="text1"/>
        </w:rPr>
        <w:t>(…)</w:t>
      </w:r>
    </w:p>
    <w:p w14:paraId="3368FA79" w14:textId="77777777" w:rsidR="000B3E8E" w:rsidRDefault="000B3E8E" w:rsidP="001C138F">
      <w:pPr>
        <w:spacing w:after="0" w:line="276" w:lineRule="auto"/>
        <w:ind w:left="567"/>
        <w:jc w:val="both"/>
        <w:rPr>
          <w:rFonts w:ascii="Arial" w:hAnsi="Arial" w:cs="Arial"/>
          <w:i/>
          <w:color w:val="000000" w:themeColor="text1"/>
        </w:rPr>
      </w:pPr>
    </w:p>
    <w:p w14:paraId="5FD2DC16" w14:textId="5E827D94" w:rsidR="00537CBE" w:rsidRDefault="00537CBE" w:rsidP="001C138F">
      <w:pPr>
        <w:spacing w:after="0" w:line="276" w:lineRule="auto"/>
        <w:ind w:left="567"/>
        <w:jc w:val="both"/>
        <w:rPr>
          <w:rFonts w:ascii="Arial" w:hAnsi="Arial" w:cs="Arial"/>
          <w:i/>
          <w:color w:val="000000" w:themeColor="text1"/>
        </w:rPr>
      </w:pPr>
      <w:r w:rsidRPr="00682149">
        <w:rPr>
          <w:rFonts w:ascii="Arial" w:hAnsi="Arial" w:cs="Arial"/>
          <w:i/>
          <w:color w:val="000000" w:themeColor="text1"/>
        </w:rPr>
        <w:t xml:space="preserve">Finalmente, para determinar el valor que puede trasladarse al usuario, se considera que son necesarias dos (2) visitas de mantenimiento al año, especialmente por la frecuencia con que debe hacerse el mantenimiento preventivo del componente de almacenamiento de la solución.  </w:t>
      </w:r>
    </w:p>
    <w:p w14:paraId="4F18704E" w14:textId="77777777" w:rsidR="000C2447" w:rsidRPr="00682149" w:rsidRDefault="000C2447" w:rsidP="001C138F">
      <w:pPr>
        <w:spacing w:after="0" w:line="276" w:lineRule="auto"/>
        <w:ind w:left="567"/>
        <w:jc w:val="both"/>
        <w:rPr>
          <w:rFonts w:ascii="Arial" w:hAnsi="Arial" w:cs="Arial"/>
          <w:i/>
          <w:color w:val="000000" w:themeColor="text1"/>
        </w:rPr>
      </w:pPr>
    </w:p>
    <w:p w14:paraId="4843F4DE" w14:textId="1272F35A" w:rsidR="00A21729" w:rsidRPr="00682149" w:rsidRDefault="00537CBE" w:rsidP="001C138F">
      <w:pPr>
        <w:spacing w:after="0" w:line="276" w:lineRule="auto"/>
        <w:ind w:left="567"/>
        <w:jc w:val="both"/>
        <w:rPr>
          <w:rFonts w:ascii="Arial" w:hAnsi="Arial" w:cs="Arial"/>
          <w:i/>
          <w:color w:val="000000" w:themeColor="text1"/>
        </w:rPr>
      </w:pPr>
      <w:r w:rsidRPr="00682149">
        <w:rPr>
          <w:rFonts w:ascii="Arial" w:hAnsi="Arial" w:cs="Arial"/>
          <w:i/>
          <w:color w:val="000000" w:themeColor="text1"/>
        </w:rPr>
        <w:t xml:space="preserve">Bajo este escenario, se tiene que el costo al año, del mantenimiento preventivo para una solución típica, es de $221,126. En la medida en que la tarifa y el costo están expresados en términos mensuales, se divide este resultado entre doce (12), con lo que se llega a un resultado, por usuario, de $18,427 / mes. </w:t>
      </w:r>
    </w:p>
    <w:p w14:paraId="43405277" w14:textId="77777777" w:rsidR="000B3E8E" w:rsidRDefault="000B3E8E" w:rsidP="001C138F">
      <w:pPr>
        <w:spacing w:after="0" w:line="276" w:lineRule="auto"/>
        <w:ind w:left="567"/>
        <w:jc w:val="both"/>
        <w:rPr>
          <w:rFonts w:ascii="Arial" w:hAnsi="Arial" w:cs="Arial"/>
          <w:i/>
          <w:color w:val="000000" w:themeColor="text1"/>
        </w:rPr>
      </w:pPr>
    </w:p>
    <w:p w14:paraId="62D4D84C" w14:textId="5C79AF20" w:rsidR="00A21729" w:rsidRPr="00682149" w:rsidRDefault="00A21729" w:rsidP="001C138F">
      <w:pPr>
        <w:spacing w:after="0" w:line="276" w:lineRule="auto"/>
        <w:ind w:left="567"/>
        <w:jc w:val="both"/>
        <w:rPr>
          <w:rFonts w:ascii="Arial" w:hAnsi="Arial" w:cs="Arial"/>
          <w:i/>
          <w:color w:val="000000" w:themeColor="text1"/>
        </w:rPr>
      </w:pPr>
      <w:r w:rsidRPr="00682149">
        <w:rPr>
          <w:rFonts w:ascii="Arial" w:hAnsi="Arial" w:cs="Arial"/>
          <w:i/>
          <w:color w:val="000000" w:themeColor="text1"/>
        </w:rPr>
        <w:t>(…)</w:t>
      </w:r>
    </w:p>
    <w:p w14:paraId="36FC34C4" w14:textId="77777777" w:rsidR="000B3E8E" w:rsidRDefault="000B3E8E" w:rsidP="001C138F">
      <w:pPr>
        <w:spacing w:after="0" w:line="276" w:lineRule="auto"/>
        <w:ind w:left="567"/>
        <w:jc w:val="both"/>
        <w:rPr>
          <w:rFonts w:ascii="Arial" w:hAnsi="Arial" w:cs="Arial"/>
          <w:i/>
          <w:color w:val="000000" w:themeColor="text1"/>
        </w:rPr>
      </w:pPr>
    </w:p>
    <w:p w14:paraId="1A7AB96C" w14:textId="36D225AD" w:rsidR="00A21729" w:rsidRPr="00682149" w:rsidRDefault="00A21729" w:rsidP="001C138F">
      <w:pPr>
        <w:spacing w:after="0" w:line="276" w:lineRule="auto"/>
        <w:ind w:left="567"/>
        <w:jc w:val="both"/>
        <w:rPr>
          <w:rFonts w:ascii="Arial" w:hAnsi="Arial" w:cs="Arial"/>
          <w:i/>
          <w:color w:val="000000" w:themeColor="text1"/>
        </w:rPr>
      </w:pPr>
      <w:r w:rsidRPr="00682149">
        <w:rPr>
          <w:rFonts w:ascii="Arial" w:hAnsi="Arial" w:cs="Arial"/>
          <w:i/>
          <w:color w:val="000000" w:themeColor="text1"/>
        </w:rPr>
        <w:t xml:space="preserve">Consolidando las tasas y valores obtenidos hasta este punto, se procede a calcular la sumatoria de los gastos propios de la comercialización, los gastos variables y la remuneración propia del comercializador. </w:t>
      </w:r>
    </w:p>
    <w:p w14:paraId="20055ADF" w14:textId="77777777" w:rsidR="000B3E8E" w:rsidRDefault="000B3E8E" w:rsidP="001C138F">
      <w:pPr>
        <w:spacing w:after="0" w:line="276" w:lineRule="auto"/>
        <w:ind w:left="567"/>
        <w:jc w:val="both"/>
        <w:rPr>
          <w:rFonts w:ascii="Arial" w:hAnsi="Arial" w:cs="Arial"/>
          <w:i/>
          <w:color w:val="000000" w:themeColor="text1"/>
        </w:rPr>
      </w:pPr>
    </w:p>
    <w:p w14:paraId="147E8972" w14:textId="53488439" w:rsidR="00A21729" w:rsidRPr="00682149" w:rsidRDefault="00C135C5" w:rsidP="001C138F">
      <w:pPr>
        <w:spacing w:after="0" w:line="276" w:lineRule="auto"/>
        <w:ind w:left="567"/>
        <w:jc w:val="both"/>
        <w:rPr>
          <w:rFonts w:ascii="Arial" w:hAnsi="Arial" w:cs="Arial"/>
          <w:i/>
          <w:color w:val="000000" w:themeColor="text1"/>
        </w:rPr>
      </w:pPr>
      <w:r w:rsidRPr="00682149">
        <w:rPr>
          <w:rFonts w:ascii="Arial" w:hAnsi="Arial" w:cs="Arial"/>
          <w:i/>
          <w:color w:val="000000" w:themeColor="text1"/>
        </w:rPr>
        <w:t>(…)</w:t>
      </w:r>
    </w:p>
    <w:p w14:paraId="202A6C59" w14:textId="77777777" w:rsidR="000B3E8E" w:rsidRDefault="000B3E8E" w:rsidP="001C138F">
      <w:pPr>
        <w:spacing w:after="0" w:line="276" w:lineRule="auto"/>
        <w:ind w:left="567"/>
        <w:jc w:val="both"/>
        <w:rPr>
          <w:rFonts w:ascii="Arial" w:hAnsi="Arial" w:cs="Arial"/>
          <w:i/>
          <w:color w:val="000000" w:themeColor="text1"/>
        </w:rPr>
      </w:pPr>
    </w:p>
    <w:p w14:paraId="5886261D" w14:textId="370A45F4" w:rsidR="00A21729" w:rsidRPr="00682149" w:rsidRDefault="00A21729" w:rsidP="001C138F">
      <w:pPr>
        <w:spacing w:after="0" w:line="276" w:lineRule="auto"/>
        <w:ind w:left="567"/>
        <w:jc w:val="both"/>
        <w:rPr>
          <w:rFonts w:ascii="Arial" w:hAnsi="Arial" w:cs="Arial"/>
          <w:i/>
          <w:color w:val="000000" w:themeColor="text1"/>
        </w:rPr>
      </w:pPr>
      <w:r w:rsidRPr="00682149">
        <w:rPr>
          <w:rFonts w:ascii="Arial" w:hAnsi="Arial" w:cs="Arial"/>
          <w:i/>
          <w:color w:val="000000" w:themeColor="text1"/>
        </w:rPr>
        <w:t>En resumen, se tiene: $6,562 / mes por usuario por costos propios de comercialización; $7,105 / mes por usuario de gastos variables; $9,092 / mes de remuneración al comercializador; para un total de $22,759 / mes por usuario, como cargo máximo de comercialización.</w:t>
      </w:r>
    </w:p>
    <w:p w14:paraId="2E24DD5B" w14:textId="77777777" w:rsidR="000B3E8E" w:rsidRDefault="000B3E8E" w:rsidP="001C138F">
      <w:pPr>
        <w:spacing w:after="0" w:line="276" w:lineRule="auto"/>
        <w:ind w:left="567"/>
        <w:jc w:val="both"/>
        <w:rPr>
          <w:rFonts w:ascii="Arial" w:hAnsi="Arial" w:cs="Arial"/>
          <w:i/>
          <w:color w:val="000000" w:themeColor="text1"/>
        </w:rPr>
      </w:pPr>
    </w:p>
    <w:p w14:paraId="2EA6B417" w14:textId="2D584391" w:rsidR="00A21729" w:rsidRPr="00682149" w:rsidRDefault="00A21729" w:rsidP="001C138F">
      <w:pPr>
        <w:spacing w:after="0" w:line="276" w:lineRule="auto"/>
        <w:ind w:left="567"/>
        <w:jc w:val="both"/>
        <w:rPr>
          <w:rFonts w:ascii="Arial" w:hAnsi="Arial" w:cs="Arial"/>
          <w:i/>
          <w:color w:val="000000" w:themeColor="text1"/>
        </w:rPr>
      </w:pPr>
      <w:r w:rsidRPr="00682149">
        <w:rPr>
          <w:rFonts w:ascii="Arial" w:hAnsi="Arial" w:cs="Arial"/>
          <w:i/>
          <w:color w:val="000000" w:themeColor="text1"/>
        </w:rPr>
        <w:t>(…)</w:t>
      </w:r>
    </w:p>
    <w:p w14:paraId="5C90FF74" w14:textId="77777777" w:rsidR="000B3E8E" w:rsidRDefault="000B3E8E" w:rsidP="001C138F">
      <w:pPr>
        <w:pStyle w:val="Ttulo2"/>
        <w:spacing w:after="0" w:line="276" w:lineRule="auto"/>
        <w:jc w:val="both"/>
        <w:rPr>
          <w:rFonts w:ascii="Arial" w:hAnsi="Arial" w:cs="Arial"/>
          <w:color w:val="000000" w:themeColor="text1"/>
          <w:sz w:val="24"/>
          <w:szCs w:val="24"/>
          <w:lang w:val="es-ES_tradnl"/>
        </w:rPr>
      </w:pPr>
      <w:bookmarkStart w:id="3" w:name="_Toc467842435"/>
    </w:p>
    <w:p w14:paraId="5420D487" w14:textId="03FB58F9" w:rsidR="00461FC9" w:rsidRPr="00682149" w:rsidRDefault="00885CAA" w:rsidP="001C138F">
      <w:pPr>
        <w:pStyle w:val="Ttulo2"/>
        <w:spacing w:after="0" w:line="276" w:lineRule="auto"/>
        <w:jc w:val="both"/>
        <w:rPr>
          <w:rFonts w:ascii="Arial" w:hAnsi="Arial" w:cs="Arial"/>
          <w:color w:val="000000" w:themeColor="text1"/>
          <w:sz w:val="24"/>
          <w:szCs w:val="24"/>
          <w:lang w:val="es-ES_tradnl"/>
        </w:rPr>
      </w:pPr>
      <w:r w:rsidRPr="00682149">
        <w:rPr>
          <w:rFonts w:ascii="Arial" w:hAnsi="Arial" w:cs="Arial"/>
          <w:color w:val="000000" w:themeColor="text1"/>
          <w:sz w:val="24"/>
          <w:szCs w:val="24"/>
          <w:lang w:val="es-ES_tradnl"/>
        </w:rPr>
        <w:t xml:space="preserve">3.2.7. En relación con </w:t>
      </w:r>
      <w:r w:rsidR="00461FC9" w:rsidRPr="00682149">
        <w:rPr>
          <w:rFonts w:ascii="Arial" w:hAnsi="Arial" w:cs="Arial"/>
          <w:color w:val="000000" w:themeColor="text1"/>
          <w:sz w:val="24"/>
          <w:szCs w:val="24"/>
          <w:lang w:val="es-ES_tradnl"/>
        </w:rPr>
        <w:t xml:space="preserve">el costo de prestación del servicio y traslado al usuario, </w:t>
      </w:r>
      <w:r w:rsidR="007419B4" w:rsidRPr="00682149">
        <w:rPr>
          <w:rFonts w:ascii="Arial" w:hAnsi="Arial" w:cs="Arial"/>
          <w:color w:val="000000" w:themeColor="text1"/>
          <w:sz w:val="24"/>
          <w:szCs w:val="24"/>
          <w:lang w:val="es-ES_tradnl"/>
        </w:rPr>
        <w:t xml:space="preserve">se discurre en el siguiente análisis: </w:t>
      </w:r>
    </w:p>
    <w:p w14:paraId="267C4D23" w14:textId="77777777" w:rsidR="00461FC9" w:rsidRPr="00682149" w:rsidRDefault="00461FC9" w:rsidP="001C138F">
      <w:pPr>
        <w:spacing w:after="0"/>
        <w:rPr>
          <w:color w:val="000000" w:themeColor="text1"/>
        </w:rPr>
      </w:pPr>
    </w:p>
    <w:p w14:paraId="592975B1" w14:textId="0A8A4FEE" w:rsidR="00A21729" w:rsidRPr="00682149" w:rsidRDefault="00885CAA" w:rsidP="001C138F">
      <w:pPr>
        <w:pStyle w:val="Ttulo2"/>
        <w:spacing w:after="0" w:line="276" w:lineRule="auto"/>
        <w:ind w:left="567"/>
        <w:jc w:val="both"/>
        <w:rPr>
          <w:rFonts w:ascii="Arial" w:hAnsi="Arial" w:cs="Arial"/>
          <w:i/>
          <w:color w:val="000000" w:themeColor="text1"/>
          <w:lang w:val="es-ES_tradnl"/>
        </w:rPr>
      </w:pPr>
      <w:r w:rsidRPr="00682149">
        <w:rPr>
          <w:rFonts w:ascii="Arial" w:hAnsi="Arial" w:cs="Arial"/>
          <w:i/>
          <w:color w:val="000000" w:themeColor="text1"/>
          <w:lang w:val="es-ES_tradnl"/>
        </w:rPr>
        <w:t>“</w:t>
      </w:r>
      <w:r w:rsidR="00A21729" w:rsidRPr="00682149">
        <w:rPr>
          <w:rFonts w:ascii="Arial" w:hAnsi="Arial" w:cs="Arial"/>
          <w:i/>
          <w:color w:val="000000" w:themeColor="text1"/>
          <w:lang w:val="es-ES_tradnl"/>
        </w:rPr>
        <w:t>4.3 Costo de prestación del servicio y traslado de costos al usuario</w:t>
      </w:r>
      <w:bookmarkEnd w:id="3"/>
      <w:r w:rsidR="00A21729" w:rsidRPr="00682149">
        <w:rPr>
          <w:rFonts w:ascii="Arial" w:hAnsi="Arial" w:cs="Arial"/>
          <w:i/>
          <w:color w:val="000000" w:themeColor="text1"/>
          <w:lang w:val="es-ES_tradnl"/>
        </w:rPr>
        <w:t xml:space="preserve"> </w:t>
      </w:r>
    </w:p>
    <w:p w14:paraId="6FFEE5EA" w14:textId="77777777" w:rsidR="000C2447" w:rsidRDefault="000C2447" w:rsidP="001C138F">
      <w:pPr>
        <w:spacing w:after="0" w:line="276" w:lineRule="auto"/>
        <w:ind w:left="567"/>
        <w:jc w:val="both"/>
        <w:rPr>
          <w:rFonts w:ascii="Arial" w:hAnsi="Arial" w:cs="Arial"/>
          <w:i/>
          <w:color w:val="000000" w:themeColor="text1"/>
        </w:rPr>
      </w:pPr>
    </w:p>
    <w:p w14:paraId="2694E69D" w14:textId="09287436" w:rsidR="00A21729" w:rsidRPr="00682149" w:rsidRDefault="00A21729" w:rsidP="001C138F">
      <w:pPr>
        <w:spacing w:after="0" w:line="276" w:lineRule="auto"/>
        <w:ind w:left="567"/>
        <w:jc w:val="both"/>
        <w:rPr>
          <w:color w:val="000000" w:themeColor="text1"/>
        </w:rPr>
      </w:pPr>
      <w:r w:rsidRPr="00682149">
        <w:rPr>
          <w:rFonts w:ascii="Arial" w:hAnsi="Arial" w:cs="Arial"/>
          <w:i/>
          <w:color w:val="000000" w:themeColor="text1"/>
        </w:rPr>
        <w:t>En este punto ya se tienen definidos los valores a partir de los cuales es posible determinar el costo de prestación del servicio, CU, y el valor que puede trasladarse al usuario. Sobre el valor trasladable al usuario, el prestador podrá aplicar lo que se encuentre vigente en materia de subsidios y, en función de esto, determinar cuál es la porción que quedaría a cargo del usuario y cuál estaría cubierta con el giro de los respectivos recursos públicos.</w:t>
      </w:r>
      <w:r w:rsidRPr="00682149">
        <w:rPr>
          <w:color w:val="000000" w:themeColor="text1"/>
        </w:rPr>
        <w:t xml:space="preserve"> </w:t>
      </w:r>
    </w:p>
    <w:p w14:paraId="64D17A7F" w14:textId="77777777" w:rsidR="000B3E8E" w:rsidRDefault="000B3E8E" w:rsidP="001C138F">
      <w:pPr>
        <w:spacing w:after="0" w:line="276" w:lineRule="auto"/>
        <w:ind w:left="567"/>
        <w:jc w:val="both"/>
        <w:rPr>
          <w:rFonts w:ascii="Arial" w:hAnsi="Arial" w:cs="Arial"/>
          <w:i/>
          <w:color w:val="000000" w:themeColor="text1"/>
        </w:rPr>
      </w:pPr>
    </w:p>
    <w:p w14:paraId="39EA23BD" w14:textId="54E15D9F" w:rsidR="00461FC9" w:rsidRPr="00682149" w:rsidRDefault="00461FC9" w:rsidP="001C138F">
      <w:pPr>
        <w:spacing w:after="0" w:line="276" w:lineRule="auto"/>
        <w:ind w:left="567"/>
        <w:jc w:val="both"/>
        <w:rPr>
          <w:rFonts w:ascii="Arial" w:hAnsi="Arial" w:cs="Arial"/>
          <w:i/>
          <w:color w:val="000000" w:themeColor="text1"/>
        </w:rPr>
      </w:pPr>
      <w:r w:rsidRPr="00682149">
        <w:rPr>
          <w:rFonts w:ascii="Arial" w:hAnsi="Arial" w:cs="Arial"/>
          <w:i/>
          <w:color w:val="000000" w:themeColor="text1"/>
        </w:rPr>
        <w:t>(…)</w:t>
      </w:r>
    </w:p>
    <w:p w14:paraId="005DAEBE" w14:textId="35D2833A" w:rsidR="00A21729" w:rsidRPr="00682149" w:rsidRDefault="00A21729" w:rsidP="001C138F">
      <w:pPr>
        <w:spacing w:after="0" w:line="276" w:lineRule="auto"/>
        <w:ind w:left="567"/>
        <w:jc w:val="both"/>
        <w:rPr>
          <w:rFonts w:ascii="Arial" w:hAnsi="Arial" w:cs="Arial"/>
          <w:i/>
          <w:color w:val="000000" w:themeColor="text1"/>
        </w:rPr>
      </w:pPr>
    </w:p>
    <w:p w14:paraId="59B21067" w14:textId="1DA43499" w:rsidR="00A21729" w:rsidRPr="00682149" w:rsidRDefault="00A21729" w:rsidP="001C138F">
      <w:pPr>
        <w:spacing w:after="0" w:line="276" w:lineRule="auto"/>
        <w:ind w:left="567"/>
        <w:jc w:val="both"/>
        <w:rPr>
          <w:rFonts w:ascii="Arial" w:hAnsi="Arial" w:cs="Arial"/>
          <w:i/>
          <w:color w:val="000000" w:themeColor="text1"/>
        </w:rPr>
      </w:pPr>
      <w:r w:rsidRPr="00682149">
        <w:rPr>
          <w:rFonts w:ascii="Arial" w:hAnsi="Arial" w:cs="Arial"/>
          <w:i/>
          <w:color w:val="000000" w:themeColor="text1"/>
        </w:rPr>
        <w:t xml:space="preserve">El valor del costo de prestación del servicio, CU, que se propone reconocer es de $340,751 / mes por usuario, compuesto por: $229,293 / mes por usuario para remunerar el componente de inversión; $81,762 / mes por usuario para remunerar el </w:t>
      </w:r>
      <w:r w:rsidRPr="00682149">
        <w:rPr>
          <w:rFonts w:ascii="Arial" w:hAnsi="Arial" w:cs="Arial"/>
          <w:i/>
          <w:color w:val="000000" w:themeColor="text1"/>
        </w:rPr>
        <w:lastRenderedPageBreak/>
        <w:t xml:space="preserve">AOM de la actividad de generación; y $29,697 / mes por usuario para remunerar la actividad de comercialización. </w:t>
      </w:r>
    </w:p>
    <w:p w14:paraId="5F129F60" w14:textId="77777777" w:rsidR="000B3E8E" w:rsidRDefault="000B3E8E" w:rsidP="001C138F">
      <w:pPr>
        <w:spacing w:after="0" w:line="276" w:lineRule="auto"/>
        <w:ind w:left="567"/>
        <w:jc w:val="both"/>
        <w:rPr>
          <w:rFonts w:ascii="Arial" w:hAnsi="Arial" w:cs="Arial"/>
          <w:i/>
          <w:color w:val="000000" w:themeColor="text1"/>
        </w:rPr>
      </w:pPr>
    </w:p>
    <w:p w14:paraId="7E32D835" w14:textId="570B1432" w:rsidR="00A21729" w:rsidRPr="00682149" w:rsidRDefault="00A21729" w:rsidP="001C138F">
      <w:pPr>
        <w:spacing w:after="0" w:line="276" w:lineRule="auto"/>
        <w:ind w:left="567"/>
        <w:jc w:val="both"/>
        <w:rPr>
          <w:rFonts w:ascii="Arial" w:hAnsi="Arial" w:cs="Arial"/>
          <w:i/>
          <w:color w:val="000000" w:themeColor="text1"/>
        </w:rPr>
      </w:pPr>
      <w:r w:rsidRPr="00682149">
        <w:rPr>
          <w:rFonts w:ascii="Arial" w:hAnsi="Arial" w:cs="Arial"/>
          <w:i/>
          <w:color w:val="000000" w:themeColor="text1"/>
        </w:rPr>
        <w:t xml:space="preserve">El valor que se traslada al usuario dependerá de la porción de las inversiones que son cubiertas con recursos públicos. En el ejemplo desarrollado en la tabla se supone que la solución fue inicialmente subsidiada pero que, en desarrollo de la operación, el prestador ya reemplazó la batería, debido a que la misma cumplió su vida útil. En este caso, el prestador trasladará del componente de inversión el equivalente a $104,539 / mes, además de los gastos de AOM y de comercialización, respectivos.  </w:t>
      </w:r>
    </w:p>
    <w:p w14:paraId="6250B19F" w14:textId="77777777" w:rsidR="000B3E8E" w:rsidRDefault="000B3E8E" w:rsidP="001C138F">
      <w:pPr>
        <w:pStyle w:val="Ttulo2"/>
        <w:spacing w:after="0" w:line="276" w:lineRule="auto"/>
        <w:ind w:left="567"/>
        <w:jc w:val="both"/>
        <w:rPr>
          <w:rFonts w:ascii="Arial" w:hAnsi="Arial" w:cs="Arial"/>
          <w:i/>
          <w:color w:val="000000" w:themeColor="text1"/>
          <w:lang w:val="es-ES_tradnl"/>
        </w:rPr>
      </w:pPr>
      <w:bookmarkStart w:id="4" w:name="_Toc467842436"/>
    </w:p>
    <w:p w14:paraId="7FB79570" w14:textId="562847A0" w:rsidR="00461FC9" w:rsidRPr="00682149" w:rsidRDefault="00461FC9" w:rsidP="001C138F">
      <w:pPr>
        <w:pStyle w:val="Ttulo2"/>
        <w:spacing w:after="0" w:line="276" w:lineRule="auto"/>
        <w:ind w:left="567"/>
        <w:jc w:val="both"/>
        <w:rPr>
          <w:color w:val="000000" w:themeColor="text1"/>
          <w:lang w:val="es-ES"/>
        </w:rPr>
      </w:pPr>
      <w:r w:rsidRPr="00682149">
        <w:rPr>
          <w:rFonts w:ascii="Arial" w:hAnsi="Arial" w:cs="Arial"/>
          <w:i/>
          <w:color w:val="000000" w:themeColor="text1"/>
          <w:lang w:val="es-ES_tradnl"/>
        </w:rPr>
        <w:t>(…)</w:t>
      </w:r>
    </w:p>
    <w:bookmarkEnd w:id="4"/>
    <w:p w14:paraId="5DE27C2A" w14:textId="77777777" w:rsidR="000B3E8E" w:rsidRDefault="000B3E8E" w:rsidP="001C138F">
      <w:pPr>
        <w:spacing w:after="0" w:line="276" w:lineRule="auto"/>
        <w:ind w:left="567"/>
        <w:jc w:val="both"/>
        <w:rPr>
          <w:rFonts w:ascii="Arial" w:hAnsi="Arial" w:cs="Arial"/>
          <w:i/>
          <w:color w:val="000000" w:themeColor="text1"/>
        </w:rPr>
      </w:pPr>
    </w:p>
    <w:p w14:paraId="7E4D1C56" w14:textId="44007E62" w:rsidR="00A21729" w:rsidRDefault="00A21729" w:rsidP="001C138F">
      <w:pPr>
        <w:spacing w:after="0" w:line="276" w:lineRule="auto"/>
        <w:ind w:left="567"/>
        <w:jc w:val="both"/>
        <w:rPr>
          <w:rFonts w:ascii="Arial" w:hAnsi="Arial" w:cs="Arial"/>
          <w:i/>
          <w:color w:val="000000" w:themeColor="text1"/>
        </w:rPr>
      </w:pPr>
      <w:r w:rsidRPr="00682149">
        <w:rPr>
          <w:rFonts w:ascii="Arial" w:hAnsi="Arial" w:cs="Arial"/>
          <w:i/>
          <w:color w:val="000000" w:themeColor="text1"/>
        </w:rPr>
        <w:t xml:space="preserve">En esta última resolución se establece: </w:t>
      </w:r>
    </w:p>
    <w:p w14:paraId="61FD4C24" w14:textId="77777777" w:rsidR="000B3E8E" w:rsidRPr="00682149" w:rsidRDefault="000B3E8E" w:rsidP="001C138F">
      <w:pPr>
        <w:spacing w:after="0" w:line="276" w:lineRule="auto"/>
        <w:ind w:left="567"/>
        <w:jc w:val="both"/>
        <w:rPr>
          <w:rFonts w:ascii="Arial" w:hAnsi="Arial" w:cs="Arial"/>
          <w:i/>
          <w:color w:val="000000" w:themeColor="text1"/>
        </w:rPr>
      </w:pPr>
    </w:p>
    <w:p w14:paraId="6F450554" w14:textId="77777777" w:rsidR="00A21729" w:rsidRPr="00682149" w:rsidRDefault="00A21729" w:rsidP="001C138F">
      <w:pPr>
        <w:spacing w:after="0" w:line="276" w:lineRule="auto"/>
        <w:ind w:left="567"/>
        <w:jc w:val="both"/>
        <w:rPr>
          <w:rFonts w:ascii="Arial" w:hAnsi="Arial" w:cs="Arial"/>
          <w:i/>
          <w:color w:val="000000" w:themeColor="text1"/>
        </w:rPr>
      </w:pPr>
      <w:r w:rsidRPr="00682149">
        <w:rPr>
          <w:rFonts w:ascii="Arial" w:hAnsi="Arial" w:cs="Arial"/>
          <w:i/>
          <w:color w:val="000000" w:themeColor="text1"/>
        </w:rPr>
        <w:t xml:space="preserve">“Artículo 1. Valor de la tasa de retorno para distribución de energía eléctrica. Se modifica el artículo 2 de la Resolución CREG 016 de 2018, el cual quedará así: </w:t>
      </w:r>
    </w:p>
    <w:p w14:paraId="45EA4B8B" w14:textId="77777777" w:rsidR="00A21729" w:rsidRPr="00682149" w:rsidRDefault="00A21729" w:rsidP="001C138F">
      <w:pPr>
        <w:spacing w:after="0" w:line="276" w:lineRule="auto"/>
        <w:ind w:left="567"/>
        <w:jc w:val="both"/>
        <w:rPr>
          <w:rFonts w:ascii="Arial" w:hAnsi="Arial" w:cs="Arial"/>
          <w:i/>
          <w:color w:val="000000" w:themeColor="text1"/>
        </w:rPr>
      </w:pPr>
      <w:r w:rsidRPr="00682149">
        <w:rPr>
          <w:rFonts w:ascii="Arial" w:hAnsi="Arial" w:cs="Arial"/>
          <w:i/>
          <w:color w:val="000000" w:themeColor="text1"/>
        </w:rPr>
        <w:t xml:space="preserve"> </w:t>
      </w:r>
    </w:p>
    <w:p w14:paraId="48610038" w14:textId="77777777" w:rsidR="00A21729" w:rsidRPr="00682149" w:rsidRDefault="00A21729"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‘Artículo 2. Valor de la tasa de retorno. En virtud de la aplicación de la metodología aprobada en la Resolución CREG 095 de 2015, el valor de la tasa de retorno de cada año para la actividad de distribución de energía eléctrica, para una metodología de ingreso máximo, será: </w:t>
      </w:r>
    </w:p>
    <w:p w14:paraId="4C522D53" w14:textId="77777777" w:rsidR="00A21729" w:rsidRPr="00682149" w:rsidRDefault="00A21729" w:rsidP="001C138F">
      <w:pPr>
        <w:spacing w:after="0" w:line="276" w:lineRule="auto"/>
        <w:ind w:left="994"/>
        <w:rPr>
          <w:rFonts w:ascii="Arial" w:hAnsi="Arial" w:cs="Arial"/>
          <w:color w:val="000000" w:themeColor="text1"/>
        </w:rPr>
      </w:pPr>
      <w:r w:rsidRPr="00682149">
        <w:rPr>
          <w:rFonts w:ascii="Arial" w:hAnsi="Arial" w:cs="Arial"/>
          <w:i/>
          <w:color w:val="000000" w:themeColor="text1"/>
          <w:sz w:val="20"/>
        </w:rPr>
        <w:t xml:space="preserve"> </w:t>
      </w:r>
    </w:p>
    <w:tbl>
      <w:tblPr>
        <w:tblW w:w="4820" w:type="dxa"/>
        <w:tblInd w:w="2293" w:type="dxa"/>
        <w:tblCellMar>
          <w:top w:w="56" w:type="dxa"/>
          <w:left w:w="83" w:type="dxa"/>
          <w:right w:w="83" w:type="dxa"/>
        </w:tblCellMar>
        <w:tblLook w:val="04A0" w:firstRow="1" w:lastRow="0" w:firstColumn="1" w:lastColumn="0" w:noHBand="0" w:noVBand="1"/>
      </w:tblPr>
      <w:tblGrid>
        <w:gridCol w:w="2830"/>
        <w:gridCol w:w="1990"/>
      </w:tblGrid>
      <w:tr w:rsidR="00682149" w:rsidRPr="00682149" w14:paraId="2307ACE6" w14:textId="77777777" w:rsidTr="00A21729">
        <w:trPr>
          <w:trHeight w:val="350"/>
        </w:trPr>
        <w:tc>
          <w:tcPr>
            <w:tcW w:w="2830" w:type="dxa"/>
            <w:tcBorders>
              <w:top w:val="single" w:sz="2" w:space="0" w:color="000000"/>
              <w:left w:val="single" w:sz="2" w:space="0" w:color="000000"/>
              <w:bottom w:val="single" w:sz="2" w:space="0" w:color="000000"/>
              <w:right w:val="single" w:sz="2" w:space="0" w:color="000000"/>
            </w:tcBorders>
            <w:shd w:val="clear" w:color="auto" w:fill="auto"/>
          </w:tcPr>
          <w:p w14:paraId="07A19FD9" w14:textId="77777777" w:rsidR="00A21729" w:rsidRPr="00682149" w:rsidRDefault="00A21729" w:rsidP="001C138F">
            <w:pPr>
              <w:spacing w:after="0" w:line="276" w:lineRule="auto"/>
              <w:ind w:right="110"/>
              <w:jc w:val="center"/>
              <w:rPr>
                <w:rFonts w:ascii="Arial" w:hAnsi="Arial" w:cs="Arial"/>
                <w:color w:val="000000" w:themeColor="text1"/>
              </w:rPr>
            </w:pPr>
            <w:r w:rsidRPr="00682149">
              <w:rPr>
                <w:rFonts w:ascii="Arial" w:hAnsi="Arial" w:cs="Arial"/>
                <w:b/>
                <w:i/>
                <w:color w:val="000000" w:themeColor="text1"/>
                <w:sz w:val="18"/>
              </w:rPr>
              <w:t xml:space="preserve">Año </w:t>
            </w:r>
          </w:p>
        </w:tc>
        <w:tc>
          <w:tcPr>
            <w:tcW w:w="1990" w:type="dxa"/>
            <w:tcBorders>
              <w:top w:val="single" w:sz="2" w:space="0" w:color="000000"/>
              <w:left w:val="single" w:sz="2" w:space="0" w:color="000000"/>
              <w:bottom w:val="single" w:sz="2" w:space="0" w:color="000000"/>
              <w:right w:val="single" w:sz="2" w:space="0" w:color="000000"/>
            </w:tcBorders>
            <w:shd w:val="clear" w:color="auto" w:fill="auto"/>
          </w:tcPr>
          <w:p w14:paraId="5E7E0160" w14:textId="77777777" w:rsidR="00A21729" w:rsidRPr="00682149" w:rsidRDefault="00A21729" w:rsidP="001C138F">
            <w:pPr>
              <w:spacing w:after="0" w:line="276" w:lineRule="auto"/>
              <w:ind w:right="27"/>
              <w:jc w:val="center"/>
              <w:rPr>
                <w:rFonts w:ascii="Arial" w:hAnsi="Arial" w:cs="Arial"/>
                <w:color w:val="000000" w:themeColor="text1"/>
              </w:rPr>
            </w:pPr>
            <w:r w:rsidRPr="00682149">
              <w:rPr>
                <w:rFonts w:ascii="Arial" w:hAnsi="Arial" w:cs="Arial"/>
                <w:b/>
                <w:i/>
                <w:color w:val="000000" w:themeColor="text1"/>
                <w:sz w:val="18"/>
              </w:rPr>
              <w:t>Tasa de retorno</w:t>
            </w:r>
            <w:r w:rsidRPr="00682149">
              <w:rPr>
                <w:rFonts w:ascii="Arial" w:hAnsi="Arial" w:cs="Arial"/>
                <w:i/>
                <w:color w:val="000000" w:themeColor="text1"/>
                <w:sz w:val="18"/>
              </w:rPr>
              <w:t xml:space="preserve"> </w:t>
            </w:r>
          </w:p>
        </w:tc>
      </w:tr>
      <w:tr w:rsidR="00682149" w:rsidRPr="00682149" w14:paraId="078F6829" w14:textId="77777777" w:rsidTr="00A21729">
        <w:trPr>
          <w:trHeight w:val="350"/>
        </w:trPr>
        <w:tc>
          <w:tcPr>
            <w:tcW w:w="2830" w:type="dxa"/>
            <w:tcBorders>
              <w:top w:val="single" w:sz="2" w:space="0" w:color="000000"/>
              <w:left w:val="single" w:sz="2" w:space="0" w:color="000000"/>
              <w:bottom w:val="single" w:sz="2" w:space="0" w:color="000000"/>
              <w:right w:val="single" w:sz="2" w:space="0" w:color="000000"/>
            </w:tcBorders>
            <w:shd w:val="clear" w:color="auto" w:fill="auto"/>
          </w:tcPr>
          <w:p w14:paraId="7880B20B" w14:textId="77777777" w:rsidR="00A21729" w:rsidRPr="00682149" w:rsidRDefault="00A21729" w:rsidP="001C138F">
            <w:pPr>
              <w:spacing w:after="0" w:line="276" w:lineRule="auto"/>
              <w:ind w:right="110"/>
              <w:jc w:val="center"/>
              <w:rPr>
                <w:rFonts w:ascii="Arial" w:hAnsi="Arial" w:cs="Arial"/>
                <w:color w:val="000000" w:themeColor="text1"/>
              </w:rPr>
            </w:pPr>
            <w:r w:rsidRPr="00682149">
              <w:rPr>
                <w:rFonts w:ascii="Arial" w:hAnsi="Arial" w:cs="Arial"/>
                <w:i/>
                <w:color w:val="000000" w:themeColor="text1"/>
                <w:sz w:val="18"/>
              </w:rPr>
              <w:t xml:space="preserve">2019 </w:t>
            </w:r>
          </w:p>
        </w:tc>
        <w:tc>
          <w:tcPr>
            <w:tcW w:w="1990" w:type="dxa"/>
            <w:tcBorders>
              <w:top w:val="single" w:sz="2" w:space="0" w:color="000000"/>
              <w:left w:val="single" w:sz="2" w:space="0" w:color="000000"/>
              <w:bottom w:val="single" w:sz="2" w:space="0" w:color="000000"/>
              <w:right w:val="single" w:sz="2" w:space="0" w:color="000000"/>
            </w:tcBorders>
            <w:shd w:val="clear" w:color="auto" w:fill="auto"/>
          </w:tcPr>
          <w:p w14:paraId="7C3B3C90" w14:textId="77777777" w:rsidR="00A21729" w:rsidRPr="00682149" w:rsidRDefault="00A21729" w:rsidP="001C138F">
            <w:pPr>
              <w:spacing w:after="0" w:line="276" w:lineRule="auto"/>
              <w:ind w:right="25"/>
              <w:jc w:val="center"/>
              <w:rPr>
                <w:rFonts w:ascii="Arial" w:hAnsi="Arial" w:cs="Arial"/>
                <w:color w:val="000000" w:themeColor="text1"/>
              </w:rPr>
            </w:pPr>
            <w:r w:rsidRPr="00682149">
              <w:rPr>
                <w:rFonts w:ascii="Arial" w:hAnsi="Arial" w:cs="Arial"/>
                <w:i/>
                <w:color w:val="000000" w:themeColor="text1"/>
                <w:sz w:val="18"/>
              </w:rPr>
              <w:t xml:space="preserve">11,79% </w:t>
            </w:r>
          </w:p>
        </w:tc>
      </w:tr>
      <w:tr w:rsidR="00682149" w:rsidRPr="00682149" w14:paraId="7ADB9CBF" w14:textId="77777777" w:rsidTr="00A21729">
        <w:trPr>
          <w:trHeight w:val="349"/>
        </w:trPr>
        <w:tc>
          <w:tcPr>
            <w:tcW w:w="2830" w:type="dxa"/>
            <w:tcBorders>
              <w:top w:val="single" w:sz="2" w:space="0" w:color="000000"/>
              <w:left w:val="single" w:sz="2" w:space="0" w:color="000000"/>
              <w:bottom w:val="single" w:sz="2" w:space="0" w:color="000000"/>
              <w:right w:val="single" w:sz="2" w:space="0" w:color="000000"/>
            </w:tcBorders>
            <w:shd w:val="clear" w:color="auto" w:fill="auto"/>
          </w:tcPr>
          <w:p w14:paraId="239BAC83" w14:textId="77777777" w:rsidR="00A21729" w:rsidRPr="00682149" w:rsidRDefault="00A21729" w:rsidP="001C138F">
            <w:pPr>
              <w:spacing w:after="0" w:line="276" w:lineRule="auto"/>
              <w:ind w:right="110"/>
              <w:jc w:val="center"/>
              <w:rPr>
                <w:rFonts w:ascii="Arial" w:hAnsi="Arial" w:cs="Arial"/>
                <w:color w:val="000000" w:themeColor="text1"/>
              </w:rPr>
            </w:pPr>
            <w:r w:rsidRPr="00682149">
              <w:rPr>
                <w:rFonts w:ascii="Arial" w:hAnsi="Arial" w:cs="Arial"/>
                <w:i/>
                <w:color w:val="000000" w:themeColor="text1"/>
                <w:sz w:val="18"/>
              </w:rPr>
              <w:t xml:space="preserve">2020 </w:t>
            </w:r>
          </w:p>
        </w:tc>
        <w:tc>
          <w:tcPr>
            <w:tcW w:w="1990" w:type="dxa"/>
            <w:tcBorders>
              <w:top w:val="single" w:sz="2" w:space="0" w:color="000000"/>
              <w:left w:val="single" w:sz="2" w:space="0" w:color="000000"/>
              <w:bottom w:val="single" w:sz="2" w:space="0" w:color="000000"/>
              <w:right w:val="single" w:sz="2" w:space="0" w:color="000000"/>
            </w:tcBorders>
            <w:shd w:val="clear" w:color="auto" w:fill="auto"/>
          </w:tcPr>
          <w:p w14:paraId="2635D93C" w14:textId="77777777" w:rsidR="00A21729" w:rsidRPr="00682149" w:rsidRDefault="00A21729" w:rsidP="001C138F">
            <w:pPr>
              <w:spacing w:after="0" w:line="276" w:lineRule="auto"/>
              <w:ind w:right="25"/>
              <w:jc w:val="center"/>
              <w:rPr>
                <w:rFonts w:ascii="Arial" w:hAnsi="Arial" w:cs="Arial"/>
                <w:color w:val="000000" w:themeColor="text1"/>
              </w:rPr>
            </w:pPr>
            <w:r w:rsidRPr="00682149">
              <w:rPr>
                <w:rFonts w:ascii="Arial" w:hAnsi="Arial" w:cs="Arial"/>
                <w:i/>
                <w:color w:val="000000" w:themeColor="text1"/>
                <w:sz w:val="18"/>
              </w:rPr>
              <w:t xml:space="preserve">11,64% </w:t>
            </w:r>
          </w:p>
        </w:tc>
      </w:tr>
      <w:tr w:rsidR="00682149" w:rsidRPr="00682149" w14:paraId="0E83478B" w14:textId="77777777" w:rsidTr="00A21729">
        <w:trPr>
          <w:trHeight w:val="350"/>
        </w:trPr>
        <w:tc>
          <w:tcPr>
            <w:tcW w:w="2830" w:type="dxa"/>
            <w:tcBorders>
              <w:top w:val="single" w:sz="2" w:space="0" w:color="000000"/>
              <w:left w:val="single" w:sz="2" w:space="0" w:color="000000"/>
              <w:bottom w:val="single" w:sz="2" w:space="0" w:color="000000"/>
              <w:right w:val="single" w:sz="2" w:space="0" w:color="000000"/>
            </w:tcBorders>
            <w:shd w:val="clear" w:color="auto" w:fill="auto"/>
          </w:tcPr>
          <w:p w14:paraId="5619564E" w14:textId="77777777" w:rsidR="00A21729" w:rsidRPr="00682149" w:rsidRDefault="00A21729" w:rsidP="001C138F">
            <w:pPr>
              <w:spacing w:after="0" w:line="276" w:lineRule="auto"/>
              <w:ind w:right="110"/>
              <w:jc w:val="center"/>
              <w:rPr>
                <w:rFonts w:ascii="Arial" w:hAnsi="Arial" w:cs="Arial"/>
                <w:color w:val="000000" w:themeColor="text1"/>
              </w:rPr>
            </w:pPr>
            <w:r w:rsidRPr="00682149">
              <w:rPr>
                <w:rFonts w:ascii="Arial" w:hAnsi="Arial" w:cs="Arial"/>
                <w:i/>
                <w:color w:val="000000" w:themeColor="text1"/>
                <w:sz w:val="18"/>
              </w:rPr>
              <w:t xml:space="preserve">2021 </w:t>
            </w:r>
          </w:p>
        </w:tc>
        <w:tc>
          <w:tcPr>
            <w:tcW w:w="1990" w:type="dxa"/>
            <w:tcBorders>
              <w:top w:val="single" w:sz="2" w:space="0" w:color="000000"/>
              <w:left w:val="single" w:sz="2" w:space="0" w:color="000000"/>
              <w:bottom w:val="single" w:sz="2" w:space="0" w:color="000000"/>
              <w:right w:val="single" w:sz="2" w:space="0" w:color="000000"/>
            </w:tcBorders>
            <w:shd w:val="clear" w:color="auto" w:fill="auto"/>
          </w:tcPr>
          <w:p w14:paraId="2510BF2F" w14:textId="77777777" w:rsidR="00A21729" w:rsidRPr="00682149" w:rsidRDefault="00A21729" w:rsidP="001C138F">
            <w:pPr>
              <w:spacing w:after="0" w:line="276" w:lineRule="auto"/>
              <w:ind w:right="25"/>
              <w:jc w:val="center"/>
              <w:rPr>
                <w:rFonts w:ascii="Arial" w:hAnsi="Arial" w:cs="Arial"/>
                <w:color w:val="000000" w:themeColor="text1"/>
              </w:rPr>
            </w:pPr>
            <w:r w:rsidRPr="00682149">
              <w:rPr>
                <w:rFonts w:ascii="Arial" w:hAnsi="Arial" w:cs="Arial"/>
                <w:i/>
                <w:color w:val="000000" w:themeColor="text1"/>
                <w:sz w:val="18"/>
              </w:rPr>
              <w:t xml:space="preserve">11,50% </w:t>
            </w:r>
          </w:p>
        </w:tc>
      </w:tr>
      <w:tr w:rsidR="00682149" w:rsidRPr="00682149" w14:paraId="5C4CE228" w14:textId="77777777" w:rsidTr="00A21729">
        <w:trPr>
          <w:trHeight w:val="350"/>
        </w:trPr>
        <w:tc>
          <w:tcPr>
            <w:tcW w:w="2830" w:type="dxa"/>
            <w:tcBorders>
              <w:top w:val="single" w:sz="2" w:space="0" w:color="000000"/>
              <w:left w:val="single" w:sz="2" w:space="0" w:color="000000"/>
              <w:bottom w:val="single" w:sz="2" w:space="0" w:color="000000"/>
              <w:right w:val="single" w:sz="2" w:space="0" w:color="000000"/>
            </w:tcBorders>
            <w:shd w:val="clear" w:color="auto" w:fill="auto"/>
          </w:tcPr>
          <w:p w14:paraId="5D5C4E53" w14:textId="77777777" w:rsidR="00A21729" w:rsidRPr="00682149" w:rsidRDefault="00A21729" w:rsidP="001C138F">
            <w:pPr>
              <w:spacing w:after="0" w:line="276" w:lineRule="auto"/>
              <w:ind w:right="110"/>
              <w:jc w:val="center"/>
              <w:rPr>
                <w:rFonts w:ascii="Arial" w:hAnsi="Arial" w:cs="Arial"/>
                <w:color w:val="000000" w:themeColor="text1"/>
              </w:rPr>
            </w:pPr>
            <w:r w:rsidRPr="00682149">
              <w:rPr>
                <w:rFonts w:ascii="Arial" w:hAnsi="Arial" w:cs="Arial"/>
                <w:i/>
                <w:color w:val="000000" w:themeColor="text1"/>
                <w:sz w:val="18"/>
              </w:rPr>
              <w:t xml:space="preserve">2022 en adelante </w:t>
            </w:r>
          </w:p>
        </w:tc>
        <w:tc>
          <w:tcPr>
            <w:tcW w:w="1990" w:type="dxa"/>
            <w:tcBorders>
              <w:top w:val="single" w:sz="2" w:space="0" w:color="000000"/>
              <w:left w:val="single" w:sz="2" w:space="0" w:color="000000"/>
              <w:bottom w:val="single" w:sz="2" w:space="0" w:color="000000"/>
              <w:right w:val="single" w:sz="2" w:space="0" w:color="000000"/>
            </w:tcBorders>
            <w:shd w:val="clear" w:color="auto" w:fill="auto"/>
          </w:tcPr>
          <w:p w14:paraId="3935B426" w14:textId="77777777" w:rsidR="00A21729" w:rsidRPr="00682149" w:rsidRDefault="00A21729" w:rsidP="001C138F">
            <w:pPr>
              <w:spacing w:after="0" w:line="276" w:lineRule="auto"/>
              <w:ind w:right="25"/>
              <w:jc w:val="center"/>
              <w:rPr>
                <w:rFonts w:ascii="Arial" w:hAnsi="Arial" w:cs="Arial"/>
                <w:color w:val="000000" w:themeColor="text1"/>
              </w:rPr>
            </w:pPr>
            <w:r w:rsidRPr="00682149">
              <w:rPr>
                <w:rFonts w:ascii="Arial" w:hAnsi="Arial" w:cs="Arial"/>
                <w:i/>
                <w:color w:val="000000" w:themeColor="text1"/>
                <w:sz w:val="18"/>
              </w:rPr>
              <w:t xml:space="preserve">11,36% </w:t>
            </w:r>
          </w:p>
        </w:tc>
      </w:tr>
    </w:tbl>
    <w:p w14:paraId="0C8CF5E5" w14:textId="77777777" w:rsidR="00A21729" w:rsidRPr="00682149" w:rsidRDefault="00A21729" w:rsidP="001C138F">
      <w:pPr>
        <w:spacing w:after="0" w:line="276" w:lineRule="auto"/>
        <w:ind w:left="994"/>
        <w:rPr>
          <w:rFonts w:ascii="Arial" w:hAnsi="Arial" w:cs="Arial"/>
          <w:color w:val="000000" w:themeColor="text1"/>
        </w:rPr>
      </w:pPr>
      <w:r w:rsidRPr="00682149">
        <w:rPr>
          <w:rFonts w:ascii="Arial" w:hAnsi="Arial" w:cs="Arial"/>
          <w:i/>
          <w:color w:val="000000" w:themeColor="text1"/>
          <w:sz w:val="20"/>
        </w:rPr>
        <w:t xml:space="preserve"> </w:t>
      </w:r>
    </w:p>
    <w:p w14:paraId="59CCD0EE" w14:textId="190AE195" w:rsidR="00356421" w:rsidRPr="00682149" w:rsidRDefault="00EF7C3E" w:rsidP="001C138F">
      <w:pPr>
        <w:spacing w:after="0" w:line="276" w:lineRule="auto"/>
        <w:contextualSpacing/>
        <w:jc w:val="both"/>
        <w:rPr>
          <w:rFonts w:ascii="Arial" w:hAnsi="Arial" w:cs="Arial"/>
          <w:color w:val="000000" w:themeColor="text1"/>
          <w:sz w:val="24"/>
          <w:szCs w:val="24"/>
        </w:rPr>
      </w:pPr>
      <w:r w:rsidRPr="00682149">
        <w:rPr>
          <w:rFonts w:ascii="Arial" w:hAnsi="Arial" w:cs="Arial"/>
          <w:b/>
          <w:color w:val="000000" w:themeColor="text1"/>
          <w:sz w:val="24"/>
          <w:szCs w:val="24"/>
        </w:rPr>
        <w:t>3.</w:t>
      </w:r>
      <w:r w:rsidR="009F13EE" w:rsidRPr="00682149">
        <w:rPr>
          <w:rFonts w:ascii="Arial" w:hAnsi="Arial" w:cs="Arial"/>
          <w:b/>
          <w:color w:val="000000" w:themeColor="text1"/>
          <w:sz w:val="24"/>
          <w:szCs w:val="24"/>
        </w:rPr>
        <w:t>3</w:t>
      </w:r>
      <w:r w:rsidRPr="00682149">
        <w:rPr>
          <w:rFonts w:ascii="Arial" w:hAnsi="Arial" w:cs="Arial"/>
          <w:b/>
          <w:color w:val="000000" w:themeColor="text1"/>
          <w:sz w:val="24"/>
          <w:szCs w:val="24"/>
        </w:rPr>
        <w:t>.</w:t>
      </w:r>
      <w:r w:rsidRPr="00682149">
        <w:rPr>
          <w:rFonts w:ascii="Arial" w:hAnsi="Arial" w:cs="Arial"/>
          <w:color w:val="000000" w:themeColor="text1"/>
          <w:sz w:val="24"/>
          <w:szCs w:val="24"/>
        </w:rPr>
        <w:t xml:space="preserve"> </w:t>
      </w:r>
      <w:r w:rsidR="007419B4" w:rsidRPr="00682149">
        <w:rPr>
          <w:rFonts w:ascii="Arial" w:hAnsi="Arial" w:cs="Arial"/>
          <w:color w:val="000000" w:themeColor="text1"/>
          <w:sz w:val="24"/>
          <w:szCs w:val="24"/>
        </w:rPr>
        <w:t>Como parte de los antecedentes administrativo</w:t>
      </w:r>
      <w:r w:rsidR="00214413" w:rsidRPr="00682149">
        <w:rPr>
          <w:rFonts w:ascii="Arial" w:hAnsi="Arial" w:cs="Arial"/>
          <w:color w:val="000000" w:themeColor="text1"/>
          <w:sz w:val="24"/>
          <w:szCs w:val="24"/>
        </w:rPr>
        <w:t>s</w:t>
      </w:r>
      <w:r w:rsidR="007419B4" w:rsidRPr="00682149">
        <w:rPr>
          <w:rFonts w:ascii="Arial" w:hAnsi="Arial" w:cs="Arial"/>
          <w:color w:val="000000" w:themeColor="text1"/>
          <w:sz w:val="24"/>
          <w:szCs w:val="24"/>
        </w:rPr>
        <w:t>, o</w:t>
      </w:r>
      <w:r w:rsidR="003B7D2F" w:rsidRPr="00682149">
        <w:rPr>
          <w:rFonts w:ascii="Arial" w:hAnsi="Arial" w:cs="Arial"/>
          <w:color w:val="000000" w:themeColor="text1"/>
          <w:sz w:val="24"/>
          <w:szCs w:val="24"/>
        </w:rPr>
        <w:t xml:space="preserve">bra </w:t>
      </w:r>
      <w:r w:rsidRPr="00682149">
        <w:rPr>
          <w:rFonts w:ascii="Arial" w:hAnsi="Arial" w:cs="Arial"/>
          <w:color w:val="000000" w:themeColor="text1"/>
          <w:sz w:val="24"/>
          <w:szCs w:val="24"/>
        </w:rPr>
        <w:t xml:space="preserve">la </w:t>
      </w:r>
      <w:r w:rsidR="004C20FF" w:rsidRPr="00682149">
        <w:rPr>
          <w:rFonts w:ascii="Arial" w:hAnsi="Arial" w:cs="Arial"/>
          <w:color w:val="000000" w:themeColor="text1"/>
          <w:sz w:val="24"/>
          <w:szCs w:val="24"/>
        </w:rPr>
        <w:t>Resolución CREG</w:t>
      </w:r>
      <w:r w:rsidRPr="00682149">
        <w:rPr>
          <w:rFonts w:ascii="Arial" w:hAnsi="Arial" w:cs="Arial"/>
          <w:color w:val="000000" w:themeColor="text1"/>
          <w:sz w:val="24"/>
          <w:szCs w:val="24"/>
        </w:rPr>
        <w:t xml:space="preserve"> N.º 157 de 14 de agosto de 2020, </w:t>
      </w:r>
      <w:r w:rsidR="003B7D2F" w:rsidRPr="00682149">
        <w:rPr>
          <w:rFonts w:ascii="Arial" w:hAnsi="Arial" w:cs="Arial"/>
          <w:color w:val="000000" w:themeColor="text1"/>
          <w:sz w:val="24"/>
          <w:szCs w:val="24"/>
        </w:rPr>
        <w:t xml:space="preserve">que </w:t>
      </w:r>
      <w:r w:rsidRPr="00682149">
        <w:rPr>
          <w:rFonts w:ascii="Arial" w:hAnsi="Arial" w:cs="Arial"/>
          <w:color w:val="000000" w:themeColor="text1"/>
          <w:sz w:val="24"/>
          <w:szCs w:val="24"/>
        </w:rPr>
        <w:t xml:space="preserve">ordenó hacer público el proyecto de resolución </w:t>
      </w:r>
      <w:r w:rsidR="00C530B8" w:rsidRPr="00682149">
        <w:rPr>
          <w:rFonts w:ascii="Arial" w:hAnsi="Arial" w:cs="Arial"/>
          <w:color w:val="000000" w:themeColor="text1"/>
          <w:sz w:val="24"/>
          <w:szCs w:val="24"/>
        </w:rPr>
        <w:t xml:space="preserve">por la cual se definen las </w:t>
      </w:r>
      <w:r w:rsidRPr="00682149">
        <w:rPr>
          <w:rFonts w:ascii="Arial" w:hAnsi="Arial" w:cs="Arial"/>
          <w:color w:val="000000" w:themeColor="text1"/>
          <w:sz w:val="24"/>
          <w:szCs w:val="24"/>
        </w:rPr>
        <w:t>tarifas transitorias para el servicio de energía eléctrica</w:t>
      </w:r>
      <w:r w:rsidR="00B56124" w:rsidRPr="00682149">
        <w:rPr>
          <w:rFonts w:ascii="Arial" w:hAnsi="Arial" w:cs="Arial"/>
          <w:color w:val="000000" w:themeColor="text1"/>
          <w:sz w:val="24"/>
          <w:szCs w:val="24"/>
        </w:rPr>
        <w:t xml:space="preserve"> mediante sistemas solares fotovoltaicos en Zo</w:t>
      </w:r>
      <w:r w:rsidR="003B7D2F" w:rsidRPr="00682149">
        <w:rPr>
          <w:rFonts w:ascii="Arial" w:hAnsi="Arial" w:cs="Arial"/>
          <w:color w:val="000000" w:themeColor="text1"/>
          <w:sz w:val="24"/>
          <w:szCs w:val="24"/>
        </w:rPr>
        <w:t>nas no interconectadas, referida</w:t>
      </w:r>
      <w:r w:rsidR="00B56124" w:rsidRPr="00682149">
        <w:rPr>
          <w:rFonts w:ascii="Arial" w:hAnsi="Arial" w:cs="Arial"/>
          <w:color w:val="000000" w:themeColor="text1"/>
          <w:sz w:val="24"/>
          <w:szCs w:val="24"/>
        </w:rPr>
        <w:t>s en el documento de trabajo</w:t>
      </w:r>
      <w:r w:rsidR="003B7D2F" w:rsidRPr="00682149">
        <w:rPr>
          <w:rFonts w:ascii="Arial" w:hAnsi="Arial" w:cs="Arial"/>
          <w:color w:val="000000" w:themeColor="text1"/>
          <w:sz w:val="24"/>
          <w:szCs w:val="24"/>
        </w:rPr>
        <w:t xml:space="preserve"> anterior</w:t>
      </w:r>
      <w:r w:rsidR="00B56124" w:rsidRPr="00682149">
        <w:rPr>
          <w:rFonts w:ascii="Arial" w:hAnsi="Arial" w:cs="Arial"/>
          <w:color w:val="000000" w:themeColor="text1"/>
          <w:sz w:val="24"/>
          <w:szCs w:val="24"/>
        </w:rPr>
        <w:t>.</w:t>
      </w:r>
    </w:p>
    <w:p w14:paraId="44BDBB03" w14:textId="77777777" w:rsidR="00B56124" w:rsidRPr="00682149" w:rsidRDefault="00B56124" w:rsidP="001C138F">
      <w:pPr>
        <w:spacing w:after="0" w:line="276" w:lineRule="auto"/>
        <w:contextualSpacing/>
        <w:jc w:val="both"/>
        <w:rPr>
          <w:rFonts w:ascii="Arial" w:hAnsi="Arial" w:cs="Arial"/>
          <w:i/>
          <w:iCs/>
          <w:color w:val="000000" w:themeColor="text1"/>
          <w:sz w:val="24"/>
          <w:szCs w:val="24"/>
        </w:rPr>
      </w:pPr>
    </w:p>
    <w:p w14:paraId="109899CA" w14:textId="746C641C" w:rsidR="007F2E5D" w:rsidRPr="00682149" w:rsidRDefault="00D71E0E" w:rsidP="001C138F">
      <w:pPr>
        <w:spacing w:after="0" w:line="276" w:lineRule="auto"/>
        <w:ind w:left="-5" w:hanging="10"/>
        <w:jc w:val="both"/>
        <w:rPr>
          <w:rFonts w:ascii="Arial" w:hAnsi="Arial" w:cs="Arial"/>
          <w:i/>
          <w:color w:val="000000" w:themeColor="text1"/>
        </w:rPr>
      </w:pPr>
      <w:r w:rsidRPr="00682149">
        <w:rPr>
          <w:rFonts w:ascii="Arial" w:eastAsia="Arial" w:hAnsi="Arial" w:cs="Arial"/>
          <w:b/>
          <w:color w:val="000000" w:themeColor="text1"/>
          <w:sz w:val="24"/>
        </w:rPr>
        <w:t>3.</w:t>
      </w:r>
      <w:r w:rsidR="009F13EE" w:rsidRPr="00682149">
        <w:rPr>
          <w:rFonts w:ascii="Arial" w:eastAsia="Arial" w:hAnsi="Arial" w:cs="Arial"/>
          <w:b/>
          <w:color w:val="000000" w:themeColor="text1"/>
          <w:sz w:val="24"/>
        </w:rPr>
        <w:t>4.</w:t>
      </w:r>
      <w:r w:rsidR="009F13EE" w:rsidRPr="00682149">
        <w:rPr>
          <w:rFonts w:ascii="Arial" w:eastAsia="Arial" w:hAnsi="Arial" w:cs="Arial"/>
          <w:b/>
          <w:color w:val="000000" w:themeColor="text1"/>
          <w:sz w:val="24"/>
        </w:rPr>
        <w:tab/>
      </w:r>
      <w:r w:rsidR="007419B4" w:rsidRPr="00682149">
        <w:rPr>
          <w:rFonts w:ascii="Arial" w:eastAsia="Arial" w:hAnsi="Arial" w:cs="Arial"/>
          <w:bCs/>
          <w:color w:val="000000" w:themeColor="text1"/>
          <w:sz w:val="24"/>
        </w:rPr>
        <w:t xml:space="preserve">Igualmente </w:t>
      </w:r>
      <w:r w:rsidR="007419B4" w:rsidRPr="00682149">
        <w:rPr>
          <w:rFonts w:ascii="Arial" w:eastAsia="Arial" w:hAnsi="Arial" w:cs="Arial"/>
          <w:color w:val="000000" w:themeColor="text1"/>
          <w:sz w:val="24"/>
        </w:rPr>
        <w:t>c</w:t>
      </w:r>
      <w:r w:rsidR="00C530B8" w:rsidRPr="00682149">
        <w:rPr>
          <w:rFonts w:ascii="Arial" w:eastAsia="Arial" w:hAnsi="Arial" w:cs="Arial"/>
          <w:color w:val="000000" w:themeColor="text1"/>
          <w:sz w:val="24"/>
        </w:rPr>
        <w:t xml:space="preserve">onsta el </w:t>
      </w:r>
      <w:r w:rsidR="00356421" w:rsidRPr="00682149">
        <w:rPr>
          <w:rFonts w:ascii="Arial" w:eastAsia="Arial" w:hAnsi="Arial" w:cs="Arial"/>
          <w:color w:val="000000" w:themeColor="text1"/>
          <w:sz w:val="24"/>
        </w:rPr>
        <w:t>Documento CREG-131 de 3 de septiembre de 2020, que contiene el análisis de</w:t>
      </w:r>
      <w:r w:rsidR="00B56124" w:rsidRPr="00682149">
        <w:rPr>
          <w:rFonts w:ascii="Arial" w:eastAsia="Arial" w:hAnsi="Arial" w:cs="Arial"/>
          <w:color w:val="000000" w:themeColor="text1"/>
          <w:sz w:val="24"/>
        </w:rPr>
        <w:t xml:space="preserve"> los</w:t>
      </w:r>
      <w:r w:rsidR="00356421" w:rsidRPr="00682149">
        <w:rPr>
          <w:rFonts w:ascii="Arial" w:eastAsia="Arial" w:hAnsi="Arial" w:cs="Arial"/>
          <w:color w:val="000000" w:themeColor="text1"/>
          <w:sz w:val="24"/>
        </w:rPr>
        <w:t xml:space="preserve"> comentarios</w:t>
      </w:r>
      <w:r w:rsidRPr="00682149">
        <w:rPr>
          <w:rFonts w:ascii="Arial" w:eastAsia="Arial" w:hAnsi="Arial" w:cs="Arial"/>
          <w:color w:val="000000" w:themeColor="text1"/>
          <w:sz w:val="24"/>
        </w:rPr>
        <w:t xml:space="preserve"> </w:t>
      </w:r>
      <w:r w:rsidR="00B56124" w:rsidRPr="00682149">
        <w:rPr>
          <w:rFonts w:ascii="Arial" w:eastAsia="Arial" w:hAnsi="Arial" w:cs="Arial"/>
          <w:color w:val="000000" w:themeColor="text1"/>
          <w:sz w:val="24"/>
        </w:rPr>
        <w:t xml:space="preserve">presentados por los agentes intervinientes </w:t>
      </w:r>
      <w:r w:rsidRPr="00682149">
        <w:rPr>
          <w:rFonts w:ascii="Arial" w:eastAsia="Arial" w:hAnsi="Arial" w:cs="Arial"/>
          <w:color w:val="000000" w:themeColor="text1"/>
          <w:sz w:val="24"/>
        </w:rPr>
        <w:t xml:space="preserve">a </w:t>
      </w:r>
      <w:r w:rsidR="003B7D2F" w:rsidRPr="00682149">
        <w:rPr>
          <w:rFonts w:ascii="Arial" w:eastAsia="Arial" w:hAnsi="Arial" w:cs="Arial"/>
          <w:color w:val="000000" w:themeColor="text1"/>
          <w:sz w:val="24"/>
        </w:rPr>
        <w:t>la Resolución CREG 157 de</w:t>
      </w:r>
      <w:r w:rsidR="00356421" w:rsidRPr="00682149">
        <w:rPr>
          <w:rFonts w:ascii="Arial" w:eastAsia="Arial" w:hAnsi="Arial" w:cs="Arial"/>
          <w:color w:val="000000" w:themeColor="text1"/>
          <w:sz w:val="24"/>
        </w:rPr>
        <w:t xml:space="preserve"> 2020</w:t>
      </w:r>
      <w:r w:rsidR="00B56124" w:rsidRPr="00682149">
        <w:rPr>
          <w:rFonts w:ascii="Arial" w:eastAsia="Arial" w:hAnsi="Arial" w:cs="Arial"/>
          <w:color w:val="000000" w:themeColor="text1"/>
          <w:sz w:val="24"/>
        </w:rPr>
        <w:t xml:space="preserve">, </w:t>
      </w:r>
      <w:r w:rsidR="003B7D2F" w:rsidRPr="00682149">
        <w:rPr>
          <w:rFonts w:ascii="Arial" w:eastAsia="Arial" w:hAnsi="Arial" w:cs="Arial"/>
          <w:color w:val="000000" w:themeColor="text1"/>
          <w:sz w:val="24"/>
        </w:rPr>
        <w:t xml:space="preserve">durante </w:t>
      </w:r>
      <w:r w:rsidR="00721273" w:rsidRPr="00682149">
        <w:rPr>
          <w:rFonts w:ascii="Arial" w:eastAsia="Arial" w:hAnsi="Arial" w:cs="Arial"/>
          <w:color w:val="000000" w:themeColor="text1"/>
          <w:sz w:val="24"/>
        </w:rPr>
        <w:t xml:space="preserve">el </w:t>
      </w:r>
      <w:r w:rsidR="00C530B8" w:rsidRPr="00682149">
        <w:rPr>
          <w:rFonts w:ascii="Arial" w:eastAsia="Arial" w:hAnsi="Arial" w:cs="Arial"/>
          <w:color w:val="000000" w:themeColor="text1"/>
          <w:sz w:val="24"/>
        </w:rPr>
        <w:t xml:space="preserve">trámite de </w:t>
      </w:r>
      <w:r w:rsidR="00FC6238" w:rsidRPr="00682149">
        <w:rPr>
          <w:rFonts w:ascii="Arial" w:eastAsia="Arial" w:hAnsi="Arial" w:cs="Arial"/>
          <w:color w:val="000000" w:themeColor="text1"/>
          <w:sz w:val="24"/>
        </w:rPr>
        <w:t xml:space="preserve">consulta </w:t>
      </w:r>
      <w:r w:rsidR="00C530B8" w:rsidRPr="00682149">
        <w:rPr>
          <w:rFonts w:ascii="Arial" w:eastAsia="Arial" w:hAnsi="Arial" w:cs="Arial"/>
          <w:color w:val="000000" w:themeColor="text1"/>
          <w:sz w:val="24"/>
        </w:rPr>
        <w:t xml:space="preserve">del proyecto de resolución </w:t>
      </w:r>
      <w:r w:rsidR="00FC6238" w:rsidRPr="00682149">
        <w:rPr>
          <w:rFonts w:ascii="Arial" w:eastAsia="Arial" w:hAnsi="Arial" w:cs="Arial"/>
          <w:color w:val="000000" w:themeColor="text1"/>
          <w:sz w:val="24"/>
        </w:rPr>
        <w:t xml:space="preserve">para </w:t>
      </w:r>
      <w:r w:rsidR="00B56124" w:rsidRPr="00682149">
        <w:rPr>
          <w:rFonts w:ascii="Arial" w:eastAsia="Arial" w:hAnsi="Arial" w:cs="Arial"/>
          <w:color w:val="000000" w:themeColor="text1"/>
          <w:sz w:val="24"/>
        </w:rPr>
        <w:t xml:space="preserve">definir </w:t>
      </w:r>
      <w:r w:rsidR="00FC6238" w:rsidRPr="00682149">
        <w:rPr>
          <w:rFonts w:ascii="Arial" w:eastAsia="Arial" w:hAnsi="Arial" w:cs="Arial"/>
          <w:color w:val="000000" w:themeColor="text1"/>
          <w:sz w:val="24"/>
        </w:rPr>
        <w:t xml:space="preserve">una tarifa transitoria </w:t>
      </w:r>
      <w:r w:rsidR="003B7D2F" w:rsidRPr="00682149">
        <w:rPr>
          <w:rFonts w:ascii="Arial" w:eastAsia="Arial" w:hAnsi="Arial" w:cs="Arial"/>
          <w:color w:val="000000" w:themeColor="text1"/>
          <w:sz w:val="24"/>
        </w:rPr>
        <w:t xml:space="preserve">en las </w:t>
      </w:r>
      <w:r w:rsidR="00B56124" w:rsidRPr="00682149">
        <w:rPr>
          <w:rFonts w:ascii="Arial" w:eastAsia="Arial" w:hAnsi="Arial" w:cs="Arial"/>
          <w:color w:val="000000" w:themeColor="text1"/>
          <w:sz w:val="24"/>
        </w:rPr>
        <w:t>soluci</w:t>
      </w:r>
      <w:r w:rsidR="003B7D2F" w:rsidRPr="00682149">
        <w:rPr>
          <w:rFonts w:ascii="Arial" w:eastAsia="Arial" w:hAnsi="Arial" w:cs="Arial"/>
          <w:color w:val="000000" w:themeColor="text1"/>
          <w:sz w:val="24"/>
        </w:rPr>
        <w:t xml:space="preserve">ones </w:t>
      </w:r>
      <w:r w:rsidR="00B56124" w:rsidRPr="00682149">
        <w:rPr>
          <w:rFonts w:ascii="Arial" w:eastAsia="Arial" w:hAnsi="Arial" w:cs="Arial"/>
          <w:color w:val="000000" w:themeColor="text1"/>
          <w:sz w:val="24"/>
        </w:rPr>
        <w:t xml:space="preserve">de </w:t>
      </w:r>
      <w:r w:rsidR="00FC6238" w:rsidRPr="00682149">
        <w:rPr>
          <w:rFonts w:ascii="Arial" w:eastAsia="Arial" w:hAnsi="Arial" w:cs="Arial"/>
          <w:color w:val="000000" w:themeColor="text1"/>
          <w:sz w:val="24"/>
        </w:rPr>
        <w:t>energía eléctrica mediante sistemas solares fotovoltaicos individuales</w:t>
      </w:r>
      <w:r w:rsidR="00721273" w:rsidRPr="00682149">
        <w:rPr>
          <w:rFonts w:ascii="Arial" w:eastAsia="Arial" w:hAnsi="Arial" w:cs="Arial"/>
          <w:color w:val="000000" w:themeColor="text1"/>
          <w:sz w:val="24"/>
        </w:rPr>
        <w:t>.</w:t>
      </w:r>
      <w:r w:rsidR="00356421" w:rsidRPr="00682149">
        <w:rPr>
          <w:rFonts w:ascii="Arial" w:eastAsia="Arial" w:hAnsi="Arial" w:cs="Arial"/>
          <w:color w:val="000000" w:themeColor="text1"/>
          <w:sz w:val="24"/>
        </w:rPr>
        <w:t xml:space="preserve"> </w:t>
      </w:r>
    </w:p>
    <w:p w14:paraId="135FC2D2" w14:textId="4992CB2A" w:rsidR="00DE2CF5" w:rsidRPr="00682149" w:rsidRDefault="00DE2CF5" w:rsidP="001C138F">
      <w:pPr>
        <w:spacing w:after="0" w:line="276" w:lineRule="auto"/>
        <w:ind w:left="567"/>
        <w:rPr>
          <w:rFonts w:ascii="Arial" w:hAnsi="Arial" w:cs="Arial"/>
          <w:i/>
          <w:color w:val="000000" w:themeColor="text1"/>
        </w:rPr>
      </w:pPr>
    </w:p>
    <w:p w14:paraId="26B7F92C" w14:textId="37732F2C" w:rsidR="00EF7C3E" w:rsidRPr="00682149" w:rsidRDefault="00C530B8" w:rsidP="001C138F">
      <w:pPr>
        <w:spacing w:after="0" w:line="276" w:lineRule="auto"/>
        <w:contextualSpacing/>
        <w:jc w:val="both"/>
        <w:rPr>
          <w:rFonts w:ascii="Arial" w:hAnsi="Arial" w:cs="Arial"/>
          <w:color w:val="000000" w:themeColor="text1"/>
          <w:sz w:val="24"/>
          <w:szCs w:val="24"/>
        </w:rPr>
      </w:pPr>
      <w:r w:rsidRPr="00682149">
        <w:rPr>
          <w:rFonts w:ascii="Arial" w:hAnsi="Arial" w:cs="Arial"/>
          <w:b/>
          <w:color w:val="000000" w:themeColor="text1"/>
          <w:sz w:val="24"/>
          <w:szCs w:val="24"/>
        </w:rPr>
        <w:t>3</w:t>
      </w:r>
      <w:r w:rsidR="009F13EE" w:rsidRPr="00682149">
        <w:rPr>
          <w:rFonts w:ascii="Arial" w:hAnsi="Arial" w:cs="Arial"/>
          <w:b/>
          <w:color w:val="000000" w:themeColor="text1"/>
          <w:sz w:val="24"/>
          <w:szCs w:val="24"/>
        </w:rPr>
        <w:t>.5</w:t>
      </w:r>
      <w:r w:rsidR="00EF7C3E" w:rsidRPr="00682149">
        <w:rPr>
          <w:rFonts w:ascii="Arial" w:hAnsi="Arial" w:cs="Arial"/>
          <w:b/>
          <w:color w:val="000000" w:themeColor="text1"/>
          <w:sz w:val="24"/>
          <w:szCs w:val="24"/>
        </w:rPr>
        <w:t>.</w:t>
      </w:r>
      <w:r w:rsidR="00EF7C3E" w:rsidRPr="00682149">
        <w:rPr>
          <w:rFonts w:ascii="Arial" w:hAnsi="Arial" w:cs="Arial"/>
          <w:color w:val="000000" w:themeColor="text1"/>
          <w:sz w:val="24"/>
          <w:szCs w:val="24"/>
        </w:rPr>
        <w:t xml:space="preserve"> </w:t>
      </w:r>
      <w:r w:rsidRPr="00682149">
        <w:rPr>
          <w:rFonts w:ascii="Arial" w:hAnsi="Arial" w:cs="Arial"/>
          <w:color w:val="000000" w:themeColor="text1"/>
          <w:sz w:val="24"/>
          <w:szCs w:val="24"/>
        </w:rPr>
        <w:t xml:space="preserve">De otro lado, </w:t>
      </w:r>
      <w:r w:rsidR="003B7D2F" w:rsidRPr="00682149">
        <w:rPr>
          <w:rFonts w:ascii="Arial" w:hAnsi="Arial" w:cs="Arial"/>
          <w:color w:val="000000" w:themeColor="text1"/>
          <w:sz w:val="24"/>
          <w:szCs w:val="24"/>
        </w:rPr>
        <w:t xml:space="preserve">obra la </w:t>
      </w:r>
      <w:r w:rsidR="00EF7C3E" w:rsidRPr="00682149">
        <w:rPr>
          <w:rFonts w:ascii="Arial" w:hAnsi="Arial" w:cs="Arial"/>
          <w:color w:val="000000" w:themeColor="text1"/>
          <w:sz w:val="24"/>
          <w:szCs w:val="24"/>
        </w:rPr>
        <w:t xml:space="preserve">Resolución </w:t>
      </w:r>
      <w:r w:rsidR="003B7D2F" w:rsidRPr="00682149">
        <w:rPr>
          <w:rFonts w:ascii="Arial" w:hAnsi="Arial" w:cs="Arial"/>
          <w:color w:val="000000" w:themeColor="text1"/>
          <w:sz w:val="24"/>
          <w:szCs w:val="24"/>
        </w:rPr>
        <w:t xml:space="preserve">CREG 137 de 14 de julio de 2020, mediante la cual </w:t>
      </w:r>
      <w:r w:rsidR="00EF7C3E" w:rsidRPr="00682149">
        <w:rPr>
          <w:rFonts w:ascii="Arial" w:hAnsi="Arial" w:cs="Arial"/>
          <w:color w:val="000000" w:themeColor="text1"/>
          <w:sz w:val="24"/>
          <w:szCs w:val="24"/>
        </w:rPr>
        <w:t>se ordenó hacer público el proyecto de resolución</w:t>
      </w:r>
      <w:r w:rsidR="00B43389" w:rsidRPr="00682149">
        <w:rPr>
          <w:rFonts w:ascii="Arial" w:hAnsi="Arial" w:cs="Arial"/>
          <w:color w:val="000000" w:themeColor="text1"/>
          <w:sz w:val="24"/>
          <w:szCs w:val="24"/>
        </w:rPr>
        <w:t xml:space="preserve"> </w:t>
      </w:r>
      <w:r w:rsidR="003B7D2F" w:rsidRPr="00682149">
        <w:rPr>
          <w:rFonts w:ascii="Arial" w:hAnsi="Arial" w:cs="Arial"/>
          <w:color w:val="000000" w:themeColor="text1"/>
          <w:sz w:val="24"/>
          <w:szCs w:val="24"/>
        </w:rPr>
        <w:t xml:space="preserve">por </w:t>
      </w:r>
      <w:r w:rsidR="00531C6B" w:rsidRPr="00682149">
        <w:rPr>
          <w:rFonts w:ascii="Arial" w:hAnsi="Arial" w:cs="Arial"/>
          <w:color w:val="000000" w:themeColor="text1"/>
          <w:sz w:val="24"/>
          <w:szCs w:val="24"/>
        </w:rPr>
        <w:t xml:space="preserve">la cual </w:t>
      </w:r>
      <w:r w:rsidR="00EF7C3E" w:rsidRPr="00682149">
        <w:rPr>
          <w:rFonts w:ascii="Arial" w:hAnsi="Arial" w:cs="Arial"/>
          <w:bCs/>
          <w:color w:val="000000" w:themeColor="text1"/>
          <w:sz w:val="24"/>
          <w:szCs w:val="24"/>
        </w:rPr>
        <w:t xml:space="preserve">se define la fórmula tarifaria general para </w:t>
      </w:r>
      <w:r w:rsidR="005526B7" w:rsidRPr="00682149">
        <w:rPr>
          <w:rFonts w:ascii="Arial" w:hAnsi="Arial" w:cs="Arial"/>
          <w:bCs/>
          <w:color w:val="000000" w:themeColor="text1"/>
          <w:sz w:val="24"/>
          <w:szCs w:val="24"/>
        </w:rPr>
        <w:t xml:space="preserve">establecer </w:t>
      </w:r>
      <w:r w:rsidR="00EF7C3E" w:rsidRPr="00682149">
        <w:rPr>
          <w:rFonts w:ascii="Arial" w:hAnsi="Arial" w:cs="Arial"/>
          <w:bCs/>
          <w:color w:val="000000" w:themeColor="text1"/>
          <w:sz w:val="24"/>
          <w:szCs w:val="24"/>
        </w:rPr>
        <w:t>la remuneración de la prestación del servicio de energía eléctrica mediante Soluciones Individuales Solares Fotovoltaicas</w:t>
      </w:r>
      <w:r w:rsidR="00B42CD9" w:rsidRPr="00682149">
        <w:rPr>
          <w:rFonts w:ascii="Arial" w:hAnsi="Arial" w:cs="Arial"/>
          <w:bCs/>
          <w:color w:val="000000" w:themeColor="text1"/>
          <w:sz w:val="24"/>
          <w:szCs w:val="24"/>
        </w:rPr>
        <w:t xml:space="preserve">. Se </w:t>
      </w:r>
      <w:r w:rsidR="00EF7C3E" w:rsidRPr="00682149">
        <w:rPr>
          <w:rFonts w:ascii="Arial" w:hAnsi="Arial" w:cs="Arial"/>
          <w:bCs/>
          <w:color w:val="000000" w:themeColor="text1"/>
          <w:sz w:val="24"/>
          <w:szCs w:val="24"/>
        </w:rPr>
        <w:t>invitó a los agentes, a los usuarios, a las autoridades</w:t>
      </w:r>
      <w:r w:rsidR="00EF7C3E" w:rsidRPr="00682149">
        <w:rPr>
          <w:rFonts w:ascii="Arial" w:hAnsi="Arial" w:cs="Arial"/>
          <w:color w:val="000000" w:themeColor="text1"/>
          <w:sz w:val="24"/>
          <w:szCs w:val="24"/>
        </w:rPr>
        <w:t xml:space="preserve"> locales municipale</w:t>
      </w:r>
      <w:r w:rsidR="00B42CD9" w:rsidRPr="00682149">
        <w:rPr>
          <w:rFonts w:ascii="Arial" w:hAnsi="Arial" w:cs="Arial"/>
          <w:color w:val="000000" w:themeColor="text1"/>
          <w:sz w:val="24"/>
          <w:szCs w:val="24"/>
        </w:rPr>
        <w:t>s y departamentales competentes</w:t>
      </w:r>
      <w:r w:rsidR="00EF7C3E" w:rsidRPr="00682149">
        <w:rPr>
          <w:rFonts w:ascii="Arial" w:hAnsi="Arial" w:cs="Arial"/>
          <w:color w:val="000000" w:themeColor="text1"/>
          <w:sz w:val="24"/>
          <w:szCs w:val="24"/>
        </w:rPr>
        <w:t xml:space="preserve"> y</w:t>
      </w:r>
      <w:r w:rsidR="003B7D2F" w:rsidRPr="00682149">
        <w:rPr>
          <w:rFonts w:ascii="Arial" w:hAnsi="Arial" w:cs="Arial"/>
          <w:color w:val="000000" w:themeColor="text1"/>
          <w:sz w:val="24"/>
          <w:szCs w:val="24"/>
        </w:rPr>
        <w:t>,</w:t>
      </w:r>
      <w:r w:rsidR="00EF7C3E" w:rsidRPr="00682149">
        <w:rPr>
          <w:rFonts w:ascii="Arial" w:hAnsi="Arial" w:cs="Arial"/>
          <w:color w:val="000000" w:themeColor="text1"/>
          <w:sz w:val="24"/>
          <w:szCs w:val="24"/>
        </w:rPr>
        <w:t xml:space="preserve"> a la Superintendencia de Servicios Públicos Domiciliarios, para que remitan sus observaciones o</w:t>
      </w:r>
      <w:r w:rsidR="003B7D2F" w:rsidRPr="00682149">
        <w:rPr>
          <w:rFonts w:ascii="Arial" w:hAnsi="Arial" w:cs="Arial"/>
          <w:color w:val="000000" w:themeColor="text1"/>
          <w:sz w:val="24"/>
          <w:szCs w:val="24"/>
        </w:rPr>
        <w:t xml:space="preserve"> sugerencias sobre la </w:t>
      </w:r>
      <w:r w:rsidR="003B7D2F" w:rsidRPr="00682149">
        <w:rPr>
          <w:rFonts w:ascii="Arial" w:hAnsi="Arial" w:cs="Arial"/>
          <w:color w:val="000000" w:themeColor="text1"/>
          <w:sz w:val="24"/>
          <w:szCs w:val="24"/>
        </w:rPr>
        <w:lastRenderedPageBreak/>
        <w:t>propuesta</w:t>
      </w:r>
      <w:r w:rsidR="00EF7C3E" w:rsidRPr="00682149">
        <w:rPr>
          <w:rFonts w:ascii="Arial" w:hAnsi="Arial" w:cs="Arial"/>
          <w:color w:val="000000" w:themeColor="text1"/>
          <w:sz w:val="24"/>
          <w:szCs w:val="24"/>
        </w:rPr>
        <w:t xml:space="preserve"> dentro de los dos (2) meses siguientes</w:t>
      </w:r>
      <w:r w:rsidR="003B7D2F" w:rsidRPr="00682149">
        <w:rPr>
          <w:rFonts w:ascii="Arial" w:hAnsi="Arial" w:cs="Arial"/>
          <w:color w:val="000000" w:themeColor="text1"/>
          <w:sz w:val="24"/>
          <w:szCs w:val="24"/>
        </w:rPr>
        <w:t xml:space="preserve">, contados a partir de </w:t>
      </w:r>
      <w:r w:rsidR="00EF7C3E" w:rsidRPr="00682149">
        <w:rPr>
          <w:rFonts w:ascii="Arial" w:hAnsi="Arial" w:cs="Arial"/>
          <w:color w:val="000000" w:themeColor="text1"/>
          <w:sz w:val="24"/>
          <w:szCs w:val="24"/>
        </w:rPr>
        <w:t>la publicación de la resolución en la página web de la Comisión de Regulación de Energía y Gas</w:t>
      </w:r>
      <w:r w:rsidR="005526B7" w:rsidRPr="00682149">
        <w:rPr>
          <w:rFonts w:ascii="Arial" w:hAnsi="Arial" w:cs="Arial"/>
          <w:color w:val="000000" w:themeColor="text1"/>
          <w:sz w:val="24"/>
          <w:szCs w:val="24"/>
        </w:rPr>
        <w:t xml:space="preserve"> CREG</w:t>
      </w:r>
      <w:r w:rsidR="00EF7C3E" w:rsidRPr="00682149">
        <w:rPr>
          <w:rFonts w:ascii="Arial" w:hAnsi="Arial" w:cs="Arial"/>
          <w:color w:val="000000" w:themeColor="text1"/>
          <w:sz w:val="24"/>
          <w:szCs w:val="24"/>
        </w:rPr>
        <w:t>.</w:t>
      </w:r>
    </w:p>
    <w:p w14:paraId="50590BB8" w14:textId="77777777" w:rsidR="00EF7C3E" w:rsidRPr="00682149" w:rsidRDefault="00EF7C3E" w:rsidP="001C138F">
      <w:pPr>
        <w:spacing w:after="0" w:line="276" w:lineRule="auto"/>
        <w:jc w:val="both"/>
        <w:rPr>
          <w:rFonts w:ascii="Arial" w:hAnsi="Arial" w:cs="Arial"/>
          <w:color w:val="000000" w:themeColor="text1"/>
          <w:sz w:val="24"/>
          <w:szCs w:val="24"/>
        </w:rPr>
      </w:pPr>
    </w:p>
    <w:p w14:paraId="5A74D44B" w14:textId="0EE22CD4" w:rsidR="00EF7C3E" w:rsidRDefault="00C530B8" w:rsidP="001C138F">
      <w:pPr>
        <w:spacing w:after="0" w:line="276" w:lineRule="auto"/>
        <w:ind w:left="61"/>
        <w:jc w:val="both"/>
        <w:rPr>
          <w:rFonts w:ascii="Arial" w:hAnsi="Arial" w:cs="Arial"/>
          <w:color w:val="000000" w:themeColor="text1"/>
          <w:sz w:val="24"/>
          <w:szCs w:val="24"/>
        </w:rPr>
      </w:pPr>
      <w:r w:rsidRPr="00682149">
        <w:rPr>
          <w:rFonts w:ascii="Arial" w:hAnsi="Arial" w:cs="Arial"/>
          <w:b/>
          <w:color w:val="000000" w:themeColor="text1"/>
          <w:sz w:val="24"/>
          <w:szCs w:val="24"/>
        </w:rPr>
        <w:t>3.</w:t>
      </w:r>
      <w:r w:rsidR="009F13EE" w:rsidRPr="00682149">
        <w:rPr>
          <w:rFonts w:ascii="Arial" w:hAnsi="Arial" w:cs="Arial"/>
          <w:b/>
          <w:color w:val="000000" w:themeColor="text1"/>
          <w:sz w:val="24"/>
          <w:szCs w:val="24"/>
        </w:rPr>
        <w:t>6</w:t>
      </w:r>
      <w:r w:rsidRPr="00682149">
        <w:rPr>
          <w:rFonts w:ascii="Arial" w:hAnsi="Arial" w:cs="Arial"/>
          <w:b/>
          <w:color w:val="000000" w:themeColor="text1"/>
          <w:sz w:val="24"/>
          <w:szCs w:val="24"/>
        </w:rPr>
        <w:t xml:space="preserve">. </w:t>
      </w:r>
      <w:r w:rsidR="00EF7C3E" w:rsidRPr="00682149">
        <w:rPr>
          <w:rFonts w:ascii="Arial" w:hAnsi="Arial" w:cs="Arial"/>
          <w:color w:val="000000" w:themeColor="text1"/>
          <w:sz w:val="24"/>
          <w:szCs w:val="24"/>
        </w:rPr>
        <w:t xml:space="preserve">Igualmente, </w:t>
      </w:r>
      <w:r w:rsidR="003B7D2F" w:rsidRPr="00682149">
        <w:rPr>
          <w:rFonts w:ascii="Arial" w:hAnsi="Arial" w:cs="Arial"/>
          <w:color w:val="000000" w:themeColor="text1"/>
          <w:sz w:val="24"/>
          <w:szCs w:val="24"/>
        </w:rPr>
        <w:t>consta</w:t>
      </w:r>
      <w:r w:rsidRPr="00682149">
        <w:rPr>
          <w:rFonts w:ascii="Arial" w:hAnsi="Arial" w:cs="Arial"/>
          <w:color w:val="000000" w:themeColor="text1"/>
          <w:sz w:val="24"/>
          <w:szCs w:val="24"/>
        </w:rPr>
        <w:t xml:space="preserve"> la </w:t>
      </w:r>
      <w:r w:rsidR="00EF7C3E" w:rsidRPr="00682149">
        <w:rPr>
          <w:rFonts w:ascii="Arial" w:hAnsi="Arial" w:cs="Arial"/>
          <w:color w:val="000000" w:themeColor="text1"/>
          <w:sz w:val="24"/>
          <w:szCs w:val="24"/>
        </w:rPr>
        <w:t xml:space="preserve">Resolución 091 de 26 de octubre de 2007, mediante la cual </w:t>
      </w:r>
      <w:r w:rsidR="00EF7C3E" w:rsidRPr="00682149">
        <w:rPr>
          <w:rFonts w:ascii="Arial" w:hAnsi="Arial" w:cs="Arial"/>
          <w:bCs/>
          <w:color w:val="000000" w:themeColor="text1"/>
          <w:sz w:val="24"/>
          <w:szCs w:val="24"/>
        </w:rPr>
        <w:t>la Comisión de Regulación</w:t>
      </w:r>
      <w:r w:rsidRPr="00682149">
        <w:rPr>
          <w:rFonts w:ascii="Arial" w:hAnsi="Arial" w:cs="Arial"/>
          <w:bCs/>
          <w:color w:val="000000" w:themeColor="text1"/>
          <w:sz w:val="24"/>
          <w:szCs w:val="24"/>
        </w:rPr>
        <w:t xml:space="preserve"> de Energía y Gas estableció la</w:t>
      </w:r>
      <w:r w:rsidR="00531C6B" w:rsidRPr="00682149">
        <w:rPr>
          <w:rFonts w:ascii="Arial" w:hAnsi="Arial" w:cs="Arial"/>
          <w:bCs/>
          <w:color w:val="000000" w:themeColor="text1"/>
          <w:sz w:val="24"/>
          <w:szCs w:val="24"/>
        </w:rPr>
        <w:t xml:space="preserve"> metodología general</w:t>
      </w:r>
      <w:r w:rsidR="00EF7C3E" w:rsidRPr="00682149">
        <w:rPr>
          <w:rFonts w:ascii="Arial" w:hAnsi="Arial" w:cs="Arial"/>
          <w:bCs/>
          <w:color w:val="000000" w:themeColor="text1"/>
          <w:sz w:val="24"/>
          <w:szCs w:val="24"/>
        </w:rPr>
        <w:t xml:space="preserve"> para remunerar las actividades de generación, distribución y comercialización de energía eléctrica y las fórmulas tarifarias generales para establecer el costo unitario de prestación del servicio público de energía eléctrica en zonas no interconectadas,</w:t>
      </w:r>
      <w:r w:rsidR="00EF7C3E" w:rsidRPr="00682149">
        <w:rPr>
          <w:rFonts w:ascii="Arial" w:hAnsi="Arial" w:cs="Arial"/>
          <w:color w:val="000000" w:themeColor="text1"/>
          <w:sz w:val="24"/>
          <w:szCs w:val="24"/>
        </w:rPr>
        <w:t xml:space="preserve"> </w:t>
      </w:r>
      <w:r w:rsidR="00B42CD9" w:rsidRPr="00682149">
        <w:rPr>
          <w:rFonts w:ascii="Arial" w:hAnsi="Arial" w:cs="Arial"/>
          <w:color w:val="000000" w:themeColor="text1"/>
          <w:sz w:val="24"/>
          <w:szCs w:val="24"/>
        </w:rPr>
        <w:t>comprendida</w:t>
      </w:r>
      <w:r w:rsidR="00EF7C3E" w:rsidRPr="00682149">
        <w:rPr>
          <w:rFonts w:ascii="Arial" w:hAnsi="Arial" w:cs="Arial"/>
          <w:color w:val="000000" w:themeColor="text1"/>
          <w:sz w:val="24"/>
          <w:szCs w:val="24"/>
        </w:rPr>
        <w:t xml:space="preserve">s por los municipios, localidades y caseríos no conectados al Sistema Interconectado Nacional SIN. </w:t>
      </w:r>
    </w:p>
    <w:p w14:paraId="15DE8B1F" w14:textId="77777777" w:rsidR="000C2447" w:rsidRPr="00682149" w:rsidRDefault="000C2447" w:rsidP="001C138F">
      <w:pPr>
        <w:spacing w:after="0" w:line="276" w:lineRule="auto"/>
        <w:ind w:left="61"/>
        <w:jc w:val="both"/>
        <w:rPr>
          <w:rFonts w:ascii="Arial" w:hAnsi="Arial" w:cs="Arial"/>
          <w:color w:val="000000" w:themeColor="text1"/>
          <w:sz w:val="24"/>
          <w:szCs w:val="24"/>
        </w:rPr>
      </w:pPr>
    </w:p>
    <w:p w14:paraId="34DB8BF9" w14:textId="0BC60333" w:rsidR="00EF7C3E" w:rsidRPr="00682149" w:rsidRDefault="00C530B8" w:rsidP="001C138F">
      <w:pPr>
        <w:pStyle w:val="Ttulo1"/>
        <w:spacing w:before="0" w:line="276" w:lineRule="auto"/>
        <w:jc w:val="both"/>
        <w:rPr>
          <w:rFonts w:ascii="Arial" w:hAnsi="Arial" w:cs="Arial"/>
          <w:color w:val="000000" w:themeColor="text1"/>
          <w:sz w:val="24"/>
          <w:szCs w:val="24"/>
        </w:rPr>
      </w:pPr>
      <w:r w:rsidRPr="00682149">
        <w:rPr>
          <w:rFonts w:ascii="Arial" w:eastAsiaTheme="minorHAnsi" w:hAnsi="Arial" w:cs="Arial"/>
          <w:b/>
          <w:color w:val="000000" w:themeColor="text1"/>
          <w:sz w:val="24"/>
          <w:szCs w:val="24"/>
        </w:rPr>
        <w:t>3.</w:t>
      </w:r>
      <w:r w:rsidR="009F13EE" w:rsidRPr="00682149">
        <w:rPr>
          <w:rFonts w:ascii="Arial" w:eastAsiaTheme="minorHAnsi" w:hAnsi="Arial" w:cs="Arial"/>
          <w:b/>
          <w:color w:val="000000" w:themeColor="text1"/>
          <w:sz w:val="24"/>
          <w:szCs w:val="24"/>
        </w:rPr>
        <w:t>7.</w:t>
      </w:r>
      <w:r w:rsidR="00EF7C3E" w:rsidRPr="00682149">
        <w:rPr>
          <w:rFonts w:ascii="Arial" w:eastAsiaTheme="minorHAnsi" w:hAnsi="Arial" w:cs="Arial"/>
          <w:i/>
          <w:color w:val="000000" w:themeColor="text1"/>
          <w:sz w:val="24"/>
          <w:szCs w:val="24"/>
        </w:rPr>
        <w:t xml:space="preserve"> </w:t>
      </w:r>
      <w:r w:rsidRPr="00682149">
        <w:rPr>
          <w:rFonts w:ascii="Arial" w:hAnsi="Arial" w:cs="Arial"/>
          <w:color w:val="000000" w:themeColor="text1"/>
          <w:sz w:val="24"/>
          <w:szCs w:val="24"/>
        </w:rPr>
        <w:t xml:space="preserve">También consta </w:t>
      </w:r>
      <w:r w:rsidR="00EF7C3E" w:rsidRPr="00682149">
        <w:rPr>
          <w:rFonts w:ascii="Arial" w:hAnsi="Arial" w:cs="Arial"/>
          <w:color w:val="000000" w:themeColor="text1"/>
          <w:sz w:val="24"/>
          <w:szCs w:val="24"/>
        </w:rPr>
        <w:t xml:space="preserve">el concepto dirigido por el Director </w:t>
      </w:r>
      <w:r w:rsidR="005B1CF5" w:rsidRPr="00682149">
        <w:rPr>
          <w:rFonts w:ascii="Arial" w:hAnsi="Arial" w:cs="Arial"/>
          <w:color w:val="000000" w:themeColor="text1"/>
          <w:sz w:val="24"/>
          <w:szCs w:val="24"/>
        </w:rPr>
        <w:t>J</w:t>
      </w:r>
      <w:r w:rsidR="00EF7C3E" w:rsidRPr="00682149">
        <w:rPr>
          <w:rFonts w:ascii="Arial" w:hAnsi="Arial" w:cs="Arial"/>
          <w:color w:val="000000" w:themeColor="text1"/>
          <w:sz w:val="24"/>
          <w:szCs w:val="24"/>
        </w:rPr>
        <w:t xml:space="preserve">urídico </w:t>
      </w:r>
      <w:r w:rsidR="00D23D43" w:rsidRPr="00682149">
        <w:rPr>
          <w:rFonts w:ascii="Arial" w:hAnsi="Arial" w:cs="Arial"/>
          <w:color w:val="000000" w:themeColor="text1"/>
          <w:sz w:val="24"/>
          <w:szCs w:val="24"/>
        </w:rPr>
        <w:t>de la Comisión a</w:t>
      </w:r>
      <w:r w:rsidR="00EF7C3E" w:rsidRPr="00682149">
        <w:rPr>
          <w:rFonts w:ascii="Arial" w:hAnsi="Arial" w:cs="Arial"/>
          <w:color w:val="000000" w:themeColor="text1"/>
          <w:sz w:val="24"/>
          <w:szCs w:val="24"/>
        </w:rPr>
        <w:t xml:space="preserve">l Director General de la Comisión de Regulación de Energía y Gas el cual pone de manifiesto la </w:t>
      </w:r>
      <w:r w:rsidR="003B7D2F" w:rsidRPr="00682149">
        <w:rPr>
          <w:rFonts w:ascii="Arial" w:hAnsi="Arial" w:cs="Arial"/>
          <w:color w:val="000000" w:themeColor="text1"/>
          <w:sz w:val="24"/>
          <w:szCs w:val="24"/>
        </w:rPr>
        <w:t>necesidad de expedir una tarifa</w:t>
      </w:r>
      <w:r w:rsidR="00EF7C3E" w:rsidRPr="00682149">
        <w:rPr>
          <w:rFonts w:ascii="Arial" w:hAnsi="Arial" w:cs="Arial"/>
          <w:color w:val="000000" w:themeColor="text1"/>
          <w:sz w:val="24"/>
          <w:szCs w:val="24"/>
        </w:rPr>
        <w:t xml:space="preserve"> transitoria </w:t>
      </w:r>
      <w:r w:rsidR="00FD24A4" w:rsidRPr="00682149">
        <w:rPr>
          <w:rFonts w:ascii="Arial" w:hAnsi="Arial" w:cs="Arial"/>
          <w:color w:val="000000" w:themeColor="text1"/>
          <w:sz w:val="24"/>
          <w:szCs w:val="24"/>
        </w:rPr>
        <w:t xml:space="preserve">para soluciones individuales fotovoltaicas </w:t>
      </w:r>
      <w:r w:rsidR="00EF7C3E" w:rsidRPr="00682149">
        <w:rPr>
          <w:rFonts w:ascii="Arial" w:hAnsi="Arial" w:cs="Arial"/>
          <w:color w:val="000000" w:themeColor="text1"/>
          <w:sz w:val="24"/>
          <w:szCs w:val="24"/>
        </w:rPr>
        <w:t>en zonas no interconectadas</w:t>
      </w:r>
      <w:r w:rsidR="00A46B68" w:rsidRPr="00682149">
        <w:rPr>
          <w:rFonts w:ascii="Arial" w:hAnsi="Arial" w:cs="Arial"/>
          <w:color w:val="000000" w:themeColor="text1"/>
          <w:sz w:val="24"/>
          <w:szCs w:val="24"/>
        </w:rPr>
        <w:t xml:space="preserve">, en el que se menciona, </w:t>
      </w:r>
      <w:r w:rsidR="007419B4" w:rsidRPr="00682149">
        <w:rPr>
          <w:rFonts w:ascii="Arial" w:hAnsi="Arial" w:cs="Arial"/>
          <w:color w:val="000000" w:themeColor="text1"/>
          <w:sz w:val="24"/>
          <w:szCs w:val="24"/>
        </w:rPr>
        <w:t xml:space="preserve">de manera especial, </w:t>
      </w:r>
      <w:r w:rsidR="00A46B68" w:rsidRPr="00682149">
        <w:rPr>
          <w:rFonts w:ascii="Arial" w:hAnsi="Arial" w:cs="Arial"/>
          <w:color w:val="000000" w:themeColor="text1"/>
          <w:sz w:val="24"/>
          <w:szCs w:val="24"/>
        </w:rPr>
        <w:t>lo siguiente</w:t>
      </w:r>
      <w:r w:rsidR="003C7B5D" w:rsidRPr="00682149">
        <w:rPr>
          <w:rFonts w:ascii="Arial" w:hAnsi="Arial" w:cs="Arial"/>
          <w:color w:val="000000" w:themeColor="text1"/>
          <w:sz w:val="24"/>
          <w:szCs w:val="24"/>
        </w:rPr>
        <w:t>:</w:t>
      </w:r>
      <w:r w:rsidR="00EF7C3E" w:rsidRPr="00682149">
        <w:rPr>
          <w:rFonts w:ascii="Arial" w:hAnsi="Arial" w:cs="Arial"/>
          <w:color w:val="000000" w:themeColor="text1"/>
          <w:sz w:val="24"/>
          <w:szCs w:val="24"/>
        </w:rPr>
        <w:t xml:space="preserve"> </w:t>
      </w:r>
    </w:p>
    <w:p w14:paraId="2DE9DA02" w14:textId="77777777" w:rsidR="005B1CF5" w:rsidRPr="00682149" w:rsidRDefault="00EF7C3E" w:rsidP="001C138F">
      <w:pPr>
        <w:spacing w:after="0" w:line="276" w:lineRule="auto"/>
        <w:jc w:val="both"/>
        <w:rPr>
          <w:rFonts w:ascii="Arial" w:hAnsi="Arial" w:cs="Arial"/>
          <w:i/>
          <w:color w:val="000000" w:themeColor="text1"/>
        </w:rPr>
      </w:pPr>
      <w:r w:rsidRPr="00682149">
        <w:rPr>
          <w:rFonts w:ascii="Arial" w:hAnsi="Arial" w:cs="Arial"/>
          <w:i/>
          <w:color w:val="000000" w:themeColor="text1"/>
        </w:rPr>
        <w:t xml:space="preserve">  </w:t>
      </w:r>
    </w:p>
    <w:p w14:paraId="43BDC334" w14:textId="0584875B" w:rsidR="00EE0E9D" w:rsidRPr="00682149" w:rsidRDefault="00C042D0" w:rsidP="001C138F">
      <w:pPr>
        <w:pStyle w:val="Prrafodelista"/>
        <w:numPr>
          <w:ilvl w:val="0"/>
          <w:numId w:val="21"/>
        </w:numPr>
        <w:spacing w:after="0" w:line="276" w:lineRule="auto"/>
        <w:jc w:val="both"/>
        <w:rPr>
          <w:rFonts w:ascii="Arial" w:hAnsi="Arial" w:cs="Arial"/>
          <w:i/>
          <w:color w:val="000000" w:themeColor="text1"/>
        </w:rPr>
      </w:pPr>
      <w:r w:rsidRPr="00682149">
        <w:rPr>
          <w:rFonts w:ascii="Arial" w:hAnsi="Arial" w:cs="Arial"/>
          <w:color w:val="000000" w:themeColor="text1"/>
          <w:sz w:val="24"/>
          <w:szCs w:val="24"/>
        </w:rPr>
        <w:t>A</w:t>
      </w:r>
      <w:r w:rsidR="00EF7C3E" w:rsidRPr="00682149">
        <w:rPr>
          <w:rFonts w:ascii="Arial" w:hAnsi="Arial" w:cs="Arial"/>
          <w:color w:val="000000" w:themeColor="text1"/>
          <w:sz w:val="24"/>
          <w:szCs w:val="24"/>
        </w:rPr>
        <w:t>l</w:t>
      </w:r>
      <w:r w:rsidR="003C7B5D" w:rsidRPr="00682149">
        <w:rPr>
          <w:rFonts w:ascii="Arial" w:hAnsi="Arial" w:cs="Arial"/>
          <w:color w:val="000000" w:themeColor="text1"/>
          <w:sz w:val="24"/>
          <w:szCs w:val="24"/>
        </w:rPr>
        <w:t xml:space="preserve"> momento, no existe una tarifa </w:t>
      </w:r>
      <w:r w:rsidR="00EF7C3E" w:rsidRPr="00682149">
        <w:rPr>
          <w:rFonts w:ascii="Arial" w:hAnsi="Arial" w:cs="Arial"/>
          <w:color w:val="000000" w:themeColor="text1"/>
          <w:sz w:val="24"/>
          <w:szCs w:val="24"/>
        </w:rPr>
        <w:t>aprobada para aquellas soluciones cu</w:t>
      </w:r>
      <w:r w:rsidR="00B42CD9" w:rsidRPr="00682149">
        <w:rPr>
          <w:rFonts w:ascii="Arial" w:hAnsi="Arial" w:cs="Arial"/>
          <w:color w:val="000000" w:themeColor="text1"/>
          <w:sz w:val="24"/>
          <w:szCs w:val="24"/>
        </w:rPr>
        <w:t xml:space="preserve">ya potencia sea superior a 500 </w:t>
      </w:r>
      <w:proofErr w:type="spellStart"/>
      <w:r w:rsidR="00B42CD9" w:rsidRPr="00682149">
        <w:rPr>
          <w:rFonts w:ascii="Arial" w:hAnsi="Arial" w:cs="Arial"/>
          <w:color w:val="000000" w:themeColor="text1"/>
          <w:sz w:val="24"/>
          <w:szCs w:val="24"/>
        </w:rPr>
        <w:t>Wp</w:t>
      </w:r>
      <w:proofErr w:type="spellEnd"/>
      <w:r w:rsidR="00EF7C3E" w:rsidRPr="00682149">
        <w:rPr>
          <w:rFonts w:ascii="Arial" w:hAnsi="Arial" w:cs="Arial"/>
          <w:color w:val="000000" w:themeColor="text1"/>
          <w:sz w:val="24"/>
          <w:szCs w:val="24"/>
        </w:rPr>
        <w:t>, lo cual puede generar un escenario de incertidumbre respecto de la tarifa aplicable a este tipo de soluciones, las cuales en su mayoría se utilizan para atender a población vulnerable que habita las ZNI.</w:t>
      </w:r>
    </w:p>
    <w:p w14:paraId="0D2CA12E" w14:textId="61F684CB" w:rsidR="00EE0E9D" w:rsidRPr="00682149" w:rsidRDefault="00EF7C3E" w:rsidP="001C138F">
      <w:pPr>
        <w:pStyle w:val="Prrafodelista"/>
        <w:spacing w:after="0" w:line="276" w:lineRule="auto"/>
        <w:ind w:left="787"/>
        <w:jc w:val="both"/>
        <w:rPr>
          <w:rFonts w:ascii="Arial" w:hAnsi="Arial" w:cs="Arial"/>
          <w:i/>
          <w:color w:val="000000" w:themeColor="text1"/>
        </w:rPr>
      </w:pPr>
      <w:r w:rsidRPr="00682149">
        <w:rPr>
          <w:rFonts w:ascii="Arial" w:hAnsi="Arial" w:cs="Arial"/>
          <w:color w:val="000000" w:themeColor="text1"/>
          <w:sz w:val="24"/>
          <w:szCs w:val="24"/>
        </w:rPr>
        <w:t xml:space="preserve">   </w:t>
      </w:r>
    </w:p>
    <w:p w14:paraId="1BC2072C" w14:textId="0201B4B1" w:rsidR="00EE0E9D" w:rsidRPr="00682149" w:rsidRDefault="00D23D43" w:rsidP="001C138F">
      <w:pPr>
        <w:pStyle w:val="Prrafodelista"/>
        <w:numPr>
          <w:ilvl w:val="0"/>
          <w:numId w:val="21"/>
        </w:numPr>
        <w:spacing w:after="0" w:line="276" w:lineRule="auto"/>
        <w:jc w:val="both"/>
        <w:rPr>
          <w:rFonts w:ascii="Arial" w:hAnsi="Arial" w:cs="Arial"/>
          <w:i/>
          <w:color w:val="000000" w:themeColor="text1"/>
        </w:rPr>
      </w:pPr>
      <w:r w:rsidRPr="00682149">
        <w:rPr>
          <w:rFonts w:ascii="Arial" w:hAnsi="Arial" w:cs="Arial"/>
          <w:color w:val="000000" w:themeColor="text1"/>
          <w:sz w:val="24"/>
          <w:szCs w:val="24"/>
        </w:rPr>
        <w:t>E</w:t>
      </w:r>
      <w:r w:rsidR="00EF7C3E" w:rsidRPr="00682149">
        <w:rPr>
          <w:rFonts w:ascii="Arial" w:hAnsi="Arial" w:cs="Arial"/>
          <w:color w:val="000000" w:themeColor="text1"/>
          <w:sz w:val="24"/>
          <w:szCs w:val="24"/>
        </w:rPr>
        <w:t>xis</w:t>
      </w:r>
      <w:r w:rsidR="00B42CD9" w:rsidRPr="00682149">
        <w:rPr>
          <w:rFonts w:ascii="Arial" w:hAnsi="Arial" w:cs="Arial"/>
          <w:color w:val="000000" w:themeColor="text1"/>
          <w:sz w:val="24"/>
          <w:szCs w:val="24"/>
        </w:rPr>
        <w:t xml:space="preserve">te urgencia </w:t>
      </w:r>
      <w:r w:rsidRPr="00682149">
        <w:rPr>
          <w:rFonts w:ascii="Arial" w:hAnsi="Arial" w:cs="Arial"/>
          <w:color w:val="000000" w:themeColor="text1"/>
          <w:sz w:val="24"/>
          <w:szCs w:val="24"/>
        </w:rPr>
        <w:t xml:space="preserve">en </w:t>
      </w:r>
      <w:r w:rsidR="00EF7C3E" w:rsidRPr="00682149">
        <w:rPr>
          <w:rFonts w:ascii="Arial" w:hAnsi="Arial" w:cs="Arial"/>
          <w:color w:val="000000" w:themeColor="text1"/>
          <w:sz w:val="24"/>
          <w:szCs w:val="24"/>
        </w:rPr>
        <w:t>proferir una regulación en el menor tiempo posible, con el fin de proveer las herramientas regulatorias necesarias para viabilizar la prestación del servicio a este tipo de usuarios vulnerables, considerando</w:t>
      </w:r>
      <w:r w:rsidR="007419B4" w:rsidRPr="00682149">
        <w:rPr>
          <w:rFonts w:ascii="Arial" w:hAnsi="Arial" w:cs="Arial"/>
          <w:color w:val="000000" w:themeColor="text1"/>
          <w:sz w:val="24"/>
          <w:szCs w:val="24"/>
        </w:rPr>
        <w:t>:</w:t>
      </w:r>
      <w:r w:rsidR="00EF7C3E" w:rsidRPr="00682149">
        <w:rPr>
          <w:rFonts w:ascii="Arial" w:hAnsi="Arial" w:cs="Arial"/>
          <w:color w:val="000000" w:themeColor="text1"/>
          <w:sz w:val="24"/>
          <w:szCs w:val="24"/>
        </w:rPr>
        <w:t xml:space="preserve"> i) la emergencia sanitaria que atraviesa el país</w:t>
      </w:r>
      <w:r w:rsidR="003C7B5D" w:rsidRPr="00682149">
        <w:rPr>
          <w:rFonts w:ascii="Arial" w:hAnsi="Arial" w:cs="Arial"/>
          <w:color w:val="000000" w:themeColor="text1"/>
          <w:sz w:val="24"/>
          <w:szCs w:val="24"/>
        </w:rPr>
        <w:t xml:space="preserve">; ii) </w:t>
      </w:r>
      <w:r w:rsidR="00EF7C3E" w:rsidRPr="00682149">
        <w:rPr>
          <w:rFonts w:ascii="Arial" w:hAnsi="Arial" w:cs="Arial"/>
          <w:color w:val="000000" w:themeColor="text1"/>
          <w:sz w:val="24"/>
          <w:szCs w:val="24"/>
        </w:rPr>
        <w:t>el nivel de vulnerabilidad de los usuarios potencialmente beneficiarios con esta medida</w:t>
      </w:r>
      <w:r w:rsidR="007419B4" w:rsidRPr="00682149">
        <w:rPr>
          <w:rFonts w:ascii="Arial" w:hAnsi="Arial" w:cs="Arial"/>
          <w:color w:val="000000" w:themeColor="text1"/>
          <w:sz w:val="24"/>
          <w:szCs w:val="24"/>
        </w:rPr>
        <w:t xml:space="preserve">; </w:t>
      </w:r>
      <w:r w:rsidR="00EF7C3E" w:rsidRPr="00682149">
        <w:rPr>
          <w:rFonts w:ascii="Arial" w:hAnsi="Arial" w:cs="Arial"/>
          <w:color w:val="000000" w:themeColor="text1"/>
          <w:sz w:val="24"/>
          <w:szCs w:val="24"/>
        </w:rPr>
        <w:t>y</w:t>
      </w:r>
      <w:r w:rsidR="007419B4" w:rsidRPr="00682149">
        <w:rPr>
          <w:rFonts w:ascii="Arial" w:hAnsi="Arial" w:cs="Arial"/>
          <w:color w:val="000000" w:themeColor="text1"/>
          <w:sz w:val="24"/>
          <w:szCs w:val="24"/>
        </w:rPr>
        <w:t>,</w:t>
      </w:r>
      <w:r w:rsidR="00EF7C3E" w:rsidRPr="00682149">
        <w:rPr>
          <w:rFonts w:ascii="Arial" w:hAnsi="Arial" w:cs="Arial"/>
          <w:color w:val="000000" w:themeColor="text1"/>
          <w:sz w:val="24"/>
          <w:szCs w:val="24"/>
        </w:rPr>
        <w:t xml:space="preserve"> ii) que, de acuerdo con el inventario de infraestructura de SSFVI incluido en el anexo de esta comunicación, la mayoría de las SSFVI instaladas actualmen</w:t>
      </w:r>
      <w:r w:rsidR="00B42CD9" w:rsidRPr="00682149">
        <w:rPr>
          <w:rFonts w:ascii="Arial" w:hAnsi="Arial" w:cs="Arial"/>
          <w:color w:val="000000" w:themeColor="text1"/>
          <w:sz w:val="24"/>
          <w:szCs w:val="24"/>
        </w:rPr>
        <w:t>te en ZNI superan esa potencia</w:t>
      </w:r>
      <w:r w:rsidR="00EF7C3E" w:rsidRPr="00682149">
        <w:rPr>
          <w:rFonts w:ascii="Arial" w:hAnsi="Arial" w:cs="Arial"/>
          <w:color w:val="000000" w:themeColor="text1"/>
          <w:sz w:val="24"/>
          <w:szCs w:val="24"/>
        </w:rPr>
        <w:t>.</w:t>
      </w:r>
    </w:p>
    <w:p w14:paraId="2F5FFAA5" w14:textId="7D99E5F8" w:rsidR="00EE0E9D" w:rsidRPr="00682149" w:rsidRDefault="00EF7C3E" w:rsidP="001C138F">
      <w:pPr>
        <w:pStyle w:val="Prrafodelista"/>
        <w:spacing w:after="0" w:line="276" w:lineRule="auto"/>
        <w:ind w:left="787"/>
        <w:jc w:val="both"/>
        <w:rPr>
          <w:rFonts w:ascii="Arial" w:hAnsi="Arial" w:cs="Arial"/>
          <w:i/>
          <w:color w:val="000000" w:themeColor="text1"/>
        </w:rPr>
      </w:pPr>
      <w:r w:rsidRPr="00682149">
        <w:rPr>
          <w:rFonts w:ascii="Arial" w:hAnsi="Arial" w:cs="Arial"/>
          <w:color w:val="000000" w:themeColor="text1"/>
          <w:sz w:val="24"/>
          <w:szCs w:val="24"/>
        </w:rPr>
        <w:t xml:space="preserve">  </w:t>
      </w:r>
    </w:p>
    <w:p w14:paraId="348C3436" w14:textId="77777777" w:rsidR="001801EC" w:rsidRPr="00682149" w:rsidRDefault="00ED0FA8" w:rsidP="001C138F">
      <w:pPr>
        <w:pStyle w:val="Prrafodelista"/>
        <w:numPr>
          <w:ilvl w:val="0"/>
          <w:numId w:val="21"/>
        </w:numPr>
        <w:spacing w:after="0" w:line="276" w:lineRule="auto"/>
        <w:jc w:val="both"/>
        <w:rPr>
          <w:rFonts w:ascii="Arial" w:hAnsi="Arial" w:cs="Arial"/>
          <w:i/>
          <w:color w:val="000000" w:themeColor="text1"/>
        </w:rPr>
      </w:pPr>
      <w:r w:rsidRPr="00682149">
        <w:rPr>
          <w:rFonts w:ascii="Arial" w:hAnsi="Arial" w:cs="Arial"/>
          <w:color w:val="000000" w:themeColor="text1"/>
          <w:sz w:val="24"/>
          <w:szCs w:val="24"/>
        </w:rPr>
        <w:t>Q</w:t>
      </w:r>
      <w:r w:rsidR="00EF7C3E" w:rsidRPr="00682149">
        <w:rPr>
          <w:rFonts w:ascii="Arial" w:hAnsi="Arial" w:cs="Arial"/>
          <w:color w:val="000000" w:themeColor="text1"/>
          <w:sz w:val="24"/>
          <w:szCs w:val="24"/>
        </w:rPr>
        <w:t xml:space="preserve">uienes </w:t>
      </w:r>
      <w:r w:rsidRPr="00682149">
        <w:rPr>
          <w:rFonts w:ascii="Arial" w:hAnsi="Arial" w:cs="Arial"/>
          <w:color w:val="000000" w:themeColor="text1"/>
          <w:sz w:val="24"/>
          <w:szCs w:val="24"/>
        </w:rPr>
        <w:t xml:space="preserve">pretendan </w:t>
      </w:r>
      <w:r w:rsidR="00EF7C3E" w:rsidRPr="00682149">
        <w:rPr>
          <w:rFonts w:ascii="Arial" w:hAnsi="Arial" w:cs="Arial"/>
          <w:color w:val="000000" w:themeColor="text1"/>
          <w:sz w:val="24"/>
          <w:szCs w:val="24"/>
        </w:rPr>
        <w:t>prestar el servicio de energía eléctrica a través de soluciones individuales fotovoltaicas con una potencia instalada superior a 500Wp, según la metodología tarifaria vigente, tendrían que iniciar un procedimiento administrativo que podría tardarse 3 meses o más teniendo en cuenta los trámites ordinarios que deben surtirse</w:t>
      </w:r>
      <w:r w:rsidR="00890FBC" w:rsidRPr="00682149">
        <w:rPr>
          <w:rFonts w:ascii="Arial" w:hAnsi="Arial" w:cs="Arial"/>
          <w:color w:val="000000" w:themeColor="text1"/>
          <w:sz w:val="24"/>
          <w:szCs w:val="24"/>
        </w:rPr>
        <w:t>.</w:t>
      </w:r>
      <w:r w:rsidR="00EF7C3E" w:rsidRPr="00682149">
        <w:rPr>
          <w:rFonts w:ascii="Arial" w:hAnsi="Arial" w:cs="Arial"/>
          <w:color w:val="000000" w:themeColor="text1"/>
          <w:sz w:val="24"/>
          <w:szCs w:val="24"/>
        </w:rPr>
        <w:t xml:space="preserve"> Esto genera</w:t>
      </w:r>
      <w:r w:rsidRPr="00682149">
        <w:rPr>
          <w:rFonts w:ascii="Arial" w:hAnsi="Arial" w:cs="Arial"/>
          <w:color w:val="000000" w:themeColor="text1"/>
          <w:sz w:val="24"/>
          <w:szCs w:val="24"/>
        </w:rPr>
        <w:t>ría</w:t>
      </w:r>
      <w:r w:rsidR="00EF7C3E" w:rsidRPr="00682149">
        <w:rPr>
          <w:rFonts w:ascii="Arial" w:hAnsi="Arial" w:cs="Arial"/>
          <w:color w:val="000000" w:themeColor="text1"/>
          <w:sz w:val="24"/>
          <w:szCs w:val="24"/>
        </w:rPr>
        <w:t xml:space="preserve"> una barrera temporal en el acceso a contar con un cargo tarifario aprobado. Adicionalmente, de cara a la prestación del servicio, adelantar el procedimiento ordinario tiene como consecuencia que las empresas no puedan recuperar los costos propios de la prestación del servicio hasta el momento en que quede aprobado el cargo tarifario.</w:t>
      </w:r>
    </w:p>
    <w:p w14:paraId="3B8614D2" w14:textId="01BBCE6B" w:rsidR="001801EC" w:rsidRPr="00682149" w:rsidRDefault="00EF7C3E" w:rsidP="001C138F">
      <w:pPr>
        <w:pStyle w:val="Prrafodelista"/>
        <w:spacing w:after="0" w:line="276" w:lineRule="auto"/>
        <w:ind w:left="787"/>
        <w:jc w:val="both"/>
        <w:rPr>
          <w:rFonts w:ascii="Arial" w:hAnsi="Arial" w:cs="Arial"/>
          <w:i/>
          <w:color w:val="000000" w:themeColor="text1"/>
        </w:rPr>
      </w:pPr>
      <w:r w:rsidRPr="00682149">
        <w:rPr>
          <w:rFonts w:ascii="Arial" w:hAnsi="Arial" w:cs="Arial"/>
          <w:color w:val="000000" w:themeColor="text1"/>
          <w:sz w:val="24"/>
          <w:szCs w:val="24"/>
        </w:rPr>
        <w:t xml:space="preserve">  </w:t>
      </w:r>
    </w:p>
    <w:p w14:paraId="68B238F2" w14:textId="21D99DEC" w:rsidR="00EF7C3E" w:rsidRPr="00682149" w:rsidRDefault="00D23D43" w:rsidP="001C138F">
      <w:pPr>
        <w:pStyle w:val="Prrafodelista"/>
        <w:numPr>
          <w:ilvl w:val="0"/>
          <w:numId w:val="21"/>
        </w:numPr>
        <w:spacing w:after="0" w:line="276" w:lineRule="auto"/>
        <w:jc w:val="both"/>
        <w:rPr>
          <w:rFonts w:ascii="Arial" w:hAnsi="Arial" w:cs="Arial"/>
          <w:i/>
          <w:color w:val="000000" w:themeColor="text1"/>
        </w:rPr>
      </w:pPr>
      <w:r w:rsidRPr="00682149">
        <w:rPr>
          <w:rFonts w:ascii="Arial" w:hAnsi="Arial" w:cs="Arial"/>
          <w:color w:val="000000" w:themeColor="text1"/>
          <w:sz w:val="24"/>
          <w:szCs w:val="24"/>
        </w:rPr>
        <w:t xml:space="preserve">De </w:t>
      </w:r>
      <w:r w:rsidR="00EF7C3E" w:rsidRPr="00682149">
        <w:rPr>
          <w:rFonts w:ascii="Arial" w:hAnsi="Arial" w:cs="Arial"/>
          <w:color w:val="000000" w:themeColor="text1"/>
          <w:sz w:val="24"/>
          <w:szCs w:val="24"/>
        </w:rPr>
        <w:t>no expedirse de forma inmediata una regulación transitoria que cubra la prestación del servicio a través de estas soluciones, mientras se expide aquella ordinaria</w:t>
      </w:r>
      <w:r w:rsidR="00065B3F" w:rsidRPr="00682149">
        <w:rPr>
          <w:rFonts w:ascii="Arial" w:hAnsi="Arial" w:cs="Arial"/>
          <w:color w:val="000000" w:themeColor="text1"/>
          <w:sz w:val="24"/>
          <w:szCs w:val="24"/>
        </w:rPr>
        <w:t xml:space="preserve">, que </w:t>
      </w:r>
      <w:r w:rsidR="00EF7C3E" w:rsidRPr="00682149">
        <w:rPr>
          <w:rFonts w:ascii="Arial" w:hAnsi="Arial" w:cs="Arial"/>
          <w:color w:val="000000" w:themeColor="text1"/>
          <w:sz w:val="24"/>
          <w:szCs w:val="24"/>
        </w:rPr>
        <w:t xml:space="preserve">podría tardar entre 6 y 7 meses, las empresas con activos para el suministro de energía a través de soluciones individuales, </w:t>
      </w:r>
      <w:r w:rsidR="00EF7C3E" w:rsidRPr="00682149">
        <w:rPr>
          <w:rFonts w:ascii="Arial" w:hAnsi="Arial" w:cs="Arial"/>
          <w:color w:val="000000" w:themeColor="text1"/>
          <w:sz w:val="24"/>
          <w:szCs w:val="24"/>
        </w:rPr>
        <w:lastRenderedPageBreak/>
        <w:t>podrían detener de inmediato esta actividad mientras tramitan la solicitud de cargos ante la CREG</w:t>
      </w:r>
      <w:r w:rsidRPr="00682149">
        <w:rPr>
          <w:rFonts w:ascii="Arial" w:hAnsi="Arial" w:cs="Arial"/>
          <w:color w:val="000000" w:themeColor="text1"/>
          <w:sz w:val="24"/>
          <w:szCs w:val="24"/>
        </w:rPr>
        <w:t xml:space="preserve">, lo cual </w:t>
      </w:r>
      <w:r w:rsidR="00EF7C3E" w:rsidRPr="00682149">
        <w:rPr>
          <w:rFonts w:ascii="Arial" w:hAnsi="Arial" w:cs="Arial"/>
          <w:color w:val="000000" w:themeColor="text1"/>
          <w:sz w:val="24"/>
          <w:szCs w:val="24"/>
        </w:rPr>
        <w:t>implicaría potencialmente que las 13.000 familias que actualmente dependen de estas soluciones para la pr</w:t>
      </w:r>
      <w:r w:rsidR="00B42CD9" w:rsidRPr="00682149">
        <w:rPr>
          <w:rFonts w:ascii="Arial" w:hAnsi="Arial" w:cs="Arial"/>
          <w:color w:val="000000" w:themeColor="text1"/>
          <w:sz w:val="24"/>
          <w:szCs w:val="24"/>
        </w:rPr>
        <w:t xml:space="preserve">estación del servicio dejen de  </w:t>
      </w:r>
      <w:r w:rsidR="00EF7C3E" w:rsidRPr="00682149">
        <w:rPr>
          <w:rFonts w:ascii="Arial" w:hAnsi="Arial" w:cs="Arial"/>
          <w:color w:val="000000" w:themeColor="text1"/>
          <w:sz w:val="24"/>
          <w:szCs w:val="24"/>
        </w:rPr>
        <w:t>recibir el suministro de energía mientras se normaliza la situación de dichas empresas</w:t>
      </w:r>
      <w:r w:rsidRPr="00682149">
        <w:rPr>
          <w:rFonts w:ascii="Arial" w:hAnsi="Arial" w:cs="Arial"/>
          <w:color w:val="000000" w:themeColor="text1"/>
          <w:sz w:val="24"/>
          <w:szCs w:val="24"/>
        </w:rPr>
        <w:t xml:space="preserve">. </w:t>
      </w:r>
    </w:p>
    <w:p w14:paraId="183F9647" w14:textId="77777777" w:rsidR="00EF7C3E" w:rsidRPr="00682149" w:rsidRDefault="00EF7C3E" w:rsidP="001C138F">
      <w:pPr>
        <w:spacing w:after="0" w:line="276" w:lineRule="auto"/>
        <w:ind w:left="567"/>
        <w:jc w:val="both"/>
        <w:rPr>
          <w:rFonts w:ascii="Arial" w:eastAsia="Times New Roman" w:hAnsi="Arial" w:cs="Arial"/>
          <w:i/>
          <w:color w:val="000000" w:themeColor="text1"/>
          <w:lang w:val="es-ES" w:eastAsia="es-ES"/>
        </w:rPr>
      </w:pPr>
    </w:p>
    <w:p w14:paraId="624093F8" w14:textId="4B8E8E9E" w:rsidR="00454900" w:rsidRPr="00682149" w:rsidRDefault="00A46B68" w:rsidP="001C138F">
      <w:pPr>
        <w:spacing w:after="0" w:line="276" w:lineRule="auto"/>
        <w:jc w:val="both"/>
        <w:rPr>
          <w:rFonts w:ascii="Arial" w:hAnsi="Arial" w:cs="Arial"/>
          <w:b/>
          <w:color w:val="000000" w:themeColor="text1"/>
          <w:sz w:val="24"/>
          <w:szCs w:val="24"/>
          <w:lang w:val="es-CO"/>
        </w:rPr>
      </w:pPr>
      <w:r w:rsidRPr="00682149">
        <w:rPr>
          <w:rFonts w:ascii="Arial" w:hAnsi="Arial" w:cs="Arial"/>
          <w:b/>
          <w:color w:val="000000" w:themeColor="text1"/>
          <w:sz w:val="24"/>
          <w:szCs w:val="24"/>
          <w:lang w:val="es-CO"/>
        </w:rPr>
        <w:t>4.</w:t>
      </w:r>
      <w:r w:rsidRPr="00682149">
        <w:rPr>
          <w:rFonts w:ascii="Arial" w:hAnsi="Arial" w:cs="Arial"/>
          <w:b/>
          <w:color w:val="000000" w:themeColor="text1"/>
          <w:sz w:val="24"/>
          <w:szCs w:val="24"/>
          <w:lang w:val="es-CO"/>
        </w:rPr>
        <w:tab/>
      </w:r>
      <w:r w:rsidR="00454900" w:rsidRPr="00682149">
        <w:rPr>
          <w:rFonts w:ascii="Arial" w:hAnsi="Arial" w:cs="Arial"/>
          <w:b/>
          <w:color w:val="000000" w:themeColor="text1"/>
          <w:sz w:val="24"/>
          <w:szCs w:val="24"/>
          <w:lang w:val="es-CO"/>
        </w:rPr>
        <w:t xml:space="preserve"> Intervención de la Procuraduría Cuarta Delegada ante el Consejo de Estado</w:t>
      </w:r>
    </w:p>
    <w:p w14:paraId="6279697D" w14:textId="77777777" w:rsidR="00454900" w:rsidRPr="00682149" w:rsidRDefault="00454900" w:rsidP="001C138F">
      <w:pPr>
        <w:spacing w:after="0" w:line="276" w:lineRule="auto"/>
        <w:jc w:val="both"/>
        <w:rPr>
          <w:rFonts w:ascii="Arial" w:eastAsia="Times New Roman" w:hAnsi="Arial" w:cs="Arial"/>
          <w:bCs/>
          <w:color w:val="000000" w:themeColor="text1"/>
          <w:sz w:val="24"/>
          <w:szCs w:val="24"/>
          <w:lang w:val="es-ES" w:eastAsia="es-ES"/>
        </w:rPr>
      </w:pPr>
    </w:p>
    <w:p w14:paraId="60972CFF" w14:textId="167D9337" w:rsidR="003E4DF1" w:rsidRPr="00682149" w:rsidRDefault="00454900" w:rsidP="001C138F">
      <w:pPr>
        <w:tabs>
          <w:tab w:val="left" w:pos="7938"/>
        </w:tabs>
        <w:spacing w:after="0" w:line="276" w:lineRule="auto"/>
        <w:ind w:right="51"/>
        <w:jc w:val="both"/>
        <w:rPr>
          <w:rFonts w:ascii="Arial" w:eastAsia="Arial" w:hAnsi="Arial" w:cs="Arial"/>
          <w:color w:val="000000" w:themeColor="text1"/>
          <w:sz w:val="24"/>
          <w:szCs w:val="24"/>
          <w:lang w:val="es-CO"/>
        </w:rPr>
      </w:pPr>
      <w:r w:rsidRPr="00682149">
        <w:rPr>
          <w:rFonts w:ascii="Arial" w:hAnsi="Arial" w:cs="Arial"/>
          <w:color w:val="000000" w:themeColor="text1"/>
          <w:sz w:val="24"/>
          <w:szCs w:val="24"/>
          <w:lang w:val="es-CO"/>
        </w:rPr>
        <w:t xml:space="preserve">Oportunamente, el señor Procurador Cuarto Delegado ante del Consejo de Estado rindió concepto para pedir que se declare ajustada a derecho </w:t>
      </w:r>
      <w:r w:rsidRPr="00682149">
        <w:rPr>
          <w:rFonts w:ascii="Arial" w:eastAsia="Arial" w:hAnsi="Arial" w:cs="Arial"/>
          <w:color w:val="000000" w:themeColor="text1"/>
          <w:sz w:val="24"/>
          <w:szCs w:val="24"/>
          <w:lang w:val="es-CO"/>
        </w:rPr>
        <w:t>la Resolución</w:t>
      </w:r>
      <w:r w:rsidR="00E75949" w:rsidRPr="00682149">
        <w:rPr>
          <w:rFonts w:ascii="Arial" w:eastAsia="Arial" w:hAnsi="Arial" w:cs="Arial"/>
          <w:color w:val="000000" w:themeColor="text1"/>
          <w:sz w:val="24"/>
          <w:szCs w:val="24"/>
          <w:lang w:val="es-CO"/>
        </w:rPr>
        <w:t xml:space="preserve"> </w:t>
      </w:r>
      <w:r w:rsidR="008E4B25" w:rsidRPr="00682149">
        <w:rPr>
          <w:rFonts w:ascii="Arial" w:eastAsia="Arial" w:hAnsi="Arial" w:cs="Arial"/>
          <w:color w:val="000000" w:themeColor="text1"/>
          <w:sz w:val="24"/>
          <w:szCs w:val="24"/>
          <w:lang w:val="es-CO"/>
        </w:rPr>
        <w:t>CREG -</w:t>
      </w:r>
      <w:r w:rsidR="00E75949" w:rsidRPr="00682149">
        <w:rPr>
          <w:rFonts w:ascii="Arial" w:eastAsia="Arial" w:hAnsi="Arial" w:cs="Arial"/>
          <w:color w:val="000000" w:themeColor="text1"/>
          <w:sz w:val="24"/>
          <w:szCs w:val="24"/>
          <w:lang w:val="es-CO"/>
        </w:rPr>
        <w:t>166</w:t>
      </w:r>
      <w:r w:rsidRPr="00682149">
        <w:rPr>
          <w:rFonts w:ascii="Arial" w:eastAsia="Arial" w:hAnsi="Arial" w:cs="Arial"/>
          <w:color w:val="000000" w:themeColor="text1"/>
          <w:sz w:val="24"/>
          <w:szCs w:val="24"/>
          <w:lang w:val="es-CO"/>
        </w:rPr>
        <w:t>, por encontrar que la medida adopta</w:t>
      </w:r>
      <w:r w:rsidR="00E75949" w:rsidRPr="00682149">
        <w:rPr>
          <w:rFonts w:ascii="Arial" w:eastAsia="Arial" w:hAnsi="Arial" w:cs="Arial"/>
          <w:color w:val="000000" w:themeColor="text1"/>
          <w:sz w:val="24"/>
          <w:szCs w:val="24"/>
          <w:lang w:val="es-CO"/>
        </w:rPr>
        <w:t>da</w:t>
      </w:r>
      <w:r w:rsidR="00A46B68" w:rsidRPr="00682149">
        <w:rPr>
          <w:rFonts w:ascii="Arial" w:eastAsia="Arial" w:hAnsi="Arial" w:cs="Arial"/>
          <w:color w:val="000000" w:themeColor="text1"/>
          <w:sz w:val="24"/>
          <w:szCs w:val="24"/>
          <w:lang w:val="es-CO"/>
        </w:rPr>
        <w:t>,</w:t>
      </w:r>
      <w:r w:rsidRPr="00682149">
        <w:rPr>
          <w:rFonts w:ascii="Arial" w:eastAsia="Arial" w:hAnsi="Arial" w:cs="Arial"/>
          <w:color w:val="000000" w:themeColor="text1"/>
          <w:sz w:val="24"/>
          <w:szCs w:val="24"/>
          <w:lang w:val="es-CO"/>
        </w:rPr>
        <w:t xml:space="preserve"> resulta</w:t>
      </w:r>
      <w:r w:rsidR="008E4B25" w:rsidRPr="00682149">
        <w:rPr>
          <w:rFonts w:ascii="Arial" w:eastAsia="Arial" w:hAnsi="Arial" w:cs="Arial"/>
          <w:color w:val="000000" w:themeColor="text1"/>
          <w:sz w:val="24"/>
          <w:szCs w:val="24"/>
          <w:lang w:val="es-CO"/>
        </w:rPr>
        <w:t>:</w:t>
      </w:r>
      <w:r w:rsidRPr="00682149">
        <w:rPr>
          <w:rFonts w:ascii="Arial" w:eastAsia="Arial" w:hAnsi="Arial" w:cs="Arial"/>
          <w:color w:val="000000" w:themeColor="text1"/>
          <w:sz w:val="24"/>
          <w:szCs w:val="24"/>
          <w:lang w:val="es-CO"/>
        </w:rPr>
        <w:t xml:space="preserve"> (i) proporcionada</w:t>
      </w:r>
      <w:r w:rsidR="004F28DB" w:rsidRPr="00682149">
        <w:rPr>
          <w:rFonts w:ascii="Arial" w:eastAsia="Arial" w:hAnsi="Arial" w:cs="Arial"/>
          <w:color w:val="000000" w:themeColor="text1"/>
          <w:sz w:val="24"/>
          <w:szCs w:val="24"/>
          <w:lang w:val="es-CO"/>
        </w:rPr>
        <w:t>;</w:t>
      </w:r>
      <w:r w:rsidRPr="00682149">
        <w:rPr>
          <w:rFonts w:ascii="Arial" w:eastAsia="Arial" w:hAnsi="Arial" w:cs="Arial"/>
          <w:color w:val="000000" w:themeColor="text1"/>
          <w:sz w:val="24"/>
          <w:szCs w:val="24"/>
          <w:lang w:val="es-CO"/>
        </w:rPr>
        <w:t xml:space="preserve"> (ii) guarda conexidad con las causas y normas que le dieron orige</w:t>
      </w:r>
      <w:r w:rsidR="00835D7E" w:rsidRPr="00682149">
        <w:rPr>
          <w:rFonts w:ascii="Arial" w:eastAsia="Arial" w:hAnsi="Arial" w:cs="Arial"/>
          <w:color w:val="000000" w:themeColor="text1"/>
          <w:sz w:val="24"/>
          <w:szCs w:val="24"/>
          <w:lang w:val="es-CO"/>
        </w:rPr>
        <w:t>n al Estado de Excepción y con el Decreto</w:t>
      </w:r>
      <w:r w:rsidRPr="00682149">
        <w:rPr>
          <w:rFonts w:ascii="Arial" w:eastAsia="Arial" w:hAnsi="Arial" w:cs="Arial"/>
          <w:color w:val="000000" w:themeColor="text1"/>
          <w:sz w:val="24"/>
          <w:szCs w:val="24"/>
          <w:lang w:val="es-CO"/>
        </w:rPr>
        <w:t xml:space="preserve"> Legislativo</w:t>
      </w:r>
      <w:r w:rsidR="00835D7E" w:rsidRPr="00682149">
        <w:rPr>
          <w:rFonts w:ascii="Arial" w:eastAsia="Arial" w:hAnsi="Arial" w:cs="Arial"/>
          <w:color w:val="000000" w:themeColor="text1"/>
          <w:sz w:val="24"/>
          <w:szCs w:val="24"/>
          <w:lang w:val="es-CO"/>
        </w:rPr>
        <w:t xml:space="preserve"> 517</w:t>
      </w:r>
      <w:r w:rsidR="00E75949" w:rsidRPr="00682149">
        <w:rPr>
          <w:rFonts w:ascii="Arial" w:eastAsia="Arial" w:hAnsi="Arial" w:cs="Arial"/>
          <w:color w:val="000000" w:themeColor="text1"/>
          <w:sz w:val="24"/>
          <w:szCs w:val="24"/>
          <w:lang w:val="es-CO"/>
        </w:rPr>
        <w:t xml:space="preserve"> de 2020</w:t>
      </w:r>
      <w:r w:rsidR="00835D7E" w:rsidRPr="00682149">
        <w:rPr>
          <w:rFonts w:ascii="Arial" w:eastAsia="Arial" w:hAnsi="Arial" w:cs="Arial"/>
          <w:color w:val="000000" w:themeColor="text1"/>
          <w:sz w:val="24"/>
          <w:szCs w:val="24"/>
          <w:lang w:val="es-CO"/>
        </w:rPr>
        <w:t xml:space="preserve"> que desarrolla, </w:t>
      </w:r>
      <w:r w:rsidR="00E75949" w:rsidRPr="00682149">
        <w:rPr>
          <w:rFonts w:ascii="Arial" w:eastAsia="Arial" w:hAnsi="Arial" w:cs="Arial"/>
          <w:color w:val="000000" w:themeColor="text1"/>
          <w:sz w:val="24"/>
          <w:szCs w:val="24"/>
          <w:lang w:val="es-CO"/>
        </w:rPr>
        <w:t>en tanto no contraviene el marc</w:t>
      </w:r>
      <w:r w:rsidR="00835D7E" w:rsidRPr="00682149">
        <w:rPr>
          <w:rFonts w:ascii="Arial" w:eastAsia="Arial" w:hAnsi="Arial" w:cs="Arial"/>
          <w:color w:val="000000" w:themeColor="text1"/>
          <w:sz w:val="24"/>
          <w:szCs w:val="24"/>
          <w:lang w:val="es-CO"/>
        </w:rPr>
        <w:t>o jurídico establecido</w:t>
      </w:r>
      <w:r w:rsidR="00E75949" w:rsidRPr="00682149">
        <w:rPr>
          <w:rFonts w:ascii="Arial" w:eastAsia="Arial" w:hAnsi="Arial" w:cs="Arial"/>
          <w:color w:val="000000" w:themeColor="text1"/>
          <w:sz w:val="24"/>
          <w:szCs w:val="24"/>
          <w:lang w:val="es-CO"/>
        </w:rPr>
        <w:t xml:space="preserve"> en una y otra norma</w:t>
      </w:r>
      <w:r w:rsidR="004F28DB" w:rsidRPr="00682149">
        <w:rPr>
          <w:rFonts w:ascii="Arial" w:eastAsia="Arial" w:hAnsi="Arial" w:cs="Arial"/>
          <w:color w:val="000000" w:themeColor="text1"/>
          <w:sz w:val="24"/>
          <w:szCs w:val="24"/>
          <w:lang w:val="es-CO"/>
        </w:rPr>
        <w:t>;</w:t>
      </w:r>
      <w:r w:rsidRPr="00682149">
        <w:rPr>
          <w:rFonts w:ascii="Arial" w:eastAsia="Arial" w:hAnsi="Arial" w:cs="Arial"/>
          <w:color w:val="000000" w:themeColor="text1"/>
          <w:sz w:val="24"/>
          <w:szCs w:val="24"/>
          <w:lang w:val="es-CO"/>
        </w:rPr>
        <w:t xml:space="preserve"> y</w:t>
      </w:r>
      <w:r w:rsidR="004F28DB" w:rsidRPr="00682149">
        <w:rPr>
          <w:rFonts w:ascii="Arial" w:eastAsia="Arial" w:hAnsi="Arial" w:cs="Arial"/>
          <w:color w:val="000000" w:themeColor="text1"/>
          <w:sz w:val="24"/>
          <w:szCs w:val="24"/>
          <w:lang w:val="es-CO"/>
        </w:rPr>
        <w:t>,</w:t>
      </w:r>
      <w:r w:rsidRPr="00682149">
        <w:rPr>
          <w:rFonts w:ascii="Arial" w:eastAsia="Arial" w:hAnsi="Arial" w:cs="Arial"/>
          <w:color w:val="000000" w:themeColor="text1"/>
          <w:sz w:val="24"/>
          <w:szCs w:val="24"/>
          <w:lang w:val="es-CO"/>
        </w:rPr>
        <w:t xml:space="preserve"> iii) es transitoria, por estar supeditada al término de </w:t>
      </w:r>
      <w:r w:rsidRPr="00682149">
        <w:rPr>
          <w:rFonts w:ascii="Arial" w:hAnsi="Arial" w:cs="Arial"/>
          <w:color w:val="000000" w:themeColor="text1"/>
          <w:sz w:val="24"/>
          <w:szCs w:val="24"/>
        </w:rPr>
        <w:t>aislamiento preventivo obligatorio decretado por el Gobierno Nacional.</w:t>
      </w:r>
    </w:p>
    <w:p w14:paraId="5A4FF26D" w14:textId="77777777" w:rsidR="003E4DF1" w:rsidRPr="00682149" w:rsidRDefault="003E4DF1" w:rsidP="001C138F">
      <w:pPr>
        <w:tabs>
          <w:tab w:val="left" w:pos="7938"/>
        </w:tabs>
        <w:spacing w:after="0" w:line="276" w:lineRule="auto"/>
        <w:ind w:right="51"/>
        <w:jc w:val="both"/>
        <w:rPr>
          <w:rFonts w:ascii="Arial" w:eastAsia="Arial" w:hAnsi="Arial" w:cs="Arial"/>
          <w:color w:val="000000" w:themeColor="text1"/>
          <w:sz w:val="24"/>
          <w:szCs w:val="24"/>
          <w:lang w:val="es-CO"/>
        </w:rPr>
      </w:pPr>
    </w:p>
    <w:p w14:paraId="52EF937E" w14:textId="39111608" w:rsidR="003E4DF1" w:rsidRPr="00682149" w:rsidRDefault="007419B4" w:rsidP="001C138F">
      <w:pPr>
        <w:tabs>
          <w:tab w:val="left" w:pos="7938"/>
        </w:tabs>
        <w:spacing w:after="0" w:line="276" w:lineRule="auto"/>
        <w:ind w:right="51"/>
        <w:jc w:val="both"/>
        <w:rPr>
          <w:rFonts w:ascii="Arial" w:eastAsia="Arial" w:hAnsi="Arial" w:cs="Arial"/>
          <w:color w:val="000000" w:themeColor="text1"/>
          <w:sz w:val="24"/>
          <w:szCs w:val="24"/>
          <w:lang w:val="es-CO"/>
        </w:rPr>
      </w:pPr>
      <w:r w:rsidRPr="00682149">
        <w:rPr>
          <w:rFonts w:ascii="Arial" w:eastAsia="Times New Roman" w:hAnsi="Arial" w:cs="Arial"/>
          <w:color w:val="000000" w:themeColor="text1"/>
          <w:sz w:val="24"/>
          <w:szCs w:val="24"/>
          <w:lang w:val="es-CO"/>
        </w:rPr>
        <w:t>A</w:t>
      </w:r>
      <w:r w:rsidR="00454900" w:rsidRPr="00682149">
        <w:rPr>
          <w:rFonts w:ascii="Arial" w:eastAsia="Times New Roman" w:hAnsi="Arial" w:cs="Arial"/>
          <w:color w:val="000000" w:themeColor="text1"/>
          <w:sz w:val="24"/>
          <w:szCs w:val="24"/>
          <w:lang w:val="es-CO"/>
        </w:rPr>
        <w:t xml:space="preserve">dvierte el </w:t>
      </w:r>
      <w:r w:rsidR="00A46B68" w:rsidRPr="00682149">
        <w:rPr>
          <w:rFonts w:ascii="Arial" w:eastAsia="Times New Roman" w:hAnsi="Arial" w:cs="Arial"/>
          <w:color w:val="000000" w:themeColor="text1"/>
          <w:sz w:val="24"/>
          <w:szCs w:val="24"/>
          <w:lang w:val="es-CO"/>
        </w:rPr>
        <w:t>Ministerio Público</w:t>
      </w:r>
      <w:r w:rsidR="00454900" w:rsidRPr="00682149">
        <w:rPr>
          <w:rFonts w:ascii="Arial" w:eastAsia="Times New Roman" w:hAnsi="Arial" w:cs="Arial"/>
          <w:color w:val="000000" w:themeColor="text1"/>
          <w:sz w:val="24"/>
          <w:szCs w:val="24"/>
          <w:lang w:val="es-CO"/>
        </w:rPr>
        <w:t xml:space="preserve"> que, en cuanto a su finalidad, el Acto es acorde </w:t>
      </w:r>
      <w:r w:rsidR="00454900" w:rsidRPr="00682149">
        <w:rPr>
          <w:rFonts w:ascii="Arial" w:eastAsia="Arial" w:hAnsi="Arial" w:cs="Arial"/>
          <w:color w:val="000000" w:themeColor="text1"/>
          <w:sz w:val="24"/>
          <w:szCs w:val="24"/>
          <w:lang w:val="es-CO"/>
        </w:rPr>
        <w:t>con las instrucciones propias de la</w:t>
      </w:r>
      <w:r w:rsidR="00454900" w:rsidRPr="00682149">
        <w:rPr>
          <w:rFonts w:ascii="Arial" w:eastAsia="Times New Roman" w:hAnsi="Arial" w:cs="Arial"/>
          <w:b/>
          <w:i/>
          <w:color w:val="000000" w:themeColor="text1"/>
          <w:sz w:val="24"/>
          <w:szCs w:val="24"/>
          <w:lang w:val="es-CO"/>
        </w:rPr>
        <w:t xml:space="preserve"> </w:t>
      </w:r>
      <w:r w:rsidR="00454900" w:rsidRPr="00682149">
        <w:rPr>
          <w:rFonts w:ascii="Arial" w:eastAsia="Arial" w:hAnsi="Arial" w:cs="Arial"/>
          <w:color w:val="000000" w:themeColor="text1"/>
          <w:sz w:val="24"/>
          <w:szCs w:val="24"/>
          <w:lang w:val="es-CO"/>
        </w:rPr>
        <w:t xml:space="preserve">declaratoria de la emergencia sanitaria generada por la pandemia del Coronavirus COVID-19, así como con lo establecido en </w:t>
      </w:r>
      <w:r w:rsidR="00835D7E" w:rsidRPr="00682149">
        <w:rPr>
          <w:rFonts w:ascii="Arial" w:eastAsia="Arial" w:hAnsi="Arial" w:cs="Arial"/>
          <w:color w:val="000000" w:themeColor="text1"/>
          <w:sz w:val="24"/>
          <w:szCs w:val="24"/>
          <w:lang w:val="es-CO"/>
        </w:rPr>
        <w:t xml:space="preserve">el Decreto 517 </w:t>
      </w:r>
      <w:r w:rsidR="00454900" w:rsidRPr="00682149">
        <w:rPr>
          <w:rFonts w:ascii="Arial" w:eastAsia="Arial" w:hAnsi="Arial" w:cs="Arial"/>
          <w:color w:val="000000" w:themeColor="text1"/>
          <w:sz w:val="24"/>
          <w:szCs w:val="24"/>
          <w:lang w:val="es-CO"/>
        </w:rPr>
        <w:t xml:space="preserve">de 2020, </w:t>
      </w:r>
      <w:r w:rsidR="003E4DF1" w:rsidRPr="00682149">
        <w:rPr>
          <w:rFonts w:ascii="Arial" w:eastAsia="Arial" w:hAnsi="Arial" w:cs="Arial"/>
          <w:color w:val="000000" w:themeColor="text1"/>
          <w:sz w:val="24"/>
          <w:szCs w:val="24"/>
          <w:lang w:val="es-CO"/>
        </w:rPr>
        <w:t xml:space="preserve">dado que la </w:t>
      </w:r>
      <w:r w:rsidR="003E4DF1" w:rsidRPr="00682149">
        <w:rPr>
          <w:rFonts w:ascii="Arial" w:hAnsi="Arial" w:cs="Arial"/>
          <w:color w:val="000000" w:themeColor="text1"/>
          <w:sz w:val="24"/>
          <w:szCs w:val="24"/>
        </w:rPr>
        <w:t xml:space="preserve">definición de una tarifa provisional para el servicio de energía eléctrica </w:t>
      </w:r>
      <w:r w:rsidR="00E75949" w:rsidRPr="00682149">
        <w:rPr>
          <w:rFonts w:ascii="Arial" w:hAnsi="Arial" w:cs="Arial"/>
          <w:color w:val="000000" w:themeColor="text1"/>
          <w:sz w:val="24"/>
          <w:szCs w:val="24"/>
        </w:rPr>
        <w:t xml:space="preserve">aplicable a </w:t>
      </w:r>
      <w:r w:rsidR="003E4DF1" w:rsidRPr="00682149">
        <w:rPr>
          <w:rFonts w:ascii="Arial" w:hAnsi="Arial" w:cs="Arial"/>
          <w:color w:val="000000" w:themeColor="text1"/>
          <w:sz w:val="24"/>
          <w:szCs w:val="24"/>
        </w:rPr>
        <w:t>sistemas solares fotovoltaicos individual</w:t>
      </w:r>
      <w:r w:rsidR="00E75949" w:rsidRPr="00682149">
        <w:rPr>
          <w:rFonts w:ascii="Arial" w:hAnsi="Arial" w:cs="Arial"/>
          <w:color w:val="000000" w:themeColor="text1"/>
          <w:sz w:val="24"/>
          <w:szCs w:val="24"/>
        </w:rPr>
        <w:t xml:space="preserve">es AC con potencia mayor a 0.5 kW, </w:t>
      </w:r>
      <w:r w:rsidR="003E4DF1" w:rsidRPr="00682149">
        <w:rPr>
          <w:rFonts w:ascii="Arial" w:hAnsi="Arial" w:cs="Arial"/>
          <w:color w:val="000000" w:themeColor="text1"/>
          <w:sz w:val="24"/>
          <w:szCs w:val="24"/>
        </w:rPr>
        <w:t>en zonas no interconectadas, evita la</w:t>
      </w:r>
      <w:r w:rsidR="00E75949" w:rsidRPr="00682149">
        <w:rPr>
          <w:rFonts w:ascii="Arial" w:hAnsi="Arial" w:cs="Arial"/>
          <w:color w:val="000000" w:themeColor="text1"/>
          <w:sz w:val="24"/>
          <w:szCs w:val="24"/>
        </w:rPr>
        <w:t xml:space="preserve"> suspensión de dicho servicio, </w:t>
      </w:r>
      <w:r w:rsidR="003E4DF1" w:rsidRPr="00682149">
        <w:rPr>
          <w:rFonts w:ascii="Arial" w:hAnsi="Arial" w:cs="Arial"/>
          <w:color w:val="000000" w:themeColor="text1"/>
          <w:sz w:val="24"/>
          <w:szCs w:val="24"/>
        </w:rPr>
        <w:t>contribuy</w:t>
      </w:r>
      <w:r w:rsidR="00E75949" w:rsidRPr="00682149">
        <w:rPr>
          <w:rFonts w:ascii="Arial" w:hAnsi="Arial" w:cs="Arial"/>
          <w:color w:val="000000" w:themeColor="text1"/>
          <w:sz w:val="24"/>
          <w:szCs w:val="24"/>
        </w:rPr>
        <w:t>e</w:t>
      </w:r>
      <w:r w:rsidR="003E4DF1" w:rsidRPr="00682149">
        <w:rPr>
          <w:rFonts w:ascii="Arial" w:hAnsi="Arial" w:cs="Arial"/>
          <w:color w:val="000000" w:themeColor="text1"/>
          <w:sz w:val="24"/>
          <w:szCs w:val="24"/>
        </w:rPr>
        <w:t xml:space="preserve"> a las medidas de aislamiento para evitar la propagación de</w:t>
      </w:r>
      <w:r w:rsidR="00E75949" w:rsidRPr="00682149">
        <w:rPr>
          <w:rFonts w:ascii="Arial" w:hAnsi="Arial" w:cs="Arial"/>
          <w:color w:val="000000" w:themeColor="text1"/>
          <w:sz w:val="24"/>
          <w:szCs w:val="24"/>
        </w:rPr>
        <w:t xml:space="preserve">l </w:t>
      </w:r>
      <w:r w:rsidR="003E4DF1" w:rsidRPr="00682149">
        <w:rPr>
          <w:rFonts w:ascii="Arial" w:hAnsi="Arial" w:cs="Arial"/>
          <w:color w:val="000000" w:themeColor="text1"/>
          <w:sz w:val="24"/>
          <w:szCs w:val="24"/>
        </w:rPr>
        <w:t>virus y se logra con un adecuado, eficiente y continuo suministro de</w:t>
      </w:r>
      <w:r w:rsidR="00E75949" w:rsidRPr="00682149">
        <w:rPr>
          <w:rFonts w:ascii="Arial" w:hAnsi="Arial" w:cs="Arial"/>
          <w:color w:val="000000" w:themeColor="text1"/>
          <w:sz w:val="24"/>
          <w:szCs w:val="24"/>
        </w:rPr>
        <w:t>l servicio</w:t>
      </w:r>
      <w:r w:rsidR="00E03E80" w:rsidRPr="00682149">
        <w:rPr>
          <w:rFonts w:ascii="Arial" w:hAnsi="Arial" w:cs="Arial"/>
          <w:color w:val="000000" w:themeColor="text1"/>
          <w:sz w:val="24"/>
          <w:szCs w:val="24"/>
        </w:rPr>
        <w:t xml:space="preserve"> público domiciliario de energía eléctrica en ZNI</w:t>
      </w:r>
      <w:r w:rsidR="003E4DF1" w:rsidRPr="00682149">
        <w:rPr>
          <w:rFonts w:ascii="Arial" w:hAnsi="Arial" w:cs="Arial"/>
          <w:color w:val="000000" w:themeColor="text1"/>
          <w:sz w:val="24"/>
          <w:szCs w:val="24"/>
        </w:rPr>
        <w:t xml:space="preserve">.  </w:t>
      </w:r>
    </w:p>
    <w:p w14:paraId="7E15A72A" w14:textId="0DA06F5E" w:rsidR="00454900" w:rsidRPr="00682149" w:rsidRDefault="003E4DF1" w:rsidP="001C138F">
      <w:pPr>
        <w:spacing w:after="0" w:line="276" w:lineRule="auto"/>
        <w:rPr>
          <w:color w:val="000000" w:themeColor="text1"/>
        </w:rPr>
      </w:pPr>
      <w:r w:rsidRPr="00682149">
        <w:rPr>
          <w:color w:val="000000" w:themeColor="text1"/>
        </w:rPr>
        <w:t xml:space="preserve"> </w:t>
      </w:r>
    </w:p>
    <w:p w14:paraId="059157D0" w14:textId="5F78226B" w:rsidR="003E4DF1" w:rsidRPr="00682149" w:rsidRDefault="00A46B68" w:rsidP="001C138F">
      <w:pPr>
        <w:pStyle w:val="Ttulo1"/>
        <w:spacing w:before="0" w:line="276" w:lineRule="auto"/>
        <w:ind w:left="-5"/>
        <w:jc w:val="both"/>
        <w:rPr>
          <w:rFonts w:ascii="Arial" w:hAnsi="Arial" w:cs="Arial"/>
          <w:b/>
          <w:color w:val="000000" w:themeColor="text1"/>
          <w:sz w:val="24"/>
          <w:szCs w:val="24"/>
        </w:rPr>
      </w:pPr>
      <w:bookmarkStart w:id="5" w:name="_Toc467842437"/>
      <w:r w:rsidRPr="00682149">
        <w:rPr>
          <w:rFonts w:ascii="Arial" w:hAnsi="Arial" w:cs="Arial"/>
          <w:b/>
          <w:bCs/>
          <w:color w:val="000000" w:themeColor="text1"/>
          <w:sz w:val="24"/>
          <w:szCs w:val="24"/>
        </w:rPr>
        <w:t>5.</w:t>
      </w:r>
      <w:r w:rsidRPr="00682149">
        <w:rPr>
          <w:rFonts w:ascii="Arial" w:hAnsi="Arial" w:cs="Arial"/>
          <w:b/>
          <w:bCs/>
          <w:color w:val="000000" w:themeColor="text1"/>
          <w:sz w:val="24"/>
          <w:szCs w:val="24"/>
        </w:rPr>
        <w:tab/>
      </w:r>
      <w:r w:rsidR="003E4DF1" w:rsidRPr="00682149">
        <w:rPr>
          <w:rFonts w:ascii="Arial" w:hAnsi="Arial" w:cs="Arial"/>
          <w:b/>
          <w:color w:val="000000" w:themeColor="text1"/>
          <w:sz w:val="24"/>
          <w:szCs w:val="24"/>
        </w:rPr>
        <w:t>Intervención del Director E</w:t>
      </w:r>
      <w:r w:rsidR="008123B1" w:rsidRPr="00682149">
        <w:rPr>
          <w:rFonts w:ascii="Arial" w:hAnsi="Arial" w:cs="Arial"/>
          <w:b/>
          <w:color w:val="000000" w:themeColor="text1"/>
          <w:sz w:val="24"/>
          <w:szCs w:val="24"/>
        </w:rPr>
        <w:t>jecutivo de la Comisi</w:t>
      </w:r>
      <w:r w:rsidR="003E4DF1" w:rsidRPr="00682149">
        <w:rPr>
          <w:rFonts w:ascii="Arial" w:hAnsi="Arial" w:cs="Arial"/>
          <w:b/>
          <w:color w:val="000000" w:themeColor="text1"/>
          <w:sz w:val="24"/>
          <w:szCs w:val="24"/>
        </w:rPr>
        <w:t xml:space="preserve">ón </w:t>
      </w:r>
      <w:r w:rsidR="008123B1" w:rsidRPr="00682149">
        <w:rPr>
          <w:rFonts w:ascii="Arial" w:hAnsi="Arial" w:cs="Arial"/>
          <w:b/>
          <w:color w:val="000000" w:themeColor="text1"/>
          <w:sz w:val="24"/>
          <w:szCs w:val="24"/>
        </w:rPr>
        <w:t>de Regulación de Energía y Gas CREG</w:t>
      </w:r>
      <w:bookmarkEnd w:id="5"/>
    </w:p>
    <w:p w14:paraId="43E85AB3" w14:textId="77777777" w:rsidR="000B3E8E" w:rsidRDefault="000B3E8E" w:rsidP="001C138F">
      <w:pPr>
        <w:pStyle w:val="Ttulo1"/>
        <w:spacing w:before="0" w:line="276" w:lineRule="auto"/>
        <w:jc w:val="both"/>
        <w:rPr>
          <w:rFonts w:ascii="Arial" w:hAnsi="Arial" w:cs="Arial"/>
          <w:color w:val="000000" w:themeColor="text1"/>
          <w:sz w:val="24"/>
          <w:szCs w:val="24"/>
        </w:rPr>
      </w:pPr>
      <w:bookmarkStart w:id="6" w:name="_Toc467842438"/>
    </w:p>
    <w:p w14:paraId="0501BF57" w14:textId="76B61FA1" w:rsidR="00611035" w:rsidRPr="00682149" w:rsidRDefault="003E4DF1" w:rsidP="001C138F">
      <w:pPr>
        <w:pStyle w:val="Ttulo1"/>
        <w:spacing w:before="0" w:line="276" w:lineRule="auto"/>
        <w:jc w:val="both"/>
        <w:rPr>
          <w:rFonts w:ascii="Arial" w:hAnsi="Arial" w:cs="Arial"/>
          <w:color w:val="000000" w:themeColor="text1"/>
          <w:sz w:val="24"/>
          <w:szCs w:val="24"/>
        </w:rPr>
      </w:pPr>
      <w:r w:rsidRPr="00682149">
        <w:rPr>
          <w:rFonts w:ascii="Arial" w:hAnsi="Arial" w:cs="Arial"/>
          <w:color w:val="000000" w:themeColor="text1"/>
          <w:sz w:val="24"/>
          <w:szCs w:val="24"/>
        </w:rPr>
        <w:t>El Director Ejecutivo de la CREG</w:t>
      </w:r>
      <w:r w:rsidR="00A46B68" w:rsidRPr="00682149">
        <w:rPr>
          <w:rFonts w:ascii="Arial" w:hAnsi="Arial" w:cs="Arial"/>
          <w:color w:val="000000" w:themeColor="text1"/>
          <w:sz w:val="24"/>
          <w:szCs w:val="24"/>
        </w:rPr>
        <w:t xml:space="preserve">, mediante </w:t>
      </w:r>
      <w:r w:rsidR="00214413" w:rsidRPr="00682149">
        <w:rPr>
          <w:rFonts w:ascii="Arial" w:hAnsi="Arial" w:cs="Arial"/>
          <w:color w:val="000000" w:themeColor="text1"/>
          <w:sz w:val="24"/>
          <w:szCs w:val="24"/>
        </w:rPr>
        <w:t xml:space="preserve">comunicaciones </w:t>
      </w:r>
      <w:r w:rsidR="00EC202A" w:rsidRPr="00682149">
        <w:rPr>
          <w:rFonts w:ascii="Arial" w:hAnsi="Arial" w:cs="Arial"/>
          <w:color w:val="000000" w:themeColor="text1"/>
          <w:sz w:val="24"/>
          <w:szCs w:val="24"/>
        </w:rPr>
        <w:t>S2020 005757 de 9 de octubre de 2020,</w:t>
      </w:r>
      <w:r w:rsidRPr="00682149">
        <w:rPr>
          <w:rFonts w:ascii="Arial" w:hAnsi="Arial" w:cs="Arial"/>
          <w:color w:val="000000" w:themeColor="text1"/>
          <w:sz w:val="24"/>
          <w:szCs w:val="24"/>
        </w:rPr>
        <w:t xml:space="preserve"> solicitó</w:t>
      </w:r>
      <w:r w:rsidR="00E03E80" w:rsidRPr="00682149">
        <w:rPr>
          <w:rFonts w:ascii="Arial" w:hAnsi="Arial" w:cs="Arial"/>
          <w:color w:val="000000" w:themeColor="text1"/>
          <w:sz w:val="24"/>
          <w:szCs w:val="24"/>
        </w:rPr>
        <w:t xml:space="preserve"> declarar ajustado a</w:t>
      </w:r>
      <w:r w:rsidR="008123B1" w:rsidRPr="00682149">
        <w:rPr>
          <w:rFonts w:ascii="Arial" w:hAnsi="Arial" w:cs="Arial"/>
          <w:color w:val="000000" w:themeColor="text1"/>
          <w:sz w:val="24"/>
          <w:szCs w:val="24"/>
        </w:rPr>
        <w:t xml:space="preserve"> derecho el acto objeto de control, comoq</w:t>
      </w:r>
      <w:r w:rsidR="00611035" w:rsidRPr="00682149">
        <w:rPr>
          <w:rFonts w:ascii="Arial" w:hAnsi="Arial" w:cs="Arial"/>
          <w:color w:val="000000" w:themeColor="text1"/>
          <w:sz w:val="24"/>
          <w:szCs w:val="24"/>
        </w:rPr>
        <w:t>uiera que cumple los requisitos formales y materiales</w:t>
      </w:r>
      <w:r w:rsidR="00A46B68" w:rsidRPr="00682149">
        <w:rPr>
          <w:rFonts w:ascii="Arial" w:hAnsi="Arial" w:cs="Arial"/>
          <w:color w:val="000000" w:themeColor="text1"/>
          <w:sz w:val="24"/>
          <w:szCs w:val="24"/>
        </w:rPr>
        <w:t>; para estos efectos, manifestó, lo siguiente</w:t>
      </w:r>
      <w:r w:rsidR="00611035" w:rsidRPr="00682149">
        <w:rPr>
          <w:rFonts w:ascii="Arial" w:hAnsi="Arial" w:cs="Arial"/>
          <w:color w:val="000000" w:themeColor="text1"/>
          <w:sz w:val="24"/>
          <w:szCs w:val="24"/>
        </w:rPr>
        <w:t>.</w:t>
      </w:r>
      <w:bookmarkEnd w:id="6"/>
    </w:p>
    <w:p w14:paraId="1C38378A" w14:textId="77777777" w:rsidR="00CE7C68" w:rsidRPr="00682149" w:rsidRDefault="00CE7C68" w:rsidP="001C138F">
      <w:pPr>
        <w:spacing w:after="0" w:line="276" w:lineRule="auto"/>
        <w:rPr>
          <w:rFonts w:ascii="Arial" w:eastAsiaTheme="majorEastAsia" w:hAnsi="Arial" w:cs="Arial"/>
          <w:b/>
          <w:bCs/>
          <w:color w:val="000000" w:themeColor="text1"/>
          <w:sz w:val="24"/>
          <w:szCs w:val="24"/>
        </w:rPr>
      </w:pPr>
    </w:p>
    <w:p w14:paraId="522C3153" w14:textId="005C3C70" w:rsidR="00611035" w:rsidRPr="00682149" w:rsidRDefault="00611035" w:rsidP="001C138F">
      <w:pPr>
        <w:spacing w:after="0" w:line="276" w:lineRule="auto"/>
        <w:jc w:val="both"/>
        <w:rPr>
          <w:color w:val="000000" w:themeColor="text1"/>
          <w:sz w:val="24"/>
          <w:szCs w:val="24"/>
        </w:rPr>
      </w:pPr>
      <w:r w:rsidRPr="00682149">
        <w:rPr>
          <w:rFonts w:ascii="Arial" w:eastAsiaTheme="majorEastAsia" w:hAnsi="Arial" w:cs="Arial"/>
          <w:b/>
          <w:bCs/>
          <w:color w:val="000000" w:themeColor="text1"/>
          <w:sz w:val="24"/>
          <w:szCs w:val="24"/>
        </w:rPr>
        <w:t xml:space="preserve"> i)</w:t>
      </w:r>
      <w:r w:rsidR="00CE7C68" w:rsidRPr="00682149">
        <w:rPr>
          <w:rFonts w:ascii="Arial" w:eastAsiaTheme="majorEastAsia" w:hAnsi="Arial" w:cs="Arial"/>
          <w:b/>
          <w:bCs/>
          <w:color w:val="000000" w:themeColor="text1"/>
          <w:sz w:val="24"/>
          <w:szCs w:val="24"/>
        </w:rPr>
        <w:t xml:space="preserve"> </w:t>
      </w:r>
      <w:r w:rsidR="003E4DF1" w:rsidRPr="00682149">
        <w:rPr>
          <w:rFonts w:ascii="Arial" w:eastAsiaTheme="majorEastAsia" w:hAnsi="Arial" w:cs="Arial"/>
          <w:bCs/>
          <w:color w:val="000000" w:themeColor="text1"/>
          <w:sz w:val="24"/>
          <w:szCs w:val="24"/>
        </w:rPr>
        <w:t>Afirmó que</w:t>
      </w:r>
      <w:r w:rsidR="00A46B68" w:rsidRPr="00682149">
        <w:rPr>
          <w:rFonts w:ascii="Arial" w:eastAsiaTheme="majorEastAsia" w:hAnsi="Arial" w:cs="Arial"/>
          <w:bCs/>
          <w:color w:val="000000" w:themeColor="text1"/>
          <w:sz w:val="24"/>
          <w:szCs w:val="24"/>
        </w:rPr>
        <w:t xml:space="preserve"> el acto</w:t>
      </w:r>
      <w:r w:rsidR="003E4DF1" w:rsidRPr="00682149">
        <w:rPr>
          <w:rFonts w:ascii="Arial" w:eastAsiaTheme="majorEastAsia" w:hAnsi="Arial" w:cs="Arial"/>
          <w:bCs/>
          <w:color w:val="000000" w:themeColor="text1"/>
          <w:sz w:val="24"/>
          <w:szCs w:val="24"/>
        </w:rPr>
        <w:t xml:space="preserve"> cumple con el </w:t>
      </w:r>
      <w:r w:rsidR="00CE7C68" w:rsidRPr="00682149">
        <w:rPr>
          <w:rFonts w:ascii="Arial" w:eastAsiaTheme="majorEastAsia" w:hAnsi="Arial" w:cs="Arial"/>
          <w:bCs/>
          <w:color w:val="000000" w:themeColor="text1"/>
          <w:sz w:val="24"/>
          <w:szCs w:val="24"/>
        </w:rPr>
        <w:t xml:space="preserve">criterio de </w:t>
      </w:r>
      <w:r w:rsidR="00CE7C68" w:rsidRPr="00682149">
        <w:rPr>
          <w:rFonts w:ascii="Arial" w:hAnsi="Arial" w:cs="Arial"/>
          <w:color w:val="000000" w:themeColor="text1"/>
          <w:sz w:val="24"/>
          <w:szCs w:val="24"/>
        </w:rPr>
        <w:t>c</w:t>
      </w:r>
      <w:r w:rsidRPr="00682149">
        <w:rPr>
          <w:rFonts w:ascii="Arial" w:hAnsi="Arial" w:cs="Arial"/>
          <w:color w:val="000000" w:themeColor="text1"/>
          <w:sz w:val="24"/>
          <w:szCs w:val="24"/>
        </w:rPr>
        <w:t>onexidad</w:t>
      </w:r>
      <w:r w:rsidR="00CE7C68" w:rsidRPr="00682149">
        <w:rPr>
          <w:rFonts w:ascii="Arial" w:hAnsi="Arial" w:cs="Arial"/>
          <w:color w:val="000000" w:themeColor="text1"/>
          <w:sz w:val="24"/>
          <w:szCs w:val="24"/>
        </w:rPr>
        <w:t>,</w:t>
      </w:r>
      <w:r w:rsidR="003E4DF1" w:rsidRPr="00682149">
        <w:rPr>
          <w:rFonts w:ascii="Arial" w:hAnsi="Arial" w:cs="Arial"/>
          <w:color w:val="000000" w:themeColor="text1"/>
          <w:sz w:val="24"/>
          <w:szCs w:val="24"/>
        </w:rPr>
        <w:t xml:space="preserve"> pues</w:t>
      </w:r>
      <w:r w:rsidR="00B62077" w:rsidRPr="00682149">
        <w:rPr>
          <w:rFonts w:ascii="Arial" w:hAnsi="Arial" w:cs="Arial"/>
          <w:i/>
          <w:color w:val="000000" w:themeColor="text1"/>
          <w:sz w:val="24"/>
          <w:szCs w:val="24"/>
        </w:rPr>
        <w:t xml:space="preserve"> </w:t>
      </w:r>
      <w:r w:rsidR="003E4DF1" w:rsidRPr="00682149">
        <w:rPr>
          <w:rFonts w:ascii="Arial" w:hAnsi="Arial" w:cs="Arial"/>
          <w:color w:val="000000" w:themeColor="text1"/>
          <w:sz w:val="24"/>
          <w:szCs w:val="24"/>
        </w:rPr>
        <w:t xml:space="preserve">a través del Decreto 517 de 2020 se otorgaron </w:t>
      </w:r>
      <w:r w:rsidRPr="00682149">
        <w:rPr>
          <w:rFonts w:ascii="Arial" w:hAnsi="Arial" w:cs="Arial"/>
          <w:color w:val="000000" w:themeColor="text1"/>
          <w:sz w:val="24"/>
          <w:szCs w:val="24"/>
        </w:rPr>
        <w:t xml:space="preserve">facultades a la Comisión para la adopción de medidas asociadas a asuntos tarifarios transitorios </w:t>
      </w:r>
      <w:r w:rsidR="003E4DF1" w:rsidRPr="00682149">
        <w:rPr>
          <w:rFonts w:ascii="Arial" w:hAnsi="Arial" w:cs="Arial"/>
          <w:color w:val="000000" w:themeColor="text1"/>
          <w:sz w:val="24"/>
          <w:szCs w:val="24"/>
        </w:rPr>
        <w:t>en relación con los servicios públicos domiciliarios de energía eléctrica y gas combustible</w:t>
      </w:r>
      <w:r w:rsidR="00E03E80" w:rsidRPr="00682149">
        <w:rPr>
          <w:rFonts w:ascii="Arial" w:hAnsi="Arial" w:cs="Arial"/>
          <w:color w:val="000000" w:themeColor="text1"/>
          <w:sz w:val="24"/>
          <w:szCs w:val="24"/>
        </w:rPr>
        <w:t>, en el marco del estado de e</w:t>
      </w:r>
      <w:r w:rsidR="003E4DF1" w:rsidRPr="00682149">
        <w:rPr>
          <w:rFonts w:ascii="Arial" w:hAnsi="Arial" w:cs="Arial"/>
          <w:color w:val="000000" w:themeColor="text1"/>
          <w:sz w:val="24"/>
          <w:szCs w:val="24"/>
        </w:rPr>
        <w:t>mergencia</w:t>
      </w:r>
      <w:r w:rsidR="00E03E80" w:rsidRPr="00682149">
        <w:rPr>
          <w:rFonts w:ascii="Arial" w:hAnsi="Arial" w:cs="Arial"/>
          <w:color w:val="000000" w:themeColor="text1"/>
          <w:sz w:val="24"/>
          <w:szCs w:val="24"/>
        </w:rPr>
        <w:t xml:space="preserve"> decretada</w:t>
      </w:r>
      <w:r w:rsidR="000B7FC4" w:rsidRPr="00682149">
        <w:rPr>
          <w:rFonts w:ascii="Arial" w:hAnsi="Arial" w:cs="Arial"/>
          <w:color w:val="000000" w:themeColor="text1"/>
          <w:sz w:val="24"/>
          <w:szCs w:val="24"/>
        </w:rPr>
        <w:t xml:space="preserve">, </w:t>
      </w:r>
      <w:r w:rsidR="003E4DF1" w:rsidRPr="00682149">
        <w:rPr>
          <w:rFonts w:ascii="Arial" w:hAnsi="Arial" w:cs="Arial"/>
          <w:color w:val="000000" w:themeColor="text1"/>
          <w:sz w:val="24"/>
          <w:szCs w:val="24"/>
        </w:rPr>
        <w:t xml:space="preserve">las cuales </w:t>
      </w:r>
      <w:r w:rsidR="00E03E80" w:rsidRPr="00682149">
        <w:rPr>
          <w:rFonts w:ascii="Arial" w:hAnsi="Arial" w:cs="Arial"/>
          <w:color w:val="000000" w:themeColor="text1"/>
          <w:sz w:val="24"/>
          <w:szCs w:val="24"/>
        </w:rPr>
        <w:t>se circunscriben a</w:t>
      </w:r>
      <w:r w:rsidR="00B96ADB" w:rsidRPr="00682149">
        <w:rPr>
          <w:rFonts w:ascii="Arial" w:hAnsi="Arial" w:cs="Arial"/>
          <w:color w:val="000000" w:themeColor="text1"/>
          <w:sz w:val="24"/>
          <w:szCs w:val="24"/>
        </w:rPr>
        <w:t>,</w:t>
      </w:r>
      <w:r w:rsidR="00E03E80" w:rsidRPr="00682149">
        <w:rPr>
          <w:rFonts w:ascii="Arial" w:hAnsi="Arial" w:cs="Arial"/>
          <w:color w:val="000000" w:themeColor="text1"/>
          <w:sz w:val="24"/>
          <w:szCs w:val="24"/>
        </w:rPr>
        <w:t xml:space="preserve"> l</w:t>
      </w:r>
      <w:r w:rsidR="003E4DF1" w:rsidRPr="00682149">
        <w:rPr>
          <w:rFonts w:ascii="Arial" w:hAnsi="Arial" w:cs="Arial"/>
          <w:color w:val="000000" w:themeColor="text1"/>
          <w:sz w:val="24"/>
          <w:szCs w:val="24"/>
        </w:rPr>
        <w:t xml:space="preserve">o siguiente: </w:t>
      </w:r>
    </w:p>
    <w:p w14:paraId="046D2E4C" w14:textId="77777777" w:rsidR="00611035" w:rsidRPr="00682149" w:rsidRDefault="00611035" w:rsidP="001C138F">
      <w:pPr>
        <w:spacing w:after="0" w:line="276" w:lineRule="auto"/>
        <w:jc w:val="both"/>
        <w:rPr>
          <w:rFonts w:ascii="Arial" w:hAnsi="Arial" w:cs="Arial"/>
          <w:color w:val="000000" w:themeColor="text1"/>
          <w:sz w:val="24"/>
          <w:szCs w:val="24"/>
        </w:rPr>
      </w:pPr>
      <w:r w:rsidRPr="00682149">
        <w:rPr>
          <w:color w:val="000000" w:themeColor="text1"/>
          <w:sz w:val="24"/>
          <w:szCs w:val="24"/>
        </w:rPr>
        <w:t xml:space="preserve"> </w:t>
      </w:r>
    </w:p>
    <w:p w14:paraId="5C5C8A59" w14:textId="6D874EFB" w:rsidR="00A46B68" w:rsidRPr="00682149" w:rsidRDefault="00611035" w:rsidP="001C138F">
      <w:pPr>
        <w:pStyle w:val="Prrafodelista"/>
        <w:numPr>
          <w:ilvl w:val="0"/>
          <w:numId w:val="22"/>
        </w:numPr>
        <w:spacing w:after="0" w:line="276" w:lineRule="auto"/>
        <w:ind w:right="3"/>
        <w:jc w:val="both"/>
        <w:rPr>
          <w:rFonts w:ascii="Arial" w:hAnsi="Arial" w:cs="Arial"/>
          <w:color w:val="000000" w:themeColor="text1"/>
          <w:sz w:val="24"/>
          <w:szCs w:val="24"/>
        </w:rPr>
      </w:pPr>
      <w:r w:rsidRPr="00682149">
        <w:rPr>
          <w:rFonts w:ascii="Arial" w:hAnsi="Arial" w:cs="Arial"/>
          <w:color w:val="000000" w:themeColor="text1"/>
          <w:sz w:val="24"/>
          <w:szCs w:val="24"/>
        </w:rPr>
        <w:t xml:space="preserve">Pago diferido de los servicios públicos domiciliarios de energía eléctrica y </w:t>
      </w:r>
      <w:r w:rsidRPr="00682149">
        <w:rPr>
          <w:rFonts w:ascii="Arial" w:hAnsi="Arial" w:cs="Arial"/>
          <w:color w:val="000000" w:themeColor="text1"/>
          <w:sz w:val="28"/>
          <w:szCs w:val="28"/>
        </w:rPr>
        <w:t>gas</w:t>
      </w:r>
      <w:r w:rsidRPr="00682149">
        <w:rPr>
          <w:rFonts w:ascii="Arial" w:hAnsi="Arial" w:cs="Arial"/>
          <w:color w:val="000000" w:themeColor="text1"/>
          <w:sz w:val="24"/>
          <w:szCs w:val="24"/>
        </w:rPr>
        <w:t xml:space="preserve"> combustible.  </w:t>
      </w:r>
    </w:p>
    <w:p w14:paraId="62DD1EB0" w14:textId="7AEDD929" w:rsidR="00A46B68" w:rsidRPr="00682149" w:rsidRDefault="00611035" w:rsidP="001C138F">
      <w:pPr>
        <w:pStyle w:val="Prrafodelista"/>
        <w:numPr>
          <w:ilvl w:val="0"/>
          <w:numId w:val="22"/>
        </w:numPr>
        <w:spacing w:after="0" w:line="276" w:lineRule="auto"/>
        <w:ind w:right="3"/>
        <w:jc w:val="both"/>
        <w:rPr>
          <w:rFonts w:ascii="Arial" w:hAnsi="Arial" w:cs="Arial"/>
          <w:color w:val="000000" w:themeColor="text1"/>
          <w:sz w:val="24"/>
          <w:szCs w:val="24"/>
        </w:rPr>
      </w:pPr>
      <w:r w:rsidRPr="00682149">
        <w:rPr>
          <w:rFonts w:ascii="Arial" w:hAnsi="Arial" w:cs="Arial"/>
          <w:color w:val="000000" w:themeColor="text1"/>
          <w:sz w:val="24"/>
          <w:szCs w:val="24"/>
        </w:rPr>
        <w:t xml:space="preserve">Financiación del pago diferido de los servicios públicos domiciliarios de energía eléctrica y gas combustible.  </w:t>
      </w:r>
    </w:p>
    <w:p w14:paraId="060606C0" w14:textId="4B1BBDFD" w:rsidR="00A46B68" w:rsidRPr="00682149" w:rsidRDefault="00611035" w:rsidP="001C138F">
      <w:pPr>
        <w:pStyle w:val="Prrafodelista"/>
        <w:numPr>
          <w:ilvl w:val="0"/>
          <w:numId w:val="22"/>
        </w:numPr>
        <w:spacing w:after="0" w:line="276" w:lineRule="auto"/>
        <w:ind w:right="3"/>
        <w:jc w:val="both"/>
        <w:rPr>
          <w:rFonts w:ascii="Arial" w:hAnsi="Arial" w:cs="Arial"/>
          <w:color w:val="000000" w:themeColor="text1"/>
          <w:sz w:val="24"/>
          <w:szCs w:val="24"/>
        </w:rPr>
      </w:pPr>
      <w:r w:rsidRPr="00682149">
        <w:rPr>
          <w:rFonts w:ascii="Arial" w:hAnsi="Arial" w:cs="Arial"/>
          <w:color w:val="000000" w:themeColor="text1"/>
          <w:sz w:val="24"/>
          <w:szCs w:val="24"/>
        </w:rPr>
        <w:t>Adopción de esquemas especiales para diferir el pago de facturas emitidas</w:t>
      </w:r>
      <w:r w:rsidR="00E03E80" w:rsidRPr="00682149">
        <w:rPr>
          <w:rFonts w:ascii="Arial" w:hAnsi="Arial" w:cs="Arial"/>
          <w:color w:val="000000" w:themeColor="text1"/>
          <w:sz w:val="24"/>
          <w:szCs w:val="24"/>
        </w:rPr>
        <w:t>.</w:t>
      </w:r>
    </w:p>
    <w:p w14:paraId="261EEDEE" w14:textId="709ED9A2" w:rsidR="00611035" w:rsidRPr="00682149" w:rsidRDefault="00E03E80" w:rsidP="001C138F">
      <w:pPr>
        <w:pStyle w:val="Prrafodelista"/>
        <w:numPr>
          <w:ilvl w:val="0"/>
          <w:numId w:val="22"/>
        </w:numPr>
        <w:spacing w:after="0" w:line="276" w:lineRule="auto"/>
        <w:ind w:right="3"/>
        <w:jc w:val="both"/>
        <w:rPr>
          <w:rFonts w:ascii="Arial" w:hAnsi="Arial" w:cs="Arial"/>
          <w:color w:val="000000" w:themeColor="text1"/>
          <w:sz w:val="24"/>
          <w:szCs w:val="24"/>
        </w:rPr>
      </w:pPr>
      <w:r w:rsidRPr="00682149">
        <w:rPr>
          <w:rFonts w:ascii="Arial" w:hAnsi="Arial" w:cs="Arial"/>
          <w:color w:val="000000" w:themeColor="text1"/>
          <w:sz w:val="24"/>
          <w:szCs w:val="24"/>
        </w:rPr>
        <w:lastRenderedPageBreak/>
        <w:t xml:space="preserve">La </w:t>
      </w:r>
      <w:r w:rsidR="00611035" w:rsidRPr="00682149">
        <w:rPr>
          <w:rFonts w:ascii="Arial" w:hAnsi="Arial" w:cs="Arial"/>
          <w:color w:val="000000" w:themeColor="text1"/>
          <w:sz w:val="24"/>
          <w:szCs w:val="24"/>
        </w:rPr>
        <w:t xml:space="preserve">adopción transitoria </w:t>
      </w:r>
      <w:r w:rsidRPr="00682149">
        <w:rPr>
          <w:rFonts w:ascii="Arial" w:hAnsi="Arial" w:cs="Arial"/>
          <w:color w:val="000000" w:themeColor="text1"/>
          <w:sz w:val="24"/>
          <w:szCs w:val="24"/>
        </w:rPr>
        <w:t xml:space="preserve">de </w:t>
      </w:r>
      <w:r w:rsidR="00611035" w:rsidRPr="00682149">
        <w:rPr>
          <w:rFonts w:ascii="Arial" w:hAnsi="Arial" w:cs="Arial"/>
          <w:color w:val="000000" w:themeColor="text1"/>
          <w:sz w:val="24"/>
          <w:szCs w:val="24"/>
        </w:rPr>
        <w:t xml:space="preserve">todas aquellas medidas, disposiciones tarifarias y regímenes regulatorios especiales que considere necesarios, inclusive lo relacionado con el aporte voluntario de que trata </w:t>
      </w:r>
      <w:r w:rsidRPr="00682149">
        <w:rPr>
          <w:rFonts w:ascii="Arial" w:hAnsi="Arial" w:cs="Arial"/>
          <w:color w:val="000000" w:themeColor="text1"/>
          <w:sz w:val="24"/>
          <w:szCs w:val="24"/>
        </w:rPr>
        <w:t xml:space="preserve">dicho </w:t>
      </w:r>
      <w:r w:rsidR="00611035" w:rsidRPr="00682149">
        <w:rPr>
          <w:rFonts w:ascii="Arial" w:hAnsi="Arial" w:cs="Arial"/>
          <w:color w:val="000000" w:themeColor="text1"/>
          <w:sz w:val="24"/>
          <w:szCs w:val="24"/>
        </w:rPr>
        <w:t xml:space="preserve">Decreto, con el fin de mitigar los efectos del Estado de Emergencia Económica, Social y Ecológica sobre los usuarios y los agentes de la cadena de la prestación de </w:t>
      </w:r>
      <w:r w:rsidR="00B42CD9" w:rsidRPr="00682149">
        <w:rPr>
          <w:rFonts w:ascii="Arial" w:hAnsi="Arial" w:cs="Arial"/>
          <w:color w:val="000000" w:themeColor="text1"/>
          <w:sz w:val="24"/>
          <w:szCs w:val="24"/>
        </w:rPr>
        <w:t xml:space="preserve">este servicio. La CREG tendrá en cuenta la </w:t>
      </w:r>
      <w:r w:rsidR="00611035" w:rsidRPr="00682149">
        <w:rPr>
          <w:rFonts w:ascii="Arial" w:hAnsi="Arial" w:cs="Arial"/>
          <w:color w:val="000000" w:themeColor="text1"/>
          <w:sz w:val="24"/>
          <w:szCs w:val="24"/>
        </w:rPr>
        <w:t xml:space="preserve">vigencia en función del cumplimiento de los objetivos para los cuales hayan sido expedidas.  </w:t>
      </w:r>
    </w:p>
    <w:p w14:paraId="0B9A97FC" w14:textId="77777777" w:rsidR="00611035" w:rsidRPr="00682149" w:rsidRDefault="00611035" w:rsidP="001C138F">
      <w:pPr>
        <w:spacing w:after="0" w:line="276" w:lineRule="auto"/>
        <w:jc w:val="both"/>
        <w:rPr>
          <w:rFonts w:ascii="Arial" w:hAnsi="Arial" w:cs="Arial"/>
          <w:color w:val="000000" w:themeColor="text1"/>
          <w:sz w:val="24"/>
          <w:szCs w:val="24"/>
        </w:rPr>
      </w:pPr>
      <w:r w:rsidRPr="00682149">
        <w:rPr>
          <w:color w:val="000000" w:themeColor="text1"/>
        </w:rPr>
        <w:t xml:space="preserve"> </w:t>
      </w:r>
    </w:p>
    <w:p w14:paraId="1F9EAC5E" w14:textId="378B6F32" w:rsidR="00611035" w:rsidRPr="00682149" w:rsidRDefault="00454CDB" w:rsidP="001C138F">
      <w:pPr>
        <w:spacing w:after="0" w:line="276" w:lineRule="auto"/>
        <w:ind w:left="-5" w:right="3"/>
        <w:jc w:val="both"/>
        <w:rPr>
          <w:rFonts w:ascii="Arial" w:hAnsi="Arial" w:cs="Arial"/>
          <w:bCs/>
          <w:i/>
          <w:color w:val="000000" w:themeColor="text1"/>
        </w:rPr>
      </w:pPr>
      <w:r w:rsidRPr="00682149">
        <w:rPr>
          <w:rFonts w:ascii="Arial" w:hAnsi="Arial" w:cs="Arial"/>
          <w:color w:val="000000" w:themeColor="text1"/>
          <w:sz w:val="24"/>
          <w:szCs w:val="24"/>
        </w:rPr>
        <w:t xml:space="preserve">ii) </w:t>
      </w:r>
      <w:r w:rsidR="00122D54" w:rsidRPr="00682149">
        <w:rPr>
          <w:rFonts w:ascii="Arial" w:hAnsi="Arial" w:cs="Arial"/>
          <w:color w:val="000000" w:themeColor="text1"/>
          <w:sz w:val="24"/>
          <w:szCs w:val="24"/>
        </w:rPr>
        <w:t xml:space="preserve">Dijo que, </w:t>
      </w:r>
      <w:r w:rsidR="00122D54" w:rsidRPr="00682149">
        <w:rPr>
          <w:rFonts w:ascii="Arial" w:hAnsi="Arial" w:cs="Arial"/>
          <w:bCs/>
          <w:color w:val="000000" w:themeColor="text1"/>
          <w:sz w:val="24"/>
          <w:szCs w:val="24"/>
        </w:rPr>
        <w:t>con</w:t>
      </w:r>
      <w:r w:rsidR="00B42CD9" w:rsidRPr="00682149">
        <w:rPr>
          <w:rFonts w:ascii="Arial" w:hAnsi="Arial" w:cs="Arial"/>
          <w:bCs/>
          <w:color w:val="000000" w:themeColor="text1"/>
          <w:sz w:val="24"/>
          <w:szCs w:val="24"/>
        </w:rPr>
        <w:t xml:space="preserve"> fundamento en este </w:t>
      </w:r>
      <w:r w:rsidR="007419B4" w:rsidRPr="00682149">
        <w:rPr>
          <w:rFonts w:ascii="Arial" w:hAnsi="Arial" w:cs="Arial"/>
          <w:bCs/>
          <w:color w:val="000000" w:themeColor="text1"/>
          <w:sz w:val="24"/>
          <w:szCs w:val="24"/>
        </w:rPr>
        <w:t>D</w:t>
      </w:r>
      <w:r w:rsidR="00B42CD9" w:rsidRPr="00682149">
        <w:rPr>
          <w:rFonts w:ascii="Arial" w:hAnsi="Arial" w:cs="Arial"/>
          <w:bCs/>
          <w:color w:val="000000" w:themeColor="text1"/>
          <w:sz w:val="24"/>
          <w:szCs w:val="24"/>
        </w:rPr>
        <w:t>ecreto</w:t>
      </w:r>
      <w:r w:rsidR="007419B4" w:rsidRPr="00682149">
        <w:rPr>
          <w:rFonts w:ascii="Arial" w:hAnsi="Arial" w:cs="Arial"/>
          <w:bCs/>
          <w:color w:val="000000" w:themeColor="text1"/>
          <w:sz w:val="24"/>
          <w:szCs w:val="24"/>
        </w:rPr>
        <w:t>,</w:t>
      </w:r>
      <w:r w:rsidR="00B42CD9" w:rsidRPr="00682149">
        <w:rPr>
          <w:rFonts w:ascii="Arial" w:hAnsi="Arial" w:cs="Arial"/>
          <w:bCs/>
          <w:color w:val="000000" w:themeColor="text1"/>
          <w:sz w:val="24"/>
          <w:szCs w:val="24"/>
        </w:rPr>
        <w:t xml:space="preserve"> </w:t>
      </w:r>
      <w:r w:rsidR="00E03E80" w:rsidRPr="00682149">
        <w:rPr>
          <w:rFonts w:ascii="Arial" w:hAnsi="Arial" w:cs="Arial"/>
          <w:bCs/>
          <w:color w:val="000000" w:themeColor="text1"/>
          <w:sz w:val="24"/>
          <w:szCs w:val="24"/>
        </w:rPr>
        <w:t>l</w:t>
      </w:r>
      <w:r w:rsidR="00B62077" w:rsidRPr="00682149">
        <w:rPr>
          <w:rFonts w:ascii="Arial" w:hAnsi="Arial" w:cs="Arial"/>
          <w:bCs/>
          <w:color w:val="000000" w:themeColor="text1"/>
          <w:sz w:val="24"/>
          <w:szCs w:val="24"/>
        </w:rPr>
        <w:t xml:space="preserve">a </w:t>
      </w:r>
      <w:r w:rsidR="00611035" w:rsidRPr="00682149">
        <w:rPr>
          <w:rFonts w:ascii="Arial" w:hAnsi="Arial" w:cs="Arial"/>
          <w:bCs/>
          <w:color w:val="000000" w:themeColor="text1"/>
          <w:sz w:val="24"/>
          <w:szCs w:val="24"/>
        </w:rPr>
        <w:t xml:space="preserve">Comisión expidió la Resolución CREG 118 del 12 de junio de 2020, </w:t>
      </w:r>
      <w:r w:rsidRPr="00682149">
        <w:rPr>
          <w:rFonts w:ascii="Arial" w:hAnsi="Arial" w:cs="Arial"/>
          <w:bCs/>
          <w:color w:val="000000" w:themeColor="text1"/>
          <w:sz w:val="24"/>
          <w:szCs w:val="24"/>
        </w:rPr>
        <w:t xml:space="preserve">mediante la cual hizo </w:t>
      </w:r>
      <w:r w:rsidR="00611035" w:rsidRPr="00682149">
        <w:rPr>
          <w:rFonts w:ascii="Arial" w:hAnsi="Arial" w:cs="Arial"/>
          <w:bCs/>
          <w:color w:val="000000" w:themeColor="text1"/>
          <w:sz w:val="24"/>
          <w:szCs w:val="24"/>
        </w:rPr>
        <w:t>extensivas las medidas transitorias adoptadas para el pago de las facturas del servicio de energía eléctric</w:t>
      </w:r>
      <w:r w:rsidR="000B7FC4" w:rsidRPr="00682149">
        <w:rPr>
          <w:rFonts w:ascii="Arial" w:hAnsi="Arial" w:cs="Arial"/>
          <w:bCs/>
          <w:color w:val="000000" w:themeColor="text1"/>
          <w:sz w:val="24"/>
          <w:szCs w:val="24"/>
        </w:rPr>
        <w:t>a</w:t>
      </w:r>
      <w:r w:rsidR="00122D54" w:rsidRPr="00682149">
        <w:rPr>
          <w:rFonts w:ascii="Arial" w:hAnsi="Arial" w:cs="Arial"/>
          <w:bCs/>
          <w:color w:val="000000" w:themeColor="text1"/>
          <w:sz w:val="24"/>
          <w:szCs w:val="24"/>
        </w:rPr>
        <w:t xml:space="preserve"> del Sistema Interconectado Nacional </w:t>
      </w:r>
      <w:r w:rsidR="000B7FC4" w:rsidRPr="00682149">
        <w:rPr>
          <w:rFonts w:ascii="Arial" w:hAnsi="Arial" w:cs="Arial"/>
          <w:bCs/>
          <w:color w:val="000000" w:themeColor="text1"/>
          <w:sz w:val="24"/>
          <w:szCs w:val="24"/>
        </w:rPr>
        <w:t xml:space="preserve">a las zonas </w:t>
      </w:r>
      <w:r w:rsidR="008066CB" w:rsidRPr="00682149">
        <w:rPr>
          <w:rFonts w:ascii="Arial" w:hAnsi="Arial" w:cs="Arial"/>
          <w:bCs/>
          <w:color w:val="000000" w:themeColor="text1"/>
          <w:sz w:val="24"/>
          <w:szCs w:val="24"/>
        </w:rPr>
        <w:t>No Interconectadas</w:t>
      </w:r>
      <w:r w:rsidRPr="00682149">
        <w:rPr>
          <w:rFonts w:ascii="Arial" w:hAnsi="Arial" w:cs="Arial"/>
          <w:bCs/>
          <w:color w:val="000000" w:themeColor="text1"/>
          <w:sz w:val="24"/>
          <w:szCs w:val="24"/>
        </w:rPr>
        <w:t xml:space="preserve"> ZNI</w:t>
      </w:r>
      <w:r w:rsidR="00184F3B" w:rsidRPr="00682149">
        <w:rPr>
          <w:rFonts w:ascii="Arial" w:hAnsi="Arial" w:cs="Arial"/>
          <w:bCs/>
          <w:color w:val="000000" w:themeColor="text1"/>
          <w:sz w:val="24"/>
          <w:szCs w:val="24"/>
        </w:rPr>
        <w:t xml:space="preserve">. </w:t>
      </w:r>
    </w:p>
    <w:p w14:paraId="13A6C91E" w14:textId="77777777" w:rsidR="000C2447" w:rsidRDefault="000C2447" w:rsidP="001C138F">
      <w:pPr>
        <w:pStyle w:val="Ttulo2"/>
        <w:spacing w:after="0" w:line="276" w:lineRule="auto"/>
        <w:ind w:left="-5"/>
        <w:jc w:val="both"/>
        <w:rPr>
          <w:rFonts w:ascii="Arial" w:hAnsi="Arial" w:cs="Arial"/>
          <w:color w:val="000000" w:themeColor="text1"/>
          <w:sz w:val="24"/>
          <w:szCs w:val="24"/>
          <w:lang w:val="es-ES_tradnl"/>
        </w:rPr>
      </w:pPr>
      <w:bookmarkStart w:id="7" w:name="_Toc467842439"/>
    </w:p>
    <w:p w14:paraId="6868ABFB" w14:textId="68C1A6E5" w:rsidR="003B7D2F" w:rsidRPr="00682149" w:rsidRDefault="00454CDB" w:rsidP="001C138F">
      <w:pPr>
        <w:pStyle w:val="Ttulo2"/>
        <w:spacing w:after="0" w:line="276" w:lineRule="auto"/>
        <w:ind w:left="-5"/>
        <w:jc w:val="both"/>
        <w:rPr>
          <w:rFonts w:ascii="Arial" w:hAnsi="Arial" w:cs="Arial"/>
          <w:color w:val="000000" w:themeColor="text1"/>
          <w:sz w:val="24"/>
          <w:szCs w:val="24"/>
          <w:lang w:val="es-ES_tradnl"/>
        </w:rPr>
      </w:pPr>
      <w:r w:rsidRPr="00682149">
        <w:rPr>
          <w:rFonts w:ascii="Arial" w:hAnsi="Arial" w:cs="Arial"/>
          <w:color w:val="000000" w:themeColor="text1"/>
          <w:sz w:val="24"/>
          <w:szCs w:val="24"/>
          <w:lang w:val="es-ES_tradnl"/>
        </w:rPr>
        <w:t>i</w:t>
      </w:r>
      <w:r w:rsidR="00B62077" w:rsidRPr="00682149">
        <w:rPr>
          <w:rFonts w:ascii="Arial" w:hAnsi="Arial" w:cs="Arial"/>
          <w:color w:val="000000" w:themeColor="text1"/>
          <w:sz w:val="24"/>
          <w:szCs w:val="24"/>
          <w:lang w:val="es-ES_tradnl"/>
        </w:rPr>
        <w:t xml:space="preserve">ii) </w:t>
      </w:r>
      <w:r w:rsidR="000C2447">
        <w:rPr>
          <w:rFonts w:ascii="Arial" w:hAnsi="Arial" w:cs="Arial"/>
          <w:color w:val="000000" w:themeColor="text1"/>
          <w:sz w:val="24"/>
          <w:szCs w:val="24"/>
          <w:lang w:val="es-ES_tradnl"/>
        </w:rPr>
        <w:t>Indicó que la norma cumple</w:t>
      </w:r>
      <w:r w:rsidRPr="00682149">
        <w:rPr>
          <w:rFonts w:ascii="Arial" w:hAnsi="Arial" w:cs="Arial"/>
          <w:color w:val="000000" w:themeColor="text1"/>
          <w:sz w:val="24"/>
          <w:szCs w:val="24"/>
          <w:lang w:val="es-ES_tradnl"/>
        </w:rPr>
        <w:t xml:space="preserve"> con el c</w:t>
      </w:r>
      <w:r w:rsidR="00B62077" w:rsidRPr="00682149">
        <w:rPr>
          <w:rFonts w:ascii="Arial" w:hAnsi="Arial" w:cs="Arial"/>
          <w:color w:val="000000" w:themeColor="text1"/>
          <w:sz w:val="24"/>
          <w:szCs w:val="24"/>
          <w:lang w:val="es-ES_tradnl"/>
        </w:rPr>
        <w:t>riterio de finalidad</w:t>
      </w:r>
      <w:r w:rsidRPr="00682149">
        <w:rPr>
          <w:rFonts w:ascii="Arial" w:hAnsi="Arial" w:cs="Arial"/>
          <w:color w:val="000000" w:themeColor="text1"/>
          <w:sz w:val="24"/>
          <w:szCs w:val="24"/>
          <w:lang w:val="es-ES_tradnl"/>
        </w:rPr>
        <w:t xml:space="preserve">, dado que las </w:t>
      </w:r>
      <w:r w:rsidR="00611035" w:rsidRPr="00682149">
        <w:rPr>
          <w:rFonts w:ascii="Arial" w:hAnsi="Arial" w:cs="Arial"/>
          <w:color w:val="000000" w:themeColor="text1"/>
          <w:sz w:val="24"/>
          <w:szCs w:val="24"/>
          <w:lang w:val="es-ES_tradnl"/>
        </w:rPr>
        <w:t>medidas</w:t>
      </w:r>
      <w:r w:rsidRPr="00682149">
        <w:rPr>
          <w:rFonts w:ascii="Arial" w:hAnsi="Arial" w:cs="Arial"/>
          <w:color w:val="000000" w:themeColor="text1"/>
          <w:sz w:val="24"/>
          <w:szCs w:val="24"/>
          <w:lang w:val="es-ES_tradnl"/>
        </w:rPr>
        <w:t xml:space="preserve">, </w:t>
      </w:r>
      <w:r w:rsidR="00611035" w:rsidRPr="00682149">
        <w:rPr>
          <w:rFonts w:ascii="Arial" w:hAnsi="Arial" w:cs="Arial"/>
          <w:color w:val="000000" w:themeColor="text1"/>
          <w:sz w:val="24"/>
          <w:szCs w:val="24"/>
          <w:lang w:val="es-ES_tradnl"/>
        </w:rPr>
        <w:t xml:space="preserve">tienen por objeto mitigar los efectos negativos de la propagación de la pandemia que se pueden ocasionar </w:t>
      </w:r>
      <w:r w:rsidRPr="00682149">
        <w:rPr>
          <w:rFonts w:ascii="Arial" w:hAnsi="Arial" w:cs="Arial"/>
          <w:color w:val="000000" w:themeColor="text1"/>
          <w:sz w:val="24"/>
          <w:szCs w:val="24"/>
          <w:lang w:val="es-ES_tradnl"/>
        </w:rPr>
        <w:t>si los usuarios no cuenta</w:t>
      </w:r>
      <w:r w:rsidR="00611035" w:rsidRPr="00682149">
        <w:rPr>
          <w:rFonts w:ascii="Arial" w:hAnsi="Arial" w:cs="Arial"/>
          <w:color w:val="000000" w:themeColor="text1"/>
          <w:sz w:val="24"/>
          <w:szCs w:val="24"/>
          <w:lang w:val="es-ES_tradnl"/>
        </w:rPr>
        <w:t>n durante el periodo de la emergencia sanitaria con la prestación continua y efectiva del servicio de energía eléctrica en sus domicilios</w:t>
      </w:r>
      <w:r w:rsidR="003B7D2F" w:rsidRPr="00682149">
        <w:rPr>
          <w:rFonts w:ascii="Arial" w:hAnsi="Arial" w:cs="Arial"/>
          <w:color w:val="000000" w:themeColor="text1"/>
          <w:sz w:val="24"/>
          <w:szCs w:val="24"/>
          <w:lang w:val="es-ES_tradnl"/>
        </w:rPr>
        <w:t xml:space="preserve">. </w:t>
      </w:r>
      <w:bookmarkEnd w:id="7"/>
    </w:p>
    <w:p w14:paraId="32C9670F" w14:textId="77777777" w:rsidR="00975E0E" w:rsidRPr="00682149" w:rsidRDefault="00975E0E" w:rsidP="001C138F">
      <w:pPr>
        <w:spacing w:after="0"/>
        <w:rPr>
          <w:color w:val="000000" w:themeColor="text1"/>
        </w:rPr>
      </w:pPr>
    </w:p>
    <w:p w14:paraId="6C7FFC93" w14:textId="6A855F33" w:rsidR="00611035" w:rsidRPr="00682149" w:rsidRDefault="00E03E80" w:rsidP="001C138F">
      <w:pPr>
        <w:spacing w:after="0" w:line="276" w:lineRule="auto"/>
        <w:jc w:val="both"/>
        <w:rPr>
          <w:rFonts w:ascii="Arial" w:hAnsi="Arial" w:cs="Arial"/>
          <w:color w:val="000000" w:themeColor="text1"/>
          <w:sz w:val="24"/>
          <w:szCs w:val="24"/>
        </w:rPr>
      </w:pPr>
      <w:r w:rsidRPr="00682149">
        <w:rPr>
          <w:rFonts w:ascii="Arial" w:hAnsi="Arial" w:cs="Arial"/>
          <w:color w:val="000000" w:themeColor="text1"/>
          <w:sz w:val="24"/>
          <w:szCs w:val="24"/>
        </w:rPr>
        <w:t xml:space="preserve">iv) </w:t>
      </w:r>
      <w:r w:rsidR="007419B4" w:rsidRPr="00682149">
        <w:rPr>
          <w:rFonts w:ascii="Arial" w:hAnsi="Arial" w:cs="Arial"/>
          <w:color w:val="000000" w:themeColor="text1"/>
          <w:sz w:val="24"/>
          <w:szCs w:val="24"/>
        </w:rPr>
        <w:t xml:space="preserve">En punto al </w:t>
      </w:r>
      <w:r w:rsidRPr="00682149">
        <w:rPr>
          <w:rFonts w:ascii="Arial" w:hAnsi="Arial" w:cs="Arial"/>
          <w:color w:val="000000" w:themeColor="text1"/>
          <w:sz w:val="24"/>
          <w:szCs w:val="24"/>
        </w:rPr>
        <w:t xml:space="preserve"> criterio de conexidad, </w:t>
      </w:r>
      <w:r w:rsidR="007419B4" w:rsidRPr="00682149">
        <w:rPr>
          <w:rFonts w:ascii="Arial" w:hAnsi="Arial" w:cs="Arial"/>
          <w:color w:val="000000" w:themeColor="text1"/>
          <w:sz w:val="24"/>
          <w:szCs w:val="24"/>
        </w:rPr>
        <w:t xml:space="preserve">el Director Ejecutivo de la CREG, menciona que la </w:t>
      </w:r>
      <w:r w:rsidR="00214413" w:rsidRPr="00682149">
        <w:rPr>
          <w:rFonts w:ascii="Arial" w:hAnsi="Arial" w:cs="Arial"/>
          <w:color w:val="000000" w:themeColor="text1"/>
          <w:sz w:val="24"/>
          <w:szCs w:val="24"/>
        </w:rPr>
        <w:t>R</w:t>
      </w:r>
      <w:r w:rsidR="004A3164" w:rsidRPr="00682149">
        <w:rPr>
          <w:rFonts w:ascii="Arial" w:hAnsi="Arial" w:cs="Arial"/>
          <w:color w:val="000000" w:themeColor="text1"/>
          <w:sz w:val="24"/>
          <w:szCs w:val="24"/>
        </w:rPr>
        <w:t xml:space="preserve">esolución </w:t>
      </w:r>
      <w:r w:rsidR="00611035" w:rsidRPr="00682149">
        <w:rPr>
          <w:rFonts w:ascii="Arial" w:hAnsi="Arial" w:cs="Arial"/>
          <w:color w:val="000000" w:themeColor="text1"/>
          <w:sz w:val="24"/>
          <w:szCs w:val="24"/>
        </w:rPr>
        <w:t xml:space="preserve"> permite que se cumpla con las medidas señaladas en el Decreto 417 del 17 de marzo de 2020, tendientes a garantizar la prestación continua y efectiva de los servicios públicos, ante el surgimiento de la mencionada pandemia, para lo cual se planteó la posibilidad de flexibilizar los criterios de calidad, continuidad y eficiencia de los servicios, establecer un orden de atención prioritaria en el abastecimiento de los mismos, y el establecimiento de medidas de importación y comercialización de combustibles con el fin de no afectar su abastecimiento y la prestación continua de estos. </w:t>
      </w:r>
    </w:p>
    <w:p w14:paraId="738370BB" w14:textId="77777777" w:rsidR="00975E0E" w:rsidRPr="00682149" w:rsidRDefault="00975E0E" w:rsidP="001C138F">
      <w:pPr>
        <w:spacing w:after="0" w:line="276" w:lineRule="auto"/>
        <w:jc w:val="both"/>
        <w:rPr>
          <w:rFonts w:ascii="Arial" w:hAnsi="Arial" w:cs="Arial"/>
          <w:color w:val="000000" w:themeColor="text1"/>
          <w:sz w:val="24"/>
          <w:szCs w:val="24"/>
        </w:rPr>
      </w:pPr>
    </w:p>
    <w:p w14:paraId="7E59B395" w14:textId="11057FBD" w:rsidR="00611035" w:rsidRPr="00682149" w:rsidRDefault="00454CDB" w:rsidP="001C138F">
      <w:pPr>
        <w:spacing w:after="0" w:line="276" w:lineRule="auto"/>
        <w:jc w:val="both"/>
        <w:rPr>
          <w:rFonts w:ascii="Arial" w:hAnsi="Arial" w:cs="Arial"/>
          <w:color w:val="000000" w:themeColor="text1"/>
          <w:sz w:val="24"/>
          <w:szCs w:val="24"/>
        </w:rPr>
      </w:pPr>
      <w:r w:rsidRPr="00682149">
        <w:rPr>
          <w:rFonts w:ascii="Arial" w:hAnsi="Arial" w:cs="Arial"/>
          <w:color w:val="000000" w:themeColor="text1"/>
          <w:sz w:val="24"/>
          <w:szCs w:val="24"/>
        </w:rPr>
        <w:t xml:space="preserve">v) </w:t>
      </w:r>
      <w:r w:rsidR="00184F3B" w:rsidRPr="00682149">
        <w:rPr>
          <w:rFonts w:ascii="Arial" w:hAnsi="Arial" w:cs="Arial"/>
          <w:color w:val="000000" w:themeColor="text1"/>
          <w:sz w:val="24"/>
          <w:szCs w:val="24"/>
        </w:rPr>
        <w:t>C</w:t>
      </w:r>
      <w:r w:rsidRPr="00682149">
        <w:rPr>
          <w:rFonts w:ascii="Arial" w:hAnsi="Arial" w:cs="Arial"/>
          <w:color w:val="000000" w:themeColor="text1"/>
          <w:sz w:val="24"/>
          <w:szCs w:val="24"/>
        </w:rPr>
        <w:t xml:space="preserve">umple con el </w:t>
      </w:r>
      <w:r w:rsidR="003E72B0" w:rsidRPr="00682149">
        <w:rPr>
          <w:rFonts w:ascii="Arial" w:hAnsi="Arial" w:cs="Arial"/>
          <w:color w:val="000000" w:themeColor="text1"/>
          <w:sz w:val="24"/>
          <w:szCs w:val="24"/>
        </w:rPr>
        <w:t>c</w:t>
      </w:r>
      <w:r w:rsidR="00B62077" w:rsidRPr="00682149">
        <w:rPr>
          <w:rFonts w:ascii="Arial" w:hAnsi="Arial" w:cs="Arial"/>
          <w:color w:val="000000" w:themeColor="text1"/>
          <w:sz w:val="24"/>
          <w:szCs w:val="24"/>
        </w:rPr>
        <w:t>riterio de necesidad</w:t>
      </w:r>
      <w:r w:rsidR="003E72B0" w:rsidRPr="00682149">
        <w:rPr>
          <w:rFonts w:ascii="Arial" w:hAnsi="Arial" w:cs="Arial"/>
          <w:color w:val="000000" w:themeColor="text1"/>
          <w:sz w:val="24"/>
          <w:szCs w:val="24"/>
        </w:rPr>
        <w:t>, pues</w:t>
      </w:r>
      <w:r w:rsidR="00122D54" w:rsidRPr="00682149">
        <w:rPr>
          <w:rFonts w:ascii="Arial" w:hAnsi="Arial" w:cs="Arial"/>
          <w:color w:val="000000" w:themeColor="text1"/>
          <w:sz w:val="24"/>
          <w:szCs w:val="24"/>
        </w:rPr>
        <w:t xml:space="preserve"> busca </w:t>
      </w:r>
      <w:r w:rsidR="00611035" w:rsidRPr="00682149">
        <w:rPr>
          <w:rFonts w:ascii="Arial" w:hAnsi="Arial" w:cs="Arial"/>
          <w:color w:val="000000" w:themeColor="text1"/>
          <w:sz w:val="24"/>
          <w:szCs w:val="24"/>
        </w:rPr>
        <w:t>alcanzar una cobertura en las diferentes regiones y sectores del país, que garantice</w:t>
      </w:r>
      <w:r w:rsidR="00122D54" w:rsidRPr="00682149">
        <w:rPr>
          <w:rFonts w:ascii="Arial" w:hAnsi="Arial" w:cs="Arial"/>
          <w:color w:val="000000" w:themeColor="text1"/>
          <w:sz w:val="24"/>
          <w:szCs w:val="24"/>
        </w:rPr>
        <w:t>n</w:t>
      </w:r>
      <w:r w:rsidR="00611035" w:rsidRPr="00682149">
        <w:rPr>
          <w:rFonts w:ascii="Arial" w:hAnsi="Arial" w:cs="Arial"/>
          <w:color w:val="000000" w:themeColor="text1"/>
          <w:sz w:val="24"/>
          <w:szCs w:val="24"/>
        </w:rPr>
        <w:t xml:space="preserve"> la satisfacción de las necesidades básicas de los usuarios de los estratos 1, 2 y 3, y los de menores recursos del área rural, a través de los diversos agentes públicos y privados que presten el servicio</w:t>
      </w:r>
      <w:r w:rsidR="00A46B68" w:rsidRPr="00682149">
        <w:rPr>
          <w:rFonts w:ascii="Arial" w:hAnsi="Arial" w:cs="Arial"/>
          <w:color w:val="000000" w:themeColor="text1"/>
          <w:sz w:val="24"/>
          <w:szCs w:val="24"/>
        </w:rPr>
        <w:t>; para estos efectos menciona, lo siguiente:</w:t>
      </w:r>
      <w:r w:rsidR="00122D54" w:rsidRPr="00682149">
        <w:rPr>
          <w:rFonts w:ascii="Arial" w:hAnsi="Arial" w:cs="Arial"/>
          <w:color w:val="000000" w:themeColor="text1"/>
          <w:sz w:val="24"/>
          <w:szCs w:val="24"/>
        </w:rPr>
        <w:t xml:space="preserve"> </w:t>
      </w:r>
    </w:p>
    <w:p w14:paraId="37B07E52" w14:textId="77777777" w:rsidR="00122D54" w:rsidRPr="00682149" w:rsidRDefault="00122D54" w:rsidP="001C138F">
      <w:pPr>
        <w:spacing w:after="0" w:line="276" w:lineRule="auto"/>
        <w:jc w:val="both"/>
        <w:rPr>
          <w:rFonts w:ascii="Arial" w:hAnsi="Arial" w:cs="Arial"/>
          <w:color w:val="000000" w:themeColor="text1"/>
          <w:sz w:val="24"/>
          <w:szCs w:val="24"/>
        </w:rPr>
      </w:pPr>
    </w:p>
    <w:p w14:paraId="37BE3554" w14:textId="5ABCA58B" w:rsidR="00611035" w:rsidRPr="00682149" w:rsidRDefault="00122D54" w:rsidP="001C138F">
      <w:pPr>
        <w:spacing w:after="0" w:line="276" w:lineRule="auto"/>
        <w:ind w:left="567"/>
        <w:jc w:val="both"/>
        <w:rPr>
          <w:rFonts w:ascii="Arial" w:hAnsi="Arial" w:cs="Arial"/>
          <w:i/>
          <w:color w:val="000000" w:themeColor="text1"/>
        </w:rPr>
      </w:pPr>
      <w:r w:rsidRPr="00682149">
        <w:rPr>
          <w:rFonts w:ascii="Arial" w:hAnsi="Arial" w:cs="Arial"/>
          <w:i/>
          <w:color w:val="000000" w:themeColor="text1"/>
        </w:rPr>
        <w:t>“</w:t>
      </w:r>
      <w:r w:rsidR="0096547D" w:rsidRPr="00682149">
        <w:rPr>
          <w:rFonts w:ascii="Arial" w:hAnsi="Arial" w:cs="Arial"/>
          <w:i/>
          <w:color w:val="000000" w:themeColor="text1"/>
        </w:rPr>
        <w:t xml:space="preserve">En consecuencia, </w:t>
      </w:r>
      <w:r w:rsidR="00611035" w:rsidRPr="00682149">
        <w:rPr>
          <w:rFonts w:ascii="Arial" w:hAnsi="Arial" w:cs="Arial"/>
          <w:i/>
          <w:color w:val="000000" w:themeColor="text1"/>
        </w:rPr>
        <w:t xml:space="preserve">las medidas adoptadas con base en las facultades otorgadas a la CREG, por el Decreto Legislativo 517 de 2020 son necesarias para reducir los efectos negativos de la aparición de la pandemia de COVID-19 en Colombia, teniendo en cuenta </w:t>
      </w:r>
      <w:r w:rsidR="0096547D" w:rsidRPr="00682149">
        <w:rPr>
          <w:rFonts w:ascii="Arial" w:hAnsi="Arial" w:cs="Arial"/>
          <w:i/>
          <w:color w:val="000000" w:themeColor="text1"/>
        </w:rPr>
        <w:t>que i)</w:t>
      </w:r>
      <w:r w:rsidR="00611035" w:rsidRPr="00682149">
        <w:rPr>
          <w:rFonts w:ascii="Arial" w:hAnsi="Arial" w:cs="Arial"/>
          <w:i/>
          <w:color w:val="000000" w:themeColor="text1"/>
        </w:rPr>
        <w:t xml:space="preserve"> las ZNI se caracterizan por tener población dispersa y de bajos ingresos, con restricciones en infraestructura vial y de servicios públicos domiciliarios. De acuerdo con el informe de gestión del IPSE (2019), estas zonas se componen de 1913 localidades, entre cabeceras municipales, corregimientos, caseríos, inspecciones de policía y centros poblados sin clasificar, las cuales se encuentran ubicadas en 18 departamentos, 5 capitales y 78 municipios del país. Y en proporción del territorio nacional colombiano estas zonas equivalen al 52,5% del territorio nacional.  </w:t>
      </w:r>
      <w:proofErr w:type="spellStart"/>
      <w:r w:rsidR="0096547D" w:rsidRPr="00682149">
        <w:rPr>
          <w:rFonts w:ascii="Arial" w:hAnsi="Arial" w:cs="Arial"/>
          <w:i/>
          <w:color w:val="000000" w:themeColor="text1"/>
        </w:rPr>
        <w:t>Ii</w:t>
      </w:r>
      <w:proofErr w:type="spellEnd"/>
      <w:r w:rsidR="0096547D" w:rsidRPr="00682149">
        <w:rPr>
          <w:rFonts w:ascii="Arial" w:hAnsi="Arial" w:cs="Arial"/>
          <w:i/>
          <w:color w:val="000000" w:themeColor="text1"/>
        </w:rPr>
        <w:t xml:space="preserve">) </w:t>
      </w:r>
      <w:r w:rsidR="00611035" w:rsidRPr="00682149">
        <w:rPr>
          <w:rFonts w:ascii="Arial" w:hAnsi="Arial" w:cs="Arial"/>
          <w:i/>
          <w:color w:val="000000" w:themeColor="text1"/>
        </w:rPr>
        <w:t>Según información de la Superintendencia de Servicios Públicos Domiciliarios</w:t>
      </w:r>
      <w:r w:rsidR="00611035" w:rsidRPr="00682149">
        <w:rPr>
          <w:rFonts w:ascii="Arial" w:hAnsi="Arial" w:cs="Arial"/>
          <w:i/>
          <w:color w:val="000000" w:themeColor="text1"/>
          <w:vertAlign w:val="superscript"/>
        </w:rPr>
        <w:footnoteReference w:id="4"/>
      </w:r>
      <w:r w:rsidR="00611035" w:rsidRPr="00682149">
        <w:rPr>
          <w:rFonts w:ascii="Arial" w:hAnsi="Arial" w:cs="Arial"/>
          <w:i/>
          <w:color w:val="000000" w:themeColor="text1"/>
        </w:rPr>
        <w:t xml:space="preserve">, en el Sistema Único de Información, SUI, con corte a abril </w:t>
      </w:r>
      <w:r w:rsidR="00611035" w:rsidRPr="00682149">
        <w:rPr>
          <w:rFonts w:ascii="Arial" w:hAnsi="Arial" w:cs="Arial"/>
          <w:i/>
          <w:color w:val="000000" w:themeColor="text1"/>
        </w:rPr>
        <w:lastRenderedPageBreak/>
        <w:t xml:space="preserve">de 2020 se tienen codificadas localidades en 84 municipios que se encuentran ubicadas en 20 departamentos del país, </w:t>
      </w:r>
      <w:r w:rsidR="0096547D" w:rsidRPr="00682149">
        <w:rPr>
          <w:rFonts w:ascii="Arial" w:hAnsi="Arial" w:cs="Arial"/>
          <w:i/>
          <w:color w:val="000000" w:themeColor="text1"/>
        </w:rPr>
        <w:t xml:space="preserve">y iii) </w:t>
      </w:r>
      <w:r w:rsidR="00611035" w:rsidRPr="00682149">
        <w:rPr>
          <w:rFonts w:ascii="Arial" w:hAnsi="Arial" w:cs="Arial"/>
          <w:i/>
          <w:color w:val="000000" w:themeColor="text1"/>
        </w:rPr>
        <w:t xml:space="preserve"> los departamentos del país que tienen codificadas localidades en el SUI, se encuentran instaladas soluciones individuales solares fotovoltaicas en los departamentos de Caquetá, Vaupés, Chocó, Córdoba, Putumayo, Nariño, Guainía, Guaviare y el Meta.</w:t>
      </w:r>
      <w:r w:rsidR="004F28DB" w:rsidRPr="00682149">
        <w:rPr>
          <w:rFonts w:ascii="Arial" w:hAnsi="Arial" w:cs="Arial"/>
          <w:i/>
          <w:color w:val="000000" w:themeColor="text1"/>
        </w:rPr>
        <w:t>”</w:t>
      </w:r>
      <w:r w:rsidR="00611035" w:rsidRPr="00682149">
        <w:rPr>
          <w:rFonts w:ascii="Arial" w:hAnsi="Arial" w:cs="Arial"/>
          <w:i/>
          <w:color w:val="000000" w:themeColor="text1"/>
        </w:rPr>
        <w:t xml:space="preserve">   </w:t>
      </w:r>
    </w:p>
    <w:p w14:paraId="55EC5C5A" w14:textId="77777777" w:rsidR="006D22AA" w:rsidRPr="00682149" w:rsidRDefault="006D22AA" w:rsidP="001C138F">
      <w:pPr>
        <w:spacing w:after="0" w:line="276" w:lineRule="auto"/>
        <w:ind w:left="567"/>
        <w:jc w:val="both"/>
        <w:rPr>
          <w:rFonts w:ascii="Arial" w:hAnsi="Arial" w:cs="Arial"/>
          <w:i/>
          <w:color w:val="000000" w:themeColor="text1"/>
        </w:rPr>
      </w:pPr>
    </w:p>
    <w:p w14:paraId="02BE84A4" w14:textId="2D0D4F9D" w:rsidR="00611035" w:rsidRPr="00682149" w:rsidRDefault="003E72B0" w:rsidP="001C138F">
      <w:pPr>
        <w:pStyle w:val="Ttulo2"/>
        <w:spacing w:after="0" w:line="276" w:lineRule="auto"/>
        <w:ind w:left="-5"/>
        <w:jc w:val="both"/>
        <w:rPr>
          <w:rFonts w:ascii="Arial" w:hAnsi="Arial" w:cs="Arial"/>
          <w:color w:val="000000" w:themeColor="text1"/>
          <w:sz w:val="24"/>
          <w:szCs w:val="24"/>
          <w:lang w:val="es-ES_tradnl"/>
        </w:rPr>
      </w:pPr>
      <w:bookmarkStart w:id="8" w:name="_Toc467842440"/>
      <w:r w:rsidRPr="00682149">
        <w:rPr>
          <w:rFonts w:ascii="Arial" w:hAnsi="Arial" w:cs="Arial"/>
          <w:color w:val="000000" w:themeColor="text1"/>
          <w:sz w:val="24"/>
          <w:szCs w:val="24"/>
          <w:lang w:val="es-ES_tradnl"/>
        </w:rPr>
        <w:t>v</w:t>
      </w:r>
      <w:r w:rsidR="00E03E80" w:rsidRPr="00682149">
        <w:rPr>
          <w:rFonts w:ascii="Arial" w:hAnsi="Arial" w:cs="Arial"/>
          <w:color w:val="000000" w:themeColor="text1"/>
          <w:sz w:val="24"/>
          <w:szCs w:val="24"/>
          <w:lang w:val="es-ES_tradnl"/>
        </w:rPr>
        <w:t>i</w:t>
      </w:r>
      <w:r w:rsidR="00B62077" w:rsidRPr="00682149">
        <w:rPr>
          <w:rFonts w:ascii="Arial" w:hAnsi="Arial" w:cs="Arial"/>
          <w:color w:val="000000" w:themeColor="text1"/>
          <w:sz w:val="24"/>
          <w:szCs w:val="24"/>
          <w:lang w:val="es-ES_tradnl"/>
        </w:rPr>
        <w:t xml:space="preserve">) </w:t>
      </w:r>
      <w:r w:rsidR="00611035" w:rsidRPr="00682149">
        <w:rPr>
          <w:rFonts w:ascii="Arial" w:hAnsi="Arial" w:cs="Arial"/>
          <w:color w:val="000000" w:themeColor="text1"/>
          <w:sz w:val="24"/>
          <w:szCs w:val="24"/>
          <w:lang w:val="es-ES_tradnl"/>
        </w:rPr>
        <w:t xml:space="preserve"> </w:t>
      </w:r>
      <w:r w:rsidR="00395116" w:rsidRPr="00682149">
        <w:rPr>
          <w:rFonts w:ascii="Arial" w:hAnsi="Arial" w:cs="Arial"/>
          <w:color w:val="000000" w:themeColor="text1"/>
          <w:sz w:val="24"/>
          <w:szCs w:val="24"/>
          <w:lang w:val="es-ES_tradnl"/>
        </w:rPr>
        <w:t xml:space="preserve">Cumple con el criterio de proporcionalidad, pues busca </w:t>
      </w:r>
      <w:r w:rsidR="00611035" w:rsidRPr="00682149">
        <w:rPr>
          <w:rFonts w:ascii="Arial" w:hAnsi="Arial" w:cs="Arial"/>
          <w:color w:val="000000" w:themeColor="text1"/>
          <w:sz w:val="24"/>
          <w:szCs w:val="24"/>
          <w:lang w:val="es-ES_tradnl"/>
        </w:rPr>
        <w:t>conjurar los efectos adversos que ha tenido la declaratoria de la Emergencia Económica, Social y Ecológica</w:t>
      </w:r>
      <w:r w:rsidR="00E03E80" w:rsidRPr="00682149">
        <w:rPr>
          <w:rFonts w:ascii="Arial" w:hAnsi="Arial" w:cs="Arial"/>
          <w:color w:val="000000" w:themeColor="text1"/>
          <w:sz w:val="24"/>
          <w:szCs w:val="24"/>
          <w:lang w:val="es-ES_tradnl"/>
        </w:rPr>
        <w:t xml:space="preserve">, en este caso frente a la </w:t>
      </w:r>
      <w:r w:rsidR="00611035" w:rsidRPr="00682149">
        <w:rPr>
          <w:rFonts w:ascii="Arial" w:hAnsi="Arial" w:cs="Arial"/>
          <w:color w:val="000000" w:themeColor="text1"/>
          <w:sz w:val="24"/>
          <w:szCs w:val="24"/>
          <w:lang w:val="es-ES_tradnl"/>
        </w:rPr>
        <w:t>población más vulnerable</w:t>
      </w:r>
      <w:r w:rsidR="00E03E80" w:rsidRPr="00682149">
        <w:rPr>
          <w:rFonts w:ascii="Arial" w:hAnsi="Arial" w:cs="Arial"/>
          <w:color w:val="000000" w:themeColor="text1"/>
          <w:sz w:val="24"/>
          <w:szCs w:val="24"/>
          <w:lang w:val="es-ES_tradnl"/>
        </w:rPr>
        <w:t xml:space="preserve"> y sin el cumplimiento del trámite previsto en las normas ordinarias</w:t>
      </w:r>
      <w:r w:rsidR="00122D54" w:rsidRPr="00682149">
        <w:rPr>
          <w:rFonts w:ascii="Arial" w:hAnsi="Arial" w:cs="Arial"/>
          <w:color w:val="000000" w:themeColor="text1"/>
          <w:sz w:val="24"/>
          <w:szCs w:val="24"/>
          <w:lang w:val="es-ES_tradnl"/>
        </w:rPr>
        <w:t>.</w:t>
      </w:r>
      <w:bookmarkEnd w:id="8"/>
    </w:p>
    <w:p w14:paraId="13C095CD" w14:textId="77777777" w:rsidR="00122D54" w:rsidRPr="00682149" w:rsidRDefault="00122D54" w:rsidP="001C138F">
      <w:pPr>
        <w:spacing w:after="0" w:line="276" w:lineRule="auto"/>
        <w:rPr>
          <w:color w:val="000000" w:themeColor="text1"/>
        </w:rPr>
      </w:pPr>
    </w:p>
    <w:p w14:paraId="007D1D21" w14:textId="2D661166" w:rsidR="00611035" w:rsidRPr="00682149" w:rsidRDefault="002B063A" w:rsidP="001C138F">
      <w:pPr>
        <w:pStyle w:val="Ttulo2"/>
        <w:spacing w:after="0" w:line="276" w:lineRule="auto"/>
        <w:ind w:left="0" w:firstLine="0"/>
        <w:jc w:val="both"/>
        <w:rPr>
          <w:rFonts w:ascii="Arial" w:hAnsi="Arial" w:cs="Arial"/>
          <w:color w:val="000000" w:themeColor="text1"/>
          <w:sz w:val="24"/>
          <w:szCs w:val="24"/>
          <w:lang w:val="es-ES_tradnl"/>
        </w:rPr>
      </w:pPr>
      <w:bookmarkStart w:id="9" w:name="_Toc467842441"/>
      <w:r w:rsidRPr="00682149">
        <w:rPr>
          <w:rFonts w:ascii="Arial" w:hAnsi="Arial" w:cs="Arial"/>
          <w:color w:val="000000" w:themeColor="text1"/>
          <w:lang w:val="es-ES_tradnl"/>
        </w:rPr>
        <w:t>v</w:t>
      </w:r>
      <w:r w:rsidR="00395116" w:rsidRPr="00682149">
        <w:rPr>
          <w:rFonts w:ascii="Arial" w:hAnsi="Arial" w:cs="Arial"/>
          <w:color w:val="000000" w:themeColor="text1"/>
          <w:lang w:val="es-ES_tradnl"/>
        </w:rPr>
        <w:t>i</w:t>
      </w:r>
      <w:r w:rsidR="00E03E80" w:rsidRPr="00682149">
        <w:rPr>
          <w:rFonts w:ascii="Arial" w:hAnsi="Arial" w:cs="Arial"/>
          <w:color w:val="000000" w:themeColor="text1"/>
          <w:lang w:val="es-ES_tradnl"/>
        </w:rPr>
        <w:t>i</w:t>
      </w:r>
      <w:r w:rsidRPr="00682149">
        <w:rPr>
          <w:rFonts w:ascii="Arial" w:hAnsi="Arial" w:cs="Arial"/>
          <w:color w:val="000000" w:themeColor="text1"/>
          <w:sz w:val="24"/>
          <w:szCs w:val="24"/>
          <w:lang w:val="es-ES_tradnl"/>
        </w:rPr>
        <w:t xml:space="preserve">) </w:t>
      </w:r>
      <w:r w:rsidR="00354A88" w:rsidRPr="00682149">
        <w:rPr>
          <w:rFonts w:ascii="Arial" w:hAnsi="Arial" w:cs="Arial"/>
          <w:color w:val="000000" w:themeColor="text1"/>
          <w:sz w:val="24"/>
          <w:szCs w:val="24"/>
          <w:lang w:val="es-ES_tradnl"/>
        </w:rPr>
        <w:t>Fi</w:t>
      </w:r>
      <w:r w:rsidR="004F28DB" w:rsidRPr="00682149">
        <w:rPr>
          <w:rFonts w:ascii="Arial" w:hAnsi="Arial" w:cs="Arial"/>
          <w:color w:val="000000" w:themeColor="text1"/>
          <w:sz w:val="24"/>
          <w:szCs w:val="24"/>
          <w:lang w:val="es-ES_tradnl"/>
        </w:rPr>
        <w:t>nalmente, c</w:t>
      </w:r>
      <w:r w:rsidR="00395116" w:rsidRPr="00682149">
        <w:rPr>
          <w:rFonts w:ascii="Arial" w:hAnsi="Arial" w:cs="Arial"/>
          <w:color w:val="000000" w:themeColor="text1"/>
          <w:sz w:val="24"/>
          <w:szCs w:val="24"/>
          <w:lang w:val="es-ES_tradnl"/>
        </w:rPr>
        <w:t>umple con el c</w:t>
      </w:r>
      <w:r w:rsidR="00611035" w:rsidRPr="00682149">
        <w:rPr>
          <w:rFonts w:ascii="Arial" w:hAnsi="Arial" w:cs="Arial"/>
          <w:color w:val="000000" w:themeColor="text1"/>
          <w:sz w:val="24"/>
          <w:szCs w:val="24"/>
          <w:lang w:val="es-ES_tradnl"/>
        </w:rPr>
        <w:t>riterio de no discriminación</w:t>
      </w:r>
      <w:r w:rsidR="00395116" w:rsidRPr="00682149">
        <w:rPr>
          <w:rFonts w:ascii="Arial" w:hAnsi="Arial" w:cs="Arial"/>
          <w:color w:val="000000" w:themeColor="text1"/>
          <w:sz w:val="24"/>
          <w:szCs w:val="24"/>
          <w:lang w:val="es-ES_tradnl"/>
        </w:rPr>
        <w:t xml:space="preserve">, dado que </w:t>
      </w:r>
      <w:r w:rsidR="00611035" w:rsidRPr="00682149">
        <w:rPr>
          <w:rFonts w:ascii="Arial" w:hAnsi="Arial" w:cs="Arial"/>
          <w:color w:val="000000" w:themeColor="text1"/>
          <w:sz w:val="24"/>
          <w:szCs w:val="24"/>
          <w:lang w:val="es-ES_tradnl"/>
        </w:rPr>
        <w:t>permite efectuar el traslado de los costos asociados a la prestación del servicio a los usuarios de manera racional y equitativa, y por lo tanto, no implica de ninguna manera discriminación en razón de la raza, lengua, religión, origen nacional o familiar, opinión política, filosófica, sexo, orientación sexual o cualquier otro criterio que pueda ser considerado como sospechoso, de acuerdo con los parámetros señalados por la Corte Constitucional.</w:t>
      </w:r>
      <w:bookmarkEnd w:id="9"/>
      <w:r w:rsidR="00611035" w:rsidRPr="00682149">
        <w:rPr>
          <w:rFonts w:ascii="Arial" w:hAnsi="Arial" w:cs="Arial"/>
          <w:color w:val="000000" w:themeColor="text1"/>
          <w:sz w:val="24"/>
          <w:szCs w:val="24"/>
          <w:lang w:val="es-ES_tradnl"/>
        </w:rPr>
        <w:t xml:space="preserve"> </w:t>
      </w:r>
    </w:p>
    <w:p w14:paraId="60129B45" w14:textId="77777777" w:rsidR="00454900" w:rsidRPr="00682149" w:rsidRDefault="00454900" w:rsidP="001C138F">
      <w:pPr>
        <w:spacing w:after="0" w:line="276" w:lineRule="auto"/>
        <w:ind w:right="51"/>
        <w:jc w:val="center"/>
        <w:rPr>
          <w:rFonts w:ascii="Arial" w:hAnsi="Arial" w:cs="Arial"/>
          <w:b/>
          <w:color w:val="000000" w:themeColor="text1"/>
          <w:u w:val="single"/>
        </w:rPr>
      </w:pPr>
    </w:p>
    <w:p w14:paraId="44DB836D" w14:textId="67883985" w:rsidR="00454900" w:rsidRPr="00682149" w:rsidRDefault="00454900" w:rsidP="001C138F">
      <w:pPr>
        <w:pStyle w:val="Prrafodelista"/>
        <w:numPr>
          <w:ilvl w:val="0"/>
          <w:numId w:val="23"/>
        </w:numPr>
        <w:spacing w:after="0" w:line="276" w:lineRule="auto"/>
        <w:ind w:right="51"/>
        <w:jc w:val="center"/>
        <w:rPr>
          <w:rFonts w:ascii="Arial" w:hAnsi="Arial" w:cs="Arial"/>
          <w:b/>
          <w:color w:val="000000" w:themeColor="text1"/>
          <w:u w:val="single"/>
        </w:rPr>
      </w:pPr>
      <w:r w:rsidRPr="00682149">
        <w:rPr>
          <w:rFonts w:ascii="Arial" w:hAnsi="Arial" w:cs="Arial"/>
          <w:b/>
          <w:color w:val="000000" w:themeColor="text1"/>
          <w:u w:val="single"/>
        </w:rPr>
        <w:t>CONSIDERACIONES</w:t>
      </w:r>
    </w:p>
    <w:p w14:paraId="344DD2E0" w14:textId="77777777" w:rsidR="00454900" w:rsidRPr="00682149" w:rsidRDefault="00454900" w:rsidP="001C138F">
      <w:pPr>
        <w:spacing w:after="0" w:line="276" w:lineRule="auto"/>
        <w:rPr>
          <w:rFonts w:ascii="Arial" w:hAnsi="Arial" w:cs="Arial"/>
          <w:color w:val="000000" w:themeColor="text1"/>
          <w:highlight w:val="yellow"/>
        </w:rPr>
      </w:pPr>
    </w:p>
    <w:p w14:paraId="289FB2E5" w14:textId="7B541431" w:rsidR="00454900" w:rsidRPr="00682149" w:rsidRDefault="00454900" w:rsidP="001C138F">
      <w:pPr>
        <w:spacing w:after="0" w:line="276" w:lineRule="auto"/>
        <w:jc w:val="both"/>
        <w:rPr>
          <w:rFonts w:ascii="Arial" w:hAnsi="Arial" w:cs="Arial"/>
          <w:color w:val="000000" w:themeColor="text1"/>
          <w:sz w:val="24"/>
          <w:szCs w:val="24"/>
          <w:lang w:val="es-CO"/>
        </w:rPr>
      </w:pPr>
      <w:r w:rsidRPr="00682149">
        <w:rPr>
          <w:rFonts w:ascii="Arial" w:hAnsi="Arial" w:cs="Arial"/>
          <w:color w:val="000000" w:themeColor="text1"/>
          <w:sz w:val="24"/>
          <w:szCs w:val="24"/>
          <w:lang w:val="es-CO"/>
        </w:rPr>
        <w:t xml:space="preserve">Tal como se ha anunciado, procede la Sala Especial de Decisión Número 23 al estudio de legalidad del Acto materia de control ya identificado. Para estos efectos, se propone estudiar los siguientes aspectos, necesarios para fundamentar su determinación: </w:t>
      </w:r>
      <w:r w:rsidRPr="00682149">
        <w:rPr>
          <w:rFonts w:ascii="Arial" w:hAnsi="Arial" w:cs="Arial"/>
          <w:b/>
          <w:bCs/>
          <w:i/>
          <w:color w:val="000000" w:themeColor="text1"/>
          <w:sz w:val="24"/>
          <w:szCs w:val="24"/>
          <w:lang w:val="es-CO"/>
        </w:rPr>
        <w:t>(i)</w:t>
      </w:r>
      <w:r w:rsidRPr="00682149">
        <w:rPr>
          <w:rFonts w:ascii="Arial" w:hAnsi="Arial" w:cs="Arial"/>
          <w:color w:val="000000" w:themeColor="text1"/>
          <w:sz w:val="24"/>
          <w:szCs w:val="24"/>
          <w:lang w:val="es-CO"/>
        </w:rPr>
        <w:t xml:space="preserve"> procedencia del control inmediato de legalidad; </w:t>
      </w:r>
      <w:r w:rsidRPr="00682149">
        <w:rPr>
          <w:rFonts w:ascii="Arial" w:hAnsi="Arial" w:cs="Arial"/>
          <w:b/>
          <w:i/>
          <w:color w:val="000000" w:themeColor="text1"/>
          <w:sz w:val="24"/>
          <w:szCs w:val="24"/>
          <w:lang w:val="es-CO"/>
        </w:rPr>
        <w:t xml:space="preserve">(ii) </w:t>
      </w:r>
      <w:r w:rsidRPr="00682149">
        <w:rPr>
          <w:rFonts w:ascii="Arial" w:hAnsi="Arial" w:cs="Arial"/>
          <w:color w:val="000000" w:themeColor="text1"/>
          <w:sz w:val="24"/>
          <w:szCs w:val="24"/>
          <w:lang w:val="es-CO"/>
        </w:rPr>
        <w:t xml:space="preserve">fundamentos </w:t>
      </w:r>
      <w:r w:rsidR="00531C6B" w:rsidRPr="00682149">
        <w:rPr>
          <w:rFonts w:ascii="Arial" w:hAnsi="Arial" w:cs="Arial"/>
          <w:color w:val="000000" w:themeColor="text1"/>
          <w:sz w:val="24"/>
          <w:szCs w:val="24"/>
          <w:lang w:val="es-CO"/>
        </w:rPr>
        <w:t xml:space="preserve">facticos y normativos </w:t>
      </w:r>
      <w:r w:rsidRPr="00682149">
        <w:rPr>
          <w:rFonts w:ascii="Arial" w:hAnsi="Arial" w:cs="Arial"/>
          <w:color w:val="000000" w:themeColor="text1"/>
          <w:sz w:val="24"/>
          <w:szCs w:val="24"/>
          <w:lang w:val="es-CO"/>
        </w:rPr>
        <w:t xml:space="preserve">del acto objeto de revisión; </w:t>
      </w:r>
      <w:r w:rsidRPr="00682149">
        <w:rPr>
          <w:rFonts w:ascii="Arial" w:hAnsi="Arial" w:cs="Arial"/>
          <w:b/>
          <w:i/>
          <w:color w:val="000000" w:themeColor="text1"/>
          <w:sz w:val="24"/>
          <w:szCs w:val="24"/>
          <w:lang w:val="es-CO"/>
        </w:rPr>
        <w:t>(iii)</w:t>
      </w:r>
      <w:r w:rsidRPr="00682149">
        <w:rPr>
          <w:rFonts w:ascii="Arial" w:hAnsi="Arial" w:cs="Arial"/>
          <w:color w:val="000000" w:themeColor="text1"/>
          <w:sz w:val="24"/>
          <w:szCs w:val="24"/>
          <w:lang w:val="es-CO"/>
        </w:rPr>
        <w:t xml:space="preserve"> verificación de los elementos de validez del acto administrativo que se controla; y, finalmente, </w:t>
      </w:r>
      <w:r w:rsidRPr="00682149">
        <w:rPr>
          <w:rFonts w:ascii="Arial" w:hAnsi="Arial" w:cs="Arial"/>
          <w:b/>
          <w:i/>
          <w:color w:val="000000" w:themeColor="text1"/>
          <w:sz w:val="24"/>
          <w:szCs w:val="24"/>
          <w:lang w:val="es-CO"/>
        </w:rPr>
        <w:t>(v)</w:t>
      </w:r>
      <w:r w:rsidRPr="00682149">
        <w:rPr>
          <w:rFonts w:ascii="Arial" w:hAnsi="Arial" w:cs="Arial"/>
          <w:color w:val="000000" w:themeColor="text1"/>
          <w:sz w:val="24"/>
          <w:szCs w:val="24"/>
          <w:lang w:val="es-CO"/>
        </w:rPr>
        <w:t xml:space="preserve"> las conclusiones del estudio precedente.</w:t>
      </w:r>
    </w:p>
    <w:p w14:paraId="119EB4AA" w14:textId="77777777" w:rsidR="00454900" w:rsidRPr="00682149" w:rsidRDefault="00454900" w:rsidP="001C138F">
      <w:pPr>
        <w:spacing w:after="0" w:line="276" w:lineRule="auto"/>
        <w:rPr>
          <w:rFonts w:ascii="Arial" w:eastAsia="Arial" w:hAnsi="Arial" w:cs="Arial"/>
          <w:b/>
          <w:color w:val="000000" w:themeColor="text1"/>
          <w:sz w:val="24"/>
          <w:lang w:val="es-CO"/>
        </w:rPr>
      </w:pPr>
      <w:r w:rsidRPr="00682149">
        <w:rPr>
          <w:rFonts w:ascii="Arial" w:hAnsi="Arial" w:cs="Arial"/>
          <w:b/>
          <w:bCs/>
          <w:color w:val="000000" w:themeColor="text1"/>
          <w:sz w:val="24"/>
          <w:szCs w:val="24"/>
          <w:lang w:val="es-CO"/>
        </w:rPr>
        <w:t xml:space="preserve"> </w:t>
      </w:r>
    </w:p>
    <w:p w14:paraId="10859D73" w14:textId="570E6483" w:rsidR="00454900" w:rsidRPr="00682149" w:rsidRDefault="00C12E89" w:rsidP="001C138F">
      <w:pPr>
        <w:pBdr>
          <w:top w:val="nil"/>
          <w:left w:val="nil"/>
          <w:bottom w:val="nil"/>
          <w:right w:val="nil"/>
          <w:between w:val="nil"/>
        </w:pBdr>
        <w:spacing w:after="0" w:line="276" w:lineRule="auto"/>
        <w:ind w:right="-232"/>
        <w:jc w:val="both"/>
        <w:rPr>
          <w:rFonts w:ascii="Arial" w:eastAsia="Arial" w:hAnsi="Arial" w:cs="Arial"/>
          <w:b/>
          <w:color w:val="000000" w:themeColor="text1"/>
          <w:sz w:val="24"/>
          <w:lang w:val="es-CO"/>
        </w:rPr>
      </w:pPr>
      <w:r w:rsidRPr="00682149">
        <w:rPr>
          <w:rFonts w:ascii="Arial" w:eastAsia="Arial" w:hAnsi="Arial" w:cs="Arial"/>
          <w:b/>
          <w:color w:val="000000" w:themeColor="text1"/>
          <w:sz w:val="24"/>
          <w:lang w:val="es-CO"/>
        </w:rPr>
        <w:t>2.</w:t>
      </w:r>
      <w:r w:rsidR="00454900" w:rsidRPr="00682149">
        <w:rPr>
          <w:rFonts w:ascii="Arial" w:eastAsia="Arial" w:hAnsi="Arial" w:cs="Arial"/>
          <w:b/>
          <w:color w:val="000000" w:themeColor="text1"/>
          <w:sz w:val="24"/>
          <w:lang w:val="es-CO"/>
        </w:rPr>
        <w:t>1.      Procedencia del control inmediato de legalidad</w:t>
      </w:r>
    </w:p>
    <w:p w14:paraId="70F60763" w14:textId="77777777" w:rsidR="00454900" w:rsidRPr="00682149" w:rsidRDefault="00454900" w:rsidP="001C138F">
      <w:pPr>
        <w:spacing w:after="0" w:line="276" w:lineRule="auto"/>
        <w:rPr>
          <w:rFonts w:ascii="Arial" w:hAnsi="Arial" w:cs="Arial"/>
          <w:color w:val="000000" w:themeColor="text1"/>
          <w:lang w:eastAsia="es-ES"/>
        </w:rPr>
      </w:pPr>
    </w:p>
    <w:p w14:paraId="29864D2A" w14:textId="591D3B54" w:rsidR="00454900" w:rsidRPr="00682149" w:rsidRDefault="001D37B6" w:rsidP="001C138F">
      <w:pPr>
        <w:spacing w:after="0" w:line="276" w:lineRule="auto"/>
        <w:jc w:val="both"/>
        <w:rPr>
          <w:rFonts w:ascii="Arial" w:hAnsi="Arial" w:cs="Arial"/>
          <w:color w:val="000000" w:themeColor="text1"/>
          <w:sz w:val="24"/>
          <w:szCs w:val="24"/>
          <w:lang w:val="es-ES"/>
        </w:rPr>
      </w:pPr>
      <w:r w:rsidRPr="00682149">
        <w:rPr>
          <w:rFonts w:ascii="Arial" w:eastAsia="Calibri" w:hAnsi="Arial" w:cs="Arial"/>
          <w:iCs/>
          <w:color w:val="000000" w:themeColor="text1"/>
          <w:sz w:val="24"/>
          <w:szCs w:val="24"/>
          <w:lang w:val="es-ES"/>
        </w:rPr>
        <w:t>2.1.1</w:t>
      </w:r>
      <w:r w:rsidRPr="00682149">
        <w:rPr>
          <w:rFonts w:ascii="Arial" w:eastAsia="Calibri" w:hAnsi="Arial" w:cs="Arial"/>
          <w:iCs/>
          <w:color w:val="000000" w:themeColor="text1"/>
          <w:sz w:val="24"/>
          <w:szCs w:val="24"/>
          <w:lang w:val="es-ES"/>
        </w:rPr>
        <w:tab/>
      </w:r>
      <w:r w:rsidR="00454900" w:rsidRPr="00682149">
        <w:rPr>
          <w:rFonts w:ascii="Arial" w:eastAsia="Calibri" w:hAnsi="Arial" w:cs="Arial"/>
          <w:iCs/>
          <w:color w:val="000000" w:themeColor="text1"/>
          <w:sz w:val="24"/>
          <w:szCs w:val="24"/>
          <w:lang w:val="es-ES"/>
        </w:rPr>
        <w:t>E</w:t>
      </w:r>
      <w:r w:rsidR="00454900" w:rsidRPr="00682149">
        <w:rPr>
          <w:rFonts w:ascii="Arial" w:hAnsi="Arial" w:cs="Arial"/>
          <w:color w:val="000000" w:themeColor="text1"/>
          <w:sz w:val="24"/>
          <w:szCs w:val="24"/>
        </w:rPr>
        <w:t>l artículo 20 de la Ley 137 de 1994</w:t>
      </w:r>
      <w:r w:rsidR="00454900" w:rsidRPr="00682149">
        <w:rPr>
          <w:rFonts w:ascii="Arial" w:hAnsi="Arial" w:cs="Arial"/>
          <w:bCs/>
          <w:color w:val="000000" w:themeColor="text1"/>
          <w:sz w:val="24"/>
          <w:szCs w:val="24"/>
          <w:vertAlign w:val="superscript"/>
          <w:lang w:val="es-ES"/>
        </w:rPr>
        <w:footnoteReference w:id="5"/>
      </w:r>
      <w:r w:rsidR="00454900" w:rsidRPr="00682149">
        <w:rPr>
          <w:rFonts w:ascii="Arial" w:hAnsi="Arial" w:cs="Arial"/>
          <w:color w:val="000000" w:themeColor="text1"/>
          <w:sz w:val="24"/>
          <w:szCs w:val="24"/>
        </w:rPr>
        <w:t>, Estatutaria de los Estados de Excepción, recogido y reiterado por el artículo 136 de la Ley 1437</w:t>
      </w:r>
      <w:r w:rsidR="00454900" w:rsidRPr="00682149">
        <w:rPr>
          <w:rFonts w:ascii="Arial" w:hAnsi="Arial" w:cs="Arial"/>
          <w:bCs/>
          <w:color w:val="000000" w:themeColor="text1"/>
          <w:sz w:val="24"/>
          <w:szCs w:val="24"/>
          <w:vertAlign w:val="superscript"/>
          <w:lang w:val="es-ES"/>
        </w:rPr>
        <w:footnoteReference w:id="6"/>
      </w:r>
      <w:r w:rsidR="00454900" w:rsidRPr="00682149">
        <w:rPr>
          <w:rFonts w:ascii="Arial" w:hAnsi="Arial" w:cs="Arial"/>
          <w:color w:val="000000" w:themeColor="text1"/>
          <w:sz w:val="24"/>
          <w:szCs w:val="24"/>
        </w:rPr>
        <w:t xml:space="preserve"> de 2011, faculta al Tribunal Supremo de lo Contencioso Administrativo para adelantar el trámite del control inmediato de legalidad, </w:t>
      </w:r>
      <w:r w:rsidR="00454900" w:rsidRPr="00682149">
        <w:rPr>
          <w:rFonts w:ascii="Arial" w:hAnsi="Arial" w:cs="Arial"/>
          <w:bCs/>
          <w:color w:val="000000" w:themeColor="text1"/>
          <w:sz w:val="24"/>
          <w:szCs w:val="24"/>
          <w:lang w:val="es-ES"/>
        </w:rPr>
        <w:t xml:space="preserve">de aquellos </w:t>
      </w:r>
      <w:r w:rsidR="00454900" w:rsidRPr="00682149">
        <w:rPr>
          <w:rFonts w:ascii="Arial" w:hAnsi="Arial" w:cs="Arial"/>
          <w:color w:val="000000" w:themeColor="text1"/>
          <w:sz w:val="24"/>
          <w:szCs w:val="24"/>
          <w:lang w:val="es-ES"/>
        </w:rPr>
        <w:t>actos administrativos (i) de carácter general dictados por autoridades del orden nacional, (ii) que se profieran en ejercicio de la función administrativa, y (iii) que correspondan al desarrollo de los Decretos Legislativos expedidos durante los estados de excepción.</w:t>
      </w:r>
    </w:p>
    <w:p w14:paraId="04DA3A7B" w14:textId="77777777" w:rsidR="001D37B6" w:rsidRPr="00682149" w:rsidRDefault="001D37B6" w:rsidP="001C138F">
      <w:pPr>
        <w:spacing w:after="0" w:line="276" w:lineRule="auto"/>
        <w:rPr>
          <w:rFonts w:ascii="Arial" w:eastAsia="Calibri" w:hAnsi="Arial" w:cs="Times New Roman"/>
          <w:b/>
          <w:bCs/>
          <w:color w:val="000000" w:themeColor="text1"/>
          <w:sz w:val="24"/>
          <w:szCs w:val="24"/>
          <w:lang w:val="es-CO"/>
        </w:rPr>
      </w:pPr>
    </w:p>
    <w:p w14:paraId="43022865" w14:textId="4D2F6413" w:rsidR="001D37B6" w:rsidRPr="00682149" w:rsidRDefault="001D37B6" w:rsidP="001C138F">
      <w:pPr>
        <w:pBdr>
          <w:top w:val="nil"/>
          <w:left w:val="nil"/>
          <w:bottom w:val="nil"/>
          <w:right w:val="nil"/>
          <w:between w:val="nil"/>
        </w:pBdr>
        <w:spacing w:after="0" w:line="276" w:lineRule="auto"/>
        <w:jc w:val="both"/>
        <w:rPr>
          <w:rFonts w:ascii="Arial" w:eastAsia="Times New Roman" w:hAnsi="Arial" w:cs="Arial"/>
          <w:color w:val="000000" w:themeColor="text1"/>
          <w:sz w:val="24"/>
          <w:szCs w:val="24"/>
          <w:lang w:val="es-CO" w:eastAsia="es-ES_tradnl"/>
        </w:rPr>
      </w:pPr>
      <w:r w:rsidRPr="00682149">
        <w:rPr>
          <w:rFonts w:ascii="Arial" w:eastAsia="Times New Roman" w:hAnsi="Arial" w:cs="Arial"/>
          <w:b/>
          <w:bCs/>
          <w:color w:val="000000" w:themeColor="text1"/>
          <w:sz w:val="24"/>
          <w:szCs w:val="24"/>
          <w:lang w:val="es-CO" w:eastAsia="es-ES_tradnl"/>
        </w:rPr>
        <w:t>2.1.2.</w:t>
      </w:r>
      <w:r w:rsidRPr="00682149">
        <w:rPr>
          <w:rFonts w:ascii="Arial" w:eastAsia="Times New Roman" w:hAnsi="Arial" w:cs="Arial"/>
          <w:b/>
          <w:bCs/>
          <w:color w:val="000000" w:themeColor="text1"/>
          <w:sz w:val="24"/>
          <w:szCs w:val="24"/>
          <w:lang w:val="es-CO" w:eastAsia="es-ES_tradnl"/>
        </w:rPr>
        <w:tab/>
      </w:r>
      <w:r w:rsidRPr="00682149">
        <w:rPr>
          <w:rFonts w:ascii="Arial" w:eastAsia="Times New Roman" w:hAnsi="Arial" w:cs="Arial"/>
          <w:color w:val="000000" w:themeColor="text1"/>
          <w:sz w:val="24"/>
          <w:szCs w:val="24"/>
          <w:lang w:val="es-CO" w:eastAsia="es-ES_tradnl"/>
        </w:rPr>
        <w:t xml:space="preserve">Tal como se advierte por la jurisprudencia, los estados de excepción son respuestas fundadas en la juridicidad que impone la Carta Política a situaciones graves y anormales que, por razones temporales, no pueden ser enfrentadas por el Estado a partir de sus competencias ordinarias, sin que se trate de una competencia omnímoda ni arbitraria, por lo que el ordenamiento superior impone una serie de requisitos y condiciones que deben cumplirse tanto en los decretos legislativos que declaran el estado de excepción, como en aquellos que consultan las medidas legales extraordinarias para hacer frente a la crisis y los desarrollan. </w:t>
      </w:r>
    </w:p>
    <w:p w14:paraId="44D48EDF" w14:textId="77777777" w:rsidR="001D37B6" w:rsidRPr="00682149" w:rsidRDefault="001D37B6" w:rsidP="001C138F">
      <w:pPr>
        <w:pBdr>
          <w:top w:val="nil"/>
          <w:left w:val="nil"/>
          <w:bottom w:val="nil"/>
          <w:right w:val="nil"/>
          <w:between w:val="nil"/>
        </w:pBdr>
        <w:spacing w:after="0" w:line="276" w:lineRule="auto"/>
        <w:jc w:val="both"/>
        <w:rPr>
          <w:rFonts w:ascii="Arial" w:eastAsia="Times New Roman" w:hAnsi="Arial" w:cs="Arial"/>
          <w:color w:val="000000" w:themeColor="text1"/>
          <w:sz w:val="24"/>
          <w:szCs w:val="24"/>
          <w:lang w:val="es-CO" w:eastAsia="es-ES_tradnl"/>
        </w:rPr>
      </w:pPr>
    </w:p>
    <w:p w14:paraId="2979D53C" w14:textId="77777777" w:rsidR="001D37B6" w:rsidRPr="00682149" w:rsidRDefault="001D37B6" w:rsidP="001C138F">
      <w:pPr>
        <w:pBdr>
          <w:top w:val="nil"/>
          <w:left w:val="nil"/>
          <w:bottom w:val="nil"/>
          <w:right w:val="nil"/>
          <w:between w:val="nil"/>
        </w:pBdr>
        <w:spacing w:after="0" w:line="276" w:lineRule="auto"/>
        <w:jc w:val="both"/>
        <w:rPr>
          <w:rFonts w:ascii="Arial" w:eastAsia="Times New Roman" w:hAnsi="Arial" w:cs="Arial"/>
          <w:color w:val="000000" w:themeColor="text1"/>
          <w:sz w:val="24"/>
          <w:szCs w:val="24"/>
          <w:lang w:val="es-CO" w:eastAsia="es-ES_tradnl"/>
        </w:rPr>
      </w:pPr>
      <w:r w:rsidRPr="00682149">
        <w:rPr>
          <w:rFonts w:ascii="Arial" w:eastAsia="Times New Roman" w:hAnsi="Arial" w:cs="Arial"/>
          <w:color w:val="000000" w:themeColor="text1"/>
          <w:sz w:val="24"/>
          <w:szCs w:val="24"/>
          <w:lang w:val="es-CO" w:eastAsia="es-ES_tradnl"/>
        </w:rPr>
        <w:t>Se trata, en esencia, de una autorización del Constituyente, vertida en la Carta Política para alterar temporalmente, pero sujeto a límites, la estructura de reparto en el ejercicio del poder público normativo, de manera tal que, reemplazando  al legislador ordinario, otro, constitucionalmente encargado de las tareas de administración, ejecución de la ley y representación del Estado, asuma el ejercicio de una competencia legislativa, reservada como elemento nuclear de la estructura de poder al órgano de representación política, esto es, al Congreso de la República.</w:t>
      </w:r>
    </w:p>
    <w:p w14:paraId="41F61891" w14:textId="77777777" w:rsidR="001D37B6" w:rsidRPr="00682149" w:rsidRDefault="001D37B6" w:rsidP="001C138F">
      <w:pPr>
        <w:pBdr>
          <w:top w:val="nil"/>
          <w:left w:val="nil"/>
          <w:bottom w:val="nil"/>
          <w:right w:val="nil"/>
          <w:between w:val="nil"/>
        </w:pBdr>
        <w:spacing w:after="0" w:line="276" w:lineRule="auto"/>
        <w:jc w:val="both"/>
        <w:rPr>
          <w:rFonts w:ascii="Arial" w:eastAsia="Times New Roman" w:hAnsi="Arial" w:cs="Arial"/>
          <w:color w:val="000000" w:themeColor="text1"/>
          <w:sz w:val="24"/>
          <w:szCs w:val="24"/>
          <w:lang w:val="es-CO" w:eastAsia="es-ES_tradnl"/>
        </w:rPr>
      </w:pPr>
    </w:p>
    <w:p w14:paraId="19194E3E" w14:textId="77777777" w:rsidR="001D37B6" w:rsidRPr="00682149" w:rsidRDefault="001D37B6" w:rsidP="001C138F">
      <w:pPr>
        <w:pBdr>
          <w:top w:val="nil"/>
          <w:left w:val="nil"/>
          <w:bottom w:val="nil"/>
          <w:right w:val="nil"/>
          <w:between w:val="nil"/>
        </w:pBdr>
        <w:spacing w:after="0" w:line="276" w:lineRule="auto"/>
        <w:jc w:val="both"/>
        <w:rPr>
          <w:rFonts w:ascii="Arial" w:eastAsia="Times New Roman" w:hAnsi="Arial" w:cs="Arial"/>
          <w:color w:val="000000" w:themeColor="text1"/>
          <w:sz w:val="24"/>
          <w:szCs w:val="24"/>
          <w:lang w:val="es-CO" w:eastAsia="es-ES_tradnl"/>
        </w:rPr>
      </w:pPr>
      <w:r w:rsidRPr="00682149">
        <w:rPr>
          <w:rFonts w:ascii="Arial" w:eastAsia="Times New Roman" w:hAnsi="Arial" w:cs="Arial"/>
          <w:color w:val="000000" w:themeColor="text1"/>
          <w:sz w:val="24"/>
          <w:szCs w:val="24"/>
          <w:lang w:val="es-CO" w:eastAsia="es-ES_tradnl"/>
        </w:rPr>
        <w:t xml:space="preserve">De esta manera, por involucrar el ejercicio de un poder capaz de generar reglas de conducta, afectar derechos y producir transformaciones, el mismo constituyente sienta las bases para su ejercicio y defiere al legislador para que, a través de una ley con especial naturaleza estatutaria, regule ese mecanismo. </w:t>
      </w:r>
    </w:p>
    <w:p w14:paraId="7ADB52A6" w14:textId="77777777" w:rsidR="001D37B6" w:rsidRPr="00682149" w:rsidRDefault="001D37B6" w:rsidP="001C138F">
      <w:pPr>
        <w:pBdr>
          <w:top w:val="nil"/>
          <w:left w:val="nil"/>
          <w:bottom w:val="nil"/>
          <w:right w:val="nil"/>
          <w:between w:val="nil"/>
        </w:pBdr>
        <w:spacing w:after="0" w:line="276" w:lineRule="auto"/>
        <w:jc w:val="both"/>
        <w:rPr>
          <w:rFonts w:ascii="Arial" w:eastAsia="Times New Roman" w:hAnsi="Arial" w:cs="Arial"/>
          <w:color w:val="000000" w:themeColor="text1"/>
          <w:sz w:val="24"/>
          <w:szCs w:val="24"/>
          <w:lang w:val="es-CO" w:eastAsia="es-ES_tradnl"/>
        </w:rPr>
      </w:pPr>
    </w:p>
    <w:p w14:paraId="4AFE9800" w14:textId="77777777" w:rsidR="001D37B6" w:rsidRPr="00682149" w:rsidRDefault="001D37B6" w:rsidP="001C138F">
      <w:pPr>
        <w:pBdr>
          <w:top w:val="nil"/>
          <w:left w:val="nil"/>
          <w:bottom w:val="nil"/>
          <w:right w:val="nil"/>
          <w:between w:val="nil"/>
        </w:pBdr>
        <w:spacing w:after="0" w:line="276" w:lineRule="auto"/>
        <w:jc w:val="both"/>
        <w:rPr>
          <w:rFonts w:ascii="Arial" w:eastAsia="MS Mincho" w:hAnsi="Arial" w:cs="Arial"/>
          <w:color w:val="000000" w:themeColor="text1"/>
          <w:sz w:val="24"/>
          <w:szCs w:val="24"/>
          <w:lang w:val="es-CO" w:eastAsia="es-ES"/>
        </w:rPr>
      </w:pPr>
      <w:r w:rsidRPr="00682149">
        <w:rPr>
          <w:rFonts w:ascii="Arial" w:eastAsia="Times New Roman" w:hAnsi="Arial" w:cs="Arial"/>
          <w:color w:val="000000" w:themeColor="text1"/>
          <w:sz w:val="24"/>
          <w:szCs w:val="24"/>
          <w:lang w:val="es-CO" w:eastAsia="es-ES_tradnl"/>
        </w:rPr>
        <w:t xml:space="preserve">Así, por mandato constitucional, quien es receptor del mismo y quienes están encargados de desarrollar las medidas que se adopten, sea por vía de reglamento o mera manifestación ejecutiva, están sujetos a la Constitución y a la Ley Estatutaria de los Estados de Excepción -Ley 137 de 1994-, cuyos mandatos comportan un amplio y preciso espectro de condicionamientos que comprenden, entre otros, la prohibición de </w:t>
      </w:r>
      <w:r w:rsidRPr="00682149">
        <w:rPr>
          <w:rFonts w:ascii="Arial" w:eastAsia="MS Mincho" w:hAnsi="Arial" w:cs="Arial"/>
          <w:color w:val="000000" w:themeColor="text1"/>
          <w:sz w:val="24"/>
          <w:szCs w:val="24"/>
          <w:lang w:val="es-CO" w:eastAsia="es-ES"/>
        </w:rPr>
        <w:t>desconocer los tratados o convenios internacionales sobre derechos humanos ratificados por Colombia, el derecho internacional humanitario, los derechos fundamentales y humanos, así como la clara advertencia de no interrumpir el normal funcionamiento de las ramas del Poder Público o de los órganos del Estado, y menos aún, la de suprimir o modificar los organismos y las funciones básicas de acusación y de juzgamiento</w:t>
      </w:r>
      <w:r w:rsidRPr="00682149">
        <w:rPr>
          <w:rFonts w:ascii="Arial" w:eastAsia="MS Mincho" w:hAnsi="Arial" w:cs="Arial"/>
          <w:color w:val="000000" w:themeColor="text1"/>
          <w:sz w:val="24"/>
          <w:szCs w:val="24"/>
          <w:vertAlign w:val="superscript"/>
          <w:lang w:val="es-CO" w:eastAsia="es-ES"/>
        </w:rPr>
        <w:footnoteReference w:id="7"/>
      </w:r>
      <w:r w:rsidRPr="00682149">
        <w:rPr>
          <w:rFonts w:ascii="Arial" w:eastAsia="MS Mincho" w:hAnsi="Arial" w:cs="Arial"/>
          <w:color w:val="000000" w:themeColor="text1"/>
          <w:sz w:val="24"/>
          <w:szCs w:val="24"/>
          <w:lang w:val="es-CO" w:eastAsia="es-ES"/>
        </w:rPr>
        <w:t>.</w:t>
      </w:r>
    </w:p>
    <w:p w14:paraId="241A0ED8" w14:textId="77777777" w:rsidR="001D37B6" w:rsidRPr="00682149" w:rsidRDefault="001D37B6" w:rsidP="001C138F">
      <w:pPr>
        <w:spacing w:after="0" w:line="276" w:lineRule="auto"/>
        <w:jc w:val="both"/>
        <w:rPr>
          <w:rFonts w:ascii="Arial" w:eastAsia="Times New Roman" w:hAnsi="Arial" w:cs="Arial"/>
          <w:bCs/>
          <w:color w:val="000000" w:themeColor="text1"/>
          <w:sz w:val="24"/>
          <w:szCs w:val="24"/>
          <w:lang w:val="es-CO" w:eastAsia="es-ES"/>
        </w:rPr>
      </w:pPr>
    </w:p>
    <w:p w14:paraId="16B83BF4" w14:textId="77777777" w:rsidR="001D37B6" w:rsidRPr="00682149" w:rsidRDefault="001D37B6" w:rsidP="001C138F">
      <w:pPr>
        <w:spacing w:after="0" w:line="276" w:lineRule="auto"/>
        <w:jc w:val="both"/>
        <w:rPr>
          <w:rFonts w:ascii="Arial" w:eastAsia="Times New Roman" w:hAnsi="Arial" w:cs="Arial"/>
          <w:bCs/>
          <w:color w:val="000000" w:themeColor="text1"/>
          <w:sz w:val="24"/>
          <w:szCs w:val="24"/>
          <w:lang w:val="es-CO" w:eastAsia="es-ES"/>
        </w:rPr>
      </w:pPr>
      <w:r w:rsidRPr="00682149">
        <w:rPr>
          <w:rFonts w:ascii="Arial" w:eastAsia="Times New Roman" w:hAnsi="Arial" w:cs="Arial"/>
          <w:bCs/>
          <w:color w:val="000000" w:themeColor="text1"/>
          <w:sz w:val="24"/>
          <w:szCs w:val="24"/>
          <w:lang w:val="es-CO" w:eastAsia="es-ES"/>
        </w:rPr>
        <w:t>Ello explica que el Presidente de la República, a cuyo cargo está el mantenimiento del orden público, social y económico, cuenta con herramientas excepcionales para conjurar situaciones de crisis que, por ser excepcionales, en  una  perfecta relación sincrónica de poder, se condicionan y limitan a través de diversas reglas que se proyectan en la base del actuar de las autoridades públicas y comportan criterios de obligatoria observancia para la definición de la validez material en la expedición de otras normas, tal como se infiere de los enunciados constitucionales definidos en el Capítulo VI –</w:t>
      </w:r>
      <w:r w:rsidRPr="00682149">
        <w:rPr>
          <w:rFonts w:ascii="Arial" w:eastAsia="Times New Roman" w:hAnsi="Arial" w:cs="Arial"/>
          <w:bCs/>
          <w:i/>
          <w:color w:val="000000" w:themeColor="text1"/>
          <w:sz w:val="24"/>
          <w:szCs w:val="24"/>
          <w:lang w:val="es-CO" w:eastAsia="es-ES"/>
        </w:rPr>
        <w:t>artículos 212 a 215</w:t>
      </w:r>
      <w:r w:rsidRPr="00682149">
        <w:rPr>
          <w:rFonts w:ascii="Arial" w:eastAsia="Times New Roman" w:hAnsi="Arial" w:cs="Arial"/>
          <w:bCs/>
          <w:color w:val="000000" w:themeColor="text1"/>
          <w:sz w:val="24"/>
          <w:szCs w:val="24"/>
          <w:lang w:val="es-CO" w:eastAsia="es-ES"/>
        </w:rPr>
        <w:t xml:space="preserve">– de la Constitución Política de 1991. </w:t>
      </w:r>
    </w:p>
    <w:p w14:paraId="34E0BE0F" w14:textId="77777777" w:rsidR="001D37B6" w:rsidRPr="00682149" w:rsidRDefault="001D37B6" w:rsidP="001C138F">
      <w:pPr>
        <w:spacing w:after="0" w:line="276" w:lineRule="auto"/>
        <w:jc w:val="both"/>
        <w:rPr>
          <w:rFonts w:ascii="Arial" w:eastAsia="Times New Roman" w:hAnsi="Arial" w:cs="Arial"/>
          <w:bCs/>
          <w:color w:val="000000" w:themeColor="text1"/>
          <w:sz w:val="24"/>
          <w:szCs w:val="24"/>
          <w:lang w:val="es-CO" w:eastAsia="es-ES"/>
        </w:rPr>
      </w:pPr>
    </w:p>
    <w:p w14:paraId="2CE804B1" w14:textId="755E4F32" w:rsidR="001D37B6" w:rsidRPr="00682149" w:rsidRDefault="001D37B6" w:rsidP="001C138F">
      <w:pPr>
        <w:spacing w:after="0" w:line="276" w:lineRule="auto"/>
        <w:jc w:val="both"/>
        <w:rPr>
          <w:rFonts w:ascii="Arial" w:eastAsia="MS Mincho" w:hAnsi="Arial" w:cs="Arial"/>
          <w:color w:val="000000" w:themeColor="text1"/>
          <w:sz w:val="24"/>
          <w:szCs w:val="20"/>
          <w:lang w:val="es-CO" w:eastAsia="es-ES"/>
        </w:rPr>
      </w:pPr>
      <w:r w:rsidRPr="00682149">
        <w:rPr>
          <w:rFonts w:ascii="Arial" w:eastAsia="Times New Roman" w:hAnsi="Arial" w:cs="Arial"/>
          <w:b/>
          <w:color w:val="000000" w:themeColor="text1"/>
          <w:sz w:val="24"/>
          <w:szCs w:val="24"/>
          <w:lang w:val="es-CO" w:eastAsia="es-ES"/>
        </w:rPr>
        <w:lastRenderedPageBreak/>
        <w:t>2.1.3.</w:t>
      </w:r>
      <w:r w:rsidRPr="00682149">
        <w:rPr>
          <w:rFonts w:ascii="Arial" w:eastAsia="Times New Roman" w:hAnsi="Arial" w:cs="Arial"/>
          <w:b/>
          <w:color w:val="000000" w:themeColor="text1"/>
          <w:sz w:val="24"/>
          <w:szCs w:val="24"/>
          <w:lang w:val="es-CO" w:eastAsia="es-ES"/>
        </w:rPr>
        <w:tab/>
      </w:r>
      <w:r w:rsidRPr="00682149">
        <w:rPr>
          <w:rFonts w:ascii="Arial" w:eastAsia="Times New Roman" w:hAnsi="Arial" w:cs="Arial"/>
          <w:bCs/>
          <w:color w:val="000000" w:themeColor="text1"/>
          <w:sz w:val="24"/>
          <w:szCs w:val="24"/>
          <w:lang w:val="es-CO" w:eastAsia="es-ES"/>
        </w:rPr>
        <w:t xml:space="preserve"> En forma más cercana, el ejercicio del poder público así concebido se sujeta a elementos de forma y contenido. Por ello, la declaratoria de los estados de excepción y las medidas legislativas, también de excepción, que con base en aquellas se dictan, deben estar acompañadas en señal de responsabilidad política y jurídica, </w:t>
      </w:r>
      <w:r w:rsidRPr="00682149">
        <w:rPr>
          <w:rFonts w:ascii="Arial" w:eastAsia="MS Mincho" w:hAnsi="Arial" w:cs="Arial"/>
          <w:color w:val="000000" w:themeColor="text1"/>
          <w:sz w:val="24"/>
          <w:szCs w:val="20"/>
          <w:lang w:val="es-CO" w:eastAsia="es-ES"/>
        </w:rPr>
        <w:t>con la firma de todos los Ministros, y estar motivadas, con las limitaciones que la norma constitucional impone, como la de suspender, derogar o modificar normas de rango legal o la prohibición de afectar los derechos fundamentales, sin perjuicio de las restricciones dentro de los márgenes legalmente permitidos</w:t>
      </w:r>
      <w:r w:rsidRPr="00682149">
        <w:rPr>
          <w:rFonts w:ascii="Arial" w:eastAsia="MS Mincho" w:hAnsi="Arial" w:cs="Arial"/>
          <w:color w:val="000000" w:themeColor="text1"/>
          <w:sz w:val="24"/>
          <w:szCs w:val="20"/>
          <w:vertAlign w:val="superscript"/>
          <w:lang w:val="es-CO" w:eastAsia="es-ES"/>
        </w:rPr>
        <w:footnoteReference w:id="8"/>
      </w:r>
      <w:r w:rsidRPr="00682149">
        <w:rPr>
          <w:rFonts w:ascii="Arial" w:eastAsia="MS Mincho" w:hAnsi="Arial" w:cs="Arial"/>
          <w:i/>
          <w:color w:val="000000" w:themeColor="text1"/>
          <w:sz w:val="24"/>
          <w:szCs w:val="20"/>
          <w:lang w:val="es-CO" w:eastAsia="es-ES"/>
        </w:rPr>
        <w:t xml:space="preserve">, </w:t>
      </w:r>
      <w:r w:rsidRPr="00682149">
        <w:rPr>
          <w:rFonts w:ascii="Arial" w:eastAsia="MS Mincho" w:hAnsi="Arial" w:cs="Arial"/>
          <w:color w:val="000000" w:themeColor="text1"/>
          <w:sz w:val="24"/>
          <w:szCs w:val="20"/>
          <w:lang w:val="es-CO" w:eastAsia="es-ES"/>
        </w:rPr>
        <w:t>y siempre que las medidas que se adopten guarden una relación de conexidad con los motivos que dieron lugar a la declaración del respectivo estado de excepción y que resulten proporcionales frente a las circunstancias que se pretenden afrontar</w:t>
      </w:r>
      <w:r w:rsidRPr="00682149">
        <w:rPr>
          <w:rFonts w:ascii="Arial" w:eastAsia="MS Mincho" w:hAnsi="Arial" w:cs="Arial"/>
          <w:color w:val="000000" w:themeColor="text1"/>
          <w:sz w:val="24"/>
          <w:szCs w:val="20"/>
          <w:vertAlign w:val="superscript"/>
          <w:lang w:val="es-CO" w:eastAsia="es-ES"/>
        </w:rPr>
        <w:footnoteReference w:id="9"/>
      </w:r>
      <w:r w:rsidRPr="00682149">
        <w:rPr>
          <w:rFonts w:ascii="Arial" w:eastAsia="MS Mincho" w:hAnsi="Arial" w:cs="Arial"/>
          <w:color w:val="000000" w:themeColor="text1"/>
          <w:sz w:val="24"/>
          <w:szCs w:val="20"/>
          <w:lang w:val="es-CO" w:eastAsia="es-ES"/>
        </w:rPr>
        <w:t>, con el único y primario fin de buscar el retorno a la normalidad</w:t>
      </w:r>
      <w:r w:rsidRPr="00682149">
        <w:rPr>
          <w:rFonts w:ascii="Arial" w:eastAsia="MS Mincho" w:hAnsi="Arial" w:cs="Arial"/>
          <w:color w:val="000000" w:themeColor="text1"/>
          <w:sz w:val="24"/>
          <w:szCs w:val="20"/>
          <w:vertAlign w:val="superscript"/>
          <w:lang w:val="es-CO" w:eastAsia="es-ES"/>
        </w:rPr>
        <w:footnoteReference w:id="10"/>
      </w:r>
      <w:r w:rsidRPr="00682149">
        <w:rPr>
          <w:rFonts w:ascii="Arial" w:eastAsia="MS Mincho" w:hAnsi="Arial" w:cs="Arial"/>
          <w:color w:val="000000" w:themeColor="text1"/>
          <w:sz w:val="24"/>
          <w:szCs w:val="20"/>
          <w:lang w:val="es-CO" w:eastAsia="es-ES"/>
        </w:rPr>
        <w:t>.</w:t>
      </w:r>
    </w:p>
    <w:p w14:paraId="5C08B977" w14:textId="77777777" w:rsidR="001D37B6" w:rsidRPr="00682149" w:rsidRDefault="001D37B6" w:rsidP="001C138F">
      <w:pPr>
        <w:spacing w:after="0" w:line="276" w:lineRule="auto"/>
        <w:rPr>
          <w:rFonts w:ascii="Arial" w:eastAsia="Calibri" w:hAnsi="Arial" w:cs="Arial"/>
          <w:color w:val="000000" w:themeColor="text1"/>
          <w:sz w:val="24"/>
          <w:szCs w:val="24"/>
          <w:lang w:val="es-CO" w:eastAsia="es-ES"/>
        </w:rPr>
      </w:pPr>
    </w:p>
    <w:p w14:paraId="55BFE8CA" w14:textId="32C84A1B" w:rsidR="001D37B6" w:rsidRPr="00682149" w:rsidRDefault="001D37B6" w:rsidP="001C138F">
      <w:pPr>
        <w:spacing w:after="0" w:line="276" w:lineRule="auto"/>
        <w:jc w:val="both"/>
        <w:rPr>
          <w:rFonts w:ascii="Arial" w:eastAsia="Times New Roman" w:hAnsi="Arial" w:cs="Arial"/>
          <w:bCs/>
          <w:color w:val="000000" w:themeColor="text1"/>
          <w:sz w:val="24"/>
          <w:szCs w:val="24"/>
          <w:lang w:val="es-ES" w:eastAsia="es-ES"/>
        </w:rPr>
      </w:pPr>
      <w:r w:rsidRPr="00682149">
        <w:rPr>
          <w:rFonts w:ascii="Arial" w:eastAsia="Times New Roman" w:hAnsi="Arial" w:cs="Arial"/>
          <w:b/>
          <w:color w:val="000000" w:themeColor="text1"/>
          <w:sz w:val="24"/>
          <w:szCs w:val="24"/>
          <w:lang w:val="es-CO" w:eastAsia="es-ES"/>
        </w:rPr>
        <w:t>2.1.4.</w:t>
      </w:r>
      <w:r w:rsidRPr="00682149">
        <w:rPr>
          <w:rFonts w:ascii="Arial" w:eastAsia="Times New Roman" w:hAnsi="Arial" w:cs="Arial"/>
          <w:b/>
          <w:color w:val="000000" w:themeColor="text1"/>
          <w:sz w:val="24"/>
          <w:szCs w:val="24"/>
          <w:lang w:val="es-CO" w:eastAsia="es-ES"/>
        </w:rPr>
        <w:tab/>
      </w:r>
      <w:r w:rsidRPr="00682149">
        <w:rPr>
          <w:rFonts w:ascii="Arial" w:eastAsia="Times New Roman" w:hAnsi="Arial" w:cs="Arial"/>
          <w:bCs/>
          <w:color w:val="000000" w:themeColor="text1"/>
          <w:sz w:val="24"/>
          <w:szCs w:val="24"/>
          <w:lang w:val="es-CO" w:eastAsia="es-ES"/>
        </w:rPr>
        <w:t>Así, por tratarse del ejercicio de un poder público, los decretos legislativos que se expidan en uso de las facultades a las que se refieren los artículos 212 a 215 constitucionales, además de otros controles, están sometidos al control jurisdiccional automático de la Corte Constitucional</w:t>
      </w:r>
      <w:r w:rsidRPr="00682149">
        <w:rPr>
          <w:rFonts w:ascii="Arial" w:eastAsia="Times New Roman" w:hAnsi="Arial" w:cs="Arial"/>
          <w:bCs/>
          <w:color w:val="000000" w:themeColor="text1"/>
          <w:sz w:val="24"/>
          <w:szCs w:val="24"/>
          <w:vertAlign w:val="superscript"/>
          <w:lang w:val="es-CO" w:eastAsia="es-ES"/>
        </w:rPr>
        <w:footnoteReference w:id="11"/>
      </w:r>
      <w:r w:rsidRPr="00682149">
        <w:rPr>
          <w:rFonts w:ascii="Arial" w:eastAsia="Times New Roman" w:hAnsi="Arial" w:cs="Arial"/>
          <w:bCs/>
          <w:color w:val="000000" w:themeColor="text1"/>
          <w:sz w:val="24"/>
          <w:szCs w:val="24"/>
          <w:lang w:val="es-CO" w:eastAsia="es-ES"/>
        </w:rPr>
        <w:t>, y las demás medidas de carácter general dictadas en el marco del ejercicio de una función administrativa y como desarrollo de esos decretos legislativos, están sometidas al control de la Jurisdicción de lo Contencioso Administrativo</w:t>
      </w:r>
      <w:r w:rsidRPr="00682149">
        <w:rPr>
          <w:rFonts w:ascii="Arial" w:eastAsia="Times New Roman" w:hAnsi="Arial" w:cs="Arial"/>
          <w:bCs/>
          <w:color w:val="000000" w:themeColor="text1"/>
          <w:sz w:val="24"/>
          <w:szCs w:val="24"/>
          <w:vertAlign w:val="superscript"/>
          <w:lang w:val="es-CO" w:eastAsia="es-ES"/>
        </w:rPr>
        <w:footnoteReference w:id="12"/>
      </w:r>
      <w:r w:rsidRPr="00682149">
        <w:rPr>
          <w:rFonts w:ascii="Arial" w:eastAsia="Times New Roman" w:hAnsi="Arial" w:cs="Arial"/>
          <w:bCs/>
          <w:color w:val="000000" w:themeColor="text1"/>
          <w:sz w:val="24"/>
          <w:szCs w:val="24"/>
          <w:lang w:val="es-CO" w:eastAsia="es-ES"/>
        </w:rPr>
        <w:t>.</w:t>
      </w:r>
    </w:p>
    <w:p w14:paraId="3E527010" w14:textId="77777777" w:rsidR="001D37B6" w:rsidRPr="00682149" w:rsidRDefault="001D37B6" w:rsidP="001C138F">
      <w:pPr>
        <w:spacing w:after="0" w:line="276" w:lineRule="auto"/>
        <w:rPr>
          <w:rFonts w:ascii="Arial" w:eastAsia="Calibri" w:hAnsi="Arial" w:cs="Arial"/>
          <w:color w:val="000000" w:themeColor="text1"/>
          <w:lang w:val="es-CO" w:eastAsia="es-ES"/>
        </w:rPr>
      </w:pPr>
    </w:p>
    <w:p w14:paraId="7BA1F81D" w14:textId="64F1AB12" w:rsidR="001D37B6" w:rsidRPr="00682149" w:rsidRDefault="001D37B6" w:rsidP="001C138F">
      <w:pPr>
        <w:spacing w:after="0" w:line="276" w:lineRule="auto"/>
        <w:jc w:val="both"/>
        <w:rPr>
          <w:rFonts w:ascii="Arial" w:eastAsia="Calibri" w:hAnsi="Arial" w:cs="Arial"/>
          <w:color w:val="000000" w:themeColor="text1"/>
          <w:sz w:val="24"/>
          <w:szCs w:val="24"/>
          <w:lang w:val="es-CO"/>
        </w:rPr>
      </w:pPr>
      <w:r w:rsidRPr="00682149">
        <w:rPr>
          <w:rFonts w:ascii="Arial" w:eastAsia="Times New Roman" w:hAnsi="Arial" w:cs="Arial"/>
          <w:b/>
          <w:color w:val="000000" w:themeColor="text1"/>
          <w:sz w:val="24"/>
          <w:szCs w:val="24"/>
          <w:lang w:val="es-CO" w:eastAsia="es-ES"/>
        </w:rPr>
        <w:t>2.1.5.</w:t>
      </w:r>
      <w:r w:rsidRPr="00682149">
        <w:rPr>
          <w:rFonts w:ascii="Arial" w:eastAsia="Times New Roman" w:hAnsi="Arial" w:cs="Arial"/>
          <w:b/>
          <w:color w:val="000000" w:themeColor="text1"/>
          <w:sz w:val="24"/>
          <w:szCs w:val="24"/>
          <w:lang w:val="es-CO" w:eastAsia="es-ES"/>
        </w:rPr>
        <w:tab/>
      </w:r>
      <w:r w:rsidRPr="00682149">
        <w:rPr>
          <w:rFonts w:ascii="Arial" w:eastAsia="Times New Roman" w:hAnsi="Arial" w:cs="Arial"/>
          <w:bCs/>
          <w:color w:val="000000" w:themeColor="text1"/>
          <w:sz w:val="24"/>
          <w:szCs w:val="24"/>
          <w:lang w:val="es-CO" w:eastAsia="es-ES"/>
        </w:rPr>
        <w:t xml:space="preserve">El control a cargo de la Jurisdicción de lo Contencioso Administrativo, se ata, entonces, al querer del constituyente y de la ley de fijar límites al ejercicio del poder del legislador de excepción, como también de quienes obran en la realización de sus mandatos, tarea que tratándose del mecanismo de control de legalidad se proyecta como regla general a verificar su conformidad (conexidad y proporcionalidad) con el </w:t>
      </w:r>
      <w:r w:rsidRPr="00682149">
        <w:rPr>
          <w:rFonts w:ascii="Arial" w:eastAsia="Times New Roman" w:hAnsi="Arial" w:cs="Arial"/>
          <w:bCs/>
          <w:iCs/>
          <w:color w:val="000000" w:themeColor="text1"/>
          <w:sz w:val="24"/>
          <w:szCs w:val="24"/>
          <w:lang w:val="es-CO" w:eastAsia="es-ES"/>
        </w:rPr>
        <w:t>ordenamiento jurídico</w:t>
      </w:r>
      <w:r w:rsidRPr="00682149">
        <w:rPr>
          <w:rFonts w:ascii="Arial" w:eastAsia="Times New Roman" w:hAnsi="Arial" w:cs="Arial"/>
          <w:bCs/>
          <w:color w:val="000000" w:themeColor="text1"/>
          <w:sz w:val="24"/>
          <w:szCs w:val="24"/>
          <w:lang w:val="es-CO" w:eastAsia="es-ES"/>
        </w:rPr>
        <w:t xml:space="preserve">, </w:t>
      </w:r>
      <w:r w:rsidRPr="00682149">
        <w:rPr>
          <w:rFonts w:ascii="Arial" w:eastAsia="Calibri" w:hAnsi="Arial" w:cs="Arial"/>
          <w:color w:val="000000" w:themeColor="text1"/>
          <w:sz w:val="24"/>
          <w:szCs w:val="24"/>
          <w:lang w:val="es-CO"/>
        </w:rPr>
        <w:t xml:space="preserve">confrontando sus contenidos y mandatos con el </w:t>
      </w:r>
      <w:r w:rsidRPr="00682149">
        <w:rPr>
          <w:rFonts w:ascii="Arial" w:eastAsia="Calibri" w:hAnsi="Arial" w:cs="Arial"/>
          <w:i/>
          <w:iCs/>
          <w:color w:val="000000" w:themeColor="text1"/>
          <w:sz w:val="24"/>
          <w:szCs w:val="24"/>
          <w:lang w:val="es-CO"/>
        </w:rPr>
        <w:t>decreto declarativo</w:t>
      </w:r>
      <w:r w:rsidRPr="00682149">
        <w:rPr>
          <w:rFonts w:ascii="Arial" w:eastAsia="Calibri" w:hAnsi="Arial" w:cs="Arial"/>
          <w:color w:val="000000" w:themeColor="text1"/>
          <w:sz w:val="24"/>
          <w:szCs w:val="24"/>
          <w:lang w:val="es-CO"/>
        </w:rPr>
        <w:t xml:space="preserve"> del estado de excepción, los </w:t>
      </w:r>
      <w:r w:rsidRPr="00682149">
        <w:rPr>
          <w:rFonts w:ascii="Arial" w:eastAsia="Calibri" w:hAnsi="Arial" w:cs="Arial"/>
          <w:i/>
          <w:iCs/>
          <w:color w:val="000000" w:themeColor="text1"/>
          <w:sz w:val="24"/>
          <w:szCs w:val="24"/>
          <w:lang w:val="es-CO"/>
        </w:rPr>
        <w:t>decretos legislativos</w:t>
      </w:r>
      <w:r w:rsidRPr="00682149">
        <w:rPr>
          <w:rFonts w:ascii="Arial" w:eastAsia="Calibri" w:hAnsi="Arial" w:cs="Arial"/>
          <w:color w:val="000000" w:themeColor="text1"/>
          <w:sz w:val="24"/>
          <w:szCs w:val="24"/>
          <w:lang w:val="es-CO"/>
        </w:rPr>
        <w:t xml:space="preserve"> que lo desarrollan</w:t>
      </w:r>
      <w:r w:rsidRPr="00682149">
        <w:rPr>
          <w:rFonts w:ascii="Arial" w:eastAsia="Calibri" w:hAnsi="Arial" w:cs="Arial"/>
          <w:color w:val="000000" w:themeColor="text1"/>
          <w:sz w:val="24"/>
          <w:szCs w:val="24"/>
          <w:vertAlign w:val="superscript"/>
          <w:lang w:val="es-CO"/>
        </w:rPr>
        <w:footnoteReference w:id="13"/>
      </w:r>
      <w:r w:rsidRPr="00682149">
        <w:rPr>
          <w:rFonts w:ascii="Arial" w:eastAsia="Calibri" w:hAnsi="Arial" w:cs="Arial"/>
          <w:color w:val="000000" w:themeColor="text1"/>
          <w:sz w:val="24"/>
          <w:szCs w:val="24"/>
          <w:lang w:val="es-CO"/>
        </w:rPr>
        <w:t xml:space="preserve"> y con la generalidad del ordenamiento jurídico</w:t>
      </w:r>
      <w:r w:rsidRPr="00682149">
        <w:rPr>
          <w:rFonts w:ascii="Arial" w:eastAsia="Calibri" w:hAnsi="Arial" w:cs="Arial"/>
          <w:i/>
          <w:color w:val="000000" w:themeColor="text1"/>
          <w:sz w:val="24"/>
          <w:szCs w:val="24"/>
          <w:vertAlign w:val="superscript"/>
          <w:lang w:val="es-CO"/>
        </w:rPr>
        <w:footnoteReference w:id="14"/>
      </w:r>
      <w:r w:rsidRPr="00682149">
        <w:rPr>
          <w:rFonts w:ascii="Arial" w:eastAsia="Calibri" w:hAnsi="Arial" w:cs="Arial"/>
          <w:color w:val="000000" w:themeColor="text1"/>
          <w:sz w:val="24"/>
          <w:szCs w:val="24"/>
          <w:lang w:val="es-CO"/>
        </w:rPr>
        <w:t xml:space="preserve">, al margen de las decisiones de constitucionalidad que correspondan. Desde esta perspectiva </w:t>
      </w:r>
      <w:r w:rsidRPr="00682149">
        <w:rPr>
          <w:rFonts w:ascii="Arial" w:eastAsia="Times New Roman" w:hAnsi="Arial" w:cs="Arial"/>
          <w:bCs/>
          <w:color w:val="000000" w:themeColor="text1"/>
          <w:sz w:val="24"/>
          <w:szCs w:val="24"/>
          <w:lang w:val="es-CO" w:eastAsia="es-ES"/>
        </w:rPr>
        <w:t xml:space="preserve">no puede soslayarse la importancia que reviste </w:t>
      </w:r>
      <w:r w:rsidRPr="00682149">
        <w:rPr>
          <w:rFonts w:ascii="Arial" w:eastAsia="Calibri" w:hAnsi="Arial" w:cs="Arial"/>
          <w:color w:val="000000" w:themeColor="text1"/>
          <w:sz w:val="24"/>
          <w:szCs w:val="24"/>
          <w:lang w:val="es-CO"/>
        </w:rPr>
        <w:t xml:space="preserve">el ejercicio del control inmediato de legalidad dentro del ámbito de excepcionalidad en el que se dicta, con el referente inmediato a los decretos legislativos que emite el Gobierno Nacional, ya que el propósito del control inmediato de legalidad es </w:t>
      </w:r>
      <w:r w:rsidRPr="00682149">
        <w:rPr>
          <w:rFonts w:ascii="Arial" w:eastAsia="Calibri" w:hAnsi="Arial" w:cs="Arial"/>
          <w:i/>
          <w:color w:val="000000" w:themeColor="text1"/>
          <w:sz w:val="24"/>
          <w:szCs w:val="24"/>
          <w:lang w:val="es-CO"/>
        </w:rPr>
        <w:t xml:space="preserve">“velar porque las normas de carácter general sean dictadas en ejercicio de la función administrativa y como desarrollo de los decretos legislativos durante los estados </w:t>
      </w:r>
      <w:r w:rsidRPr="00682149">
        <w:rPr>
          <w:rFonts w:ascii="Arial" w:eastAsia="Calibri" w:hAnsi="Arial" w:cs="Arial"/>
          <w:i/>
          <w:color w:val="000000" w:themeColor="text1"/>
          <w:sz w:val="24"/>
          <w:szCs w:val="24"/>
          <w:lang w:val="es-CO"/>
        </w:rPr>
        <w:lastRenderedPageBreak/>
        <w:t>de excepción”</w:t>
      </w:r>
      <w:r w:rsidRPr="00682149">
        <w:rPr>
          <w:rFonts w:ascii="Arial" w:eastAsia="Calibri" w:hAnsi="Arial" w:cs="Arial"/>
          <w:i/>
          <w:color w:val="000000" w:themeColor="text1"/>
          <w:sz w:val="24"/>
          <w:szCs w:val="24"/>
          <w:vertAlign w:val="superscript"/>
          <w:lang w:val="es-CO"/>
        </w:rPr>
        <w:footnoteReference w:id="15"/>
      </w:r>
      <w:r w:rsidRPr="00682149">
        <w:rPr>
          <w:rFonts w:ascii="Arial" w:eastAsia="Calibri" w:hAnsi="Arial" w:cs="Arial"/>
          <w:i/>
          <w:color w:val="000000" w:themeColor="text1"/>
          <w:sz w:val="24"/>
          <w:szCs w:val="24"/>
          <w:lang w:val="es-CO"/>
        </w:rPr>
        <w:t xml:space="preserve">, </w:t>
      </w:r>
      <w:r w:rsidRPr="00682149">
        <w:rPr>
          <w:rFonts w:ascii="Arial" w:eastAsia="Calibri" w:hAnsi="Arial" w:cs="Arial"/>
          <w:color w:val="000000" w:themeColor="text1"/>
          <w:sz w:val="24"/>
          <w:szCs w:val="24"/>
          <w:lang w:val="es-CO"/>
        </w:rPr>
        <w:t>sin que le impida, claro está, al juez, confrontar otras normas de orden superior que puedan resultar vulneradas.</w:t>
      </w:r>
    </w:p>
    <w:p w14:paraId="0FB87CBB" w14:textId="77777777" w:rsidR="001D37B6" w:rsidRPr="00682149" w:rsidRDefault="001D37B6" w:rsidP="001C138F">
      <w:pPr>
        <w:spacing w:after="0" w:line="276" w:lineRule="auto"/>
        <w:jc w:val="both"/>
        <w:rPr>
          <w:rFonts w:ascii="Arial" w:eastAsia="Calibri" w:hAnsi="Arial" w:cs="Arial"/>
          <w:iCs/>
          <w:color w:val="000000" w:themeColor="text1"/>
          <w:sz w:val="24"/>
          <w:szCs w:val="24"/>
          <w:lang w:val="es-ES"/>
        </w:rPr>
      </w:pPr>
      <w:r w:rsidRPr="00682149">
        <w:rPr>
          <w:rFonts w:ascii="Arial" w:eastAsia="Calibri" w:hAnsi="Arial" w:cs="Arial"/>
          <w:iCs/>
          <w:color w:val="000000" w:themeColor="text1"/>
          <w:sz w:val="24"/>
          <w:szCs w:val="24"/>
          <w:lang w:val="es-ES"/>
        </w:rPr>
        <w:t xml:space="preserve"> </w:t>
      </w:r>
    </w:p>
    <w:p w14:paraId="3395BFB7" w14:textId="14889E50" w:rsidR="001D37B6" w:rsidRPr="00682149" w:rsidRDefault="001D37B6" w:rsidP="001C138F">
      <w:pPr>
        <w:overflowPunct w:val="0"/>
        <w:autoSpaceDE w:val="0"/>
        <w:autoSpaceDN w:val="0"/>
        <w:adjustRightInd w:val="0"/>
        <w:spacing w:after="0" w:line="276" w:lineRule="auto"/>
        <w:jc w:val="both"/>
        <w:textAlignment w:val="baseline"/>
        <w:rPr>
          <w:rFonts w:ascii="Arial" w:eastAsia="Times New Roman" w:hAnsi="Arial" w:cs="Arial"/>
          <w:iCs/>
          <w:color w:val="000000" w:themeColor="text1"/>
          <w:sz w:val="24"/>
          <w:szCs w:val="24"/>
          <w:lang w:val="es-CO" w:eastAsia="x-none"/>
        </w:rPr>
      </w:pPr>
      <w:r w:rsidRPr="00682149">
        <w:rPr>
          <w:rFonts w:ascii="Arial" w:eastAsia="Calibri" w:hAnsi="Arial" w:cs="Arial"/>
          <w:b/>
          <w:bCs/>
          <w:color w:val="000000" w:themeColor="text1"/>
          <w:sz w:val="24"/>
          <w:szCs w:val="24"/>
          <w:lang w:val="es-ES"/>
        </w:rPr>
        <w:t>2.1.6.</w:t>
      </w:r>
      <w:r w:rsidRPr="00682149">
        <w:rPr>
          <w:rFonts w:ascii="Arial" w:eastAsia="Calibri" w:hAnsi="Arial" w:cs="Arial"/>
          <w:b/>
          <w:bCs/>
          <w:color w:val="000000" w:themeColor="text1"/>
          <w:sz w:val="24"/>
          <w:szCs w:val="24"/>
          <w:lang w:val="es-ES"/>
        </w:rPr>
        <w:tab/>
      </w:r>
      <w:r w:rsidRPr="00682149">
        <w:rPr>
          <w:rFonts w:ascii="Arial" w:eastAsia="Calibri" w:hAnsi="Arial" w:cs="Arial"/>
          <w:color w:val="000000" w:themeColor="text1"/>
          <w:sz w:val="24"/>
          <w:szCs w:val="24"/>
          <w:lang w:val="es-ES"/>
        </w:rPr>
        <w:t xml:space="preserve">Si bien </w:t>
      </w:r>
      <w:r w:rsidRPr="00682149">
        <w:rPr>
          <w:rFonts w:ascii="Arial" w:eastAsia="Times New Roman" w:hAnsi="Arial" w:cs="Arial"/>
          <w:iCs/>
          <w:color w:val="000000" w:themeColor="text1"/>
          <w:sz w:val="24"/>
          <w:szCs w:val="24"/>
          <w:lang w:val="es-CO" w:eastAsia="x-none"/>
        </w:rPr>
        <w:t>el artículo 20 de la Ley 137 de 1994 –Ley Estatutaria de los Estados de Excepción (</w:t>
      </w:r>
      <w:r w:rsidRPr="00682149">
        <w:rPr>
          <w:rFonts w:ascii="Arial" w:eastAsia="Times New Roman" w:hAnsi="Arial" w:cs="Arial"/>
          <w:color w:val="000000" w:themeColor="text1"/>
          <w:sz w:val="24"/>
          <w:szCs w:val="24"/>
          <w:lang w:val="es-CO" w:eastAsia="es-ES_tradnl"/>
        </w:rPr>
        <w:t>LEEE)</w:t>
      </w:r>
      <w:r w:rsidRPr="00682149">
        <w:rPr>
          <w:rFonts w:ascii="Arial" w:eastAsia="Times New Roman" w:hAnsi="Arial" w:cs="Arial"/>
          <w:iCs/>
          <w:color w:val="000000" w:themeColor="text1"/>
          <w:sz w:val="24"/>
          <w:szCs w:val="24"/>
          <w:lang w:val="es-CO" w:eastAsia="x-none"/>
        </w:rPr>
        <w:t xml:space="preserve">– faculta al Tribunal Supremo de lo Contencioso Administrativo y a los jueces administrativos para adelantar el trámite del control inmediato de legalidad, incluso antes de que la Corte Constitucional se haya pronunciado sobre la constitucionalidad de los decretos legislativos expedidos al amparo de la emergencia, no puede dejarse de lado que una vez adoptada la decisión de constitucionalidad de los decretos legislativos que legitimaron la expedición de los actos administrativos, tal decisión se impone con la fuerza de cosa juzgada constitucional que le es propia.  </w:t>
      </w:r>
    </w:p>
    <w:p w14:paraId="12E8A8A6" w14:textId="77777777" w:rsidR="001D37B6" w:rsidRPr="00682149" w:rsidRDefault="001D37B6" w:rsidP="001C138F">
      <w:pPr>
        <w:overflowPunct w:val="0"/>
        <w:autoSpaceDE w:val="0"/>
        <w:autoSpaceDN w:val="0"/>
        <w:adjustRightInd w:val="0"/>
        <w:spacing w:after="0" w:line="276" w:lineRule="auto"/>
        <w:jc w:val="both"/>
        <w:textAlignment w:val="baseline"/>
        <w:rPr>
          <w:rFonts w:ascii="Arial" w:eastAsia="Times New Roman" w:hAnsi="Arial" w:cs="Arial"/>
          <w:iCs/>
          <w:color w:val="000000" w:themeColor="text1"/>
          <w:sz w:val="24"/>
          <w:szCs w:val="24"/>
          <w:lang w:val="es-CO" w:eastAsia="x-none"/>
        </w:rPr>
      </w:pPr>
    </w:p>
    <w:p w14:paraId="029AA1A1" w14:textId="77777777" w:rsidR="001D37B6" w:rsidRPr="00682149" w:rsidRDefault="001D37B6" w:rsidP="001C138F">
      <w:pPr>
        <w:spacing w:after="0" w:line="276" w:lineRule="auto"/>
        <w:ind w:right="-38"/>
        <w:jc w:val="both"/>
        <w:rPr>
          <w:rFonts w:ascii="Arial" w:eastAsia="Calibri" w:hAnsi="Arial" w:cs="Arial"/>
          <w:color w:val="000000" w:themeColor="text1"/>
          <w:sz w:val="24"/>
          <w:szCs w:val="24"/>
          <w:lang w:val="es-CO"/>
        </w:rPr>
      </w:pPr>
      <w:r w:rsidRPr="00682149">
        <w:rPr>
          <w:rFonts w:ascii="Arial" w:eastAsia="Calibri" w:hAnsi="Arial" w:cs="Arial"/>
          <w:bCs/>
          <w:iCs/>
          <w:color w:val="000000" w:themeColor="text1"/>
          <w:sz w:val="24"/>
          <w:szCs w:val="24"/>
          <w:lang w:val="es-CO"/>
        </w:rPr>
        <w:t xml:space="preserve">El fundamento de lo que antecede, obedece, y así lo ha explicado esta Corporación, al </w:t>
      </w:r>
      <w:r w:rsidRPr="00682149">
        <w:rPr>
          <w:rFonts w:ascii="Arial" w:eastAsia="Calibri" w:hAnsi="Arial" w:cs="Arial"/>
          <w:color w:val="000000" w:themeColor="text1"/>
          <w:sz w:val="24"/>
          <w:szCs w:val="24"/>
          <w:lang w:val="es-CO"/>
        </w:rPr>
        <w:t xml:space="preserve">concepto de integralidad propio del control inmediato de legalidad que resulta complementario al constitucional que le sirve de referencia a la Corte Constitucional para examinar la constitucionalidad del decreto que declara la emergencia o de los decretos legislativos que la desarrollan. </w:t>
      </w:r>
    </w:p>
    <w:p w14:paraId="01374F3F" w14:textId="77777777" w:rsidR="001D37B6" w:rsidRPr="00682149" w:rsidRDefault="001D37B6" w:rsidP="001C138F">
      <w:pPr>
        <w:spacing w:after="0" w:line="276" w:lineRule="auto"/>
        <w:ind w:right="-38"/>
        <w:jc w:val="both"/>
        <w:rPr>
          <w:rFonts w:ascii="Arial" w:eastAsia="Calibri" w:hAnsi="Arial" w:cs="Arial"/>
          <w:color w:val="000000" w:themeColor="text1"/>
          <w:sz w:val="24"/>
          <w:szCs w:val="24"/>
          <w:lang w:val="es-CO"/>
        </w:rPr>
      </w:pPr>
    </w:p>
    <w:p w14:paraId="41E7C861" w14:textId="619F34E1" w:rsidR="001D37B6" w:rsidRPr="00682149" w:rsidRDefault="001D37B6" w:rsidP="001C138F">
      <w:pPr>
        <w:spacing w:after="0" w:line="276" w:lineRule="auto"/>
        <w:ind w:right="-38"/>
        <w:jc w:val="both"/>
        <w:rPr>
          <w:rFonts w:ascii="Arial" w:eastAsia="Calibri" w:hAnsi="Arial" w:cs="Arial"/>
          <w:color w:val="000000" w:themeColor="text1"/>
          <w:sz w:val="24"/>
          <w:szCs w:val="24"/>
          <w:lang w:val="es-CO"/>
        </w:rPr>
      </w:pPr>
      <w:r w:rsidRPr="00682149">
        <w:rPr>
          <w:rFonts w:ascii="Arial" w:eastAsia="Calibri" w:hAnsi="Arial" w:cs="Arial"/>
          <w:b/>
          <w:bCs/>
          <w:color w:val="000000" w:themeColor="text1"/>
          <w:sz w:val="24"/>
          <w:szCs w:val="24"/>
          <w:lang w:val="es-CO"/>
        </w:rPr>
        <w:t>2.1.7.</w:t>
      </w:r>
      <w:r w:rsidRPr="00682149">
        <w:rPr>
          <w:rFonts w:ascii="Arial" w:eastAsia="Calibri" w:hAnsi="Arial" w:cs="Arial"/>
          <w:b/>
          <w:bCs/>
          <w:color w:val="000000" w:themeColor="text1"/>
          <w:sz w:val="24"/>
          <w:szCs w:val="24"/>
          <w:lang w:val="es-CO"/>
        </w:rPr>
        <w:tab/>
      </w:r>
      <w:r w:rsidRPr="00682149">
        <w:rPr>
          <w:rFonts w:ascii="Arial" w:eastAsia="Calibri" w:hAnsi="Arial" w:cs="Arial"/>
          <w:color w:val="000000" w:themeColor="text1"/>
          <w:sz w:val="24"/>
          <w:szCs w:val="24"/>
          <w:lang w:val="es-CO"/>
        </w:rPr>
        <w:t xml:space="preserve">Como manifestación concreta de lo anterior, cuando la medida que declara el estado de excepción y la expedición de los decretos legislativos que lo desarrollan han superado el control a cargo de la Corte Constitucional o ésta se encuentre en trámite, la revisión oficiosa de los actos administrativos dictados al amparo de la medida excepcional quedará condicionada a lo que la Corte resuelva, lo que no excluye que el control público a cargo de los administrados se mantenga incólume, a través de los medios del control ordinario previstos en los cánones legales. </w:t>
      </w:r>
    </w:p>
    <w:p w14:paraId="73FF0D51" w14:textId="77777777" w:rsidR="001D37B6" w:rsidRPr="00682149" w:rsidRDefault="001D37B6" w:rsidP="001C138F">
      <w:pPr>
        <w:spacing w:after="0" w:line="276" w:lineRule="auto"/>
        <w:ind w:right="-38"/>
        <w:jc w:val="both"/>
        <w:rPr>
          <w:rFonts w:ascii="Arial" w:eastAsia="Calibri" w:hAnsi="Arial" w:cs="Arial"/>
          <w:color w:val="000000" w:themeColor="text1"/>
          <w:sz w:val="24"/>
          <w:szCs w:val="24"/>
          <w:lang w:val="es-CO"/>
        </w:rPr>
      </w:pPr>
    </w:p>
    <w:p w14:paraId="1AAED297" w14:textId="77777777" w:rsidR="001D37B6" w:rsidRPr="00682149" w:rsidRDefault="001D37B6" w:rsidP="001C138F">
      <w:pPr>
        <w:spacing w:after="0" w:line="276" w:lineRule="auto"/>
        <w:ind w:right="-38"/>
        <w:jc w:val="both"/>
        <w:rPr>
          <w:rFonts w:ascii="Arial" w:eastAsia="Calibri" w:hAnsi="Arial" w:cs="Arial"/>
          <w:color w:val="000000" w:themeColor="text1"/>
          <w:sz w:val="24"/>
          <w:szCs w:val="24"/>
          <w:lang w:val="es-CO"/>
        </w:rPr>
      </w:pPr>
      <w:r w:rsidRPr="00682149">
        <w:rPr>
          <w:rFonts w:ascii="Arial" w:eastAsia="Calibri" w:hAnsi="Arial" w:cs="Arial"/>
          <w:color w:val="000000" w:themeColor="text1"/>
          <w:sz w:val="24"/>
          <w:szCs w:val="24"/>
          <w:lang w:val="es-CO"/>
        </w:rPr>
        <w:t xml:space="preserve">En consecuencia, </w:t>
      </w:r>
      <w:r w:rsidRPr="00682149">
        <w:rPr>
          <w:rFonts w:ascii="Arial" w:eastAsia="Times New Roman" w:hAnsi="Arial" w:cs="Arial"/>
          <w:color w:val="000000" w:themeColor="text1"/>
          <w:sz w:val="24"/>
          <w:szCs w:val="24"/>
          <w:lang w:val="es-CO"/>
        </w:rPr>
        <w:t>e</w:t>
      </w:r>
      <w:r w:rsidRPr="00682149">
        <w:rPr>
          <w:rFonts w:ascii="Arial" w:eastAsia="Calibri" w:hAnsi="Arial" w:cs="Arial"/>
          <w:color w:val="000000" w:themeColor="text1"/>
          <w:sz w:val="24"/>
          <w:szCs w:val="24"/>
          <w:lang w:val="es-CO"/>
        </w:rPr>
        <w:t xml:space="preserve">l control que corresponde ejercer al juez contencioso deberá consultar (a) la Constitución Política; (b) el decreto que declara la emergencia; y, (c) el decreto legislativo que la desarrolla; sin que le impida al juez confrontar (d) otras normas de orden superior que puedan resultar quebrantadas. </w:t>
      </w:r>
    </w:p>
    <w:p w14:paraId="3FD1AF91" w14:textId="77777777" w:rsidR="001D37B6" w:rsidRPr="00682149" w:rsidRDefault="001D37B6" w:rsidP="001C138F">
      <w:pPr>
        <w:spacing w:after="0" w:line="276" w:lineRule="auto"/>
        <w:ind w:right="-38"/>
        <w:jc w:val="both"/>
        <w:rPr>
          <w:rFonts w:ascii="Arial" w:eastAsia="Calibri" w:hAnsi="Arial" w:cs="Arial"/>
          <w:color w:val="000000" w:themeColor="text1"/>
          <w:sz w:val="24"/>
          <w:szCs w:val="24"/>
          <w:lang w:val="es-CO"/>
        </w:rPr>
      </w:pPr>
    </w:p>
    <w:p w14:paraId="6A4916CE" w14:textId="78A73701" w:rsidR="001D37B6" w:rsidRPr="00682149" w:rsidRDefault="001D37B6" w:rsidP="001C138F">
      <w:pPr>
        <w:pBdr>
          <w:top w:val="nil"/>
          <w:left w:val="nil"/>
          <w:bottom w:val="nil"/>
          <w:right w:val="nil"/>
          <w:between w:val="nil"/>
        </w:pBdr>
        <w:spacing w:after="0" w:line="276" w:lineRule="auto"/>
        <w:jc w:val="both"/>
        <w:rPr>
          <w:rFonts w:ascii="Arial" w:eastAsia="Times New Roman" w:hAnsi="Arial" w:cs="Arial"/>
          <w:color w:val="000000" w:themeColor="text1"/>
          <w:sz w:val="24"/>
          <w:szCs w:val="24"/>
          <w:lang w:val="es-CO" w:eastAsia="es-ES_tradnl"/>
        </w:rPr>
      </w:pPr>
      <w:r w:rsidRPr="00682149">
        <w:rPr>
          <w:rFonts w:ascii="Arial" w:eastAsia="Times New Roman" w:hAnsi="Arial" w:cs="Arial"/>
          <w:b/>
          <w:bCs/>
          <w:color w:val="000000" w:themeColor="text1"/>
          <w:sz w:val="24"/>
          <w:szCs w:val="24"/>
          <w:lang w:val="es-CO" w:eastAsia="es-ES_tradnl"/>
        </w:rPr>
        <w:t>Criterios formales y materiales que rigen el control de legalidad</w:t>
      </w:r>
    </w:p>
    <w:p w14:paraId="10FCC178" w14:textId="77777777" w:rsidR="001D37B6" w:rsidRPr="00682149" w:rsidRDefault="001D37B6" w:rsidP="001C138F">
      <w:pPr>
        <w:pBdr>
          <w:top w:val="nil"/>
          <w:left w:val="nil"/>
          <w:bottom w:val="nil"/>
          <w:right w:val="nil"/>
          <w:between w:val="nil"/>
        </w:pBdr>
        <w:spacing w:after="0" w:line="276" w:lineRule="auto"/>
        <w:jc w:val="both"/>
        <w:rPr>
          <w:rFonts w:ascii="Arial" w:eastAsia="Times New Roman" w:hAnsi="Arial" w:cs="Arial"/>
          <w:color w:val="000000" w:themeColor="text1"/>
          <w:sz w:val="24"/>
          <w:szCs w:val="24"/>
          <w:lang w:val="es-CO" w:eastAsia="es-ES_tradnl"/>
        </w:rPr>
      </w:pPr>
    </w:p>
    <w:p w14:paraId="4B96C9E5" w14:textId="64EB2767" w:rsidR="001D37B6" w:rsidRPr="00682149" w:rsidRDefault="001D37B6" w:rsidP="001C138F">
      <w:pPr>
        <w:pBdr>
          <w:top w:val="nil"/>
          <w:left w:val="nil"/>
          <w:bottom w:val="nil"/>
          <w:right w:val="nil"/>
          <w:between w:val="nil"/>
        </w:pBdr>
        <w:spacing w:after="0" w:line="276" w:lineRule="auto"/>
        <w:ind w:right="-232"/>
        <w:jc w:val="both"/>
        <w:rPr>
          <w:rFonts w:ascii="Arial" w:eastAsia="Times New Roman" w:hAnsi="Arial" w:cs="Arial"/>
          <w:color w:val="000000" w:themeColor="text1"/>
          <w:sz w:val="24"/>
          <w:szCs w:val="24"/>
          <w:lang w:val="es-CO" w:eastAsia="es-ES_tradnl"/>
        </w:rPr>
      </w:pPr>
      <w:r w:rsidRPr="000C2447">
        <w:rPr>
          <w:rFonts w:ascii="Arial" w:eastAsia="Times New Roman" w:hAnsi="Arial" w:cs="Arial"/>
          <w:b/>
          <w:color w:val="000000" w:themeColor="text1"/>
          <w:sz w:val="24"/>
          <w:szCs w:val="24"/>
          <w:lang w:val="es-CO" w:eastAsia="es-ES_tradnl"/>
        </w:rPr>
        <w:t>2.1.8.</w:t>
      </w:r>
      <w:r w:rsidRPr="00682149">
        <w:rPr>
          <w:rFonts w:ascii="Arial" w:eastAsia="Times New Roman" w:hAnsi="Arial" w:cs="Arial"/>
          <w:color w:val="000000" w:themeColor="text1"/>
          <w:sz w:val="24"/>
          <w:szCs w:val="24"/>
          <w:lang w:val="es-CO" w:eastAsia="es-ES_tradnl"/>
        </w:rPr>
        <w:tab/>
        <w:t>La Jurisprudencia Constitucional ha establecido que el control constitucional de los decretos expedidos al amparo del Estado de Emergencia tiene dos facetas: formal y material</w:t>
      </w:r>
      <w:r w:rsidRPr="00682149">
        <w:rPr>
          <w:rFonts w:ascii="Arial" w:eastAsia="Times New Roman" w:hAnsi="Arial" w:cs="Arial"/>
          <w:color w:val="000000" w:themeColor="text1"/>
          <w:sz w:val="24"/>
          <w:szCs w:val="24"/>
          <w:vertAlign w:val="superscript"/>
          <w:lang w:val="es-CO" w:eastAsia="es-ES_tradnl"/>
        </w:rPr>
        <w:footnoteReference w:id="16"/>
      </w:r>
      <w:r w:rsidRPr="00682149">
        <w:rPr>
          <w:rFonts w:ascii="Arial" w:eastAsia="Times New Roman" w:hAnsi="Arial" w:cs="Arial"/>
          <w:color w:val="000000" w:themeColor="text1"/>
          <w:sz w:val="24"/>
          <w:szCs w:val="24"/>
          <w:lang w:val="es-CO" w:eastAsia="es-ES_tradnl"/>
        </w:rPr>
        <w:t xml:space="preserve">. El examen formal tiene que ver con tres exigencias básicas: (i) la suscripción del acto por parte de la autoridad competente; (ii) su expedición en desarrollo de los decretos legislativos expedidos al amparo del estado de excepción y durante el término de su vigencia; y, (iii) la existencia de motivación. </w:t>
      </w:r>
    </w:p>
    <w:p w14:paraId="72CC43F5" w14:textId="77777777" w:rsidR="001D37B6" w:rsidRPr="00682149" w:rsidRDefault="001D37B6" w:rsidP="001C138F">
      <w:pPr>
        <w:spacing w:after="0" w:line="276" w:lineRule="auto"/>
        <w:contextualSpacing/>
        <w:rPr>
          <w:rFonts w:ascii="Arial" w:eastAsia="Times New Roman" w:hAnsi="Arial" w:cs="Arial"/>
          <w:color w:val="000000" w:themeColor="text1"/>
          <w:sz w:val="24"/>
          <w:szCs w:val="24"/>
          <w:lang w:val="es-CO" w:eastAsia="es-ES_tradnl"/>
        </w:rPr>
      </w:pPr>
    </w:p>
    <w:p w14:paraId="2158122E" w14:textId="77777777" w:rsidR="001D37B6" w:rsidRPr="00682149" w:rsidRDefault="001D37B6" w:rsidP="001C138F">
      <w:pPr>
        <w:pBdr>
          <w:top w:val="nil"/>
          <w:left w:val="nil"/>
          <w:bottom w:val="nil"/>
          <w:right w:val="nil"/>
          <w:between w:val="nil"/>
        </w:pBdr>
        <w:spacing w:after="0" w:line="276" w:lineRule="auto"/>
        <w:jc w:val="both"/>
        <w:rPr>
          <w:rFonts w:ascii="Arial" w:eastAsia="Times New Roman" w:hAnsi="Arial" w:cs="Arial"/>
          <w:color w:val="000000" w:themeColor="text1"/>
          <w:sz w:val="24"/>
          <w:szCs w:val="24"/>
          <w:lang w:val="es-CO" w:eastAsia="es-ES_tradnl"/>
        </w:rPr>
      </w:pPr>
      <w:r w:rsidRPr="00682149">
        <w:rPr>
          <w:rFonts w:ascii="Arial" w:eastAsia="Times New Roman" w:hAnsi="Arial" w:cs="Arial"/>
          <w:color w:val="000000" w:themeColor="text1"/>
          <w:sz w:val="24"/>
          <w:szCs w:val="24"/>
          <w:lang w:val="es-CO" w:eastAsia="es-ES_tradnl"/>
        </w:rPr>
        <w:t xml:space="preserve">El examen material del acto, se someterá principalmente a un escrutinio sustancial que consiste, en: </w:t>
      </w:r>
    </w:p>
    <w:p w14:paraId="4ABE3212" w14:textId="77777777" w:rsidR="001D37B6" w:rsidRPr="00682149" w:rsidRDefault="001D37B6" w:rsidP="001C138F">
      <w:pPr>
        <w:pBdr>
          <w:top w:val="nil"/>
          <w:left w:val="nil"/>
          <w:bottom w:val="nil"/>
          <w:right w:val="nil"/>
          <w:between w:val="nil"/>
        </w:pBdr>
        <w:spacing w:after="0" w:line="276" w:lineRule="auto"/>
        <w:jc w:val="both"/>
        <w:rPr>
          <w:rFonts w:ascii="Arial" w:eastAsia="Times New Roman" w:hAnsi="Arial" w:cs="Arial"/>
          <w:color w:val="000000" w:themeColor="text1"/>
          <w:sz w:val="24"/>
          <w:szCs w:val="24"/>
          <w:lang w:val="es-CO" w:eastAsia="es-ES_tradnl"/>
        </w:rPr>
      </w:pPr>
    </w:p>
    <w:p w14:paraId="7D93C1B0" w14:textId="77777777" w:rsidR="001D37B6" w:rsidRPr="00682149" w:rsidRDefault="001D37B6" w:rsidP="001C138F">
      <w:pPr>
        <w:pBdr>
          <w:top w:val="nil"/>
          <w:left w:val="nil"/>
          <w:bottom w:val="nil"/>
          <w:right w:val="nil"/>
          <w:between w:val="nil"/>
        </w:pBdr>
        <w:spacing w:after="0" w:line="276" w:lineRule="auto"/>
        <w:ind w:left="720"/>
        <w:jc w:val="both"/>
        <w:rPr>
          <w:rFonts w:ascii="Arial" w:eastAsia="Times New Roman" w:hAnsi="Arial" w:cs="Arial"/>
          <w:color w:val="000000" w:themeColor="text1"/>
          <w:sz w:val="24"/>
          <w:szCs w:val="24"/>
          <w:lang w:val="es-CO" w:eastAsia="es-ES_tradnl"/>
        </w:rPr>
      </w:pPr>
      <w:r w:rsidRPr="00682149">
        <w:rPr>
          <w:rFonts w:ascii="Arial" w:eastAsia="Times New Roman" w:hAnsi="Arial" w:cs="Arial"/>
          <w:color w:val="000000" w:themeColor="text1"/>
          <w:sz w:val="24"/>
          <w:szCs w:val="24"/>
          <w:lang w:val="es-CO" w:eastAsia="es-ES_tradnl"/>
        </w:rPr>
        <w:lastRenderedPageBreak/>
        <w:t>i)  El</w:t>
      </w:r>
      <w:r w:rsidRPr="00682149">
        <w:rPr>
          <w:rFonts w:ascii="Arial" w:eastAsia="Times New Roman" w:hAnsi="Arial" w:cs="Arial"/>
          <w:b/>
          <w:color w:val="000000" w:themeColor="text1"/>
          <w:sz w:val="24"/>
          <w:szCs w:val="24"/>
          <w:lang w:val="es-CO" w:eastAsia="es-ES_tradnl"/>
        </w:rPr>
        <w:t xml:space="preserve"> juicio de finalidad</w:t>
      </w:r>
      <w:r w:rsidRPr="00682149">
        <w:rPr>
          <w:rFonts w:ascii="Arial" w:eastAsia="Times New Roman" w:hAnsi="Arial" w:cs="Arial"/>
          <w:b/>
          <w:color w:val="000000" w:themeColor="text1"/>
          <w:sz w:val="24"/>
          <w:szCs w:val="24"/>
          <w:vertAlign w:val="superscript"/>
          <w:lang w:val="es-CO" w:eastAsia="es-ES_tradnl"/>
        </w:rPr>
        <w:footnoteReference w:id="17"/>
      </w:r>
      <w:r w:rsidRPr="00682149">
        <w:rPr>
          <w:rFonts w:ascii="Arial" w:eastAsia="Times New Roman" w:hAnsi="Arial" w:cs="Arial"/>
          <w:color w:val="000000" w:themeColor="text1"/>
          <w:sz w:val="24"/>
          <w:szCs w:val="24"/>
          <w:lang w:val="es-CO" w:eastAsia="es-ES_tradnl"/>
        </w:rPr>
        <w:t>,  previsto por el artículo 10 de la LEEE</w:t>
      </w:r>
      <w:r w:rsidRPr="00682149">
        <w:rPr>
          <w:rFonts w:ascii="Arial" w:eastAsia="Times New Roman" w:hAnsi="Arial" w:cs="Arial"/>
          <w:color w:val="000000" w:themeColor="text1"/>
          <w:sz w:val="24"/>
          <w:szCs w:val="24"/>
          <w:vertAlign w:val="superscript"/>
          <w:lang w:val="es-CO" w:eastAsia="es-ES_tradnl"/>
        </w:rPr>
        <w:footnoteReference w:id="18"/>
      </w:r>
      <w:r w:rsidRPr="00682149">
        <w:rPr>
          <w:rFonts w:ascii="Arial" w:eastAsia="Times New Roman" w:hAnsi="Arial" w:cs="Arial"/>
          <w:color w:val="000000" w:themeColor="text1"/>
          <w:sz w:val="24"/>
          <w:szCs w:val="24"/>
          <w:lang w:val="es-CO" w:eastAsia="es-ES_tradnl"/>
        </w:rPr>
        <w:t>, impone verificar que las medidas adoptadas deberán estar directa y específicamente encaminadas a conjurar las causas de la perturbación y a impedir la extensión o agravación de sus efectos</w:t>
      </w:r>
      <w:r w:rsidRPr="00682149">
        <w:rPr>
          <w:rFonts w:ascii="Arial" w:eastAsia="Times New Roman" w:hAnsi="Arial" w:cs="Arial"/>
          <w:color w:val="000000" w:themeColor="text1"/>
          <w:sz w:val="24"/>
          <w:szCs w:val="24"/>
          <w:vertAlign w:val="superscript"/>
          <w:lang w:val="es-CO" w:eastAsia="es-ES_tradnl"/>
        </w:rPr>
        <w:footnoteReference w:id="19"/>
      </w:r>
      <w:r w:rsidRPr="00682149">
        <w:rPr>
          <w:rFonts w:ascii="Arial" w:eastAsia="Times New Roman" w:hAnsi="Arial" w:cs="Arial"/>
          <w:color w:val="000000" w:themeColor="text1"/>
          <w:sz w:val="24"/>
          <w:szCs w:val="24"/>
          <w:lang w:val="es-CO" w:eastAsia="es-ES_tradnl"/>
        </w:rPr>
        <w:t xml:space="preserve">; </w:t>
      </w:r>
    </w:p>
    <w:p w14:paraId="7F5BD198" w14:textId="07AC7BA1" w:rsidR="001D37B6" w:rsidRPr="00682149" w:rsidRDefault="001D37B6" w:rsidP="001C138F">
      <w:pPr>
        <w:pBdr>
          <w:top w:val="nil"/>
          <w:left w:val="nil"/>
          <w:bottom w:val="nil"/>
          <w:right w:val="nil"/>
          <w:between w:val="nil"/>
        </w:pBdr>
        <w:spacing w:after="0" w:line="276" w:lineRule="auto"/>
        <w:ind w:left="720"/>
        <w:jc w:val="both"/>
        <w:rPr>
          <w:rFonts w:ascii="Arial" w:eastAsia="Times New Roman" w:hAnsi="Arial" w:cs="Arial"/>
          <w:color w:val="000000" w:themeColor="text1"/>
          <w:sz w:val="24"/>
          <w:szCs w:val="24"/>
          <w:lang w:val="es-CO" w:eastAsia="es-ES_tradnl"/>
        </w:rPr>
      </w:pPr>
      <w:r w:rsidRPr="00682149">
        <w:rPr>
          <w:rFonts w:ascii="Arial" w:eastAsia="Times New Roman" w:hAnsi="Arial" w:cs="Arial"/>
          <w:color w:val="000000" w:themeColor="text1"/>
          <w:sz w:val="24"/>
          <w:szCs w:val="24"/>
          <w:lang w:val="es-CO" w:eastAsia="es-ES_tradnl"/>
        </w:rPr>
        <w:t xml:space="preserve">ii) El </w:t>
      </w:r>
      <w:r w:rsidRPr="00682149">
        <w:rPr>
          <w:rFonts w:ascii="Arial" w:eastAsia="Times New Roman" w:hAnsi="Arial" w:cs="Arial"/>
          <w:b/>
          <w:color w:val="000000" w:themeColor="text1"/>
          <w:sz w:val="24"/>
          <w:szCs w:val="24"/>
          <w:lang w:val="es-CO" w:eastAsia="es-ES_tradnl"/>
        </w:rPr>
        <w:t>juicio de conexidad material</w:t>
      </w:r>
      <w:r w:rsidRPr="00682149">
        <w:rPr>
          <w:rFonts w:ascii="Arial" w:eastAsia="Times New Roman" w:hAnsi="Arial" w:cs="Arial"/>
          <w:color w:val="000000" w:themeColor="text1"/>
          <w:sz w:val="24"/>
          <w:szCs w:val="24"/>
          <w:vertAlign w:val="superscript"/>
          <w:lang w:val="es-CO" w:eastAsia="es-ES_tradnl"/>
        </w:rPr>
        <w:footnoteReference w:id="20"/>
      </w:r>
      <w:r w:rsidRPr="00682149">
        <w:rPr>
          <w:rFonts w:ascii="Arial" w:eastAsia="Times New Roman" w:hAnsi="Arial" w:cs="Arial"/>
          <w:color w:val="000000" w:themeColor="text1"/>
          <w:sz w:val="24"/>
          <w:szCs w:val="24"/>
          <w:lang w:val="es-CO" w:eastAsia="es-ES_tradnl"/>
        </w:rPr>
        <w:t>, previsto en los artículos 215 de la Constitución</w:t>
      </w:r>
      <w:r w:rsidRPr="00682149">
        <w:rPr>
          <w:rFonts w:ascii="Arial" w:eastAsia="Times New Roman" w:hAnsi="Arial" w:cs="Arial"/>
          <w:color w:val="000000" w:themeColor="text1"/>
          <w:sz w:val="24"/>
          <w:szCs w:val="24"/>
          <w:vertAlign w:val="superscript"/>
          <w:lang w:val="es-CO" w:eastAsia="es-ES_tradnl"/>
        </w:rPr>
        <w:footnoteReference w:id="21"/>
      </w:r>
      <w:r w:rsidRPr="00682149">
        <w:rPr>
          <w:rFonts w:ascii="Arial" w:eastAsia="Times New Roman" w:hAnsi="Arial" w:cs="Arial"/>
          <w:color w:val="000000" w:themeColor="text1"/>
          <w:sz w:val="24"/>
          <w:szCs w:val="24"/>
          <w:lang w:val="es-CO" w:eastAsia="es-ES_tradnl"/>
        </w:rPr>
        <w:t xml:space="preserve"> y 47 de la LEEE</w:t>
      </w:r>
      <w:r w:rsidRPr="00682149">
        <w:rPr>
          <w:rFonts w:ascii="Arial" w:eastAsia="Times New Roman" w:hAnsi="Arial" w:cs="Arial"/>
          <w:color w:val="000000" w:themeColor="text1"/>
          <w:sz w:val="24"/>
          <w:szCs w:val="24"/>
          <w:vertAlign w:val="superscript"/>
          <w:lang w:val="es-CO" w:eastAsia="es-ES_tradnl"/>
        </w:rPr>
        <w:footnoteReference w:id="22"/>
      </w:r>
      <w:r w:rsidRPr="00682149">
        <w:rPr>
          <w:rFonts w:ascii="Arial" w:eastAsia="Times New Roman" w:hAnsi="Arial" w:cs="Arial"/>
          <w:color w:val="000000" w:themeColor="text1"/>
          <w:sz w:val="24"/>
          <w:szCs w:val="24"/>
          <w:lang w:val="es-CO" w:eastAsia="es-ES_tradnl"/>
        </w:rPr>
        <w:t xml:space="preserve">, mediante el cual se pretende determinar si las medidas adoptadas guardan relación de causa a </w:t>
      </w:r>
      <w:r w:rsidR="002545DE">
        <w:rPr>
          <w:rFonts w:ascii="Arial" w:eastAsia="Times New Roman" w:hAnsi="Arial" w:cs="Arial"/>
          <w:color w:val="000000" w:themeColor="text1"/>
          <w:sz w:val="24"/>
          <w:szCs w:val="24"/>
          <w:lang w:val="es-CO" w:eastAsia="es-ES_tradnl"/>
        </w:rPr>
        <w:t>e</w:t>
      </w:r>
      <w:r w:rsidRPr="00682149">
        <w:rPr>
          <w:rFonts w:ascii="Arial" w:eastAsia="Times New Roman" w:hAnsi="Arial" w:cs="Arial"/>
          <w:color w:val="000000" w:themeColor="text1"/>
          <w:sz w:val="24"/>
          <w:szCs w:val="24"/>
          <w:lang w:val="es-CO" w:eastAsia="es-ES_tradnl"/>
        </w:rPr>
        <w:t xml:space="preserve">fecto con aquellas que dieron lugar a la declaratoria del estado de excepción y a la </w:t>
      </w:r>
      <w:r w:rsidRPr="00976D77">
        <w:rPr>
          <w:rFonts w:ascii="Arial" w:eastAsia="Times New Roman" w:hAnsi="Arial" w:cs="Arial"/>
          <w:color w:val="000000" w:themeColor="text1"/>
          <w:sz w:val="24"/>
          <w:szCs w:val="24"/>
          <w:lang w:val="es-CO" w:eastAsia="es-ES_tradnl"/>
        </w:rPr>
        <w:t>expedición</w:t>
      </w:r>
      <w:r w:rsidRPr="00682149">
        <w:rPr>
          <w:rFonts w:ascii="Arial" w:eastAsia="Times New Roman" w:hAnsi="Arial" w:cs="Arial"/>
          <w:color w:val="000000" w:themeColor="text1"/>
          <w:sz w:val="24"/>
          <w:szCs w:val="24"/>
          <w:lang w:val="es-CO" w:eastAsia="es-ES_tradnl"/>
        </w:rPr>
        <w:t xml:space="preserve"> del Decreto legislativo </w:t>
      </w:r>
      <w:r w:rsidR="00976D77">
        <w:rPr>
          <w:rFonts w:ascii="Arial" w:eastAsia="Times New Roman" w:hAnsi="Arial" w:cs="Arial"/>
          <w:color w:val="000000" w:themeColor="text1"/>
          <w:sz w:val="24"/>
          <w:szCs w:val="24"/>
          <w:lang w:val="es-CO" w:eastAsia="es-ES_tradnl"/>
        </w:rPr>
        <w:t xml:space="preserve">proferido </w:t>
      </w:r>
      <w:r w:rsidRPr="00682149">
        <w:rPr>
          <w:rFonts w:ascii="Arial" w:eastAsia="Times New Roman" w:hAnsi="Arial" w:cs="Arial"/>
          <w:color w:val="000000" w:themeColor="text1"/>
          <w:sz w:val="24"/>
          <w:szCs w:val="24"/>
          <w:lang w:val="es-CO" w:eastAsia="es-ES_tradnl"/>
        </w:rPr>
        <w:t>al amparo de la misma. Aquí, corresponde verificar la relación entre las medidas adoptadas y las consideraciones expresadas por la administración</w:t>
      </w:r>
      <w:r w:rsidRPr="00682149">
        <w:rPr>
          <w:rFonts w:ascii="Arial" w:eastAsia="Times New Roman" w:hAnsi="Arial" w:cs="Arial"/>
          <w:color w:val="000000" w:themeColor="text1"/>
          <w:sz w:val="24"/>
          <w:szCs w:val="24"/>
          <w:vertAlign w:val="superscript"/>
          <w:lang w:val="es-CO" w:eastAsia="es-ES_tradnl"/>
        </w:rPr>
        <w:footnoteReference w:id="23"/>
      </w:r>
      <w:r w:rsidRPr="00682149">
        <w:rPr>
          <w:rFonts w:ascii="Arial" w:eastAsia="Times New Roman" w:hAnsi="Arial" w:cs="Arial"/>
          <w:color w:val="000000" w:themeColor="text1"/>
          <w:sz w:val="24"/>
          <w:szCs w:val="24"/>
          <w:lang w:val="es-CO" w:eastAsia="es-ES_tradnl"/>
        </w:rPr>
        <w:t xml:space="preserve">; </w:t>
      </w:r>
    </w:p>
    <w:p w14:paraId="0084C1FD" w14:textId="77777777" w:rsidR="001D37B6" w:rsidRPr="00682149" w:rsidRDefault="001D37B6" w:rsidP="001C138F">
      <w:pPr>
        <w:pBdr>
          <w:top w:val="nil"/>
          <w:left w:val="nil"/>
          <w:bottom w:val="nil"/>
          <w:right w:val="nil"/>
          <w:between w:val="nil"/>
        </w:pBdr>
        <w:spacing w:after="0" w:line="276" w:lineRule="auto"/>
        <w:ind w:left="720"/>
        <w:jc w:val="both"/>
        <w:rPr>
          <w:rFonts w:ascii="Arial" w:eastAsia="Times New Roman" w:hAnsi="Arial" w:cs="Arial"/>
          <w:color w:val="000000" w:themeColor="text1"/>
          <w:sz w:val="24"/>
          <w:szCs w:val="24"/>
          <w:lang w:val="es-CO" w:eastAsia="es-ES_tradnl"/>
        </w:rPr>
      </w:pPr>
    </w:p>
    <w:p w14:paraId="0012AD81" w14:textId="7A3FE7A0" w:rsidR="001D37B6" w:rsidRPr="00682149" w:rsidRDefault="001D37B6" w:rsidP="001C138F">
      <w:pPr>
        <w:pBdr>
          <w:top w:val="nil"/>
          <w:left w:val="nil"/>
          <w:bottom w:val="nil"/>
          <w:right w:val="nil"/>
          <w:between w:val="nil"/>
        </w:pBdr>
        <w:spacing w:after="0" w:line="276" w:lineRule="auto"/>
        <w:ind w:left="720"/>
        <w:jc w:val="both"/>
        <w:rPr>
          <w:rFonts w:ascii="Arial" w:eastAsia="Times New Roman" w:hAnsi="Arial" w:cs="Arial"/>
          <w:color w:val="000000" w:themeColor="text1"/>
          <w:sz w:val="24"/>
          <w:szCs w:val="24"/>
          <w:lang w:val="es-CO" w:eastAsia="es-ES_tradnl"/>
        </w:rPr>
      </w:pPr>
      <w:r w:rsidRPr="00682149">
        <w:rPr>
          <w:rFonts w:ascii="Arial" w:eastAsia="Times New Roman" w:hAnsi="Arial" w:cs="Arial"/>
          <w:color w:val="000000" w:themeColor="text1"/>
          <w:sz w:val="24"/>
          <w:szCs w:val="24"/>
          <w:lang w:val="es-CO" w:eastAsia="es-ES_tradnl"/>
        </w:rPr>
        <w:t xml:space="preserve">iii) El </w:t>
      </w:r>
      <w:r w:rsidRPr="00682149">
        <w:rPr>
          <w:rFonts w:ascii="Arial" w:eastAsia="Times New Roman" w:hAnsi="Arial" w:cs="Arial"/>
          <w:b/>
          <w:color w:val="000000" w:themeColor="text1"/>
          <w:sz w:val="24"/>
          <w:szCs w:val="24"/>
          <w:lang w:val="es-CO" w:eastAsia="es-ES_tradnl"/>
        </w:rPr>
        <w:t>juicio de motivación suficiente</w:t>
      </w:r>
      <w:r w:rsidRPr="00682149">
        <w:rPr>
          <w:rFonts w:ascii="Arial" w:eastAsia="Times New Roman" w:hAnsi="Arial" w:cs="Arial"/>
          <w:b/>
          <w:color w:val="000000" w:themeColor="text1"/>
          <w:sz w:val="24"/>
          <w:szCs w:val="24"/>
          <w:vertAlign w:val="superscript"/>
          <w:lang w:val="es-CO" w:eastAsia="es-ES_tradnl"/>
        </w:rPr>
        <w:footnoteReference w:id="24"/>
      </w:r>
      <w:r w:rsidRPr="00682149">
        <w:rPr>
          <w:rFonts w:ascii="Arial" w:eastAsia="Times New Roman" w:hAnsi="Arial" w:cs="Arial"/>
          <w:b/>
          <w:color w:val="000000" w:themeColor="text1"/>
          <w:sz w:val="24"/>
          <w:szCs w:val="24"/>
          <w:lang w:val="es-CO" w:eastAsia="es-ES_tradnl"/>
        </w:rPr>
        <w:t xml:space="preserve">, </w:t>
      </w:r>
      <w:r w:rsidRPr="00682149">
        <w:rPr>
          <w:rFonts w:ascii="Arial" w:eastAsia="Times New Roman" w:hAnsi="Arial" w:cs="Arial"/>
          <w:color w:val="000000" w:themeColor="text1"/>
          <w:sz w:val="24"/>
          <w:szCs w:val="24"/>
          <w:lang w:val="es-CO" w:eastAsia="es-ES_tradnl"/>
        </w:rPr>
        <w:t>considerado como un juicio que complementa la verificación formal</w:t>
      </w:r>
      <w:r w:rsidR="008004E2">
        <w:rPr>
          <w:rFonts w:ascii="Arial" w:eastAsia="Times New Roman" w:hAnsi="Arial" w:cs="Arial"/>
          <w:color w:val="000000" w:themeColor="text1"/>
          <w:sz w:val="24"/>
          <w:szCs w:val="24"/>
          <w:lang w:val="es-CO" w:eastAsia="es-ES_tradnl"/>
        </w:rPr>
        <w:t>,</w:t>
      </w:r>
      <w:r w:rsidRPr="00682149">
        <w:rPr>
          <w:rFonts w:ascii="Arial" w:eastAsia="Times New Roman" w:hAnsi="Arial" w:cs="Arial"/>
          <w:color w:val="000000" w:themeColor="text1"/>
          <w:sz w:val="24"/>
          <w:szCs w:val="24"/>
          <w:lang w:val="es-CO" w:eastAsia="es-ES_tradnl"/>
        </w:rPr>
        <w:t xml:space="preserve"> por cuanto busca dilucidar razones que resulten suficientes para justificar las medidas adoptadas</w:t>
      </w:r>
      <w:r w:rsidRPr="00682149">
        <w:rPr>
          <w:rFonts w:ascii="Arial" w:eastAsia="Times New Roman" w:hAnsi="Arial" w:cs="Arial"/>
          <w:color w:val="000000" w:themeColor="text1"/>
          <w:sz w:val="24"/>
          <w:szCs w:val="24"/>
          <w:vertAlign w:val="superscript"/>
          <w:lang w:val="es-CO" w:eastAsia="es-ES_tradnl"/>
        </w:rPr>
        <w:footnoteReference w:id="25"/>
      </w:r>
      <w:r w:rsidRPr="00682149">
        <w:rPr>
          <w:rFonts w:ascii="Arial" w:eastAsia="Times New Roman" w:hAnsi="Arial" w:cs="Arial"/>
          <w:color w:val="000000" w:themeColor="text1"/>
          <w:sz w:val="24"/>
          <w:szCs w:val="24"/>
          <w:lang w:val="es-CO" w:eastAsia="es-ES_tradnl"/>
        </w:rPr>
        <w:t xml:space="preserve">; </w:t>
      </w:r>
    </w:p>
    <w:p w14:paraId="6796CFE1" w14:textId="77777777" w:rsidR="001D37B6" w:rsidRPr="00682149" w:rsidRDefault="001D37B6" w:rsidP="001C138F">
      <w:pPr>
        <w:pBdr>
          <w:top w:val="nil"/>
          <w:left w:val="nil"/>
          <w:bottom w:val="nil"/>
          <w:right w:val="nil"/>
          <w:between w:val="nil"/>
        </w:pBdr>
        <w:spacing w:after="0" w:line="276" w:lineRule="auto"/>
        <w:ind w:left="720"/>
        <w:jc w:val="both"/>
        <w:rPr>
          <w:rFonts w:ascii="Arial" w:eastAsia="Times New Roman" w:hAnsi="Arial" w:cs="Arial"/>
          <w:color w:val="000000" w:themeColor="text1"/>
          <w:sz w:val="24"/>
          <w:szCs w:val="24"/>
          <w:lang w:val="es-CO" w:eastAsia="es-ES_tradnl"/>
        </w:rPr>
      </w:pPr>
    </w:p>
    <w:p w14:paraId="1FB1E1E9" w14:textId="77777777" w:rsidR="001D37B6" w:rsidRPr="00682149" w:rsidRDefault="001D37B6" w:rsidP="001C138F">
      <w:pPr>
        <w:pBdr>
          <w:top w:val="nil"/>
          <w:left w:val="nil"/>
          <w:bottom w:val="nil"/>
          <w:right w:val="nil"/>
          <w:between w:val="nil"/>
        </w:pBdr>
        <w:spacing w:after="0" w:line="276" w:lineRule="auto"/>
        <w:ind w:left="720"/>
        <w:jc w:val="both"/>
        <w:rPr>
          <w:rFonts w:ascii="Arial" w:eastAsia="Times New Roman" w:hAnsi="Arial" w:cs="Arial"/>
          <w:color w:val="000000" w:themeColor="text1"/>
          <w:sz w:val="24"/>
          <w:szCs w:val="24"/>
          <w:lang w:val="es-CO" w:eastAsia="es-ES_tradnl"/>
        </w:rPr>
      </w:pPr>
      <w:r w:rsidRPr="00682149">
        <w:rPr>
          <w:rFonts w:ascii="Arial" w:eastAsia="Times New Roman" w:hAnsi="Arial" w:cs="Arial"/>
          <w:color w:val="000000" w:themeColor="text1"/>
          <w:sz w:val="24"/>
          <w:szCs w:val="24"/>
          <w:lang w:val="es-CO" w:eastAsia="es-ES_tradnl"/>
        </w:rPr>
        <w:t xml:space="preserve">iv)  El </w:t>
      </w:r>
      <w:r w:rsidRPr="00682149">
        <w:rPr>
          <w:rFonts w:ascii="Arial" w:eastAsia="Times New Roman" w:hAnsi="Arial" w:cs="Arial"/>
          <w:b/>
          <w:color w:val="000000" w:themeColor="text1"/>
          <w:sz w:val="24"/>
          <w:szCs w:val="24"/>
          <w:lang w:val="es-CO" w:eastAsia="es-ES_tradnl"/>
        </w:rPr>
        <w:t>juicio de proporcionalidad</w:t>
      </w:r>
      <w:r w:rsidRPr="00682149">
        <w:rPr>
          <w:rFonts w:ascii="Arial" w:eastAsia="Times New Roman" w:hAnsi="Arial" w:cs="Arial"/>
          <w:b/>
          <w:color w:val="000000" w:themeColor="text1"/>
          <w:sz w:val="24"/>
          <w:szCs w:val="24"/>
          <w:vertAlign w:val="superscript"/>
          <w:lang w:val="es-CO" w:eastAsia="es-ES_tradnl"/>
        </w:rPr>
        <w:footnoteReference w:id="26"/>
      </w:r>
      <w:r w:rsidRPr="00682149">
        <w:rPr>
          <w:rFonts w:ascii="Arial" w:eastAsia="Times New Roman" w:hAnsi="Arial" w:cs="Arial"/>
          <w:b/>
          <w:color w:val="000000" w:themeColor="text1"/>
          <w:sz w:val="24"/>
          <w:szCs w:val="24"/>
          <w:lang w:val="es-CO" w:eastAsia="es-ES_tradnl"/>
        </w:rPr>
        <w:t xml:space="preserve">, </w:t>
      </w:r>
      <w:r w:rsidRPr="00682149">
        <w:rPr>
          <w:rFonts w:ascii="Arial" w:eastAsia="Times New Roman" w:hAnsi="Arial" w:cs="Arial"/>
          <w:color w:val="000000" w:themeColor="text1"/>
          <w:sz w:val="24"/>
          <w:szCs w:val="24"/>
          <w:lang w:val="es-CO" w:eastAsia="es-ES_tradnl"/>
        </w:rPr>
        <w:t xml:space="preserve">se desprende del artículo 13 de la LEEE, y exige que las medidas que se adopten en desarrollo de los estados de excepción sean respuestas equilibradas frente a la gravedad de los hechos que causaron la crisis. Igualmente, la Corte ha precisado que </w:t>
      </w:r>
      <w:r w:rsidRPr="00682149">
        <w:rPr>
          <w:rFonts w:ascii="Arial" w:eastAsia="Times New Roman" w:hAnsi="Arial" w:cs="Arial"/>
          <w:i/>
          <w:color w:val="000000" w:themeColor="text1"/>
          <w:sz w:val="24"/>
          <w:szCs w:val="24"/>
          <w:lang w:val="es-CO" w:eastAsia="es-ES_tradnl"/>
        </w:rPr>
        <w:t xml:space="preserve">&lt;&lt;el examen de proporcionalidad exige que las restricciones a derechos y garantías constitucionales se impongan en el grado absolutamente </w:t>
      </w:r>
      <w:r w:rsidRPr="00682149">
        <w:rPr>
          <w:rFonts w:ascii="Arial" w:eastAsia="Times New Roman" w:hAnsi="Arial" w:cs="Arial"/>
          <w:i/>
          <w:color w:val="000000" w:themeColor="text1"/>
          <w:sz w:val="24"/>
          <w:szCs w:val="24"/>
          <w:lang w:val="es-CO" w:eastAsia="es-ES_tradnl"/>
        </w:rPr>
        <w:lastRenderedPageBreak/>
        <w:t>necesario para lograr el retorno a la normalidad. Advierte la Corte que este examen particular no excluye, naturalmente, la aplicación del examen de proporcionalidad cuando ello se requiera, por ejemplo, para controlar restricciones a derechos constitucionales, por ejemplo, en el juicio de ausencia de arbitrariedad.&gt;&gt;</w:t>
      </w:r>
      <w:r w:rsidRPr="00682149">
        <w:rPr>
          <w:rFonts w:ascii="Arial" w:eastAsia="Times New Roman" w:hAnsi="Arial" w:cs="Arial"/>
          <w:color w:val="000000" w:themeColor="text1"/>
          <w:sz w:val="24"/>
          <w:szCs w:val="24"/>
          <w:lang w:val="es-CO" w:eastAsia="es-ES_tradnl"/>
        </w:rPr>
        <w:t xml:space="preserve">; </w:t>
      </w:r>
    </w:p>
    <w:p w14:paraId="06347BF1" w14:textId="77777777" w:rsidR="001D37B6" w:rsidRPr="00682149" w:rsidRDefault="001D37B6" w:rsidP="001C138F">
      <w:pPr>
        <w:pBdr>
          <w:top w:val="nil"/>
          <w:left w:val="nil"/>
          <w:bottom w:val="nil"/>
          <w:right w:val="nil"/>
          <w:between w:val="nil"/>
        </w:pBdr>
        <w:spacing w:after="0" w:line="276" w:lineRule="auto"/>
        <w:ind w:left="720"/>
        <w:jc w:val="both"/>
        <w:rPr>
          <w:rFonts w:ascii="Arial" w:eastAsia="Times New Roman" w:hAnsi="Arial" w:cs="Arial"/>
          <w:color w:val="000000" w:themeColor="text1"/>
          <w:sz w:val="24"/>
          <w:szCs w:val="24"/>
          <w:lang w:val="es-CO" w:eastAsia="es-ES_tradnl"/>
        </w:rPr>
      </w:pPr>
    </w:p>
    <w:p w14:paraId="26838D4A" w14:textId="77777777" w:rsidR="001D37B6" w:rsidRPr="00682149" w:rsidRDefault="001D37B6" w:rsidP="001C138F">
      <w:pPr>
        <w:pBdr>
          <w:top w:val="nil"/>
          <w:left w:val="nil"/>
          <w:bottom w:val="nil"/>
          <w:right w:val="nil"/>
          <w:between w:val="nil"/>
        </w:pBdr>
        <w:spacing w:after="0" w:line="276" w:lineRule="auto"/>
        <w:ind w:left="720"/>
        <w:jc w:val="both"/>
        <w:rPr>
          <w:rFonts w:ascii="Arial" w:eastAsia="Times New Roman" w:hAnsi="Arial" w:cs="Arial"/>
          <w:color w:val="000000" w:themeColor="text1"/>
          <w:sz w:val="24"/>
          <w:szCs w:val="24"/>
          <w:lang w:val="es-CO" w:eastAsia="es-ES_tradnl"/>
        </w:rPr>
      </w:pPr>
      <w:r w:rsidRPr="00682149">
        <w:rPr>
          <w:rFonts w:ascii="Arial" w:eastAsia="Times New Roman" w:hAnsi="Arial" w:cs="Arial"/>
          <w:color w:val="000000" w:themeColor="text1"/>
          <w:sz w:val="24"/>
          <w:szCs w:val="24"/>
          <w:lang w:val="es-CO" w:eastAsia="es-ES_tradnl"/>
        </w:rPr>
        <w:t>v)</w:t>
      </w:r>
      <w:bookmarkStart w:id="12" w:name="_3znysh7" w:colFirst="0" w:colLast="0"/>
      <w:bookmarkEnd w:id="12"/>
      <w:r w:rsidRPr="00682149">
        <w:rPr>
          <w:rFonts w:ascii="Arial" w:eastAsia="Times New Roman" w:hAnsi="Arial" w:cs="Arial"/>
          <w:color w:val="000000" w:themeColor="text1"/>
          <w:sz w:val="24"/>
          <w:szCs w:val="24"/>
          <w:lang w:val="es-CO" w:eastAsia="es-ES_tradnl"/>
        </w:rPr>
        <w:t xml:space="preserve"> El </w:t>
      </w:r>
      <w:r w:rsidRPr="00682149">
        <w:rPr>
          <w:rFonts w:ascii="Arial" w:eastAsia="Times New Roman" w:hAnsi="Arial" w:cs="Arial"/>
          <w:b/>
          <w:color w:val="000000" w:themeColor="text1"/>
          <w:sz w:val="24"/>
          <w:szCs w:val="24"/>
          <w:lang w:val="es-CO" w:eastAsia="es-ES_tradnl"/>
        </w:rPr>
        <w:t>juicio de no discriminación</w:t>
      </w:r>
      <w:r w:rsidRPr="00682149">
        <w:rPr>
          <w:rFonts w:ascii="Arial" w:eastAsia="Times New Roman" w:hAnsi="Arial" w:cs="Arial"/>
          <w:b/>
          <w:color w:val="000000" w:themeColor="text1"/>
          <w:sz w:val="24"/>
          <w:szCs w:val="24"/>
          <w:vertAlign w:val="superscript"/>
          <w:lang w:val="es-CO" w:eastAsia="es-ES_tradnl"/>
        </w:rPr>
        <w:footnoteReference w:id="27"/>
      </w:r>
      <w:r w:rsidRPr="00682149">
        <w:rPr>
          <w:rFonts w:ascii="Arial" w:eastAsia="Times New Roman" w:hAnsi="Arial" w:cs="Arial"/>
          <w:color w:val="000000" w:themeColor="text1"/>
          <w:sz w:val="24"/>
          <w:szCs w:val="24"/>
          <w:lang w:val="es-CO" w:eastAsia="es-ES_tradnl"/>
        </w:rPr>
        <w:t>, el cual tiene fundamento en el artículo 14 de la LEEE</w:t>
      </w:r>
      <w:r w:rsidRPr="00682149">
        <w:rPr>
          <w:rFonts w:ascii="Arial" w:eastAsia="Times New Roman" w:hAnsi="Arial" w:cs="Arial"/>
          <w:color w:val="000000" w:themeColor="text1"/>
          <w:sz w:val="24"/>
          <w:szCs w:val="24"/>
          <w:vertAlign w:val="superscript"/>
          <w:lang w:val="es-CO" w:eastAsia="es-ES_tradnl"/>
        </w:rPr>
        <w:footnoteReference w:id="28"/>
      </w:r>
      <w:r w:rsidRPr="00682149">
        <w:rPr>
          <w:rFonts w:ascii="Arial" w:eastAsia="Times New Roman" w:hAnsi="Arial" w:cs="Arial"/>
          <w:color w:val="000000" w:themeColor="text1"/>
          <w:sz w:val="24"/>
          <w:szCs w:val="24"/>
          <w:lang w:val="es-CO" w:eastAsia="es-ES_tradnl"/>
        </w:rPr>
        <w:t>, exige que las medidas adoptadas con ocasión de los estados de excepción, no pueden entrañar segregación alguna fundada en razones de sexo, raza, lengua, religión, origen nacional o familiar, opinión política o filosófica o en otras categorías sospechosas</w:t>
      </w:r>
      <w:r w:rsidRPr="00682149">
        <w:rPr>
          <w:rFonts w:ascii="Arial" w:eastAsia="Times New Roman" w:hAnsi="Arial" w:cs="Arial"/>
          <w:color w:val="000000" w:themeColor="text1"/>
          <w:sz w:val="24"/>
          <w:szCs w:val="24"/>
          <w:vertAlign w:val="superscript"/>
          <w:lang w:val="es-CO" w:eastAsia="es-ES_tradnl"/>
        </w:rPr>
        <w:footnoteReference w:id="29"/>
      </w:r>
      <w:r w:rsidRPr="00682149">
        <w:rPr>
          <w:rFonts w:ascii="Arial" w:eastAsia="Times New Roman" w:hAnsi="Arial" w:cs="Arial"/>
          <w:color w:val="000000" w:themeColor="text1"/>
          <w:sz w:val="24"/>
          <w:szCs w:val="24"/>
          <w:lang w:val="es-CO" w:eastAsia="es-ES_tradnl"/>
        </w:rPr>
        <w:t>. Adicionalmente, este análisis implica verificar que el decreto legislativo no imponga tratos diferentes injustificados</w:t>
      </w:r>
      <w:r w:rsidRPr="00682149">
        <w:rPr>
          <w:rFonts w:ascii="Arial" w:eastAsia="Times New Roman" w:hAnsi="Arial" w:cs="Arial"/>
          <w:color w:val="000000" w:themeColor="text1"/>
          <w:sz w:val="24"/>
          <w:szCs w:val="24"/>
          <w:vertAlign w:val="superscript"/>
          <w:lang w:val="es-CO" w:eastAsia="es-ES_tradnl"/>
        </w:rPr>
        <w:footnoteReference w:id="30"/>
      </w:r>
      <w:r w:rsidRPr="00682149">
        <w:rPr>
          <w:rFonts w:ascii="Arial" w:eastAsia="Times New Roman" w:hAnsi="Arial" w:cs="Arial"/>
          <w:color w:val="000000" w:themeColor="text1"/>
          <w:sz w:val="24"/>
          <w:szCs w:val="24"/>
          <w:lang w:val="es-CO" w:eastAsia="es-ES_tradnl"/>
        </w:rPr>
        <w:t>.</w:t>
      </w:r>
    </w:p>
    <w:p w14:paraId="1FD02754" w14:textId="77777777" w:rsidR="001D37B6" w:rsidRPr="00682149" w:rsidRDefault="001D37B6" w:rsidP="001C138F">
      <w:pPr>
        <w:pBdr>
          <w:top w:val="nil"/>
          <w:left w:val="nil"/>
          <w:bottom w:val="nil"/>
          <w:right w:val="nil"/>
          <w:between w:val="nil"/>
        </w:pBdr>
        <w:spacing w:after="0" w:line="276" w:lineRule="auto"/>
        <w:jc w:val="both"/>
        <w:rPr>
          <w:rFonts w:ascii="Arial" w:eastAsia="Times New Roman" w:hAnsi="Arial" w:cs="Arial"/>
          <w:color w:val="000000" w:themeColor="text1"/>
          <w:sz w:val="24"/>
          <w:szCs w:val="24"/>
          <w:lang w:val="es-CO" w:eastAsia="es-ES_tradnl"/>
        </w:rPr>
      </w:pPr>
    </w:p>
    <w:p w14:paraId="0F817405" w14:textId="1C2950EA" w:rsidR="001D37B6" w:rsidRPr="00682149" w:rsidRDefault="001D37B6" w:rsidP="001C138F">
      <w:pPr>
        <w:pBdr>
          <w:top w:val="nil"/>
          <w:left w:val="nil"/>
          <w:bottom w:val="nil"/>
          <w:right w:val="nil"/>
          <w:between w:val="nil"/>
        </w:pBdr>
        <w:spacing w:after="0" w:line="276" w:lineRule="auto"/>
        <w:jc w:val="both"/>
        <w:rPr>
          <w:rFonts w:ascii="Arial" w:eastAsia="Times New Roman" w:hAnsi="Arial" w:cs="Arial"/>
          <w:color w:val="000000" w:themeColor="text1"/>
          <w:sz w:val="24"/>
          <w:szCs w:val="24"/>
          <w:lang w:val="es-CO" w:eastAsia="es-ES_tradnl"/>
        </w:rPr>
      </w:pPr>
      <w:r w:rsidRPr="000C2447">
        <w:rPr>
          <w:rFonts w:ascii="Arial" w:eastAsia="Times New Roman" w:hAnsi="Arial" w:cs="Arial"/>
          <w:b/>
          <w:color w:val="000000" w:themeColor="text1"/>
          <w:sz w:val="24"/>
          <w:szCs w:val="24"/>
          <w:lang w:val="es-CO" w:eastAsia="es-ES_tradnl"/>
        </w:rPr>
        <w:t>2.1.9.</w:t>
      </w:r>
      <w:r w:rsidRPr="00682149">
        <w:rPr>
          <w:rFonts w:ascii="Arial" w:eastAsia="Times New Roman" w:hAnsi="Arial" w:cs="Arial"/>
          <w:color w:val="000000" w:themeColor="text1"/>
          <w:sz w:val="24"/>
          <w:szCs w:val="24"/>
          <w:lang w:val="es-CO" w:eastAsia="es-ES_tradnl"/>
        </w:rPr>
        <w:tab/>
        <w:t xml:space="preserve">Es de anotar que estas exigencias, con las particularidades propias del control que le es encomendado, se proyectan sobre la tarea del juez de la legalidad, pues a él le debe interesar que el supuesto material inmerso en los actos sometidos a su control, se expresen como realización efectiva de los fines y propósitos insertos en el Decreto que declara el estado de emergencia. De todas maneras, la tarea de éste es diversa, pues es propia, única y especializada, en tanto el juez de la legalidad se mueve en el campo de la realización de la ley, donde hechos, competencias y situaciones de diversa índole se entrelazan, significando permanentes cambios, donde la conveniencia y la oportunidad en el ejercicio de las competencias se fusionan como un solo cuerpo en la expresión de las razones y motivos del actuar del operador administrativo. </w:t>
      </w:r>
    </w:p>
    <w:p w14:paraId="483DC62E" w14:textId="77777777" w:rsidR="00454900" w:rsidRPr="00682149" w:rsidRDefault="00454900" w:rsidP="001C138F">
      <w:pPr>
        <w:autoSpaceDE w:val="0"/>
        <w:autoSpaceDN w:val="0"/>
        <w:adjustRightInd w:val="0"/>
        <w:spacing w:after="0" w:line="276" w:lineRule="auto"/>
        <w:jc w:val="both"/>
        <w:rPr>
          <w:rFonts w:ascii="Arial" w:hAnsi="Arial" w:cs="Arial"/>
          <w:color w:val="000000" w:themeColor="text1"/>
          <w:sz w:val="24"/>
          <w:szCs w:val="24"/>
          <w:lang w:val="es-CO"/>
        </w:rPr>
      </w:pPr>
    </w:p>
    <w:p w14:paraId="04E8C13C" w14:textId="00A5E3D5" w:rsidR="00454900" w:rsidRPr="00682149" w:rsidRDefault="00454900" w:rsidP="001C138F">
      <w:pPr>
        <w:autoSpaceDE w:val="0"/>
        <w:autoSpaceDN w:val="0"/>
        <w:adjustRightInd w:val="0"/>
        <w:spacing w:after="0" w:line="276" w:lineRule="auto"/>
        <w:jc w:val="both"/>
        <w:rPr>
          <w:rFonts w:ascii="Arial" w:hAnsi="Arial" w:cs="Arial"/>
          <w:b/>
          <w:color w:val="000000" w:themeColor="text1"/>
          <w:sz w:val="24"/>
          <w:szCs w:val="24"/>
          <w:lang w:val="es-CO"/>
        </w:rPr>
      </w:pPr>
      <w:r w:rsidRPr="00682149">
        <w:rPr>
          <w:rFonts w:ascii="Arial" w:hAnsi="Arial" w:cs="Arial"/>
          <w:b/>
          <w:color w:val="000000" w:themeColor="text1"/>
          <w:sz w:val="24"/>
          <w:szCs w:val="24"/>
          <w:lang w:val="es-CO"/>
        </w:rPr>
        <w:t>2.</w:t>
      </w:r>
      <w:r w:rsidR="001D37B6" w:rsidRPr="00682149">
        <w:rPr>
          <w:rFonts w:ascii="Arial" w:hAnsi="Arial" w:cs="Arial"/>
          <w:b/>
          <w:color w:val="000000" w:themeColor="text1"/>
          <w:sz w:val="24"/>
          <w:szCs w:val="24"/>
          <w:lang w:val="es-CO"/>
        </w:rPr>
        <w:t>2</w:t>
      </w:r>
      <w:r w:rsidR="008004E2">
        <w:rPr>
          <w:rFonts w:ascii="Arial" w:hAnsi="Arial" w:cs="Arial"/>
          <w:b/>
          <w:color w:val="000000" w:themeColor="text1"/>
          <w:sz w:val="24"/>
          <w:szCs w:val="24"/>
          <w:lang w:val="es-CO"/>
        </w:rPr>
        <w:t>.</w:t>
      </w:r>
      <w:r w:rsidRPr="00682149">
        <w:rPr>
          <w:rFonts w:ascii="Arial" w:hAnsi="Arial" w:cs="Arial"/>
          <w:b/>
          <w:color w:val="000000" w:themeColor="text1"/>
          <w:sz w:val="24"/>
          <w:szCs w:val="24"/>
          <w:lang w:val="es-CO"/>
        </w:rPr>
        <w:t xml:space="preserve">  Fundamentos fácticos y normativos del acto objeto de revisión </w:t>
      </w:r>
    </w:p>
    <w:p w14:paraId="7049CB33" w14:textId="77777777" w:rsidR="00454900" w:rsidRPr="00682149" w:rsidRDefault="00454900" w:rsidP="001C138F">
      <w:pPr>
        <w:autoSpaceDE w:val="0"/>
        <w:autoSpaceDN w:val="0"/>
        <w:adjustRightInd w:val="0"/>
        <w:spacing w:after="0" w:line="276" w:lineRule="auto"/>
        <w:jc w:val="both"/>
        <w:rPr>
          <w:rFonts w:ascii="Arial" w:hAnsi="Arial" w:cs="Arial"/>
          <w:color w:val="000000" w:themeColor="text1"/>
          <w:sz w:val="24"/>
          <w:szCs w:val="24"/>
          <w:lang w:val="es-CO"/>
        </w:rPr>
      </w:pPr>
    </w:p>
    <w:p w14:paraId="48072F8B" w14:textId="716A3C45" w:rsidR="00F36DD7" w:rsidRPr="00682149" w:rsidRDefault="00454900" w:rsidP="001C138F">
      <w:pPr>
        <w:autoSpaceDE w:val="0"/>
        <w:autoSpaceDN w:val="0"/>
        <w:adjustRightInd w:val="0"/>
        <w:spacing w:after="0" w:line="276" w:lineRule="auto"/>
        <w:jc w:val="both"/>
        <w:rPr>
          <w:rFonts w:ascii="Arial" w:hAnsi="Arial" w:cs="Arial"/>
          <w:color w:val="000000" w:themeColor="text1"/>
          <w:sz w:val="24"/>
          <w:szCs w:val="24"/>
          <w:lang w:val="es-CO"/>
        </w:rPr>
      </w:pPr>
      <w:r w:rsidRPr="00682149">
        <w:rPr>
          <w:rFonts w:ascii="Arial" w:hAnsi="Arial" w:cs="Arial"/>
          <w:color w:val="000000" w:themeColor="text1"/>
          <w:sz w:val="24"/>
          <w:szCs w:val="24"/>
          <w:lang w:val="es-CO"/>
        </w:rPr>
        <w:t>En el caso particular, el estudio de legalidad del acto que se somete al escrutinio de esta Corporación reparará en los fundamentos fácticos y normativos que lo sustentan</w:t>
      </w:r>
      <w:r w:rsidR="004A3164" w:rsidRPr="00682149">
        <w:rPr>
          <w:rFonts w:ascii="Arial" w:hAnsi="Arial" w:cs="Arial"/>
          <w:color w:val="000000" w:themeColor="text1"/>
          <w:sz w:val="24"/>
          <w:szCs w:val="24"/>
          <w:lang w:val="es-CO"/>
        </w:rPr>
        <w:t xml:space="preserve">; así: </w:t>
      </w:r>
    </w:p>
    <w:p w14:paraId="60BD8637" w14:textId="77777777" w:rsidR="00F36DD7" w:rsidRPr="00682149" w:rsidRDefault="00F36DD7" w:rsidP="001C138F">
      <w:pPr>
        <w:autoSpaceDE w:val="0"/>
        <w:autoSpaceDN w:val="0"/>
        <w:adjustRightInd w:val="0"/>
        <w:spacing w:after="0" w:line="276" w:lineRule="auto"/>
        <w:jc w:val="both"/>
        <w:rPr>
          <w:rFonts w:ascii="Arial" w:hAnsi="Arial" w:cs="Arial"/>
          <w:color w:val="000000" w:themeColor="text1"/>
          <w:sz w:val="24"/>
          <w:szCs w:val="24"/>
          <w:lang w:val="es-CO"/>
        </w:rPr>
      </w:pPr>
    </w:p>
    <w:p w14:paraId="5653D767" w14:textId="6565C7E3" w:rsidR="00F36DD7" w:rsidRPr="00682149" w:rsidRDefault="004A3164" w:rsidP="001C138F">
      <w:pPr>
        <w:autoSpaceDE w:val="0"/>
        <w:autoSpaceDN w:val="0"/>
        <w:adjustRightInd w:val="0"/>
        <w:spacing w:after="0" w:line="276" w:lineRule="auto"/>
        <w:jc w:val="both"/>
        <w:rPr>
          <w:rFonts w:ascii="Arial" w:hAnsi="Arial" w:cs="Arial"/>
          <w:color w:val="000000" w:themeColor="text1"/>
          <w:sz w:val="24"/>
          <w:szCs w:val="24"/>
          <w:lang w:val="es-CO"/>
        </w:rPr>
      </w:pPr>
      <w:r w:rsidRPr="00682149">
        <w:rPr>
          <w:rFonts w:ascii="Arial" w:eastAsia="Arial" w:hAnsi="Arial" w:cs="Arial"/>
          <w:b/>
          <w:bCs/>
          <w:color w:val="000000" w:themeColor="text1"/>
          <w:sz w:val="24"/>
          <w:szCs w:val="24"/>
          <w:lang w:val="es-CO"/>
        </w:rPr>
        <w:t>2.</w:t>
      </w:r>
      <w:r w:rsidR="001D37B6" w:rsidRPr="00682149">
        <w:rPr>
          <w:rFonts w:ascii="Arial" w:eastAsia="Arial" w:hAnsi="Arial" w:cs="Arial"/>
          <w:b/>
          <w:bCs/>
          <w:color w:val="000000" w:themeColor="text1"/>
          <w:sz w:val="24"/>
          <w:szCs w:val="24"/>
          <w:lang w:val="es-CO"/>
        </w:rPr>
        <w:t>2.</w:t>
      </w:r>
      <w:r w:rsidRPr="00682149">
        <w:rPr>
          <w:rFonts w:ascii="Arial" w:eastAsia="Arial" w:hAnsi="Arial" w:cs="Arial"/>
          <w:b/>
          <w:bCs/>
          <w:color w:val="000000" w:themeColor="text1"/>
          <w:sz w:val="24"/>
          <w:szCs w:val="24"/>
          <w:lang w:val="es-CO"/>
        </w:rPr>
        <w:t>1.</w:t>
      </w:r>
      <w:r w:rsidRPr="00682149">
        <w:rPr>
          <w:rFonts w:ascii="Arial" w:eastAsia="Arial" w:hAnsi="Arial" w:cs="Arial"/>
          <w:color w:val="000000" w:themeColor="text1"/>
          <w:sz w:val="24"/>
          <w:szCs w:val="24"/>
          <w:lang w:val="es-CO"/>
        </w:rPr>
        <w:tab/>
      </w:r>
      <w:r w:rsidR="00454900" w:rsidRPr="00682149">
        <w:rPr>
          <w:rFonts w:ascii="Arial" w:eastAsia="Arial" w:hAnsi="Arial" w:cs="Arial"/>
          <w:color w:val="000000" w:themeColor="text1"/>
          <w:sz w:val="24"/>
          <w:szCs w:val="24"/>
          <w:lang w:val="es-CO"/>
        </w:rPr>
        <w:t>La</w:t>
      </w:r>
      <w:r w:rsidR="00454900" w:rsidRPr="00682149">
        <w:rPr>
          <w:rFonts w:ascii="Arial" w:eastAsia="Times New Roman" w:hAnsi="Arial" w:cs="Arial"/>
          <w:bCs/>
          <w:color w:val="000000" w:themeColor="text1"/>
          <w:sz w:val="24"/>
          <w:szCs w:val="24"/>
          <w:lang w:val="es-ES" w:eastAsia="es-ES"/>
        </w:rPr>
        <w:t xml:space="preserve"> Resolución </w:t>
      </w:r>
      <w:r w:rsidR="004F28DB" w:rsidRPr="00682149">
        <w:rPr>
          <w:rFonts w:ascii="Arial" w:eastAsia="Times New Roman" w:hAnsi="Arial" w:cs="Arial"/>
          <w:bCs/>
          <w:color w:val="000000" w:themeColor="text1"/>
          <w:sz w:val="24"/>
          <w:szCs w:val="24"/>
          <w:lang w:val="es-ES" w:eastAsia="es-ES"/>
        </w:rPr>
        <w:t xml:space="preserve">CREG - </w:t>
      </w:r>
      <w:r w:rsidR="00932B8E" w:rsidRPr="00682149">
        <w:rPr>
          <w:rFonts w:ascii="Arial" w:eastAsia="Times New Roman" w:hAnsi="Arial" w:cs="Arial"/>
          <w:bCs/>
          <w:color w:val="000000" w:themeColor="text1"/>
          <w:sz w:val="24"/>
          <w:szCs w:val="24"/>
          <w:lang w:val="es-ES" w:eastAsia="es-ES"/>
        </w:rPr>
        <w:t>166</w:t>
      </w:r>
      <w:r w:rsidR="00932B8E" w:rsidRPr="00682149">
        <w:rPr>
          <w:rFonts w:ascii="Arial" w:eastAsia="Times New Roman" w:hAnsi="Arial" w:cs="Arial"/>
          <w:color w:val="000000" w:themeColor="text1"/>
          <w:sz w:val="24"/>
          <w:szCs w:val="24"/>
          <w:lang w:val="es-CO" w:eastAsia="es-ES"/>
        </w:rPr>
        <w:t xml:space="preserve"> de </w:t>
      </w:r>
      <w:r w:rsidR="00454900" w:rsidRPr="00682149">
        <w:rPr>
          <w:rFonts w:ascii="Arial" w:eastAsia="Times New Roman" w:hAnsi="Arial" w:cs="Arial"/>
          <w:color w:val="000000" w:themeColor="text1"/>
          <w:sz w:val="24"/>
          <w:szCs w:val="24"/>
          <w:lang w:val="es-CO" w:eastAsia="es-ES"/>
        </w:rPr>
        <w:t>2020,</w:t>
      </w:r>
      <w:r w:rsidR="00932B8E" w:rsidRPr="00682149">
        <w:rPr>
          <w:rFonts w:ascii="Arial" w:eastAsia="Times New Roman" w:hAnsi="Arial" w:cs="Arial"/>
          <w:color w:val="000000" w:themeColor="text1"/>
          <w:sz w:val="24"/>
          <w:szCs w:val="24"/>
          <w:lang w:val="es-CO" w:eastAsia="es-ES"/>
        </w:rPr>
        <w:t xml:space="preserve"> </w:t>
      </w:r>
      <w:r w:rsidR="00454900" w:rsidRPr="00682149">
        <w:rPr>
          <w:rFonts w:ascii="Arial" w:eastAsia="Times New Roman" w:hAnsi="Arial" w:cs="Arial"/>
          <w:bCs/>
          <w:color w:val="000000" w:themeColor="text1"/>
          <w:sz w:val="24"/>
          <w:szCs w:val="24"/>
          <w:lang w:val="es-ES" w:eastAsia="es-ES"/>
        </w:rPr>
        <w:t>se fundamentó en las siguientes consideraciones de orden jurídico y fá</w:t>
      </w:r>
      <w:r w:rsidR="00F36DD7" w:rsidRPr="00682149">
        <w:rPr>
          <w:rFonts w:ascii="Arial" w:eastAsia="Times New Roman" w:hAnsi="Arial" w:cs="Arial"/>
          <w:bCs/>
          <w:color w:val="000000" w:themeColor="text1"/>
          <w:sz w:val="24"/>
          <w:szCs w:val="24"/>
          <w:lang w:val="es-ES" w:eastAsia="es-ES"/>
        </w:rPr>
        <w:t xml:space="preserve">ctico, dirigidas a </w:t>
      </w:r>
      <w:r w:rsidR="00BB5759" w:rsidRPr="00682149">
        <w:rPr>
          <w:rFonts w:ascii="Arial" w:eastAsia="Times New Roman" w:hAnsi="Arial" w:cs="Arial"/>
          <w:bCs/>
          <w:color w:val="000000" w:themeColor="text1"/>
          <w:sz w:val="24"/>
          <w:szCs w:val="24"/>
          <w:lang w:val="es-ES" w:eastAsia="es-ES"/>
        </w:rPr>
        <w:t xml:space="preserve">establecer </w:t>
      </w:r>
      <w:r w:rsidR="008066CB" w:rsidRPr="00682149">
        <w:rPr>
          <w:rFonts w:ascii="Arial" w:hAnsi="Arial" w:cs="Arial"/>
          <w:color w:val="000000" w:themeColor="text1"/>
          <w:sz w:val="24"/>
          <w:szCs w:val="24"/>
        </w:rPr>
        <w:t>una tarifa transitoria para las soluciones de energía eléctrica aplicable a sistemas solares fotovoltaicos individuales AC con potencia mayor a 0.5 kW, en zonas no interconectadas</w:t>
      </w:r>
      <w:r w:rsidR="00F36DD7" w:rsidRPr="00682149">
        <w:rPr>
          <w:rFonts w:ascii="Arial" w:hAnsi="Arial" w:cs="Arial"/>
          <w:color w:val="000000" w:themeColor="text1"/>
          <w:sz w:val="24"/>
          <w:szCs w:val="24"/>
        </w:rPr>
        <w:t xml:space="preserve">: </w:t>
      </w:r>
    </w:p>
    <w:p w14:paraId="697B6BE6" w14:textId="77777777" w:rsidR="00F36DD7" w:rsidRPr="00682149" w:rsidRDefault="00F36DD7" w:rsidP="001C138F">
      <w:pPr>
        <w:spacing w:after="0" w:line="276" w:lineRule="auto"/>
        <w:ind w:right="1645"/>
        <w:jc w:val="center"/>
        <w:rPr>
          <w:color w:val="000000" w:themeColor="text1"/>
        </w:rPr>
      </w:pPr>
      <w:r w:rsidRPr="00682149">
        <w:rPr>
          <w:i/>
          <w:color w:val="000000" w:themeColor="text1"/>
          <w:sz w:val="20"/>
        </w:rPr>
        <w:lastRenderedPageBreak/>
        <w:t xml:space="preserve"> </w:t>
      </w:r>
    </w:p>
    <w:p w14:paraId="5C500593" w14:textId="39ED3B4B" w:rsidR="00932B8E" w:rsidRPr="00682149" w:rsidRDefault="00FC2ACA" w:rsidP="001C138F">
      <w:pPr>
        <w:spacing w:after="0" w:line="276" w:lineRule="auto"/>
        <w:jc w:val="both"/>
        <w:rPr>
          <w:rFonts w:ascii="Arial" w:hAnsi="Arial" w:cs="Arial"/>
          <w:color w:val="000000" w:themeColor="text1"/>
          <w:sz w:val="24"/>
          <w:szCs w:val="24"/>
        </w:rPr>
      </w:pPr>
      <w:r w:rsidRPr="00682149">
        <w:rPr>
          <w:rFonts w:ascii="Arial" w:hAnsi="Arial" w:cs="Arial"/>
          <w:color w:val="000000" w:themeColor="text1"/>
          <w:sz w:val="24"/>
          <w:szCs w:val="24"/>
        </w:rPr>
        <w:t xml:space="preserve">i) </w:t>
      </w:r>
      <w:r w:rsidR="00896A72" w:rsidRPr="00682149">
        <w:rPr>
          <w:rFonts w:ascii="Arial" w:hAnsi="Arial" w:cs="Arial"/>
          <w:color w:val="000000" w:themeColor="text1"/>
          <w:sz w:val="24"/>
          <w:szCs w:val="24"/>
        </w:rPr>
        <w:t>En lo que tiene que ver con la fuente normativa relevante, s</w:t>
      </w:r>
      <w:r w:rsidRPr="00682149">
        <w:rPr>
          <w:rFonts w:ascii="Arial" w:hAnsi="Arial" w:cs="Arial"/>
          <w:color w:val="000000" w:themeColor="text1"/>
          <w:sz w:val="24"/>
          <w:szCs w:val="24"/>
        </w:rPr>
        <w:t xml:space="preserve">e fundamentó en el </w:t>
      </w:r>
      <w:r w:rsidR="00D74A72" w:rsidRPr="00682149">
        <w:rPr>
          <w:rFonts w:ascii="Arial" w:hAnsi="Arial" w:cs="Arial"/>
          <w:color w:val="000000" w:themeColor="text1"/>
          <w:sz w:val="24"/>
          <w:szCs w:val="24"/>
        </w:rPr>
        <w:t xml:space="preserve">Decreto legislativo 517 del </w:t>
      </w:r>
      <w:r w:rsidR="00932B8E" w:rsidRPr="00682149">
        <w:rPr>
          <w:rFonts w:ascii="Arial" w:hAnsi="Arial" w:cs="Arial"/>
          <w:color w:val="000000" w:themeColor="text1"/>
          <w:sz w:val="24"/>
          <w:szCs w:val="24"/>
        </w:rPr>
        <w:t>4 de abril de 2020</w:t>
      </w:r>
      <w:r w:rsidR="004F28DB" w:rsidRPr="00682149">
        <w:rPr>
          <w:rFonts w:ascii="Arial" w:hAnsi="Arial" w:cs="Arial"/>
          <w:color w:val="000000" w:themeColor="text1"/>
          <w:sz w:val="24"/>
          <w:szCs w:val="24"/>
        </w:rPr>
        <w:t>,</w:t>
      </w:r>
      <w:r w:rsidR="00932B8E" w:rsidRPr="00682149">
        <w:rPr>
          <w:rFonts w:ascii="Arial" w:hAnsi="Arial" w:cs="Arial"/>
          <w:color w:val="000000" w:themeColor="text1"/>
          <w:sz w:val="24"/>
          <w:szCs w:val="24"/>
        </w:rPr>
        <w:t xml:space="preserve"> mediante el cual se dictaron disposiciones en materia de servicios públicos de energía eléctrica y gas combustible, </w:t>
      </w:r>
      <w:r w:rsidRPr="00682149">
        <w:rPr>
          <w:rFonts w:ascii="Arial" w:hAnsi="Arial" w:cs="Arial"/>
          <w:color w:val="000000" w:themeColor="text1"/>
          <w:sz w:val="24"/>
          <w:szCs w:val="24"/>
        </w:rPr>
        <w:t xml:space="preserve">expedido al amparo del </w:t>
      </w:r>
      <w:r w:rsidR="00932B8E" w:rsidRPr="00682149">
        <w:rPr>
          <w:rFonts w:ascii="Arial" w:hAnsi="Arial" w:cs="Arial"/>
          <w:color w:val="000000" w:themeColor="text1"/>
          <w:sz w:val="24"/>
          <w:szCs w:val="24"/>
        </w:rPr>
        <w:t>Estado de</w:t>
      </w:r>
      <w:r w:rsidRPr="00682149">
        <w:rPr>
          <w:rFonts w:ascii="Arial" w:hAnsi="Arial" w:cs="Arial"/>
          <w:color w:val="000000" w:themeColor="text1"/>
          <w:sz w:val="24"/>
          <w:szCs w:val="24"/>
        </w:rPr>
        <w:t xml:space="preserve"> Excepción ordenado en </w:t>
      </w:r>
      <w:r w:rsidR="00D74A72" w:rsidRPr="00682149">
        <w:rPr>
          <w:rFonts w:ascii="Arial" w:hAnsi="Arial" w:cs="Arial"/>
          <w:color w:val="000000" w:themeColor="text1"/>
          <w:sz w:val="24"/>
          <w:szCs w:val="24"/>
        </w:rPr>
        <w:t xml:space="preserve">el Decreto 417 del presente año. </w:t>
      </w:r>
      <w:r w:rsidR="003B7D2F" w:rsidRPr="00682149">
        <w:rPr>
          <w:rFonts w:ascii="Arial" w:hAnsi="Arial" w:cs="Arial"/>
          <w:color w:val="000000" w:themeColor="text1"/>
          <w:sz w:val="24"/>
          <w:szCs w:val="24"/>
        </w:rPr>
        <w:t>E</w:t>
      </w:r>
      <w:r w:rsidR="00896A72" w:rsidRPr="00682149">
        <w:rPr>
          <w:rFonts w:ascii="Arial" w:hAnsi="Arial" w:cs="Arial"/>
          <w:color w:val="000000" w:themeColor="text1"/>
          <w:sz w:val="24"/>
          <w:szCs w:val="24"/>
        </w:rPr>
        <w:t xml:space="preserve">l </w:t>
      </w:r>
      <w:r w:rsidR="00932B8E" w:rsidRPr="00682149">
        <w:rPr>
          <w:rFonts w:ascii="Arial" w:hAnsi="Arial" w:cs="Arial"/>
          <w:color w:val="000000" w:themeColor="text1"/>
          <w:sz w:val="24"/>
          <w:szCs w:val="24"/>
        </w:rPr>
        <w:t>art. 3º</w:t>
      </w:r>
      <w:r w:rsidR="00BB5759" w:rsidRPr="00682149">
        <w:rPr>
          <w:rFonts w:ascii="Arial" w:hAnsi="Arial" w:cs="Arial"/>
          <w:color w:val="000000" w:themeColor="text1"/>
          <w:sz w:val="24"/>
          <w:szCs w:val="24"/>
        </w:rPr>
        <w:t xml:space="preserve"> del Decreto Legislativo dispuso que </w:t>
      </w:r>
      <w:r w:rsidR="00932B8E" w:rsidRPr="00682149">
        <w:rPr>
          <w:rFonts w:ascii="Arial" w:hAnsi="Arial" w:cs="Arial"/>
          <w:color w:val="000000" w:themeColor="text1"/>
          <w:sz w:val="24"/>
          <w:szCs w:val="24"/>
        </w:rPr>
        <w:t>mientras permane</w:t>
      </w:r>
      <w:r w:rsidR="00D74A72" w:rsidRPr="00682149">
        <w:rPr>
          <w:rFonts w:ascii="Arial" w:hAnsi="Arial" w:cs="Arial"/>
          <w:color w:val="000000" w:themeColor="text1"/>
          <w:sz w:val="24"/>
          <w:szCs w:val="24"/>
        </w:rPr>
        <w:t>zca vigente la declaratoria de emergencia s</w:t>
      </w:r>
      <w:r w:rsidR="00932B8E" w:rsidRPr="00682149">
        <w:rPr>
          <w:rFonts w:ascii="Arial" w:hAnsi="Arial" w:cs="Arial"/>
          <w:color w:val="000000" w:themeColor="text1"/>
          <w:sz w:val="24"/>
          <w:szCs w:val="24"/>
        </w:rPr>
        <w:t>anitaria</w:t>
      </w:r>
      <w:r w:rsidR="00122D54" w:rsidRPr="00682149">
        <w:rPr>
          <w:rFonts w:ascii="Arial" w:hAnsi="Arial" w:cs="Arial"/>
          <w:color w:val="000000" w:themeColor="text1"/>
          <w:sz w:val="24"/>
          <w:szCs w:val="24"/>
        </w:rPr>
        <w:t>, la CREG</w:t>
      </w:r>
      <w:r w:rsidR="00896A72" w:rsidRPr="00682149">
        <w:rPr>
          <w:rFonts w:ascii="Arial" w:hAnsi="Arial" w:cs="Arial"/>
          <w:color w:val="000000" w:themeColor="text1"/>
          <w:sz w:val="24"/>
          <w:szCs w:val="24"/>
        </w:rPr>
        <w:t xml:space="preserve"> podrá </w:t>
      </w:r>
      <w:r w:rsidR="00BB5759" w:rsidRPr="00682149">
        <w:rPr>
          <w:rFonts w:ascii="Arial" w:hAnsi="Arial" w:cs="Arial"/>
          <w:color w:val="000000" w:themeColor="text1"/>
          <w:sz w:val="24"/>
          <w:szCs w:val="24"/>
        </w:rPr>
        <w:t xml:space="preserve">adoptar las </w:t>
      </w:r>
      <w:r w:rsidR="00896A72" w:rsidRPr="00682149">
        <w:rPr>
          <w:rFonts w:ascii="Arial" w:hAnsi="Arial" w:cs="Arial"/>
          <w:color w:val="000000" w:themeColor="text1"/>
          <w:sz w:val="24"/>
          <w:szCs w:val="24"/>
        </w:rPr>
        <w:t xml:space="preserve">medidas </w:t>
      </w:r>
      <w:r w:rsidR="00932B8E" w:rsidRPr="00682149">
        <w:rPr>
          <w:rFonts w:ascii="Arial" w:hAnsi="Arial" w:cs="Arial"/>
          <w:color w:val="000000" w:themeColor="text1"/>
          <w:sz w:val="24"/>
          <w:szCs w:val="24"/>
        </w:rPr>
        <w:t>especiales para diferir el pago de las facturas emitidas</w:t>
      </w:r>
      <w:r w:rsidR="00BB5759" w:rsidRPr="00682149">
        <w:rPr>
          <w:rFonts w:ascii="Arial" w:hAnsi="Arial" w:cs="Arial"/>
          <w:color w:val="000000" w:themeColor="text1"/>
          <w:sz w:val="24"/>
          <w:szCs w:val="24"/>
        </w:rPr>
        <w:t xml:space="preserve"> </w:t>
      </w:r>
      <w:r w:rsidR="00D74A72" w:rsidRPr="00682149">
        <w:rPr>
          <w:rFonts w:ascii="Arial" w:hAnsi="Arial" w:cs="Arial"/>
          <w:color w:val="000000" w:themeColor="text1"/>
          <w:sz w:val="24"/>
          <w:szCs w:val="24"/>
        </w:rPr>
        <w:t xml:space="preserve">y también para adoptar </w:t>
      </w:r>
      <w:r w:rsidR="00896A72" w:rsidRPr="00682149">
        <w:rPr>
          <w:rFonts w:ascii="Arial" w:hAnsi="Arial" w:cs="Arial"/>
          <w:color w:val="000000" w:themeColor="text1"/>
          <w:sz w:val="24"/>
          <w:szCs w:val="24"/>
        </w:rPr>
        <w:t xml:space="preserve">aquellas </w:t>
      </w:r>
      <w:r w:rsidR="003B7D2F" w:rsidRPr="00682149">
        <w:rPr>
          <w:rFonts w:ascii="Arial" w:hAnsi="Arial" w:cs="Arial"/>
          <w:color w:val="000000" w:themeColor="text1"/>
          <w:sz w:val="24"/>
          <w:szCs w:val="24"/>
        </w:rPr>
        <w:t xml:space="preserve">medidas </w:t>
      </w:r>
      <w:r w:rsidR="00896A72" w:rsidRPr="00682149">
        <w:rPr>
          <w:rFonts w:ascii="Arial" w:hAnsi="Arial" w:cs="Arial"/>
          <w:color w:val="000000" w:themeColor="text1"/>
          <w:sz w:val="24"/>
          <w:szCs w:val="24"/>
        </w:rPr>
        <w:t xml:space="preserve">necesarias para mitigar </w:t>
      </w:r>
      <w:r w:rsidR="00932B8E" w:rsidRPr="00682149">
        <w:rPr>
          <w:rFonts w:ascii="Arial" w:hAnsi="Arial" w:cs="Arial"/>
          <w:color w:val="000000" w:themeColor="text1"/>
          <w:sz w:val="24"/>
          <w:szCs w:val="24"/>
        </w:rPr>
        <w:t>los efectos del Estado de Emergencia Económica, Social y Ecológica sobre los usuarios y los agentes de la cadena de prestación de servicios de energía eléctrica, gas combustible y sus actividades complementar</w:t>
      </w:r>
      <w:r w:rsidR="00896A72" w:rsidRPr="00682149">
        <w:rPr>
          <w:rFonts w:ascii="Arial" w:hAnsi="Arial" w:cs="Arial"/>
          <w:color w:val="000000" w:themeColor="text1"/>
          <w:sz w:val="24"/>
          <w:szCs w:val="24"/>
        </w:rPr>
        <w:t xml:space="preserve">ias. </w:t>
      </w:r>
      <w:r w:rsidR="00932B8E" w:rsidRPr="00682149">
        <w:rPr>
          <w:rFonts w:ascii="Arial" w:hAnsi="Arial" w:cs="Arial"/>
          <w:color w:val="000000" w:themeColor="text1"/>
          <w:sz w:val="24"/>
          <w:szCs w:val="24"/>
        </w:rPr>
        <w:t xml:space="preserve">  </w:t>
      </w:r>
    </w:p>
    <w:p w14:paraId="04F2C3EE" w14:textId="77777777" w:rsidR="00932B8E" w:rsidRPr="00682149" w:rsidRDefault="00932B8E" w:rsidP="001C138F">
      <w:pPr>
        <w:spacing w:after="0" w:line="276" w:lineRule="auto"/>
        <w:rPr>
          <w:rFonts w:ascii="Arial" w:hAnsi="Arial" w:cs="Arial"/>
          <w:color w:val="000000" w:themeColor="text1"/>
          <w:sz w:val="24"/>
          <w:szCs w:val="24"/>
        </w:rPr>
      </w:pPr>
      <w:r w:rsidRPr="00682149">
        <w:rPr>
          <w:rFonts w:ascii="Arial" w:hAnsi="Arial" w:cs="Arial"/>
          <w:color w:val="000000" w:themeColor="text1"/>
          <w:sz w:val="24"/>
          <w:szCs w:val="24"/>
        </w:rPr>
        <w:t xml:space="preserve"> </w:t>
      </w:r>
    </w:p>
    <w:p w14:paraId="705327AC" w14:textId="57E8F973" w:rsidR="00932B8E" w:rsidRPr="00682149" w:rsidRDefault="00896A72" w:rsidP="001C138F">
      <w:pPr>
        <w:spacing w:after="0" w:line="276" w:lineRule="auto"/>
        <w:jc w:val="both"/>
        <w:rPr>
          <w:rFonts w:ascii="Arial" w:hAnsi="Arial" w:cs="Arial"/>
          <w:color w:val="000000" w:themeColor="text1"/>
          <w:sz w:val="24"/>
          <w:szCs w:val="24"/>
        </w:rPr>
      </w:pPr>
      <w:r w:rsidRPr="00682149">
        <w:rPr>
          <w:rFonts w:ascii="Arial" w:hAnsi="Arial" w:cs="Arial"/>
          <w:color w:val="000000" w:themeColor="text1"/>
          <w:sz w:val="24"/>
          <w:szCs w:val="24"/>
        </w:rPr>
        <w:t xml:space="preserve">ii) </w:t>
      </w:r>
      <w:r w:rsidR="00BB5759" w:rsidRPr="00682149">
        <w:rPr>
          <w:rFonts w:ascii="Arial" w:hAnsi="Arial" w:cs="Arial"/>
          <w:color w:val="000000" w:themeColor="text1"/>
          <w:sz w:val="24"/>
          <w:szCs w:val="24"/>
        </w:rPr>
        <w:t>S</w:t>
      </w:r>
      <w:r w:rsidRPr="00682149">
        <w:rPr>
          <w:rFonts w:ascii="Arial" w:hAnsi="Arial" w:cs="Arial"/>
          <w:color w:val="000000" w:themeColor="text1"/>
          <w:sz w:val="24"/>
          <w:szCs w:val="24"/>
        </w:rPr>
        <w:t xml:space="preserve">e refirió a la </w:t>
      </w:r>
      <w:r w:rsidR="00932B8E" w:rsidRPr="00682149">
        <w:rPr>
          <w:rFonts w:ascii="Arial" w:hAnsi="Arial" w:cs="Arial"/>
          <w:color w:val="000000" w:themeColor="text1"/>
          <w:sz w:val="24"/>
          <w:szCs w:val="24"/>
        </w:rPr>
        <w:t>Resolución 118 del 12 de junio de 2020</w:t>
      </w:r>
      <w:r w:rsidRPr="00682149">
        <w:rPr>
          <w:rFonts w:ascii="Arial" w:hAnsi="Arial" w:cs="Arial"/>
          <w:color w:val="000000" w:themeColor="text1"/>
          <w:sz w:val="24"/>
          <w:szCs w:val="24"/>
        </w:rPr>
        <w:t xml:space="preserve"> y</w:t>
      </w:r>
      <w:r w:rsidR="00932B8E" w:rsidRPr="00682149">
        <w:rPr>
          <w:rFonts w:ascii="Arial" w:hAnsi="Arial" w:cs="Arial"/>
          <w:color w:val="000000" w:themeColor="text1"/>
          <w:sz w:val="24"/>
          <w:szCs w:val="24"/>
        </w:rPr>
        <w:t xml:space="preserve"> la Resolución 152 de 2020 del 30 de julio de 2020,</w:t>
      </w:r>
      <w:r w:rsidRPr="00682149">
        <w:rPr>
          <w:rFonts w:ascii="Arial" w:hAnsi="Arial" w:cs="Arial"/>
          <w:color w:val="000000" w:themeColor="text1"/>
          <w:sz w:val="24"/>
          <w:szCs w:val="24"/>
        </w:rPr>
        <w:t xml:space="preserve"> proferidas por la CREG</w:t>
      </w:r>
      <w:r w:rsidR="004F28DB" w:rsidRPr="00682149">
        <w:rPr>
          <w:rFonts w:ascii="Arial" w:hAnsi="Arial" w:cs="Arial"/>
          <w:color w:val="000000" w:themeColor="text1"/>
          <w:sz w:val="24"/>
          <w:szCs w:val="24"/>
        </w:rPr>
        <w:t>,</w:t>
      </w:r>
      <w:r w:rsidR="00932B8E" w:rsidRPr="00682149">
        <w:rPr>
          <w:rFonts w:ascii="Arial" w:hAnsi="Arial" w:cs="Arial"/>
          <w:color w:val="000000" w:themeColor="text1"/>
          <w:sz w:val="24"/>
          <w:szCs w:val="24"/>
        </w:rPr>
        <w:t xml:space="preserve"> </w:t>
      </w:r>
      <w:r w:rsidR="00932B8E" w:rsidRPr="00682149">
        <w:rPr>
          <w:rFonts w:ascii="Arial" w:hAnsi="Arial" w:cs="Arial"/>
          <w:bCs/>
          <w:color w:val="000000" w:themeColor="text1"/>
          <w:sz w:val="24"/>
          <w:szCs w:val="24"/>
        </w:rPr>
        <w:t>mediante la</w:t>
      </w:r>
      <w:r w:rsidRPr="00682149">
        <w:rPr>
          <w:rFonts w:ascii="Arial" w:hAnsi="Arial" w:cs="Arial"/>
          <w:bCs/>
          <w:color w:val="000000" w:themeColor="text1"/>
          <w:sz w:val="24"/>
          <w:szCs w:val="24"/>
        </w:rPr>
        <w:t>s</w:t>
      </w:r>
      <w:r w:rsidR="00932B8E" w:rsidRPr="00682149">
        <w:rPr>
          <w:rFonts w:ascii="Arial" w:hAnsi="Arial" w:cs="Arial"/>
          <w:bCs/>
          <w:color w:val="000000" w:themeColor="text1"/>
          <w:sz w:val="24"/>
          <w:szCs w:val="24"/>
        </w:rPr>
        <w:t xml:space="preserve"> cual</w:t>
      </w:r>
      <w:r w:rsidRPr="00682149">
        <w:rPr>
          <w:rFonts w:ascii="Arial" w:hAnsi="Arial" w:cs="Arial"/>
          <w:bCs/>
          <w:color w:val="000000" w:themeColor="text1"/>
          <w:sz w:val="24"/>
          <w:szCs w:val="24"/>
        </w:rPr>
        <w:t>es</w:t>
      </w:r>
      <w:r w:rsidR="00932B8E" w:rsidRPr="00682149">
        <w:rPr>
          <w:rFonts w:ascii="Arial" w:hAnsi="Arial" w:cs="Arial"/>
          <w:bCs/>
          <w:color w:val="000000" w:themeColor="text1"/>
          <w:sz w:val="24"/>
          <w:szCs w:val="24"/>
        </w:rPr>
        <w:t xml:space="preserve"> </w:t>
      </w:r>
      <w:r w:rsidR="00BB5759" w:rsidRPr="00682149">
        <w:rPr>
          <w:rFonts w:ascii="Arial" w:hAnsi="Arial" w:cs="Arial"/>
          <w:bCs/>
          <w:color w:val="000000" w:themeColor="text1"/>
          <w:sz w:val="24"/>
          <w:szCs w:val="24"/>
        </w:rPr>
        <w:t xml:space="preserve">se </w:t>
      </w:r>
      <w:r w:rsidR="00664B84" w:rsidRPr="00682149">
        <w:rPr>
          <w:rFonts w:ascii="Arial" w:hAnsi="Arial" w:cs="Arial"/>
          <w:bCs/>
          <w:color w:val="000000" w:themeColor="text1"/>
          <w:sz w:val="24"/>
          <w:szCs w:val="24"/>
        </w:rPr>
        <w:t xml:space="preserve">hicieron </w:t>
      </w:r>
      <w:r w:rsidR="00932B8E" w:rsidRPr="00682149">
        <w:rPr>
          <w:rFonts w:ascii="Arial" w:hAnsi="Arial" w:cs="Arial"/>
          <w:bCs/>
          <w:color w:val="000000" w:themeColor="text1"/>
          <w:sz w:val="24"/>
          <w:szCs w:val="24"/>
        </w:rPr>
        <w:t xml:space="preserve">extensivas las medidas transitorias adoptadas para el pago de las facturas del servicio de energía eléctrica aplicable a los usuarios </w:t>
      </w:r>
      <w:r w:rsidR="00664B84" w:rsidRPr="00682149">
        <w:rPr>
          <w:rFonts w:ascii="Arial" w:hAnsi="Arial" w:cs="Arial"/>
          <w:bCs/>
          <w:color w:val="000000" w:themeColor="text1"/>
          <w:sz w:val="24"/>
          <w:szCs w:val="24"/>
        </w:rPr>
        <w:t xml:space="preserve">del </w:t>
      </w:r>
      <w:r w:rsidR="00932B8E" w:rsidRPr="00682149">
        <w:rPr>
          <w:rFonts w:ascii="Arial" w:hAnsi="Arial" w:cs="Arial"/>
          <w:bCs/>
          <w:color w:val="000000" w:themeColor="text1"/>
          <w:sz w:val="24"/>
          <w:szCs w:val="24"/>
        </w:rPr>
        <w:t>Sistema Interconectado Nacional SIN, a los usuarios y empresas prestadoras del servicio de energía eléctri</w:t>
      </w:r>
      <w:r w:rsidR="00D74A72" w:rsidRPr="00682149">
        <w:rPr>
          <w:rFonts w:ascii="Arial" w:hAnsi="Arial" w:cs="Arial"/>
          <w:bCs/>
          <w:color w:val="000000" w:themeColor="text1"/>
          <w:sz w:val="24"/>
          <w:szCs w:val="24"/>
        </w:rPr>
        <w:t xml:space="preserve">ca en Zonas No Interconectadas, </w:t>
      </w:r>
      <w:r w:rsidR="00932B8E" w:rsidRPr="00682149">
        <w:rPr>
          <w:rFonts w:ascii="Arial" w:hAnsi="Arial" w:cs="Arial"/>
          <w:bCs/>
          <w:color w:val="000000" w:themeColor="text1"/>
          <w:sz w:val="24"/>
          <w:szCs w:val="24"/>
        </w:rPr>
        <w:t>ZNI.</w:t>
      </w:r>
      <w:r w:rsidR="00932B8E" w:rsidRPr="00682149">
        <w:rPr>
          <w:rFonts w:ascii="Arial" w:hAnsi="Arial" w:cs="Arial"/>
          <w:b/>
          <w:color w:val="000000" w:themeColor="text1"/>
          <w:sz w:val="24"/>
          <w:szCs w:val="24"/>
        </w:rPr>
        <w:t xml:space="preserve"> </w:t>
      </w:r>
    </w:p>
    <w:p w14:paraId="4125E3C0" w14:textId="77777777" w:rsidR="00932B8E" w:rsidRPr="00682149" w:rsidRDefault="00932B8E" w:rsidP="001C138F">
      <w:pPr>
        <w:spacing w:after="0" w:line="276" w:lineRule="auto"/>
        <w:rPr>
          <w:rFonts w:ascii="Arial" w:hAnsi="Arial" w:cs="Arial"/>
          <w:color w:val="000000" w:themeColor="text1"/>
          <w:sz w:val="24"/>
          <w:szCs w:val="24"/>
        </w:rPr>
      </w:pPr>
      <w:r w:rsidRPr="00682149">
        <w:rPr>
          <w:rFonts w:ascii="Arial" w:hAnsi="Arial" w:cs="Arial"/>
          <w:color w:val="000000" w:themeColor="text1"/>
          <w:sz w:val="24"/>
          <w:szCs w:val="24"/>
        </w:rPr>
        <w:t xml:space="preserve"> </w:t>
      </w:r>
    </w:p>
    <w:p w14:paraId="3DA09837" w14:textId="7F0F7506" w:rsidR="00932B8E" w:rsidRPr="00682149" w:rsidRDefault="00896A72" w:rsidP="001C138F">
      <w:pPr>
        <w:spacing w:after="0" w:line="276" w:lineRule="auto"/>
        <w:jc w:val="both"/>
        <w:rPr>
          <w:rFonts w:ascii="Arial" w:hAnsi="Arial" w:cs="Arial"/>
          <w:color w:val="000000" w:themeColor="text1"/>
          <w:sz w:val="24"/>
          <w:szCs w:val="24"/>
        </w:rPr>
      </w:pPr>
      <w:r w:rsidRPr="00682149">
        <w:rPr>
          <w:rFonts w:ascii="Arial" w:hAnsi="Arial" w:cs="Arial"/>
          <w:color w:val="000000" w:themeColor="text1"/>
          <w:sz w:val="24"/>
          <w:szCs w:val="24"/>
        </w:rPr>
        <w:t xml:space="preserve">iii) </w:t>
      </w:r>
      <w:r w:rsidR="00B96ADB" w:rsidRPr="00682149">
        <w:rPr>
          <w:rFonts w:ascii="Arial" w:hAnsi="Arial" w:cs="Arial"/>
          <w:color w:val="000000" w:themeColor="text1"/>
          <w:sz w:val="24"/>
          <w:szCs w:val="24"/>
        </w:rPr>
        <w:t>E</w:t>
      </w:r>
      <w:r w:rsidR="00BB5759" w:rsidRPr="00682149">
        <w:rPr>
          <w:rFonts w:ascii="Arial" w:hAnsi="Arial" w:cs="Arial"/>
          <w:color w:val="000000" w:themeColor="text1"/>
          <w:sz w:val="24"/>
          <w:szCs w:val="24"/>
        </w:rPr>
        <w:t xml:space="preserve">l </w:t>
      </w:r>
      <w:r w:rsidRPr="00682149">
        <w:rPr>
          <w:rFonts w:ascii="Arial" w:hAnsi="Arial" w:cs="Arial"/>
          <w:color w:val="000000" w:themeColor="text1"/>
          <w:sz w:val="24"/>
          <w:szCs w:val="24"/>
        </w:rPr>
        <w:t>Decreto</w:t>
      </w:r>
      <w:r w:rsidR="00664B84" w:rsidRPr="00682149">
        <w:rPr>
          <w:rFonts w:ascii="Arial" w:hAnsi="Arial" w:cs="Arial"/>
          <w:color w:val="000000" w:themeColor="text1"/>
          <w:sz w:val="24"/>
          <w:szCs w:val="24"/>
        </w:rPr>
        <w:t xml:space="preserve"> 1076 del 28 de julio de 2020</w:t>
      </w:r>
      <w:r w:rsidR="00B96ADB" w:rsidRPr="00682149">
        <w:rPr>
          <w:rFonts w:ascii="Arial" w:hAnsi="Arial" w:cs="Arial"/>
          <w:color w:val="000000" w:themeColor="text1"/>
          <w:sz w:val="24"/>
          <w:szCs w:val="24"/>
        </w:rPr>
        <w:t xml:space="preserve"> que</w:t>
      </w:r>
      <w:r w:rsidR="00932B8E" w:rsidRPr="00682149">
        <w:rPr>
          <w:rFonts w:ascii="Arial" w:hAnsi="Arial" w:cs="Arial"/>
          <w:color w:val="000000" w:themeColor="text1"/>
          <w:sz w:val="24"/>
          <w:szCs w:val="24"/>
        </w:rPr>
        <w:t xml:space="preserve"> </w:t>
      </w:r>
      <w:r w:rsidRPr="00682149">
        <w:rPr>
          <w:rFonts w:ascii="Arial" w:hAnsi="Arial" w:cs="Arial"/>
          <w:color w:val="000000" w:themeColor="text1"/>
          <w:sz w:val="24"/>
          <w:szCs w:val="24"/>
        </w:rPr>
        <w:t xml:space="preserve">dispuso </w:t>
      </w:r>
      <w:r w:rsidR="00932B8E" w:rsidRPr="00682149">
        <w:rPr>
          <w:rFonts w:ascii="Arial" w:hAnsi="Arial" w:cs="Arial"/>
          <w:color w:val="000000" w:themeColor="text1"/>
          <w:sz w:val="24"/>
          <w:szCs w:val="24"/>
        </w:rPr>
        <w:t xml:space="preserve">el aislamiento preventivo obligatorio de todas las personas habitantes de la República de Colombia, </w:t>
      </w:r>
      <w:r w:rsidRPr="00682149">
        <w:rPr>
          <w:rFonts w:ascii="Arial" w:hAnsi="Arial" w:cs="Arial"/>
          <w:color w:val="000000" w:themeColor="text1"/>
          <w:sz w:val="24"/>
          <w:szCs w:val="24"/>
        </w:rPr>
        <w:t xml:space="preserve">entre el </w:t>
      </w:r>
      <w:r w:rsidR="00932B8E" w:rsidRPr="00682149">
        <w:rPr>
          <w:rFonts w:ascii="Arial" w:hAnsi="Arial" w:cs="Arial"/>
          <w:color w:val="000000" w:themeColor="text1"/>
          <w:sz w:val="24"/>
          <w:szCs w:val="24"/>
        </w:rPr>
        <w:t>1º de agosto de 2020</w:t>
      </w:r>
      <w:r w:rsidRPr="00682149">
        <w:rPr>
          <w:rFonts w:ascii="Arial" w:hAnsi="Arial" w:cs="Arial"/>
          <w:color w:val="000000" w:themeColor="text1"/>
          <w:sz w:val="24"/>
          <w:szCs w:val="24"/>
        </w:rPr>
        <w:t xml:space="preserve"> y el 1º de septiembre de 2020</w:t>
      </w:r>
      <w:r w:rsidR="00BB5759" w:rsidRPr="00682149">
        <w:rPr>
          <w:rFonts w:ascii="Arial" w:hAnsi="Arial" w:cs="Arial"/>
          <w:color w:val="000000" w:themeColor="text1"/>
          <w:sz w:val="24"/>
          <w:szCs w:val="24"/>
        </w:rPr>
        <w:t>. Y</w:t>
      </w:r>
      <w:r w:rsidR="008004E2">
        <w:rPr>
          <w:rFonts w:ascii="Arial" w:hAnsi="Arial" w:cs="Arial"/>
          <w:color w:val="000000" w:themeColor="text1"/>
          <w:sz w:val="24"/>
          <w:szCs w:val="24"/>
        </w:rPr>
        <w:t xml:space="preserve"> a</w:t>
      </w:r>
      <w:r w:rsidR="00BB5759" w:rsidRPr="00682149">
        <w:rPr>
          <w:rFonts w:ascii="Arial" w:hAnsi="Arial" w:cs="Arial"/>
          <w:color w:val="000000" w:themeColor="text1"/>
          <w:sz w:val="24"/>
          <w:szCs w:val="24"/>
        </w:rPr>
        <w:t xml:space="preserve"> la Resolución 1462 </w:t>
      </w:r>
      <w:r w:rsidR="00932B8E" w:rsidRPr="00682149">
        <w:rPr>
          <w:rFonts w:ascii="Arial" w:hAnsi="Arial" w:cs="Arial"/>
          <w:color w:val="000000" w:themeColor="text1"/>
          <w:sz w:val="24"/>
          <w:szCs w:val="24"/>
        </w:rPr>
        <w:t>del 25 de agosto de 2020</w:t>
      </w:r>
      <w:r w:rsidR="00BB5759" w:rsidRPr="00682149">
        <w:rPr>
          <w:rFonts w:ascii="Arial" w:hAnsi="Arial" w:cs="Arial"/>
          <w:color w:val="000000" w:themeColor="text1"/>
          <w:sz w:val="24"/>
          <w:szCs w:val="24"/>
        </w:rPr>
        <w:t>,</w:t>
      </w:r>
      <w:r w:rsidR="00932B8E" w:rsidRPr="00682149">
        <w:rPr>
          <w:rFonts w:ascii="Arial" w:hAnsi="Arial" w:cs="Arial"/>
          <w:color w:val="000000" w:themeColor="text1"/>
          <w:sz w:val="24"/>
          <w:szCs w:val="24"/>
        </w:rPr>
        <w:t xml:space="preserve"> expedida por el Ministerio de Salud y</w:t>
      </w:r>
      <w:r w:rsidR="00BB5759" w:rsidRPr="00682149">
        <w:rPr>
          <w:rFonts w:ascii="Arial" w:hAnsi="Arial" w:cs="Arial"/>
          <w:color w:val="000000" w:themeColor="text1"/>
          <w:sz w:val="24"/>
          <w:szCs w:val="24"/>
        </w:rPr>
        <w:t xml:space="preserve"> Protección Social</w:t>
      </w:r>
      <w:r w:rsidR="004A3164" w:rsidRPr="00682149">
        <w:rPr>
          <w:rFonts w:ascii="Arial" w:hAnsi="Arial" w:cs="Arial"/>
          <w:color w:val="000000" w:themeColor="text1"/>
          <w:sz w:val="24"/>
          <w:szCs w:val="24"/>
        </w:rPr>
        <w:t xml:space="preserve">, que </w:t>
      </w:r>
      <w:r w:rsidR="00BB5759" w:rsidRPr="00682149">
        <w:rPr>
          <w:rFonts w:ascii="Arial" w:hAnsi="Arial" w:cs="Arial"/>
          <w:color w:val="000000" w:themeColor="text1"/>
          <w:sz w:val="24"/>
          <w:szCs w:val="24"/>
        </w:rPr>
        <w:t xml:space="preserve"> </w:t>
      </w:r>
      <w:r w:rsidR="00932B8E" w:rsidRPr="00682149">
        <w:rPr>
          <w:rFonts w:ascii="Arial" w:hAnsi="Arial" w:cs="Arial"/>
          <w:color w:val="000000" w:themeColor="text1"/>
          <w:sz w:val="24"/>
          <w:szCs w:val="24"/>
        </w:rPr>
        <w:t>prorrogó la emergencia san</w:t>
      </w:r>
      <w:r w:rsidR="00BB5759" w:rsidRPr="00682149">
        <w:rPr>
          <w:rFonts w:ascii="Arial" w:hAnsi="Arial" w:cs="Arial"/>
          <w:color w:val="000000" w:themeColor="text1"/>
          <w:sz w:val="24"/>
          <w:szCs w:val="24"/>
        </w:rPr>
        <w:t>itaria por el nuevo Coronavirus</w:t>
      </w:r>
      <w:r w:rsidR="00932B8E" w:rsidRPr="00682149">
        <w:rPr>
          <w:rFonts w:ascii="Arial" w:hAnsi="Arial" w:cs="Arial"/>
          <w:color w:val="000000" w:themeColor="text1"/>
          <w:sz w:val="24"/>
          <w:szCs w:val="24"/>
        </w:rPr>
        <w:t xml:space="preserve"> hasta el 30 de noviembre de 2020. </w:t>
      </w:r>
    </w:p>
    <w:p w14:paraId="54FC44F4" w14:textId="77777777" w:rsidR="00932B8E" w:rsidRPr="00682149" w:rsidRDefault="00932B8E" w:rsidP="001C138F">
      <w:pPr>
        <w:spacing w:after="0" w:line="276" w:lineRule="auto"/>
        <w:rPr>
          <w:rFonts w:ascii="Arial" w:hAnsi="Arial" w:cs="Arial"/>
          <w:color w:val="000000" w:themeColor="text1"/>
          <w:sz w:val="24"/>
          <w:szCs w:val="24"/>
        </w:rPr>
      </w:pPr>
      <w:r w:rsidRPr="00682149">
        <w:rPr>
          <w:rFonts w:ascii="Arial" w:hAnsi="Arial" w:cs="Arial"/>
          <w:color w:val="000000" w:themeColor="text1"/>
          <w:sz w:val="24"/>
          <w:szCs w:val="24"/>
        </w:rPr>
        <w:t xml:space="preserve"> </w:t>
      </w:r>
    </w:p>
    <w:p w14:paraId="6CEE2FB6" w14:textId="0F096776" w:rsidR="00932B8E" w:rsidRPr="00682149" w:rsidRDefault="00896A72" w:rsidP="001C138F">
      <w:pPr>
        <w:spacing w:after="0" w:line="276" w:lineRule="auto"/>
        <w:jc w:val="both"/>
        <w:rPr>
          <w:rFonts w:ascii="Arial" w:hAnsi="Arial" w:cs="Arial"/>
          <w:color w:val="000000" w:themeColor="text1"/>
          <w:sz w:val="24"/>
          <w:szCs w:val="24"/>
        </w:rPr>
      </w:pPr>
      <w:r w:rsidRPr="00682149">
        <w:rPr>
          <w:rFonts w:ascii="Arial" w:hAnsi="Arial" w:cs="Arial"/>
          <w:color w:val="000000" w:themeColor="text1"/>
          <w:sz w:val="24"/>
          <w:szCs w:val="24"/>
        </w:rPr>
        <w:t xml:space="preserve">iv) En cuanto a los </w:t>
      </w:r>
      <w:r w:rsidR="004F28DB" w:rsidRPr="00682149">
        <w:rPr>
          <w:rFonts w:ascii="Arial" w:hAnsi="Arial" w:cs="Arial"/>
          <w:color w:val="000000" w:themeColor="text1"/>
          <w:sz w:val="24"/>
          <w:szCs w:val="24"/>
        </w:rPr>
        <w:t>fundamentos fácticos</w:t>
      </w:r>
      <w:r w:rsidRPr="00682149">
        <w:rPr>
          <w:rFonts w:ascii="Arial" w:hAnsi="Arial" w:cs="Arial"/>
          <w:color w:val="000000" w:themeColor="text1"/>
          <w:sz w:val="24"/>
          <w:szCs w:val="24"/>
        </w:rPr>
        <w:t xml:space="preserve">, </w:t>
      </w:r>
      <w:r w:rsidR="0020295A" w:rsidRPr="00682149">
        <w:rPr>
          <w:rFonts w:ascii="Arial" w:hAnsi="Arial" w:cs="Arial"/>
          <w:color w:val="000000" w:themeColor="text1"/>
          <w:sz w:val="24"/>
          <w:szCs w:val="24"/>
        </w:rPr>
        <w:t xml:space="preserve">se apoyó en el documento de </w:t>
      </w:r>
      <w:r w:rsidR="00275977" w:rsidRPr="00682149">
        <w:rPr>
          <w:rFonts w:ascii="Arial" w:hAnsi="Arial" w:cs="Arial"/>
          <w:color w:val="000000" w:themeColor="text1"/>
          <w:sz w:val="24"/>
          <w:szCs w:val="24"/>
        </w:rPr>
        <w:t xml:space="preserve">trabajo </w:t>
      </w:r>
      <w:r w:rsidR="0020295A" w:rsidRPr="00682149">
        <w:rPr>
          <w:rFonts w:ascii="Arial" w:hAnsi="Arial" w:cs="Arial"/>
          <w:color w:val="000000" w:themeColor="text1"/>
          <w:sz w:val="24"/>
          <w:szCs w:val="24"/>
        </w:rPr>
        <w:t>CREG-123 14-08-2020, que contiene las variables sobre</w:t>
      </w:r>
      <w:r w:rsidR="001801EC" w:rsidRPr="00682149">
        <w:rPr>
          <w:rFonts w:ascii="Arial" w:hAnsi="Arial" w:cs="Arial"/>
          <w:color w:val="000000" w:themeColor="text1"/>
          <w:sz w:val="24"/>
          <w:szCs w:val="24"/>
        </w:rPr>
        <w:t xml:space="preserve"> la</w:t>
      </w:r>
      <w:r w:rsidR="0020295A" w:rsidRPr="00682149">
        <w:rPr>
          <w:rFonts w:ascii="Arial" w:hAnsi="Arial" w:cs="Arial"/>
          <w:color w:val="000000" w:themeColor="text1"/>
          <w:sz w:val="24"/>
          <w:szCs w:val="24"/>
        </w:rPr>
        <w:t xml:space="preserve"> </w:t>
      </w:r>
      <w:r w:rsidR="0020295A" w:rsidRPr="00682149">
        <w:rPr>
          <w:rFonts w:ascii="Arial" w:eastAsia="Times New Roman" w:hAnsi="Arial" w:cs="Arial"/>
          <w:i/>
          <w:color w:val="000000" w:themeColor="text1"/>
          <w:sz w:val="24"/>
          <w:szCs w:val="24"/>
          <w:lang w:val="es-ES" w:eastAsia="es-ES"/>
        </w:rPr>
        <w:t>“</w:t>
      </w:r>
      <w:r w:rsidR="0020295A" w:rsidRPr="00682149">
        <w:rPr>
          <w:rFonts w:ascii="Arial" w:hAnsi="Arial" w:cs="Arial"/>
          <w:i/>
          <w:color w:val="000000" w:themeColor="text1"/>
          <w:sz w:val="24"/>
          <w:szCs w:val="24"/>
        </w:rPr>
        <w:t>TARIFA TRANSITORIA PARA EL SERVICIO DE ENERGÍA ELÉCTRICA CON SOLUCIONES INDIVIDUALES SOLARES FOTOVOLTAICAS AC CON POTENCIA MAYOR A 500 W</w:t>
      </w:r>
      <w:r w:rsidR="0020295A" w:rsidRPr="00682149">
        <w:rPr>
          <w:rFonts w:ascii="Arial" w:hAnsi="Arial" w:cs="Arial"/>
          <w:color w:val="000000" w:themeColor="text1"/>
          <w:sz w:val="24"/>
          <w:szCs w:val="24"/>
        </w:rPr>
        <w:t>”</w:t>
      </w:r>
      <w:r w:rsidR="00E5639D" w:rsidRPr="00682149">
        <w:rPr>
          <w:rFonts w:ascii="Arial" w:hAnsi="Arial" w:cs="Arial"/>
          <w:color w:val="000000" w:themeColor="text1"/>
          <w:sz w:val="24"/>
          <w:szCs w:val="24"/>
        </w:rPr>
        <w:t xml:space="preserve">, así como </w:t>
      </w:r>
      <w:r w:rsidR="00275977" w:rsidRPr="00682149">
        <w:rPr>
          <w:rFonts w:ascii="Arial" w:hAnsi="Arial" w:cs="Arial"/>
          <w:color w:val="000000" w:themeColor="text1"/>
          <w:sz w:val="24"/>
          <w:szCs w:val="24"/>
        </w:rPr>
        <w:t xml:space="preserve"> el </w:t>
      </w:r>
      <w:r w:rsidR="00275977" w:rsidRPr="00682149">
        <w:rPr>
          <w:rFonts w:ascii="Arial" w:eastAsia="Arial" w:hAnsi="Arial" w:cs="Arial"/>
          <w:color w:val="000000" w:themeColor="text1"/>
          <w:sz w:val="24"/>
        </w:rPr>
        <w:t xml:space="preserve">Documento CREG-131 de 3 de septiembre de 2020, que contiene el análisis de los comentarios presentados por los agentes intervinientes durante el trámite de consulta, para analizar la </w:t>
      </w:r>
      <w:r w:rsidR="00932B8E" w:rsidRPr="00682149">
        <w:rPr>
          <w:rFonts w:ascii="Arial" w:hAnsi="Arial" w:cs="Arial"/>
          <w:color w:val="000000" w:themeColor="text1"/>
          <w:sz w:val="24"/>
          <w:szCs w:val="24"/>
        </w:rPr>
        <w:t>situación actual de la prestación del servicio público de energía eléctrica en las Zonas No Interconectadas,</w:t>
      </w:r>
      <w:r w:rsidR="001801EC" w:rsidRPr="00682149">
        <w:rPr>
          <w:rFonts w:ascii="Arial" w:hAnsi="Arial" w:cs="Arial"/>
          <w:color w:val="000000" w:themeColor="text1"/>
          <w:sz w:val="24"/>
          <w:szCs w:val="24"/>
        </w:rPr>
        <w:t xml:space="preserve"> entre otros. En ese orden, </w:t>
      </w:r>
      <w:r w:rsidR="00BB5759" w:rsidRPr="00682149">
        <w:rPr>
          <w:rFonts w:ascii="Arial" w:hAnsi="Arial" w:cs="Arial"/>
          <w:color w:val="000000" w:themeColor="text1"/>
          <w:sz w:val="24"/>
          <w:szCs w:val="24"/>
        </w:rPr>
        <w:t xml:space="preserve">destacó </w:t>
      </w:r>
      <w:r w:rsidR="00932B8E" w:rsidRPr="00682149">
        <w:rPr>
          <w:rFonts w:ascii="Arial" w:hAnsi="Arial" w:cs="Arial"/>
          <w:color w:val="000000" w:themeColor="text1"/>
          <w:sz w:val="24"/>
          <w:szCs w:val="24"/>
        </w:rPr>
        <w:t>la necesidad urgente de definir el costo de prestación del servicio con soluciones individuales foto</w:t>
      </w:r>
      <w:r w:rsidR="009C2B60" w:rsidRPr="00682149">
        <w:rPr>
          <w:rFonts w:ascii="Arial" w:hAnsi="Arial" w:cs="Arial"/>
          <w:color w:val="000000" w:themeColor="text1"/>
          <w:sz w:val="24"/>
          <w:szCs w:val="24"/>
        </w:rPr>
        <w:t>voltaicas AC superiores a 500 W</w:t>
      </w:r>
      <w:r w:rsidR="001801EC" w:rsidRPr="00682149">
        <w:rPr>
          <w:rFonts w:ascii="Arial" w:hAnsi="Arial" w:cs="Arial"/>
          <w:color w:val="000000" w:themeColor="text1"/>
          <w:sz w:val="24"/>
          <w:szCs w:val="24"/>
        </w:rPr>
        <w:t xml:space="preserve">, al tiempo que </w:t>
      </w:r>
      <w:r w:rsidR="00BB5759" w:rsidRPr="00682149">
        <w:rPr>
          <w:rFonts w:ascii="Arial" w:hAnsi="Arial" w:cs="Arial"/>
          <w:color w:val="000000" w:themeColor="text1"/>
          <w:sz w:val="24"/>
          <w:szCs w:val="24"/>
        </w:rPr>
        <w:t xml:space="preserve">registró </w:t>
      </w:r>
      <w:r w:rsidR="00B24DFF" w:rsidRPr="00682149">
        <w:rPr>
          <w:rFonts w:ascii="Arial" w:hAnsi="Arial" w:cs="Arial"/>
          <w:color w:val="000000" w:themeColor="text1"/>
          <w:sz w:val="24"/>
          <w:szCs w:val="24"/>
        </w:rPr>
        <w:t xml:space="preserve">la información de 19 departamentos y el número de usuarios que cuentan con servicio de energía eléctrica a través de soluciones solares fotovoltaicas individuales, para un aproximado de </w:t>
      </w:r>
      <w:r w:rsidR="00932B8E" w:rsidRPr="00682149">
        <w:rPr>
          <w:rFonts w:ascii="Arial" w:hAnsi="Arial" w:cs="Arial"/>
          <w:color w:val="000000" w:themeColor="text1"/>
          <w:sz w:val="24"/>
          <w:szCs w:val="24"/>
        </w:rPr>
        <w:t>13.377 usuarios</w:t>
      </w:r>
      <w:r w:rsidR="004A3164" w:rsidRPr="00682149">
        <w:rPr>
          <w:rFonts w:ascii="Arial" w:hAnsi="Arial" w:cs="Arial"/>
          <w:color w:val="000000" w:themeColor="text1"/>
          <w:sz w:val="24"/>
          <w:szCs w:val="24"/>
        </w:rPr>
        <w:t xml:space="preserve">. </w:t>
      </w:r>
    </w:p>
    <w:p w14:paraId="18984CC7" w14:textId="5D2965DB" w:rsidR="00B24DFF" w:rsidRPr="00682149" w:rsidRDefault="00932B8E" w:rsidP="001C138F">
      <w:pPr>
        <w:spacing w:after="0" w:line="276" w:lineRule="auto"/>
        <w:rPr>
          <w:color w:val="000000" w:themeColor="text1"/>
        </w:rPr>
      </w:pPr>
      <w:r w:rsidRPr="00682149">
        <w:rPr>
          <w:rFonts w:ascii="Arial" w:hAnsi="Arial" w:cs="Arial"/>
          <w:color w:val="000000" w:themeColor="text1"/>
          <w:sz w:val="24"/>
          <w:szCs w:val="24"/>
        </w:rPr>
        <w:t xml:space="preserve"> </w:t>
      </w:r>
    </w:p>
    <w:p w14:paraId="064890EA" w14:textId="76D2CC24" w:rsidR="00B24DFF" w:rsidRDefault="00B24DFF" w:rsidP="001C138F">
      <w:pPr>
        <w:spacing w:after="0" w:line="276" w:lineRule="auto"/>
        <w:ind w:right="-3"/>
        <w:jc w:val="both"/>
        <w:rPr>
          <w:rFonts w:ascii="Arial" w:hAnsi="Arial" w:cs="Arial"/>
          <w:color w:val="000000" w:themeColor="text1"/>
          <w:sz w:val="24"/>
          <w:szCs w:val="24"/>
        </w:rPr>
      </w:pPr>
      <w:r w:rsidRPr="00682149">
        <w:rPr>
          <w:rFonts w:ascii="Arial" w:hAnsi="Arial" w:cs="Arial"/>
          <w:color w:val="000000" w:themeColor="text1"/>
          <w:sz w:val="24"/>
          <w:szCs w:val="24"/>
        </w:rPr>
        <w:t>v) Igualmente, puso de presente que</w:t>
      </w:r>
      <w:r w:rsidR="00BB5759" w:rsidRPr="00682149">
        <w:rPr>
          <w:rFonts w:ascii="Arial" w:hAnsi="Arial" w:cs="Arial"/>
          <w:color w:val="000000" w:themeColor="text1"/>
          <w:sz w:val="24"/>
          <w:szCs w:val="24"/>
        </w:rPr>
        <w:t>,</w:t>
      </w:r>
      <w:r w:rsidRPr="00682149">
        <w:rPr>
          <w:rFonts w:ascii="Arial" w:hAnsi="Arial" w:cs="Arial"/>
          <w:color w:val="000000" w:themeColor="text1"/>
          <w:sz w:val="24"/>
          <w:szCs w:val="24"/>
        </w:rPr>
        <w:t xml:space="preserve"> cerca de 4.821 usuarios nuevos, serán electrificados en </w:t>
      </w:r>
      <w:r w:rsidR="008004E2">
        <w:rPr>
          <w:rFonts w:ascii="Arial" w:hAnsi="Arial" w:cs="Arial"/>
          <w:color w:val="000000" w:themeColor="text1"/>
          <w:sz w:val="24"/>
          <w:szCs w:val="24"/>
        </w:rPr>
        <w:t xml:space="preserve">el año </w:t>
      </w:r>
      <w:r w:rsidRPr="00682149">
        <w:rPr>
          <w:rFonts w:ascii="Arial" w:hAnsi="Arial" w:cs="Arial"/>
          <w:color w:val="000000" w:themeColor="text1"/>
          <w:sz w:val="24"/>
          <w:szCs w:val="24"/>
        </w:rPr>
        <w:t xml:space="preserve">2020, a través de este tipo de soluciones solares fotovoltaicas. </w:t>
      </w:r>
    </w:p>
    <w:p w14:paraId="5C9D6438" w14:textId="77777777" w:rsidR="008004E2" w:rsidRPr="00682149" w:rsidRDefault="008004E2" w:rsidP="001C138F">
      <w:pPr>
        <w:spacing w:after="0" w:line="276" w:lineRule="auto"/>
        <w:ind w:right="-3"/>
        <w:jc w:val="both"/>
        <w:rPr>
          <w:rFonts w:ascii="Arial" w:hAnsi="Arial" w:cs="Arial"/>
          <w:color w:val="000000" w:themeColor="text1"/>
          <w:sz w:val="24"/>
          <w:szCs w:val="24"/>
        </w:rPr>
      </w:pPr>
    </w:p>
    <w:p w14:paraId="61536D4D" w14:textId="65786116" w:rsidR="00932B8E" w:rsidRPr="00682149" w:rsidRDefault="00B24DFF" w:rsidP="000C2447">
      <w:pPr>
        <w:spacing w:after="0" w:line="276" w:lineRule="auto"/>
        <w:jc w:val="both"/>
        <w:rPr>
          <w:rFonts w:ascii="Arial" w:hAnsi="Arial" w:cs="Arial"/>
          <w:color w:val="000000" w:themeColor="text1"/>
          <w:sz w:val="24"/>
          <w:szCs w:val="24"/>
        </w:rPr>
      </w:pPr>
      <w:r w:rsidRPr="00682149">
        <w:rPr>
          <w:rFonts w:ascii="Arial" w:hAnsi="Arial" w:cs="Arial"/>
          <w:color w:val="000000" w:themeColor="text1"/>
          <w:sz w:val="24"/>
          <w:szCs w:val="24"/>
        </w:rPr>
        <w:t xml:space="preserve">vi) </w:t>
      </w:r>
      <w:r w:rsidR="00932B8E" w:rsidRPr="00682149">
        <w:rPr>
          <w:rFonts w:ascii="Arial" w:hAnsi="Arial" w:cs="Arial"/>
          <w:color w:val="000000" w:themeColor="text1"/>
          <w:sz w:val="24"/>
          <w:szCs w:val="24"/>
        </w:rPr>
        <w:t>Agregó que</w:t>
      </w:r>
      <w:r w:rsidR="00310C06" w:rsidRPr="00682149">
        <w:rPr>
          <w:rFonts w:ascii="Arial" w:hAnsi="Arial" w:cs="Arial"/>
          <w:color w:val="000000" w:themeColor="text1"/>
          <w:sz w:val="24"/>
          <w:szCs w:val="24"/>
        </w:rPr>
        <w:t>,</w:t>
      </w:r>
      <w:r w:rsidR="00932B8E" w:rsidRPr="00682149">
        <w:rPr>
          <w:rFonts w:ascii="Arial" w:hAnsi="Arial" w:cs="Arial"/>
          <w:color w:val="000000" w:themeColor="text1"/>
          <w:sz w:val="24"/>
          <w:szCs w:val="24"/>
        </w:rPr>
        <w:t xml:space="preserve"> en </w:t>
      </w:r>
      <w:r w:rsidRPr="00682149">
        <w:rPr>
          <w:rFonts w:ascii="Arial" w:hAnsi="Arial" w:cs="Arial"/>
          <w:color w:val="000000" w:themeColor="text1"/>
          <w:sz w:val="24"/>
          <w:szCs w:val="24"/>
        </w:rPr>
        <w:t xml:space="preserve">esas </w:t>
      </w:r>
      <w:r w:rsidR="00932B8E" w:rsidRPr="00682149">
        <w:rPr>
          <w:rFonts w:ascii="Arial" w:hAnsi="Arial" w:cs="Arial"/>
          <w:color w:val="000000" w:themeColor="text1"/>
          <w:sz w:val="24"/>
          <w:szCs w:val="24"/>
        </w:rPr>
        <w:t xml:space="preserve">zonas se encuentran casi 40.000 paneles solares, más de 13.000 controladores, inversores y juegos de baterías que requieren de un </w:t>
      </w:r>
      <w:r w:rsidR="00932B8E" w:rsidRPr="00682149">
        <w:rPr>
          <w:rFonts w:ascii="Arial" w:hAnsi="Arial" w:cs="Arial"/>
          <w:color w:val="000000" w:themeColor="text1"/>
          <w:sz w:val="24"/>
          <w:szCs w:val="24"/>
        </w:rPr>
        <w:lastRenderedPageBreak/>
        <w:t>adecuado</w:t>
      </w:r>
      <w:r w:rsidR="00D83F1F" w:rsidRPr="00682149">
        <w:rPr>
          <w:rFonts w:ascii="Arial" w:hAnsi="Arial" w:cs="Arial"/>
          <w:color w:val="000000" w:themeColor="text1"/>
          <w:sz w:val="24"/>
          <w:szCs w:val="24"/>
        </w:rPr>
        <w:t xml:space="preserve"> esquema</w:t>
      </w:r>
      <w:r w:rsidR="00932B8E" w:rsidRPr="00682149">
        <w:rPr>
          <w:rFonts w:ascii="Arial" w:hAnsi="Arial" w:cs="Arial"/>
          <w:color w:val="000000" w:themeColor="text1"/>
          <w:sz w:val="24"/>
          <w:szCs w:val="24"/>
        </w:rPr>
        <w:t xml:space="preserve"> AOM </w:t>
      </w:r>
      <w:r w:rsidR="00BB5759" w:rsidRPr="00682149">
        <w:rPr>
          <w:rFonts w:ascii="Arial" w:hAnsi="Arial" w:cs="Arial"/>
          <w:color w:val="000000" w:themeColor="text1"/>
          <w:sz w:val="24"/>
          <w:szCs w:val="24"/>
        </w:rPr>
        <w:t xml:space="preserve">(Administración, Operación y Mantenimiento) </w:t>
      </w:r>
      <w:r w:rsidR="00932B8E" w:rsidRPr="00682149">
        <w:rPr>
          <w:rFonts w:ascii="Arial" w:hAnsi="Arial" w:cs="Arial"/>
          <w:color w:val="000000" w:themeColor="text1"/>
          <w:sz w:val="24"/>
          <w:szCs w:val="24"/>
        </w:rPr>
        <w:t>para su correcto funcionamiento</w:t>
      </w:r>
      <w:r w:rsidR="00664B84" w:rsidRPr="00682149">
        <w:rPr>
          <w:rFonts w:ascii="Arial" w:hAnsi="Arial" w:cs="Arial"/>
          <w:color w:val="000000" w:themeColor="text1"/>
          <w:sz w:val="24"/>
          <w:szCs w:val="24"/>
        </w:rPr>
        <w:t xml:space="preserve">. </w:t>
      </w:r>
      <w:r w:rsidR="00932B8E" w:rsidRPr="00682149">
        <w:rPr>
          <w:rFonts w:ascii="Arial" w:hAnsi="Arial" w:cs="Arial"/>
          <w:color w:val="000000" w:themeColor="text1"/>
          <w:sz w:val="24"/>
          <w:szCs w:val="24"/>
        </w:rPr>
        <w:t>Además</w:t>
      </w:r>
      <w:r w:rsidR="00BB5759" w:rsidRPr="00682149">
        <w:rPr>
          <w:rFonts w:ascii="Arial" w:hAnsi="Arial" w:cs="Arial"/>
          <w:color w:val="000000" w:themeColor="text1"/>
          <w:sz w:val="24"/>
          <w:szCs w:val="24"/>
        </w:rPr>
        <w:t>,</w:t>
      </w:r>
      <w:r w:rsidR="00932B8E" w:rsidRPr="00682149">
        <w:rPr>
          <w:rFonts w:ascii="Arial" w:hAnsi="Arial" w:cs="Arial"/>
          <w:color w:val="000000" w:themeColor="text1"/>
          <w:sz w:val="24"/>
          <w:szCs w:val="24"/>
        </w:rPr>
        <w:t xml:space="preserve"> cada una de las soluc</w:t>
      </w:r>
      <w:r w:rsidR="009C0C6A" w:rsidRPr="00682149">
        <w:rPr>
          <w:rFonts w:ascii="Arial" w:hAnsi="Arial" w:cs="Arial"/>
          <w:color w:val="000000" w:themeColor="text1"/>
          <w:sz w:val="24"/>
          <w:szCs w:val="24"/>
        </w:rPr>
        <w:t xml:space="preserve">iones </w:t>
      </w:r>
      <w:r w:rsidR="009C2B60" w:rsidRPr="00682149">
        <w:rPr>
          <w:rFonts w:ascii="Arial" w:hAnsi="Arial" w:cs="Arial"/>
          <w:color w:val="000000" w:themeColor="text1"/>
          <w:sz w:val="24"/>
          <w:szCs w:val="24"/>
        </w:rPr>
        <w:t>tiene alrededor de 750 W</w:t>
      </w:r>
      <w:r w:rsidR="00932B8E" w:rsidRPr="00682149">
        <w:rPr>
          <w:rFonts w:ascii="Arial" w:hAnsi="Arial" w:cs="Arial"/>
          <w:color w:val="000000" w:themeColor="text1"/>
          <w:sz w:val="24"/>
          <w:szCs w:val="24"/>
        </w:rPr>
        <w:t xml:space="preserve"> instalados en paneles, con una disponibilidad del servicio de 24 horas. </w:t>
      </w:r>
    </w:p>
    <w:p w14:paraId="5894FAA3" w14:textId="77777777" w:rsidR="00932B8E" w:rsidRPr="00682149" w:rsidRDefault="00932B8E" w:rsidP="001C138F">
      <w:pPr>
        <w:spacing w:after="0" w:line="276" w:lineRule="auto"/>
        <w:rPr>
          <w:rFonts w:ascii="Arial" w:hAnsi="Arial" w:cs="Arial"/>
          <w:color w:val="000000" w:themeColor="text1"/>
          <w:sz w:val="24"/>
          <w:szCs w:val="24"/>
        </w:rPr>
      </w:pPr>
      <w:r w:rsidRPr="00682149">
        <w:rPr>
          <w:rFonts w:ascii="Arial" w:hAnsi="Arial" w:cs="Arial"/>
          <w:color w:val="000000" w:themeColor="text1"/>
          <w:sz w:val="24"/>
          <w:szCs w:val="24"/>
        </w:rPr>
        <w:t xml:space="preserve"> </w:t>
      </w:r>
    </w:p>
    <w:p w14:paraId="4DAFDB8F" w14:textId="0FF025BE" w:rsidR="008E72B0" w:rsidRPr="00682149" w:rsidRDefault="003D36A6" w:rsidP="001C138F">
      <w:pPr>
        <w:spacing w:after="0" w:line="276" w:lineRule="auto"/>
        <w:jc w:val="both"/>
        <w:rPr>
          <w:rFonts w:ascii="Arial" w:hAnsi="Arial" w:cs="Arial"/>
          <w:color w:val="000000" w:themeColor="text1"/>
          <w:sz w:val="24"/>
          <w:szCs w:val="24"/>
        </w:rPr>
      </w:pPr>
      <w:r w:rsidRPr="00682149">
        <w:rPr>
          <w:rFonts w:ascii="Arial" w:hAnsi="Arial" w:cs="Arial"/>
          <w:color w:val="000000" w:themeColor="text1"/>
          <w:sz w:val="24"/>
          <w:szCs w:val="24"/>
        </w:rPr>
        <w:t>vii) Indicó</w:t>
      </w:r>
      <w:r w:rsidR="005F5B46" w:rsidRPr="00682149">
        <w:rPr>
          <w:rFonts w:ascii="Arial" w:hAnsi="Arial" w:cs="Arial"/>
          <w:color w:val="000000" w:themeColor="text1"/>
          <w:sz w:val="24"/>
          <w:szCs w:val="24"/>
        </w:rPr>
        <w:t xml:space="preserve"> que </w:t>
      </w:r>
      <w:r w:rsidR="00932B8E" w:rsidRPr="00682149">
        <w:rPr>
          <w:rFonts w:ascii="Arial" w:hAnsi="Arial" w:cs="Arial"/>
          <w:color w:val="000000" w:themeColor="text1"/>
          <w:sz w:val="24"/>
          <w:szCs w:val="24"/>
        </w:rPr>
        <w:t>todas las soluciones que se encuentran instaladas en las Zonas No Interco</w:t>
      </w:r>
      <w:r w:rsidR="009C2B60" w:rsidRPr="00682149">
        <w:rPr>
          <w:rFonts w:ascii="Arial" w:hAnsi="Arial" w:cs="Arial"/>
          <w:color w:val="000000" w:themeColor="text1"/>
          <w:sz w:val="24"/>
          <w:szCs w:val="24"/>
        </w:rPr>
        <w:t>nectadas, son superiores a 500W</w:t>
      </w:r>
      <w:r w:rsidR="00932B8E" w:rsidRPr="00682149">
        <w:rPr>
          <w:rFonts w:ascii="Arial" w:hAnsi="Arial" w:cs="Arial"/>
          <w:color w:val="000000" w:themeColor="text1"/>
          <w:sz w:val="24"/>
          <w:szCs w:val="24"/>
        </w:rPr>
        <w:t>, las cuales no tienen una tarifa definida para prestar el servicio de energía según l</w:t>
      </w:r>
      <w:r w:rsidR="005F5B46" w:rsidRPr="00682149">
        <w:rPr>
          <w:rFonts w:ascii="Arial" w:hAnsi="Arial" w:cs="Arial"/>
          <w:color w:val="000000" w:themeColor="text1"/>
          <w:sz w:val="24"/>
          <w:szCs w:val="24"/>
        </w:rPr>
        <w:t xml:space="preserve">a metodología tarifaria vigente </w:t>
      </w:r>
      <w:r w:rsidR="00664B84" w:rsidRPr="00682149">
        <w:rPr>
          <w:rFonts w:ascii="Arial" w:hAnsi="Arial" w:cs="Arial"/>
          <w:color w:val="000000" w:themeColor="text1"/>
          <w:sz w:val="24"/>
          <w:szCs w:val="24"/>
        </w:rPr>
        <w:t>y</w:t>
      </w:r>
      <w:r w:rsidR="009C2B60" w:rsidRPr="00682149">
        <w:rPr>
          <w:rFonts w:ascii="Arial" w:hAnsi="Arial" w:cs="Arial"/>
          <w:color w:val="000000" w:themeColor="text1"/>
          <w:sz w:val="24"/>
          <w:szCs w:val="24"/>
        </w:rPr>
        <w:t>,</w:t>
      </w:r>
      <w:r w:rsidR="00664B84" w:rsidRPr="00682149">
        <w:rPr>
          <w:rFonts w:ascii="Arial" w:hAnsi="Arial" w:cs="Arial"/>
          <w:color w:val="000000" w:themeColor="text1"/>
          <w:sz w:val="24"/>
          <w:szCs w:val="24"/>
        </w:rPr>
        <w:t xml:space="preserve"> de no expedirse en forma inmediata la regulación transitoria, las empresas podrían interrumpir la prestación del servicio, mientras tramitan la solicitud de cargos ante la CREG </w:t>
      </w:r>
      <w:r w:rsidR="009C0C6A" w:rsidRPr="00682149">
        <w:rPr>
          <w:rFonts w:ascii="Arial" w:hAnsi="Arial" w:cs="Arial"/>
          <w:color w:val="000000" w:themeColor="text1"/>
          <w:sz w:val="24"/>
          <w:szCs w:val="24"/>
        </w:rPr>
        <w:t>para</w:t>
      </w:r>
      <w:r w:rsidR="009C2B60" w:rsidRPr="00682149">
        <w:rPr>
          <w:rFonts w:ascii="Arial" w:hAnsi="Arial" w:cs="Arial"/>
          <w:color w:val="000000" w:themeColor="text1"/>
          <w:sz w:val="24"/>
          <w:szCs w:val="24"/>
        </w:rPr>
        <w:t xml:space="preserve"> </w:t>
      </w:r>
      <w:r w:rsidR="009C0C6A" w:rsidRPr="00682149">
        <w:rPr>
          <w:rFonts w:ascii="Arial" w:hAnsi="Arial" w:cs="Arial"/>
          <w:color w:val="000000" w:themeColor="text1"/>
          <w:sz w:val="24"/>
          <w:szCs w:val="24"/>
        </w:rPr>
        <w:t xml:space="preserve">este tipo de soluciones. </w:t>
      </w:r>
    </w:p>
    <w:p w14:paraId="0AE4B5A1" w14:textId="77777777" w:rsidR="009C0C6A" w:rsidRPr="00682149" w:rsidRDefault="009C0C6A" w:rsidP="001C138F">
      <w:pPr>
        <w:spacing w:after="0" w:line="276" w:lineRule="auto"/>
        <w:jc w:val="both"/>
        <w:rPr>
          <w:rFonts w:ascii="Arial" w:hAnsi="Arial" w:cs="Arial"/>
          <w:color w:val="000000" w:themeColor="text1"/>
          <w:sz w:val="24"/>
          <w:szCs w:val="24"/>
        </w:rPr>
      </w:pPr>
    </w:p>
    <w:p w14:paraId="2B291F3D" w14:textId="72D06BAD" w:rsidR="003D36A6" w:rsidRPr="00682149" w:rsidRDefault="008E72B0" w:rsidP="001C138F">
      <w:pPr>
        <w:spacing w:after="0" w:line="276" w:lineRule="auto"/>
        <w:jc w:val="both"/>
        <w:rPr>
          <w:rFonts w:ascii="Arial" w:hAnsi="Arial" w:cs="Arial"/>
          <w:color w:val="000000" w:themeColor="text1"/>
          <w:sz w:val="24"/>
          <w:szCs w:val="24"/>
        </w:rPr>
      </w:pPr>
      <w:r w:rsidRPr="00682149">
        <w:rPr>
          <w:rFonts w:ascii="Arial" w:hAnsi="Arial" w:cs="Arial"/>
          <w:color w:val="000000" w:themeColor="text1"/>
          <w:sz w:val="24"/>
          <w:szCs w:val="24"/>
        </w:rPr>
        <w:t xml:space="preserve">viii) </w:t>
      </w:r>
      <w:r w:rsidR="003D36A6" w:rsidRPr="00682149">
        <w:rPr>
          <w:rFonts w:ascii="Arial" w:hAnsi="Arial" w:cs="Arial"/>
          <w:color w:val="000000" w:themeColor="text1"/>
          <w:sz w:val="24"/>
          <w:szCs w:val="24"/>
        </w:rPr>
        <w:t xml:space="preserve">Destacó que </w:t>
      </w:r>
      <w:r w:rsidRPr="00682149">
        <w:rPr>
          <w:rFonts w:ascii="Arial" w:hAnsi="Arial" w:cs="Arial"/>
          <w:color w:val="000000" w:themeColor="text1"/>
          <w:sz w:val="24"/>
          <w:szCs w:val="24"/>
        </w:rPr>
        <w:t>el Ministerio de Minas y E</w:t>
      </w:r>
      <w:r w:rsidR="003D36A6" w:rsidRPr="00682149">
        <w:rPr>
          <w:rFonts w:ascii="Arial" w:hAnsi="Arial" w:cs="Arial"/>
          <w:color w:val="000000" w:themeColor="text1"/>
          <w:sz w:val="24"/>
          <w:szCs w:val="24"/>
        </w:rPr>
        <w:t xml:space="preserve">nergía sostuvo que </w:t>
      </w:r>
      <w:r w:rsidRPr="00682149">
        <w:rPr>
          <w:rFonts w:ascii="Arial" w:hAnsi="Arial" w:cs="Arial"/>
          <w:color w:val="000000" w:themeColor="text1"/>
          <w:sz w:val="24"/>
          <w:szCs w:val="24"/>
        </w:rPr>
        <w:t xml:space="preserve">existe </w:t>
      </w:r>
      <w:r w:rsidR="005F5B46" w:rsidRPr="00682149">
        <w:rPr>
          <w:rFonts w:ascii="Arial" w:hAnsi="Arial" w:cs="Arial"/>
          <w:color w:val="000000" w:themeColor="text1"/>
          <w:sz w:val="24"/>
          <w:szCs w:val="24"/>
        </w:rPr>
        <w:t xml:space="preserve">urgencia </w:t>
      </w:r>
      <w:r w:rsidR="009C2B60" w:rsidRPr="00682149">
        <w:rPr>
          <w:rFonts w:ascii="Arial" w:hAnsi="Arial" w:cs="Arial"/>
          <w:color w:val="000000" w:themeColor="text1"/>
          <w:sz w:val="24"/>
          <w:szCs w:val="24"/>
        </w:rPr>
        <w:t xml:space="preserve">en </w:t>
      </w:r>
      <w:r w:rsidR="005F5B46" w:rsidRPr="00682149">
        <w:rPr>
          <w:rFonts w:ascii="Arial" w:hAnsi="Arial" w:cs="Arial"/>
          <w:color w:val="000000" w:themeColor="text1"/>
          <w:sz w:val="24"/>
          <w:szCs w:val="24"/>
        </w:rPr>
        <w:t>proferir una regulac</w:t>
      </w:r>
      <w:r w:rsidRPr="00682149">
        <w:rPr>
          <w:rFonts w:ascii="Arial" w:hAnsi="Arial" w:cs="Arial"/>
          <w:color w:val="000000" w:themeColor="text1"/>
          <w:sz w:val="24"/>
          <w:szCs w:val="24"/>
        </w:rPr>
        <w:t>ión en el menor tiempo posible</w:t>
      </w:r>
      <w:r w:rsidR="005F5B46" w:rsidRPr="00682149">
        <w:rPr>
          <w:rFonts w:ascii="Arial" w:hAnsi="Arial" w:cs="Arial"/>
          <w:color w:val="000000" w:themeColor="text1"/>
          <w:sz w:val="24"/>
          <w:szCs w:val="24"/>
        </w:rPr>
        <w:t>, considerando</w:t>
      </w:r>
      <w:r w:rsidR="004F28DB" w:rsidRPr="00682149">
        <w:rPr>
          <w:rFonts w:ascii="Arial" w:hAnsi="Arial" w:cs="Arial"/>
          <w:color w:val="000000" w:themeColor="text1"/>
          <w:sz w:val="24"/>
          <w:szCs w:val="24"/>
        </w:rPr>
        <w:t>:</w:t>
      </w:r>
      <w:r w:rsidR="005F5B46" w:rsidRPr="00682149">
        <w:rPr>
          <w:rFonts w:ascii="Arial" w:hAnsi="Arial" w:cs="Arial"/>
          <w:color w:val="000000" w:themeColor="text1"/>
          <w:sz w:val="24"/>
          <w:szCs w:val="24"/>
        </w:rPr>
        <w:t xml:space="preserve"> i) la emergencia sanitaria que atraviesa el país y el nivel de vulnerabilidad de los usuarios potencialment</w:t>
      </w:r>
      <w:r w:rsidR="003D36A6" w:rsidRPr="00682149">
        <w:rPr>
          <w:rFonts w:ascii="Arial" w:hAnsi="Arial" w:cs="Arial"/>
          <w:color w:val="000000" w:themeColor="text1"/>
          <w:sz w:val="24"/>
          <w:szCs w:val="24"/>
        </w:rPr>
        <w:t>e beneficiarios con esta medida</w:t>
      </w:r>
      <w:r w:rsidR="005F5B46" w:rsidRPr="00682149">
        <w:rPr>
          <w:rFonts w:ascii="Arial" w:hAnsi="Arial" w:cs="Arial"/>
          <w:color w:val="000000" w:themeColor="text1"/>
          <w:sz w:val="24"/>
          <w:szCs w:val="24"/>
        </w:rPr>
        <w:t xml:space="preserve"> y ii) que, de acuerdo con el inventario de infraestructura de SSFVI, la mayoría de las SSFVI instaladas actualmen</w:t>
      </w:r>
      <w:r w:rsidRPr="00682149">
        <w:rPr>
          <w:rFonts w:ascii="Arial" w:hAnsi="Arial" w:cs="Arial"/>
          <w:color w:val="000000" w:themeColor="text1"/>
          <w:sz w:val="24"/>
          <w:szCs w:val="24"/>
        </w:rPr>
        <w:t xml:space="preserve">te en ZNI superan esa potencia, </w:t>
      </w:r>
      <w:r w:rsidR="00BB5759" w:rsidRPr="00682149">
        <w:rPr>
          <w:rFonts w:ascii="Arial" w:hAnsi="Arial" w:cs="Arial"/>
          <w:color w:val="000000" w:themeColor="text1"/>
          <w:sz w:val="24"/>
          <w:szCs w:val="24"/>
        </w:rPr>
        <w:t xml:space="preserve">por lo que la coyuntura impide fijar las tarifas </w:t>
      </w:r>
      <w:r w:rsidRPr="00682149">
        <w:rPr>
          <w:rFonts w:ascii="Arial" w:hAnsi="Arial" w:cs="Arial"/>
          <w:color w:val="000000" w:themeColor="text1"/>
          <w:sz w:val="24"/>
          <w:szCs w:val="24"/>
        </w:rPr>
        <w:t>por los causes ordinarios, dado que</w:t>
      </w:r>
      <w:r w:rsidR="003D36A6" w:rsidRPr="00682149">
        <w:rPr>
          <w:rFonts w:ascii="Arial" w:hAnsi="Arial" w:cs="Arial"/>
          <w:color w:val="000000" w:themeColor="text1"/>
          <w:sz w:val="24"/>
          <w:szCs w:val="24"/>
        </w:rPr>
        <w:t>,</w:t>
      </w:r>
      <w:r w:rsidRPr="00682149">
        <w:rPr>
          <w:rFonts w:ascii="Arial" w:hAnsi="Arial" w:cs="Arial"/>
          <w:color w:val="000000" w:themeColor="text1"/>
          <w:sz w:val="24"/>
          <w:szCs w:val="24"/>
        </w:rPr>
        <w:t xml:space="preserve"> </w:t>
      </w:r>
      <w:r w:rsidR="003D36A6" w:rsidRPr="00682149">
        <w:rPr>
          <w:rFonts w:ascii="Arial" w:hAnsi="Arial" w:cs="Arial"/>
          <w:color w:val="000000" w:themeColor="text1"/>
          <w:sz w:val="24"/>
          <w:szCs w:val="24"/>
        </w:rPr>
        <w:t xml:space="preserve">de no expedirse </w:t>
      </w:r>
      <w:r w:rsidR="005F5B46" w:rsidRPr="00682149">
        <w:rPr>
          <w:rFonts w:ascii="Arial" w:hAnsi="Arial" w:cs="Arial"/>
          <w:color w:val="000000" w:themeColor="text1"/>
          <w:sz w:val="24"/>
          <w:szCs w:val="24"/>
        </w:rPr>
        <w:t>e</w:t>
      </w:r>
      <w:r w:rsidR="003D36A6" w:rsidRPr="00682149">
        <w:rPr>
          <w:rFonts w:ascii="Arial" w:hAnsi="Arial" w:cs="Arial"/>
          <w:color w:val="000000" w:themeColor="text1"/>
          <w:sz w:val="24"/>
          <w:szCs w:val="24"/>
        </w:rPr>
        <w:t>n</w:t>
      </w:r>
      <w:r w:rsidR="005F5B46" w:rsidRPr="00682149">
        <w:rPr>
          <w:rFonts w:ascii="Arial" w:hAnsi="Arial" w:cs="Arial"/>
          <w:color w:val="000000" w:themeColor="text1"/>
          <w:sz w:val="24"/>
          <w:szCs w:val="24"/>
        </w:rPr>
        <w:t xml:space="preserve"> forma inmediata una regulación transitoria que cubra la prestación del servicio</w:t>
      </w:r>
      <w:r w:rsidRPr="00682149">
        <w:rPr>
          <w:rFonts w:ascii="Arial" w:hAnsi="Arial" w:cs="Arial"/>
          <w:color w:val="000000" w:themeColor="text1"/>
          <w:sz w:val="24"/>
          <w:szCs w:val="24"/>
        </w:rPr>
        <w:t xml:space="preserve">, </w:t>
      </w:r>
      <w:r w:rsidR="003D36A6" w:rsidRPr="00682149">
        <w:rPr>
          <w:rFonts w:ascii="Arial" w:hAnsi="Arial" w:cs="Arial"/>
          <w:color w:val="000000" w:themeColor="text1"/>
          <w:sz w:val="24"/>
          <w:szCs w:val="24"/>
        </w:rPr>
        <w:t xml:space="preserve">el trámite ordinario </w:t>
      </w:r>
      <w:r w:rsidRPr="00682149">
        <w:rPr>
          <w:rFonts w:ascii="Arial" w:hAnsi="Arial" w:cs="Arial"/>
          <w:color w:val="000000" w:themeColor="text1"/>
          <w:sz w:val="24"/>
          <w:szCs w:val="24"/>
        </w:rPr>
        <w:t xml:space="preserve">podría tardar como mínimo </w:t>
      </w:r>
      <w:r w:rsidR="003D36A6" w:rsidRPr="00682149">
        <w:rPr>
          <w:rFonts w:ascii="Arial" w:hAnsi="Arial" w:cs="Arial"/>
          <w:color w:val="000000" w:themeColor="text1"/>
          <w:sz w:val="24"/>
          <w:szCs w:val="24"/>
        </w:rPr>
        <w:t>6 o</w:t>
      </w:r>
      <w:r w:rsidR="005F5B46" w:rsidRPr="00682149">
        <w:rPr>
          <w:rFonts w:ascii="Arial" w:hAnsi="Arial" w:cs="Arial"/>
          <w:color w:val="000000" w:themeColor="text1"/>
          <w:sz w:val="24"/>
          <w:szCs w:val="24"/>
        </w:rPr>
        <w:t xml:space="preserve"> 7 meses,</w:t>
      </w:r>
      <w:r w:rsidR="003D36A6" w:rsidRPr="00682149">
        <w:rPr>
          <w:rFonts w:ascii="Arial" w:hAnsi="Arial" w:cs="Arial"/>
          <w:color w:val="000000" w:themeColor="text1"/>
          <w:sz w:val="24"/>
          <w:szCs w:val="24"/>
        </w:rPr>
        <w:t xml:space="preserve"> corriendo </w:t>
      </w:r>
      <w:r w:rsidRPr="00682149">
        <w:rPr>
          <w:rFonts w:ascii="Arial" w:hAnsi="Arial" w:cs="Arial"/>
          <w:color w:val="000000" w:themeColor="text1"/>
          <w:sz w:val="24"/>
          <w:szCs w:val="24"/>
        </w:rPr>
        <w:t xml:space="preserve">el riesgo de la </w:t>
      </w:r>
      <w:r w:rsidR="009C0C6A" w:rsidRPr="00682149">
        <w:rPr>
          <w:rFonts w:ascii="Arial" w:hAnsi="Arial" w:cs="Arial"/>
          <w:color w:val="000000" w:themeColor="text1"/>
          <w:sz w:val="24"/>
          <w:szCs w:val="24"/>
        </w:rPr>
        <w:t xml:space="preserve">interrupción </w:t>
      </w:r>
      <w:r w:rsidRPr="00682149">
        <w:rPr>
          <w:rFonts w:ascii="Arial" w:hAnsi="Arial" w:cs="Arial"/>
          <w:color w:val="000000" w:themeColor="text1"/>
          <w:sz w:val="24"/>
          <w:szCs w:val="24"/>
        </w:rPr>
        <w:t>del servicio</w:t>
      </w:r>
      <w:r w:rsidR="009C0C6A" w:rsidRPr="00682149">
        <w:rPr>
          <w:rFonts w:ascii="Arial" w:hAnsi="Arial" w:cs="Arial"/>
          <w:color w:val="000000" w:themeColor="text1"/>
          <w:sz w:val="24"/>
          <w:szCs w:val="24"/>
        </w:rPr>
        <w:t xml:space="preserve"> por los prestadores</w:t>
      </w:r>
      <w:r w:rsidR="003D36A6" w:rsidRPr="00682149">
        <w:rPr>
          <w:rFonts w:ascii="Arial" w:hAnsi="Arial" w:cs="Arial"/>
          <w:color w:val="000000" w:themeColor="text1"/>
          <w:sz w:val="24"/>
          <w:szCs w:val="24"/>
        </w:rPr>
        <w:t xml:space="preserve">. Esto </w:t>
      </w:r>
      <w:r w:rsidRPr="00682149">
        <w:rPr>
          <w:rFonts w:ascii="Arial" w:hAnsi="Arial" w:cs="Arial"/>
          <w:color w:val="000000" w:themeColor="text1"/>
          <w:sz w:val="24"/>
          <w:szCs w:val="24"/>
        </w:rPr>
        <w:t xml:space="preserve">implicaría </w:t>
      </w:r>
      <w:r w:rsidR="005F5B46" w:rsidRPr="00682149">
        <w:rPr>
          <w:rFonts w:ascii="Arial" w:hAnsi="Arial" w:cs="Arial"/>
          <w:color w:val="000000" w:themeColor="text1"/>
          <w:sz w:val="24"/>
          <w:szCs w:val="24"/>
        </w:rPr>
        <w:t>que las 13.000 familias que actualmente dependen de estas soluciones para la prestación del servicio dejen de recibir el suministro de energía</w:t>
      </w:r>
      <w:r w:rsidRPr="00682149">
        <w:rPr>
          <w:rFonts w:ascii="Arial" w:hAnsi="Arial" w:cs="Arial"/>
          <w:color w:val="000000" w:themeColor="text1"/>
          <w:sz w:val="24"/>
          <w:szCs w:val="24"/>
        </w:rPr>
        <w:t xml:space="preserve">, </w:t>
      </w:r>
      <w:r w:rsidR="005F5B46" w:rsidRPr="00682149">
        <w:rPr>
          <w:rFonts w:ascii="Arial" w:hAnsi="Arial" w:cs="Arial"/>
          <w:color w:val="000000" w:themeColor="text1"/>
          <w:sz w:val="24"/>
          <w:szCs w:val="24"/>
        </w:rPr>
        <w:t xml:space="preserve">evento que agravaría la situación económica y social de la población ya afectada por la emergencia derivada de la propagación de la </w:t>
      </w:r>
      <w:proofErr w:type="spellStart"/>
      <w:r w:rsidR="005F5B46" w:rsidRPr="00682149">
        <w:rPr>
          <w:rFonts w:ascii="Arial" w:hAnsi="Arial" w:cs="Arial"/>
          <w:color w:val="000000" w:themeColor="text1"/>
          <w:sz w:val="24"/>
          <w:szCs w:val="24"/>
        </w:rPr>
        <w:t>Covid</w:t>
      </w:r>
      <w:proofErr w:type="spellEnd"/>
      <w:r w:rsidR="005F5B46" w:rsidRPr="00682149">
        <w:rPr>
          <w:rFonts w:ascii="Arial" w:hAnsi="Arial" w:cs="Arial"/>
          <w:color w:val="000000" w:themeColor="text1"/>
          <w:sz w:val="24"/>
          <w:szCs w:val="24"/>
        </w:rPr>
        <w:t xml:space="preserve"> -19</w:t>
      </w:r>
      <w:r w:rsidR="003D36A6" w:rsidRPr="00682149">
        <w:rPr>
          <w:rFonts w:ascii="Arial" w:hAnsi="Arial" w:cs="Arial"/>
          <w:color w:val="000000" w:themeColor="text1"/>
          <w:sz w:val="24"/>
          <w:szCs w:val="24"/>
        </w:rPr>
        <w:t>.</w:t>
      </w:r>
    </w:p>
    <w:p w14:paraId="66874670" w14:textId="716C5449" w:rsidR="008E72B0" w:rsidRPr="00682149" w:rsidRDefault="003D36A6" w:rsidP="001C138F">
      <w:pPr>
        <w:spacing w:after="0" w:line="276" w:lineRule="auto"/>
        <w:jc w:val="both"/>
        <w:rPr>
          <w:rFonts w:ascii="Arial" w:hAnsi="Arial" w:cs="Arial"/>
          <w:color w:val="000000" w:themeColor="text1"/>
          <w:sz w:val="24"/>
          <w:szCs w:val="24"/>
        </w:rPr>
      </w:pPr>
      <w:r w:rsidRPr="00682149">
        <w:rPr>
          <w:rFonts w:ascii="Arial" w:hAnsi="Arial" w:cs="Arial"/>
          <w:color w:val="000000" w:themeColor="text1"/>
          <w:sz w:val="24"/>
          <w:szCs w:val="24"/>
        </w:rPr>
        <w:t xml:space="preserve"> </w:t>
      </w:r>
    </w:p>
    <w:p w14:paraId="6A8BE59C" w14:textId="31888EFC" w:rsidR="0016241C" w:rsidRPr="00682149" w:rsidRDefault="008E72B0" w:rsidP="001C138F">
      <w:pPr>
        <w:spacing w:after="0" w:line="276" w:lineRule="auto"/>
        <w:jc w:val="both"/>
        <w:rPr>
          <w:rFonts w:ascii="Arial" w:hAnsi="Arial" w:cs="Arial"/>
          <w:color w:val="000000" w:themeColor="text1"/>
          <w:sz w:val="24"/>
          <w:szCs w:val="24"/>
        </w:rPr>
      </w:pPr>
      <w:r w:rsidRPr="00682149">
        <w:rPr>
          <w:rFonts w:ascii="Arial" w:hAnsi="Arial" w:cs="Arial"/>
          <w:color w:val="000000" w:themeColor="text1"/>
          <w:sz w:val="24"/>
          <w:szCs w:val="24"/>
        </w:rPr>
        <w:t xml:space="preserve">ix) </w:t>
      </w:r>
      <w:r w:rsidR="003D36A6" w:rsidRPr="00682149">
        <w:rPr>
          <w:rFonts w:ascii="Arial" w:hAnsi="Arial" w:cs="Arial"/>
          <w:color w:val="000000" w:themeColor="text1"/>
          <w:sz w:val="24"/>
          <w:szCs w:val="24"/>
        </w:rPr>
        <w:t>Señaló que e</w:t>
      </w:r>
      <w:r w:rsidR="0016241C" w:rsidRPr="00682149">
        <w:rPr>
          <w:rFonts w:ascii="Arial" w:hAnsi="Arial" w:cs="Arial"/>
          <w:color w:val="000000" w:themeColor="text1"/>
          <w:sz w:val="24"/>
          <w:szCs w:val="24"/>
        </w:rPr>
        <w:t xml:space="preserve">l servicio de energía cobra importancia, pues ello </w:t>
      </w:r>
      <w:r w:rsidR="007B1332" w:rsidRPr="00682149">
        <w:rPr>
          <w:rFonts w:ascii="Arial" w:hAnsi="Arial" w:cs="Arial"/>
          <w:color w:val="000000" w:themeColor="text1"/>
          <w:sz w:val="24"/>
          <w:szCs w:val="24"/>
        </w:rPr>
        <w:t xml:space="preserve">comporta </w:t>
      </w:r>
      <w:r w:rsidR="0016241C" w:rsidRPr="00682149">
        <w:rPr>
          <w:rFonts w:ascii="Arial" w:hAnsi="Arial" w:cs="Arial"/>
          <w:color w:val="000000" w:themeColor="text1"/>
          <w:sz w:val="24"/>
          <w:szCs w:val="24"/>
        </w:rPr>
        <w:t xml:space="preserve">acceder a </w:t>
      </w:r>
      <w:r w:rsidR="009C2B60" w:rsidRPr="00682149">
        <w:rPr>
          <w:rFonts w:ascii="Arial" w:hAnsi="Arial" w:cs="Arial"/>
          <w:color w:val="000000" w:themeColor="text1"/>
          <w:sz w:val="24"/>
          <w:szCs w:val="24"/>
        </w:rPr>
        <w:t xml:space="preserve">la </w:t>
      </w:r>
      <w:r w:rsidR="0016241C" w:rsidRPr="00682149">
        <w:rPr>
          <w:rFonts w:ascii="Arial" w:hAnsi="Arial" w:cs="Arial"/>
          <w:color w:val="000000" w:themeColor="text1"/>
          <w:sz w:val="24"/>
          <w:szCs w:val="24"/>
        </w:rPr>
        <w:t>infraestructura hospitalaria o facilidades para la conservación de medicamentos, salvaguardar derechos fundamentales de se</w:t>
      </w:r>
      <w:r w:rsidR="003D36A6" w:rsidRPr="00682149">
        <w:rPr>
          <w:rFonts w:ascii="Arial" w:hAnsi="Arial" w:cs="Arial"/>
          <w:color w:val="000000" w:themeColor="text1"/>
          <w:sz w:val="24"/>
          <w:szCs w:val="24"/>
        </w:rPr>
        <w:t>guridad alimentaria</w:t>
      </w:r>
      <w:r w:rsidR="00BD6F35" w:rsidRPr="00682149">
        <w:rPr>
          <w:rFonts w:ascii="Arial" w:hAnsi="Arial" w:cs="Arial"/>
          <w:color w:val="000000" w:themeColor="text1"/>
          <w:sz w:val="24"/>
          <w:szCs w:val="24"/>
        </w:rPr>
        <w:t>, educación o</w:t>
      </w:r>
      <w:r w:rsidR="003D36A6" w:rsidRPr="00682149">
        <w:rPr>
          <w:rFonts w:ascii="Arial" w:hAnsi="Arial" w:cs="Arial"/>
          <w:color w:val="000000" w:themeColor="text1"/>
          <w:sz w:val="24"/>
          <w:szCs w:val="24"/>
        </w:rPr>
        <w:t xml:space="preserve"> </w:t>
      </w:r>
      <w:r w:rsidR="0016241C" w:rsidRPr="00682149">
        <w:rPr>
          <w:rFonts w:ascii="Arial" w:hAnsi="Arial" w:cs="Arial"/>
          <w:color w:val="000000" w:themeColor="text1"/>
          <w:sz w:val="24"/>
          <w:szCs w:val="24"/>
        </w:rPr>
        <w:t xml:space="preserve">permitir el acceso a servicios como el </w:t>
      </w:r>
      <w:r w:rsidR="003D36A6" w:rsidRPr="00682149">
        <w:rPr>
          <w:rFonts w:ascii="Arial" w:hAnsi="Arial" w:cs="Arial"/>
          <w:color w:val="000000" w:themeColor="text1"/>
          <w:sz w:val="24"/>
          <w:szCs w:val="24"/>
        </w:rPr>
        <w:t>internet y la telefonía celular, entre otros bienes.</w:t>
      </w:r>
      <w:r w:rsidR="0016241C" w:rsidRPr="00682149">
        <w:rPr>
          <w:rFonts w:ascii="Arial" w:hAnsi="Arial" w:cs="Arial"/>
          <w:color w:val="000000" w:themeColor="text1"/>
          <w:sz w:val="24"/>
          <w:szCs w:val="24"/>
        </w:rPr>
        <w:t xml:space="preserve">     </w:t>
      </w:r>
    </w:p>
    <w:p w14:paraId="5DC56247" w14:textId="77777777" w:rsidR="0016241C" w:rsidRPr="00682149" w:rsidRDefault="0016241C" w:rsidP="001C138F">
      <w:pPr>
        <w:spacing w:after="0" w:line="276" w:lineRule="auto"/>
        <w:jc w:val="both"/>
        <w:rPr>
          <w:rFonts w:ascii="Arial" w:hAnsi="Arial" w:cs="Arial"/>
          <w:color w:val="000000" w:themeColor="text1"/>
          <w:sz w:val="24"/>
          <w:szCs w:val="24"/>
        </w:rPr>
      </w:pPr>
    </w:p>
    <w:p w14:paraId="2F805737" w14:textId="1D1A98DB" w:rsidR="00932B8E" w:rsidRPr="00682149" w:rsidRDefault="007B1332" w:rsidP="001C138F">
      <w:pPr>
        <w:spacing w:after="0" w:line="276" w:lineRule="auto"/>
        <w:jc w:val="both"/>
        <w:rPr>
          <w:rFonts w:ascii="Arial" w:hAnsi="Arial" w:cs="Arial"/>
          <w:color w:val="000000" w:themeColor="text1"/>
          <w:sz w:val="24"/>
          <w:szCs w:val="24"/>
        </w:rPr>
      </w:pPr>
      <w:r w:rsidRPr="00682149">
        <w:rPr>
          <w:rFonts w:ascii="Arial" w:hAnsi="Arial" w:cs="Arial"/>
          <w:color w:val="000000" w:themeColor="text1"/>
          <w:sz w:val="24"/>
          <w:szCs w:val="24"/>
        </w:rPr>
        <w:t>x)</w:t>
      </w:r>
      <w:r w:rsidR="009C2B60" w:rsidRPr="00682149">
        <w:rPr>
          <w:rFonts w:ascii="Arial" w:hAnsi="Arial" w:cs="Arial"/>
          <w:color w:val="000000" w:themeColor="text1"/>
          <w:sz w:val="24"/>
          <w:szCs w:val="24"/>
        </w:rPr>
        <w:t xml:space="preserve"> </w:t>
      </w:r>
      <w:r w:rsidR="00E5639D" w:rsidRPr="00682149">
        <w:rPr>
          <w:rFonts w:ascii="Arial" w:hAnsi="Arial" w:cs="Arial"/>
          <w:color w:val="000000" w:themeColor="text1"/>
          <w:sz w:val="24"/>
          <w:szCs w:val="24"/>
        </w:rPr>
        <w:t>S</w:t>
      </w:r>
      <w:r w:rsidR="0016241C" w:rsidRPr="00682149">
        <w:rPr>
          <w:rFonts w:ascii="Arial" w:hAnsi="Arial" w:cs="Arial"/>
          <w:color w:val="000000" w:themeColor="text1"/>
          <w:sz w:val="24"/>
          <w:szCs w:val="24"/>
        </w:rPr>
        <w:t xml:space="preserve">eñaló </w:t>
      </w:r>
      <w:r w:rsidR="00932B8E" w:rsidRPr="00682149">
        <w:rPr>
          <w:rFonts w:ascii="Arial" w:hAnsi="Arial" w:cs="Arial"/>
          <w:color w:val="000000" w:themeColor="text1"/>
          <w:sz w:val="24"/>
          <w:szCs w:val="24"/>
        </w:rPr>
        <w:t>que</w:t>
      </w:r>
      <w:r w:rsidR="008004E2">
        <w:rPr>
          <w:rFonts w:ascii="Arial" w:hAnsi="Arial" w:cs="Arial"/>
          <w:color w:val="000000" w:themeColor="text1"/>
          <w:sz w:val="24"/>
          <w:szCs w:val="24"/>
        </w:rPr>
        <w:t>,</w:t>
      </w:r>
      <w:r w:rsidR="00932B8E" w:rsidRPr="00682149">
        <w:rPr>
          <w:rFonts w:ascii="Arial" w:hAnsi="Arial" w:cs="Arial"/>
          <w:color w:val="000000" w:themeColor="text1"/>
          <w:sz w:val="24"/>
          <w:szCs w:val="24"/>
        </w:rPr>
        <w:t xml:space="preserve"> </w:t>
      </w:r>
      <w:r w:rsidR="0016241C" w:rsidRPr="00682149">
        <w:rPr>
          <w:rFonts w:ascii="Arial" w:hAnsi="Arial" w:cs="Arial"/>
          <w:color w:val="000000" w:themeColor="text1"/>
          <w:sz w:val="24"/>
          <w:szCs w:val="24"/>
        </w:rPr>
        <w:t xml:space="preserve">como </w:t>
      </w:r>
      <w:r w:rsidR="00932B8E" w:rsidRPr="00682149">
        <w:rPr>
          <w:rFonts w:ascii="Arial" w:hAnsi="Arial" w:cs="Arial"/>
          <w:color w:val="000000" w:themeColor="text1"/>
          <w:sz w:val="24"/>
          <w:szCs w:val="24"/>
        </w:rPr>
        <w:t>no existe una tarifa aprobada para aquellas soluciones cu</w:t>
      </w:r>
      <w:r w:rsidR="005F5BDA" w:rsidRPr="00682149">
        <w:rPr>
          <w:rFonts w:ascii="Arial" w:hAnsi="Arial" w:cs="Arial"/>
          <w:color w:val="000000" w:themeColor="text1"/>
          <w:sz w:val="24"/>
          <w:szCs w:val="24"/>
        </w:rPr>
        <w:t>ya potencia sea superior a 500 W</w:t>
      </w:r>
      <w:r w:rsidR="0016241C" w:rsidRPr="00682149">
        <w:rPr>
          <w:rFonts w:ascii="Arial" w:hAnsi="Arial" w:cs="Arial"/>
          <w:color w:val="000000" w:themeColor="text1"/>
          <w:sz w:val="24"/>
          <w:szCs w:val="24"/>
        </w:rPr>
        <w:t xml:space="preserve">, </w:t>
      </w:r>
      <w:r w:rsidR="00932B8E" w:rsidRPr="00682149">
        <w:rPr>
          <w:rFonts w:ascii="Arial" w:hAnsi="Arial" w:cs="Arial"/>
          <w:color w:val="000000" w:themeColor="text1"/>
          <w:sz w:val="24"/>
          <w:szCs w:val="24"/>
        </w:rPr>
        <w:t xml:space="preserve">es necesario </w:t>
      </w:r>
      <w:r w:rsidR="0051328C" w:rsidRPr="00682149">
        <w:rPr>
          <w:rFonts w:ascii="Arial" w:hAnsi="Arial" w:cs="Arial"/>
          <w:color w:val="000000" w:themeColor="text1"/>
          <w:sz w:val="24"/>
          <w:szCs w:val="24"/>
        </w:rPr>
        <w:t xml:space="preserve">adoptar </w:t>
      </w:r>
      <w:r w:rsidR="00932B8E" w:rsidRPr="00682149">
        <w:rPr>
          <w:rFonts w:ascii="Arial" w:hAnsi="Arial" w:cs="Arial"/>
          <w:color w:val="000000" w:themeColor="text1"/>
          <w:sz w:val="24"/>
          <w:szCs w:val="24"/>
        </w:rPr>
        <w:t xml:space="preserve">una regulación al respecto, pues en estos momentos no sería viable acudir al procedimiento </w:t>
      </w:r>
      <w:r w:rsidR="0016241C" w:rsidRPr="00682149">
        <w:rPr>
          <w:rFonts w:ascii="Arial" w:hAnsi="Arial" w:cs="Arial"/>
          <w:color w:val="000000" w:themeColor="text1"/>
          <w:sz w:val="24"/>
          <w:szCs w:val="24"/>
        </w:rPr>
        <w:t xml:space="preserve">ordinario </w:t>
      </w:r>
      <w:r w:rsidR="009C0C6A" w:rsidRPr="00682149">
        <w:rPr>
          <w:rFonts w:ascii="Arial" w:hAnsi="Arial" w:cs="Arial"/>
          <w:color w:val="000000" w:themeColor="text1"/>
          <w:sz w:val="24"/>
          <w:szCs w:val="24"/>
        </w:rPr>
        <w:t>previsto</w:t>
      </w:r>
      <w:r w:rsidR="00932B8E" w:rsidRPr="00682149">
        <w:rPr>
          <w:rFonts w:ascii="Arial" w:hAnsi="Arial" w:cs="Arial"/>
          <w:color w:val="000000" w:themeColor="text1"/>
          <w:sz w:val="24"/>
          <w:szCs w:val="24"/>
        </w:rPr>
        <w:t xml:space="preserve"> en la Ley 142 de 1994 y en el CPACA, </w:t>
      </w:r>
      <w:r w:rsidR="0016241C" w:rsidRPr="00682149">
        <w:rPr>
          <w:rFonts w:ascii="Arial" w:hAnsi="Arial" w:cs="Arial"/>
          <w:color w:val="000000" w:themeColor="text1"/>
          <w:sz w:val="24"/>
          <w:szCs w:val="24"/>
        </w:rPr>
        <w:t>sin poner e</w:t>
      </w:r>
      <w:r w:rsidR="00C70543" w:rsidRPr="00682149">
        <w:rPr>
          <w:rFonts w:ascii="Arial" w:hAnsi="Arial" w:cs="Arial"/>
          <w:color w:val="000000" w:themeColor="text1"/>
          <w:sz w:val="24"/>
          <w:szCs w:val="24"/>
        </w:rPr>
        <w:t>n</w:t>
      </w:r>
      <w:r w:rsidR="0016241C" w:rsidRPr="00682149">
        <w:rPr>
          <w:rFonts w:ascii="Arial" w:hAnsi="Arial" w:cs="Arial"/>
          <w:color w:val="000000" w:themeColor="text1"/>
          <w:sz w:val="24"/>
          <w:szCs w:val="24"/>
        </w:rPr>
        <w:t xml:space="preserve"> riesgo </w:t>
      </w:r>
      <w:r w:rsidR="009C0C6A" w:rsidRPr="00682149">
        <w:rPr>
          <w:rFonts w:ascii="Arial" w:hAnsi="Arial" w:cs="Arial"/>
          <w:color w:val="000000" w:themeColor="text1"/>
          <w:sz w:val="24"/>
          <w:szCs w:val="24"/>
        </w:rPr>
        <w:t>la suspensión</w:t>
      </w:r>
      <w:r w:rsidR="00932B8E" w:rsidRPr="00682149">
        <w:rPr>
          <w:rFonts w:ascii="Arial" w:hAnsi="Arial" w:cs="Arial"/>
          <w:color w:val="000000" w:themeColor="text1"/>
          <w:sz w:val="24"/>
          <w:szCs w:val="24"/>
        </w:rPr>
        <w:t>, situación que agravaría las condiciones de</w:t>
      </w:r>
      <w:r w:rsidR="0016241C" w:rsidRPr="00682149">
        <w:rPr>
          <w:rFonts w:ascii="Arial" w:hAnsi="Arial" w:cs="Arial"/>
          <w:color w:val="000000" w:themeColor="text1"/>
          <w:sz w:val="24"/>
          <w:szCs w:val="24"/>
        </w:rPr>
        <w:t xml:space="preserve"> vulnerabilidad de</w:t>
      </w:r>
      <w:r w:rsidR="00932B8E" w:rsidRPr="00682149">
        <w:rPr>
          <w:rFonts w:ascii="Arial" w:hAnsi="Arial" w:cs="Arial"/>
          <w:color w:val="000000" w:themeColor="text1"/>
          <w:sz w:val="24"/>
          <w:szCs w:val="24"/>
        </w:rPr>
        <w:t xml:space="preserve"> los habita</w:t>
      </w:r>
      <w:r w:rsidR="009C0C6A" w:rsidRPr="00682149">
        <w:rPr>
          <w:rFonts w:ascii="Arial" w:hAnsi="Arial" w:cs="Arial"/>
          <w:color w:val="000000" w:themeColor="text1"/>
          <w:sz w:val="24"/>
          <w:szCs w:val="24"/>
        </w:rPr>
        <w:t>ntes de estas zonas que cuentan</w:t>
      </w:r>
      <w:r w:rsidR="005F5BDA" w:rsidRPr="00682149">
        <w:rPr>
          <w:rFonts w:ascii="Arial" w:hAnsi="Arial" w:cs="Arial"/>
          <w:color w:val="000000" w:themeColor="text1"/>
          <w:sz w:val="24"/>
          <w:szCs w:val="24"/>
        </w:rPr>
        <w:t xml:space="preserve"> </w:t>
      </w:r>
      <w:r w:rsidR="00932B8E" w:rsidRPr="00682149">
        <w:rPr>
          <w:rFonts w:ascii="Arial" w:hAnsi="Arial" w:cs="Arial"/>
          <w:color w:val="000000" w:themeColor="text1"/>
          <w:sz w:val="24"/>
          <w:szCs w:val="24"/>
        </w:rPr>
        <w:t>soluciones</w:t>
      </w:r>
      <w:r w:rsidR="0016241C" w:rsidRPr="00682149">
        <w:rPr>
          <w:rFonts w:ascii="Arial" w:hAnsi="Arial" w:cs="Arial"/>
          <w:color w:val="000000" w:themeColor="text1"/>
          <w:sz w:val="24"/>
          <w:szCs w:val="24"/>
        </w:rPr>
        <w:t xml:space="preserve"> energéticas</w:t>
      </w:r>
      <w:r w:rsidR="009C0C6A" w:rsidRPr="00682149">
        <w:rPr>
          <w:rFonts w:ascii="Arial" w:hAnsi="Arial" w:cs="Arial"/>
          <w:color w:val="000000" w:themeColor="text1"/>
          <w:sz w:val="24"/>
          <w:szCs w:val="24"/>
        </w:rPr>
        <w:t xml:space="preserve"> fotovoltaicas</w:t>
      </w:r>
      <w:r w:rsidR="00932B8E" w:rsidRPr="00682149">
        <w:rPr>
          <w:rFonts w:ascii="Arial" w:hAnsi="Arial" w:cs="Arial"/>
          <w:color w:val="000000" w:themeColor="text1"/>
          <w:sz w:val="24"/>
          <w:szCs w:val="24"/>
        </w:rPr>
        <w:t xml:space="preserve">.  </w:t>
      </w:r>
    </w:p>
    <w:p w14:paraId="699E9AD7" w14:textId="77777777" w:rsidR="00932B8E" w:rsidRPr="00682149" w:rsidRDefault="00932B8E" w:rsidP="001C138F">
      <w:pPr>
        <w:spacing w:after="0" w:line="276" w:lineRule="auto"/>
        <w:rPr>
          <w:rFonts w:ascii="Arial" w:hAnsi="Arial" w:cs="Arial"/>
          <w:color w:val="000000" w:themeColor="text1"/>
          <w:sz w:val="24"/>
          <w:szCs w:val="24"/>
        </w:rPr>
      </w:pPr>
      <w:r w:rsidRPr="00682149">
        <w:rPr>
          <w:rFonts w:ascii="Arial" w:hAnsi="Arial" w:cs="Arial"/>
          <w:color w:val="000000" w:themeColor="text1"/>
          <w:sz w:val="24"/>
          <w:szCs w:val="24"/>
        </w:rPr>
        <w:t xml:space="preserve"> </w:t>
      </w:r>
    </w:p>
    <w:p w14:paraId="04A71D59" w14:textId="17A3D592" w:rsidR="0016241C" w:rsidRPr="00682149" w:rsidRDefault="009C2B60" w:rsidP="001C138F">
      <w:pPr>
        <w:spacing w:after="0" w:line="276" w:lineRule="auto"/>
        <w:jc w:val="both"/>
        <w:rPr>
          <w:rFonts w:ascii="Arial" w:hAnsi="Arial" w:cs="Arial"/>
          <w:color w:val="000000" w:themeColor="text1"/>
          <w:sz w:val="24"/>
          <w:szCs w:val="24"/>
        </w:rPr>
      </w:pPr>
      <w:r w:rsidRPr="00682149">
        <w:rPr>
          <w:rFonts w:ascii="Arial" w:hAnsi="Arial" w:cs="Arial"/>
          <w:color w:val="000000" w:themeColor="text1"/>
          <w:sz w:val="24"/>
          <w:szCs w:val="24"/>
        </w:rPr>
        <w:t>xi</w:t>
      </w:r>
      <w:r w:rsidR="005F5BDA" w:rsidRPr="00682149">
        <w:rPr>
          <w:rFonts w:ascii="Arial" w:hAnsi="Arial" w:cs="Arial"/>
          <w:color w:val="000000" w:themeColor="text1"/>
          <w:sz w:val="24"/>
          <w:szCs w:val="24"/>
        </w:rPr>
        <w:t>) Reiteró que</w:t>
      </w:r>
      <w:r w:rsidR="008004E2">
        <w:rPr>
          <w:rFonts w:ascii="Arial" w:hAnsi="Arial" w:cs="Arial"/>
          <w:color w:val="000000" w:themeColor="text1"/>
          <w:sz w:val="24"/>
          <w:szCs w:val="24"/>
        </w:rPr>
        <w:t>, en</w:t>
      </w:r>
      <w:r w:rsidR="005F5BDA" w:rsidRPr="00682149">
        <w:rPr>
          <w:rFonts w:ascii="Arial" w:hAnsi="Arial" w:cs="Arial"/>
          <w:color w:val="000000" w:themeColor="text1"/>
          <w:sz w:val="24"/>
          <w:szCs w:val="24"/>
        </w:rPr>
        <w:t xml:space="preserve"> </w:t>
      </w:r>
      <w:r w:rsidR="00932B8E" w:rsidRPr="00682149">
        <w:rPr>
          <w:rFonts w:ascii="Arial" w:hAnsi="Arial" w:cs="Arial"/>
          <w:color w:val="000000" w:themeColor="text1"/>
          <w:sz w:val="24"/>
          <w:szCs w:val="24"/>
        </w:rPr>
        <w:t xml:space="preserve">el marco de las facultades otorgadas por </w:t>
      </w:r>
      <w:r w:rsidR="009C0C6A" w:rsidRPr="00682149">
        <w:rPr>
          <w:rFonts w:ascii="Arial" w:hAnsi="Arial" w:cs="Arial"/>
          <w:color w:val="000000" w:themeColor="text1"/>
          <w:sz w:val="24"/>
          <w:szCs w:val="24"/>
        </w:rPr>
        <w:t xml:space="preserve">el Decreto </w:t>
      </w:r>
      <w:r w:rsidR="008004E2">
        <w:rPr>
          <w:rFonts w:ascii="Arial" w:hAnsi="Arial" w:cs="Arial"/>
          <w:color w:val="000000" w:themeColor="text1"/>
          <w:sz w:val="24"/>
          <w:szCs w:val="24"/>
        </w:rPr>
        <w:t xml:space="preserve">Legislativo </w:t>
      </w:r>
      <w:r w:rsidR="009C0C6A" w:rsidRPr="00682149">
        <w:rPr>
          <w:rFonts w:ascii="Arial" w:hAnsi="Arial" w:cs="Arial"/>
          <w:color w:val="000000" w:themeColor="text1"/>
          <w:sz w:val="24"/>
          <w:szCs w:val="24"/>
        </w:rPr>
        <w:t xml:space="preserve">517 de 2020, le corresponde </w:t>
      </w:r>
      <w:r w:rsidR="00932B8E" w:rsidRPr="00682149">
        <w:rPr>
          <w:rFonts w:ascii="Arial" w:hAnsi="Arial" w:cs="Arial"/>
          <w:color w:val="000000" w:themeColor="text1"/>
          <w:sz w:val="24"/>
          <w:szCs w:val="24"/>
        </w:rPr>
        <w:t xml:space="preserve">a la CREG </w:t>
      </w:r>
      <w:r w:rsidRPr="00682149">
        <w:rPr>
          <w:rFonts w:ascii="Arial" w:hAnsi="Arial" w:cs="Arial"/>
          <w:color w:val="000000" w:themeColor="text1"/>
          <w:sz w:val="24"/>
          <w:szCs w:val="24"/>
        </w:rPr>
        <w:t xml:space="preserve"> </w:t>
      </w:r>
      <w:r w:rsidR="00932B8E" w:rsidRPr="00682149">
        <w:rPr>
          <w:rFonts w:ascii="Arial" w:hAnsi="Arial" w:cs="Arial"/>
          <w:color w:val="000000" w:themeColor="text1"/>
          <w:sz w:val="24"/>
          <w:szCs w:val="24"/>
        </w:rPr>
        <w:t xml:space="preserve">adoptar una metodología transitoria para </w:t>
      </w:r>
      <w:r w:rsidR="0016241C" w:rsidRPr="00682149">
        <w:rPr>
          <w:rFonts w:ascii="Arial" w:hAnsi="Arial" w:cs="Arial"/>
          <w:color w:val="000000" w:themeColor="text1"/>
          <w:sz w:val="24"/>
          <w:szCs w:val="24"/>
        </w:rPr>
        <w:t xml:space="preserve">fijar </w:t>
      </w:r>
      <w:r w:rsidR="00932B8E" w:rsidRPr="00682149">
        <w:rPr>
          <w:rFonts w:ascii="Arial" w:hAnsi="Arial" w:cs="Arial"/>
          <w:color w:val="000000" w:themeColor="text1"/>
          <w:sz w:val="24"/>
          <w:szCs w:val="24"/>
        </w:rPr>
        <w:t xml:space="preserve">las </w:t>
      </w:r>
      <w:r w:rsidR="0016241C" w:rsidRPr="00682149">
        <w:rPr>
          <w:rFonts w:ascii="Arial" w:hAnsi="Arial" w:cs="Arial"/>
          <w:color w:val="000000" w:themeColor="text1"/>
          <w:sz w:val="24"/>
          <w:szCs w:val="24"/>
        </w:rPr>
        <w:t xml:space="preserve">tarifas </w:t>
      </w:r>
      <w:r w:rsidR="003C1A92" w:rsidRPr="00682149">
        <w:rPr>
          <w:rFonts w:ascii="Arial" w:hAnsi="Arial" w:cs="Arial"/>
          <w:color w:val="000000" w:themeColor="text1"/>
          <w:sz w:val="24"/>
          <w:szCs w:val="24"/>
        </w:rPr>
        <w:t>por la prestación del servicio que cubra las soluciones individuales foto</w:t>
      </w:r>
      <w:r w:rsidRPr="00682149">
        <w:rPr>
          <w:rFonts w:ascii="Arial" w:hAnsi="Arial" w:cs="Arial"/>
          <w:color w:val="000000" w:themeColor="text1"/>
          <w:sz w:val="24"/>
          <w:szCs w:val="24"/>
        </w:rPr>
        <w:t>voltaicas AC superiores a 500 W</w:t>
      </w:r>
      <w:r w:rsidR="005F5BDA" w:rsidRPr="00682149">
        <w:rPr>
          <w:rFonts w:ascii="Arial" w:hAnsi="Arial" w:cs="Arial"/>
          <w:color w:val="000000" w:themeColor="text1"/>
          <w:sz w:val="24"/>
          <w:szCs w:val="24"/>
        </w:rPr>
        <w:t xml:space="preserve"> e</w:t>
      </w:r>
      <w:r w:rsidR="003C1A92" w:rsidRPr="00682149">
        <w:rPr>
          <w:rFonts w:ascii="Arial" w:hAnsi="Arial" w:cs="Arial"/>
          <w:color w:val="000000" w:themeColor="text1"/>
          <w:sz w:val="24"/>
          <w:szCs w:val="24"/>
        </w:rPr>
        <w:t>n zonas no interconectadas</w:t>
      </w:r>
      <w:r w:rsidR="005F5BDA" w:rsidRPr="00682149">
        <w:rPr>
          <w:rFonts w:ascii="Arial" w:hAnsi="Arial" w:cs="Arial"/>
          <w:color w:val="000000" w:themeColor="text1"/>
          <w:sz w:val="24"/>
          <w:szCs w:val="24"/>
        </w:rPr>
        <w:t>.</w:t>
      </w:r>
      <w:r w:rsidR="0016241C" w:rsidRPr="00682149">
        <w:rPr>
          <w:rFonts w:ascii="Arial" w:hAnsi="Arial" w:cs="Arial"/>
          <w:color w:val="000000" w:themeColor="text1"/>
          <w:sz w:val="24"/>
          <w:szCs w:val="24"/>
        </w:rPr>
        <w:t xml:space="preserve"> </w:t>
      </w:r>
    </w:p>
    <w:p w14:paraId="4167D6B8" w14:textId="77777777" w:rsidR="005F5BDA" w:rsidRPr="00682149" w:rsidRDefault="005F5BDA" w:rsidP="001C138F">
      <w:pPr>
        <w:spacing w:after="0" w:line="276" w:lineRule="auto"/>
        <w:jc w:val="both"/>
        <w:rPr>
          <w:rFonts w:ascii="Arial" w:hAnsi="Arial" w:cs="Arial"/>
          <w:color w:val="000000" w:themeColor="text1"/>
          <w:sz w:val="24"/>
          <w:szCs w:val="24"/>
        </w:rPr>
      </w:pPr>
    </w:p>
    <w:p w14:paraId="498A18F4" w14:textId="3663873B" w:rsidR="00932B8E" w:rsidRPr="00682149" w:rsidRDefault="0046780D" w:rsidP="001C138F">
      <w:pPr>
        <w:spacing w:after="0" w:line="276" w:lineRule="auto"/>
        <w:jc w:val="both"/>
        <w:rPr>
          <w:rFonts w:ascii="Arial" w:hAnsi="Arial" w:cs="Arial"/>
          <w:color w:val="000000" w:themeColor="text1"/>
          <w:sz w:val="24"/>
          <w:szCs w:val="24"/>
        </w:rPr>
      </w:pPr>
      <w:r w:rsidRPr="00682149">
        <w:rPr>
          <w:rFonts w:ascii="Arial" w:hAnsi="Arial" w:cs="Arial"/>
          <w:color w:val="000000" w:themeColor="text1"/>
          <w:sz w:val="24"/>
          <w:szCs w:val="24"/>
        </w:rPr>
        <w:t>xi</w:t>
      </w:r>
      <w:r w:rsidR="005F5BDA" w:rsidRPr="00682149">
        <w:rPr>
          <w:rFonts w:ascii="Arial" w:hAnsi="Arial" w:cs="Arial"/>
          <w:color w:val="000000" w:themeColor="text1"/>
          <w:sz w:val="24"/>
          <w:szCs w:val="24"/>
        </w:rPr>
        <w:t>i</w:t>
      </w:r>
      <w:r w:rsidRPr="00682149">
        <w:rPr>
          <w:rFonts w:ascii="Arial" w:hAnsi="Arial" w:cs="Arial"/>
          <w:color w:val="000000" w:themeColor="text1"/>
          <w:sz w:val="24"/>
          <w:szCs w:val="24"/>
        </w:rPr>
        <w:t xml:space="preserve">) </w:t>
      </w:r>
      <w:r w:rsidR="006D22AA" w:rsidRPr="00682149">
        <w:rPr>
          <w:rFonts w:ascii="Arial" w:hAnsi="Arial" w:cs="Arial"/>
          <w:color w:val="000000" w:themeColor="text1"/>
          <w:sz w:val="24"/>
          <w:szCs w:val="24"/>
        </w:rPr>
        <w:t xml:space="preserve"> P</w:t>
      </w:r>
      <w:r w:rsidRPr="00682149">
        <w:rPr>
          <w:rFonts w:ascii="Arial" w:hAnsi="Arial" w:cs="Arial"/>
          <w:color w:val="000000" w:themeColor="text1"/>
          <w:sz w:val="24"/>
          <w:szCs w:val="24"/>
        </w:rPr>
        <w:t>a</w:t>
      </w:r>
      <w:r w:rsidR="006D22AA" w:rsidRPr="00682149">
        <w:rPr>
          <w:rFonts w:ascii="Arial" w:hAnsi="Arial" w:cs="Arial"/>
          <w:color w:val="000000" w:themeColor="text1"/>
          <w:sz w:val="24"/>
          <w:szCs w:val="24"/>
        </w:rPr>
        <w:t>ra</w:t>
      </w:r>
      <w:r w:rsidR="004A3164" w:rsidRPr="00682149">
        <w:rPr>
          <w:rFonts w:ascii="Arial" w:hAnsi="Arial" w:cs="Arial"/>
          <w:color w:val="000000" w:themeColor="text1"/>
          <w:sz w:val="24"/>
          <w:szCs w:val="24"/>
        </w:rPr>
        <w:t xml:space="preserve"> la</w:t>
      </w:r>
      <w:r w:rsidRPr="00682149">
        <w:rPr>
          <w:rFonts w:ascii="Arial" w:hAnsi="Arial" w:cs="Arial"/>
          <w:color w:val="000000" w:themeColor="text1"/>
          <w:sz w:val="24"/>
          <w:szCs w:val="24"/>
        </w:rPr>
        <w:t xml:space="preserve"> fijación de la tarifa transitoria</w:t>
      </w:r>
      <w:r w:rsidR="005F5BDA" w:rsidRPr="00682149">
        <w:rPr>
          <w:rFonts w:ascii="Arial" w:hAnsi="Arial" w:cs="Arial"/>
          <w:color w:val="000000" w:themeColor="text1"/>
          <w:sz w:val="24"/>
          <w:szCs w:val="24"/>
        </w:rPr>
        <w:t>,</w:t>
      </w:r>
      <w:r w:rsidRPr="00682149">
        <w:rPr>
          <w:rFonts w:ascii="Arial" w:hAnsi="Arial" w:cs="Arial"/>
          <w:color w:val="000000" w:themeColor="text1"/>
          <w:sz w:val="24"/>
          <w:szCs w:val="24"/>
        </w:rPr>
        <w:t xml:space="preserve"> </w:t>
      </w:r>
      <w:r w:rsidR="006D22AA" w:rsidRPr="00682149">
        <w:rPr>
          <w:rFonts w:ascii="Arial" w:hAnsi="Arial" w:cs="Arial"/>
          <w:color w:val="000000" w:themeColor="text1"/>
          <w:sz w:val="24"/>
          <w:szCs w:val="24"/>
        </w:rPr>
        <w:t xml:space="preserve">la CREG </w:t>
      </w:r>
      <w:r w:rsidRPr="00682149">
        <w:rPr>
          <w:rFonts w:ascii="Arial" w:hAnsi="Arial" w:cs="Arial"/>
          <w:color w:val="000000" w:themeColor="text1"/>
          <w:sz w:val="24"/>
          <w:szCs w:val="24"/>
        </w:rPr>
        <w:t xml:space="preserve">se apoyó en la </w:t>
      </w:r>
      <w:r w:rsidR="00932B8E" w:rsidRPr="00682149">
        <w:rPr>
          <w:rFonts w:ascii="Arial" w:hAnsi="Arial" w:cs="Arial"/>
          <w:color w:val="000000" w:themeColor="text1"/>
          <w:sz w:val="24"/>
          <w:szCs w:val="24"/>
        </w:rPr>
        <w:t xml:space="preserve">Resolución CREG 091 de 2007, </w:t>
      </w:r>
      <w:r w:rsidRPr="00682149">
        <w:rPr>
          <w:rFonts w:ascii="Arial" w:hAnsi="Arial" w:cs="Arial"/>
          <w:color w:val="000000" w:themeColor="text1"/>
          <w:sz w:val="24"/>
          <w:szCs w:val="24"/>
        </w:rPr>
        <w:t xml:space="preserve">mediante la cual se </w:t>
      </w:r>
      <w:r w:rsidR="00932B8E" w:rsidRPr="00682149">
        <w:rPr>
          <w:rFonts w:ascii="Arial" w:hAnsi="Arial" w:cs="Arial"/>
          <w:color w:val="000000" w:themeColor="text1"/>
          <w:sz w:val="24"/>
          <w:szCs w:val="24"/>
        </w:rPr>
        <w:t>estableci</w:t>
      </w:r>
      <w:r w:rsidRPr="00682149">
        <w:rPr>
          <w:rFonts w:ascii="Arial" w:hAnsi="Arial" w:cs="Arial"/>
          <w:color w:val="000000" w:themeColor="text1"/>
          <w:sz w:val="24"/>
          <w:szCs w:val="24"/>
        </w:rPr>
        <w:t xml:space="preserve">ó </w:t>
      </w:r>
      <w:r w:rsidR="00932B8E" w:rsidRPr="00682149">
        <w:rPr>
          <w:rFonts w:ascii="Arial" w:hAnsi="Arial" w:cs="Arial"/>
          <w:color w:val="000000" w:themeColor="text1"/>
          <w:sz w:val="24"/>
          <w:szCs w:val="24"/>
        </w:rPr>
        <w:t>la</w:t>
      </w:r>
      <w:r w:rsidRPr="00682149">
        <w:rPr>
          <w:rFonts w:ascii="Arial" w:hAnsi="Arial" w:cs="Arial"/>
          <w:color w:val="000000" w:themeColor="text1"/>
          <w:sz w:val="24"/>
          <w:szCs w:val="24"/>
        </w:rPr>
        <w:t xml:space="preserve"> metodología</w:t>
      </w:r>
      <w:r w:rsidR="00932B8E" w:rsidRPr="00682149">
        <w:rPr>
          <w:rFonts w:ascii="Arial" w:hAnsi="Arial" w:cs="Arial"/>
          <w:color w:val="000000" w:themeColor="text1"/>
          <w:sz w:val="24"/>
          <w:szCs w:val="24"/>
        </w:rPr>
        <w:t xml:space="preserve"> </w:t>
      </w:r>
      <w:r w:rsidR="009C2B60" w:rsidRPr="00682149">
        <w:rPr>
          <w:rFonts w:ascii="Arial" w:hAnsi="Arial" w:cs="Arial"/>
          <w:color w:val="000000" w:themeColor="text1"/>
          <w:sz w:val="24"/>
          <w:szCs w:val="24"/>
        </w:rPr>
        <w:t xml:space="preserve">general </w:t>
      </w:r>
      <w:r w:rsidR="00932B8E" w:rsidRPr="00682149">
        <w:rPr>
          <w:rFonts w:ascii="Arial" w:hAnsi="Arial" w:cs="Arial"/>
          <w:color w:val="000000" w:themeColor="text1"/>
          <w:sz w:val="24"/>
          <w:szCs w:val="24"/>
        </w:rPr>
        <w:t>para remunerar las actividades de generación, distribución y comercialización de energía eléctrica,</w:t>
      </w:r>
      <w:r w:rsidRPr="00682149">
        <w:rPr>
          <w:rFonts w:ascii="Arial" w:hAnsi="Arial" w:cs="Arial"/>
          <w:color w:val="000000" w:themeColor="text1"/>
          <w:sz w:val="24"/>
          <w:szCs w:val="24"/>
        </w:rPr>
        <w:t xml:space="preserve"> en la cual se recogen las </w:t>
      </w:r>
      <w:r w:rsidR="00932B8E" w:rsidRPr="00682149">
        <w:rPr>
          <w:rFonts w:ascii="Arial" w:hAnsi="Arial" w:cs="Arial"/>
          <w:color w:val="000000" w:themeColor="text1"/>
          <w:sz w:val="24"/>
          <w:szCs w:val="24"/>
        </w:rPr>
        <w:t xml:space="preserve">fórmulas tarifarias generales para </w:t>
      </w:r>
      <w:r w:rsidR="00932B8E" w:rsidRPr="00682149">
        <w:rPr>
          <w:rFonts w:ascii="Arial" w:hAnsi="Arial" w:cs="Arial"/>
          <w:color w:val="000000" w:themeColor="text1"/>
          <w:sz w:val="24"/>
          <w:szCs w:val="24"/>
        </w:rPr>
        <w:lastRenderedPageBreak/>
        <w:t>establecer el costo unitario de prestación del servicio público de energía eléctrica en Zonas No Interconectadas</w:t>
      </w:r>
      <w:r w:rsidR="00BD6F35" w:rsidRPr="00682149">
        <w:rPr>
          <w:rFonts w:ascii="Arial" w:hAnsi="Arial" w:cs="Arial"/>
          <w:color w:val="000000" w:themeColor="text1"/>
          <w:sz w:val="24"/>
          <w:szCs w:val="24"/>
        </w:rPr>
        <w:t xml:space="preserve">, sin perjuicio </w:t>
      </w:r>
      <w:r w:rsidRPr="00682149">
        <w:rPr>
          <w:rFonts w:ascii="Arial" w:hAnsi="Arial" w:cs="Arial"/>
          <w:color w:val="000000" w:themeColor="text1"/>
          <w:sz w:val="24"/>
          <w:szCs w:val="24"/>
        </w:rPr>
        <w:t>que</w:t>
      </w:r>
      <w:r w:rsidR="004A3164" w:rsidRPr="00682149">
        <w:rPr>
          <w:rFonts w:ascii="Arial" w:hAnsi="Arial" w:cs="Arial"/>
          <w:color w:val="000000" w:themeColor="text1"/>
          <w:sz w:val="24"/>
          <w:szCs w:val="24"/>
        </w:rPr>
        <w:t>,</w:t>
      </w:r>
      <w:r w:rsidRPr="00682149">
        <w:rPr>
          <w:rFonts w:ascii="Arial" w:hAnsi="Arial" w:cs="Arial"/>
          <w:color w:val="000000" w:themeColor="text1"/>
          <w:sz w:val="24"/>
          <w:szCs w:val="24"/>
        </w:rPr>
        <w:t xml:space="preserve"> </w:t>
      </w:r>
      <w:r w:rsidR="009C0C6A" w:rsidRPr="00682149">
        <w:rPr>
          <w:rFonts w:ascii="Arial" w:hAnsi="Arial" w:cs="Arial"/>
          <w:color w:val="000000" w:themeColor="text1"/>
          <w:sz w:val="24"/>
          <w:szCs w:val="24"/>
        </w:rPr>
        <w:t>además</w:t>
      </w:r>
      <w:r w:rsidR="004A3164" w:rsidRPr="00682149">
        <w:rPr>
          <w:rFonts w:ascii="Arial" w:hAnsi="Arial" w:cs="Arial"/>
          <w:color w:val="000000" w:themeColor="text1"/>
          <w:sz w:val="24"/>
          <w:szCs w:val="24"/>
        </w:rPr>
        <w:t>,</w:t>
      </w:r>
      <w:r w:rsidR="009C0C6A" w:rsidRPr="00682149">
        <w:rPr>
          <w:rFonts w:ascii="Arial" w:hAnsi="Arial" w:cs="Arial"/>
          <w:color w:val="000000" w:themeColor="text1"/>
          <w:sz w:val="24"/>
          <w:szCs w:val="24"/>
        </w:rPr>
        <w:t xml:space="preserve"> </w:t>
      </w:r>
      <w:r w:rsidR="00C70543" w:rsidRPr="00682149">
        <w:rPr>
          <w:rFonts w:ascii="Arial" w:hAnsi="Arial" w:cs="Arial"/>
          <w:color w:val="000000" w:themeColor="text1"/>
          <w:sz w:val="24"/>
          <w:szCs w:val="24"/>
        </w:rPr>
        <w:t>debe</w:t>
      </w:r>
      <w:r w:rsidR="009C0C6A" w:rsidRPr="00682149">
        <w:rPr>
          <w:rFonts w:ascii="Arial" w:hAnsi="Arial" w:cs="Arial"/>
          <w:color w:val="000000" w:themeColor="text1"/>
          <w:sz w:val="24"/>
          <w:szCs w:val="24"/>
        </w:rPr>
        <w:t>rá</w:t>
      </w:r>
      <w:r w:rsidR="004A3164" w:rsidRPr="00682149">
        <w:rPr>
          <w:rFonts w:ascii="Arial" w:hAnsi="Arial" w:cs="Arial"/>
          <w:color w:val="000000" w:themeColor="text1"/>
          <w:sz w:val="24"/>
          <w:szCs w:val="24"/>
        </w:rPr>
        <w:t>n</w:t>
      </w:r>
      <w:r w:rsidR="00C70543" w:rsidRPr="00682149">
        <w:rPr>
          <w:rFonts w:ascii="Arial" w:hAnsi="Arial" w:cs="Arial"/>
          <w:color w:val="000000" w:themeColor="text1"/>
          <w:sz w:val="24"/>
          <w:szCs w:val="24"/>
        </w:rPr>
        <w:t xml:space="preserve"> </w:t>
      </w:r>
      <w:r w:rsidRPr="00682149">
        <w:rPr>
          <w:rFonts w:ascii="Arial" w:hAnsi="Arial" w:cs="Arial"/>
          <w:color w:val="000000" w:themeColor="text1"/>
          <w:sz w:val="24"/>
          <w:szCs w:val="24"/>
        </w:rPr>
        <w:t>apr</w:t>
      </w:r>
      <w:r w:rsidR="00C70543" w:rsidRPr="00682149">
        <w:rPr>
          <w:rFonts w:ascii="Arial" w:hAnsi="Arial" w:cs="Arial"/>
          <w:color w:val="000000" w:themeColor="text1"/>
          <w:sz w:val="24"/>
          <w:szCs w:val="24"/>
        </w:rPr>
        <w:t>obar</w:t>
      </w:r>
      <w:r w:rsidR="004A3164" w:rsidRPr="00682149">
        <w:rPr>
          <w:rFonts w:ascii="Arial" w:hAnsi="Arial" w:cs="Arial"/>
          <w:color w:val="000000" w:themeColor="text1"/>
          <w:sz w:val="24"/>
          <w:szCs w:val="24"/>
        </w:rPr>
        <w:t xml:space="preserve">se </w:t>
      </w:r>
      <w:r w:rsidRPr="00682149">
        <w:rPr>
          <w:rFonts w:ascii="Arial" w:hAnsi="Arial" w:cs="Arial"/>
          <w:color w:val="000000" w:themeColor="text1"/>
          <w:sz w:val="24"/>
          <w:szCs w:val="24"/>
        </w:rPr>
        <w:t xml:space="preserve">los </w:t>
      </w:r>
      <w:r w:rsidR="00932B8E" w:rsidRPr="00682149">
        <w:rPr>
          <w:rFonts w:ascii="Arial" w:hAnsi="Arial" w:cs="Arial"/>
          <w:color w:val="000000" w:themeColor="text1"/>
          <w:sz w:val="24"/>
          <w:szCs w:val="24"/>
        </w:rPr>
        <w:t xml:space="preserve">cargos particulares para sistemas híbridos y otras tecnologías de generación </w:t>
      </w:r>
      <w:r w:rsidR="00BD6F35" w:rsidRPr="00682149">
        <w:rPr>
          <w:rFonts w:ascii="Arial" w:hAnsi="Arial" w:cs="Arial"/>
          <w:color w:val="000000" w:themeColor="text1"/>
          <w:sz w:val="24"/>
          <w:szCs w:val="24"/>
        </w:rPr>
        <w:t xml:space="preserve">no cubiertas </w:t>
      </w:r>
      <w:r w:rsidR="00932B8E" w:rsidRPr="00682149">
        <w:rPr>
          <w:rFonts w:ascii="Arial" w:hAnsi="Arial" w:cs="Arial"/>
          <w:color w:val="000000" w:themeColor="text1"/>
          <w:sz w:val="24"/>
          <w:szCs w:val="24"/>
        </w:rPr>
        <w:t xml:space="preserve">en la precitada resolución. </w:t>
      </w:r>
    </w:p>
    <w:p w14:paraId="3CE1C8BC" w14:textId="3ADE3C06" w:rsidR="00932B8E" w:rsidRPr="00682149" w:rsidRDefault="00932B8E" w:rsidP="001C138F">
      <w:pPr>
        <w:spacing w:after="0" w:line="276" w:lineRule="auto"/>
        <w:rPr>
          <w:rFonts w:ascii="Arial" w:hAnsi="Arial" w:cs="Arial"/>
          <w:color w:val="000000" w:themeColor="text1"/>
          <w:sz w:val="24"/>
          <w:szCs w:val="24"/>
        </w:rPr>
      </w:pPr>
    </w:p>
    <w:p w14:paraId="388675D8" w14:textId="2B0C665C" w:rsidR="00932B8E" w:rsidRPr="00682149" w:rsidRDefault="0046780D" w:rsidP="001C138F">
      <w:pPr>
        <w:spacing w:after="0" w:line="276" w:lineRule="auto"/>
        <w:jc w:val="both"/>
        <w:rPr>
          <w:rFonts w:ascii="Arial" w:hAnsi="Arial" w:cs="Arial"/>
          <w:color w:val="000000" w:themeColor="text1"/>
          <w:sz w:val="24"/>
          <w:szCs w:val="24"/>
        </w:rPr>
      </w:pPr>
      <w:r w:rsidRPr="00682149">
        <w:rPr>
          <w:rFonts w:ascii="Arial" w:hAnsi="Arial" w:cs="Arial"/>
          <w:color w:val="000000" w:themeColor="text1"/>
          <w:sz w:val="24"/>
          <w:szCs w:val="24"/>
        </w:rPr>
        <w:t>x</w:t>
      </w:r>
      <w:r w:rsidR="005F5BDA" w:rsidRPr="00682149">
        <w:rPr>
          <w:rFonts w:ascii="Arial" w:hAnsi="Arial" w:cs="Arial"/>
          <w:color w:val="000000" w:themeColor="text1"/>
          <w:sz w:val="24"/>
          <w:szCs w:val="24"/>
        </w:rPr>
        <w:t>i</w:t>
      </w:r>
      <w:r w:rsidR="009C2B60" w:rsidRPr="00682149">
        <w:rPr>
          <w:rFonts w:ascii="Arial" w:hAnsi="Arial" w:cs="Arial"/>
          <w:color w:val="000000" w:themeColor="text1"/>
          <w:sz w:val="24"/>
          <w:szCs w:val="24"/>
        </w:rPr>
        <w:t>ii</w:t>
      </w:r>
      <w:r w:rsidRPr="00682149">
        <w:rPr>
          <w:rFonts w:ascii="Arial" w:hAnsi="Arial" w:cs="Arial"/>
          <w:color w:val="000000" w:themeColor="text1"/>
          <w:sz w:val="24"/>
          <w:szCs w:val="24"/>
        </w:rPr>
        <w:t xml:space="preserve">) </w:t>
      </w:r>
      <w:r w:rsidR="00BD6F35" w:rsidRPr="00682149">
        <w:rPr>
          <w:rFonts w:ascii="Arial" w:hAnsi="Arial" w:cs="Arial"/>
          <w:color w:val="000000" w:themeColor="text1"/>
          <w:sz w:val="24"/>
          <w:szCs w:val="24"/>
        </w:rPr>
        <w:t>Agregó que</w:t>
      </w:r>
      <w:r w:rsidR="009C2B60" w:rsidRPr="00682149">
        <w:rPr>
          <w:rFonts w:ascii="Arial" w:hAnsi="Arial" w:cs="Arial"/>
          <w:color w:val="000000" w:themeColor="text1"/>
          <w:sz w:val="24"/>
          <w:szCs w:val="24"/>
        </w:rPr>
        <w:t>, a la fecha</w:t>
      </w:r>
      <w:r w:rsidR="004A3164" w:rsidRPr="00682149">
        <w:rPr>
          <w:rFonts w:ascii="Arial" w:hAnsi="Arial" w:cs="Arial"/>
          <w:color w:val="000000" w:themeColor="text1"/>
          <w:sz w:val="24"/>
          <w:szCs w:val="24"/>
        </w:rPr>
        <w:t xml:space="preserve"> del estudio para su expedición, la</w:t>
      </w:r>
      <w:r w:rsidR="00932B8E" w:rsidRPr="00682149">
        <w:rPr>
          <w:rFonts w:ascii="Arial" w:hAnsi="Arial" w:cs="Arial"/>
          <w:color w:val="000000" w:themeColor="text1"/>
          <w:sz w:val="24"/>
          <w:szCs w:val="24"/>
        </w:rPr>
        <w:t xml:space="preserve"> CREG no ha recibido ninguna solicitud tarifaria por parte de</w:t>
      </w:r>
      <w:r w:rsidR="009C2B60" w:rsidRPr="00682149">
        <w:rPr>
          <w:rFonts w:ascii="Arial" w:hAnsi="Arial" w:cs="Arial"/>
          <w:color w:val="000000" w:themeColor="text1"/>
          <w:sz w:val="24"/>
          <w:szCs w:val="24"/>
        </w:rPr>
        <w:t xml:space="preserve"> los</w:t>
      </w:r>
      <w:r w:rsidR="00932B8E" w:rsidRPr="00682149">
        <w:rPr>
          <w:rFonts w:ascii="Arial" w:hAnsi="Arial" w:cs="Arial"/>
          <w:color w:val="000000" w:themeColor="text1"/>
          <w:sz w:val="24"/>
          <w:szCs w:val="24"/>
        </w:rPr>
        <w:t xml:space="preserve"> prestadores del servicio que se encuentren atiendo a los 13 mil usuarios con soluciones individuales AC en ran</w:t>
      </w:r>
      <w:r w:rsidR="009C2B60" w:rsidRPr="00682149">
        <w:rPr>
          <w:rFonts w:ascii="Arial" w:hAnsi="Arial" w:cs="Arial"/>
          <w:color w:val="000000" w:themeColor="text1"/>
          <w:sz w:val="24"/>
          <w:szCs w:val="24"/>
        </w:rPr>
        <w:t>go superior a 500 W (vatios). E</w:t>
      </w:r>
      <w:r w:rsidR="00932B8E" w:rsidRPr="00682149">
        <w:rPr>
          <w:rFonts w:ascii="Arial" w:hAnsi="Arial" w:cs="Arial"/>
          <w:color w:val="000000" w:themeColor="text1"/>
          <w:sz w:val="24"/>
          <w:szCs w:val="24"/>
        </w:rPr>
        <w:t xml:space="preserve">n ese sentido, </w:t>
      </w:r>
      <w:r w:rsidR="004A3164" w:rsidRPr="00682149">
        <w:rPr>
          <w:rFonts w:ascii="Arial" w:hAnsi="Arial" w:cs="Arial"/>
          <w:color w:val="000000" w:themeColor="text1"/>
          <w:sz w:val="24"/>
          <w:szCs w:val="24"/>
        </w:rPr>
        <w:t xml:space="preserve">menciona que </w:t>
      </w:r>
      <w:r w:rsidR="00932B8E" w:rsidRPr="00682149">
        <w:rPr>
          <w:rFonts w:ascii="Arial" w:hAnsi="Arial" w:cs="Arial"/>
          <w:color w:val="000000" w:themeColor="text1"/>
          <w:sz w:val="24"/>
          <w:szCs w:val="24"/>
        </w:rPr>
        <w:t>no se encuentra definido un cargo para dicho rango de potencia</w:t>
      </w:r>
      <w:r w:rsidRPr="00682149">
        <w:rPr>
          <w:rFonts w:ascii="Arial" w:hAnsi="Arial" w:cs="Arial"/>
          <w:color w:val="000000" w:themeColor="text1"/>
          <w:sz w:val="24"/>
          <w:szCs w:val="24"/>
        </w:rPr>
        <w:t xml:space="preserve">, </w:t>
      </w:r>
      <w:r w:rsidR="00BD6F35" w:rsidRPr="00682149">
        <w:rPr>
          <w:rFonts w:ascii="Arial" w:hAnsi="Arial" w:cs="Arial"/>
          <w:color w:val="000000" w:themeColor="text1"/>
          <w:sz w:val="24"/>
          <w:szCs w:val="24"/>
        </w:rPr>
        <w:t>por lo que es necesaria</w:t>
      </w:r>
      <w:r w:rsidR="00932B8E" w:rsidRPr="00682149">
        <w:rPr>
          <w:rFonts w:ascii="Arial" w:hAnsi="Arial" w:cs="Arial"/>
          <w:color w:val="000000" w:themeColor="text1"/>
          <w:sz w:val="24"/>
          <w:szCs w:val="24"/>
        </w:rPr>
        <w:t xml:space="preserve"> la definición de una tarifa aplicable a soluciones individuales AC con potencia</w:t>
      </w:r>
      <w:r w:rsidR="009C2B60" w:rsidRPr="00682149">
        <w:rPr>
          <w:rFonts w:ascii="Arial" w:hAnsi="Arial" w:cs="Arial"/>
          <w:color w:val="000000" w:themeColor="text1"/>
          <w:sz w:val="24"/>
          <w:szCs w:val="24"/>
        </w:rPr>
        <w:t xml:space="preserve"> instalada superior a 500W (</w:t>
      </w:r>
      <w:r w:rsidR="00932B8E" w:rsidRPr="00682149">
        <w:rPr>
          <w:rFonts w:ascii="Arial" w:hAnsi="Arial" w:cs="Arial"/>
          <w:color w:val="000000" w:themeColor="text1"/>
          <w:sz w:val="24"/>
          <w:szCs w:val="24"/>
        </w:rPr>
        <w:t>vatios)</w:t>
      </w:r>
      <w:r w:rsidR="00BD0813" w:rsidRPr="00682149">
        <w:rPr>
          <w:rFonts w:ascii="Arial" w:hAnsi="Arial" w:cs="Arial"/>
          <w:color w:val="000000" w:themeColor="text1"/>
          <w:sz w:val="24"/>
          <w:szCs w:val="24"/>
        </w:rPr>
        <w:t>,</w:t>
      </w:r>
      <w:r w:rsidR="00932B8E" w:rsidRPr="00682149">
        <w:rPr>
          <w:rFonts w:ascii="Arial" w:hAnsi="Arial" w:cs="Arial"/>
          <w:color w:val="000000" w:themeColor="text1"/>
          <w:sz w:val="24"/>
          <w:szCs w:val="24"/>
        </w:rPr>
        <w:t xml:space="preserve"> y así evitar el riesgo de interrupción del servicio. </w:t>
      </w:r>
    </w:p>
    <w:p w14:paraId="1963BC89" w14:textId="77777777" w:rsidR="00932B8E" w:rsidRPr="00682149" w:rsidRDefault="00932B8E" w:rsidP="001C138F">
      <w:pPr>
        <w:spacing w:after="0" w:line="276" w:lineRule="auto"/>
        <w:rPr>
          <w:rFonts w:ascii="Arial" w:hAnsi="Arial" w:cs="Arial"/>
          <w:color w:val="000000" w:themeColor="text1"/>
          <w:sz w:val="24"/>
          <w:szCs w:val="24"/>
        </w:rPr>
      </w:pPr>
      <w:r w:rsidRPr="00682149">
        <w:rPr>
          <w:rFonts w:ascii="Arial" w:hAnsi="Arial" w:cs="Arial"/>
          <w:color w:val="000000" w:themeColor="text1"/>
          <w:sz w:val="24"/>
          <w:szCs w:val="24"/>
        </w:rPr>
        <w:t xml:space="preserve"> </w:t>
      </w:r>
    </w:p>
    <w:p w14:paraId="3B64977E" w14:textId="0FEE7CB7" w:rsidR="00835D7E" w:rsidRPr="00682149" w:rsidRDefault="00BD6F35" w:rsidP="001C138F">
      <w:pPr>
        <w:spacing w:after="0" w:line="276" w:lineRule="auto"/>
        <w:jc w:val="both"/>
        <w:rPr>
          <w:rFonts w:ascii="Arial" w:hAnsi="Arial" w:cs="Arial"/>
          <w:color w:val="000000" w:themeColor="text1"/>
          <w:sz w:val="24"/>
          <w:szCs w:val="24"/>
        </w:rPr>
      </w:pPr>
      <w:r w:rsidRPr="00682149">
        <w:rPr>
          <w:rFonts w:ascii="Arial" w:hAnsi="Arial" w:cs="Arial"/>
          <w:color w:val="000000" w:themeColor="text1"/>
          <w:sz w:val="24"/>
          <w:szCs w:val="24"/>
        </w:rPr>
        <w:t>x</w:t>
      </w:r>
      <w:r w:rsidR="009C2B60" w:rsidRPr="00682149">
        <w:rPr>
          <w:rFonts w:ascii="Arial" w:hAnsi="Arial" w:cs="Arial"/>
          <w:color w:val="000000" w:themeColor="text1"/>
          <w:sz w:val="24"/>
          <w:szCs w:val="24"/>
        </w:rPr>
        <w:t>i</w:t>
      </w:r>
      <w:r w:rsidRPr="00682149">
        <w:rPr>
          <w:rFonts w:ascii="Arial" w:hAnsi="Arial" w:cs="Arial"/>
          <w:color w:val="000000" w:themeColor="text1"/>
          <w:sz w:val="24"/>
          <w:szCs w:val="24"/>
        </w:rPr>
        <w:t>v</w:t>
      </w:r>
      <w:r w:rsidR="0046780D" w:rsidRPr="00682149">
        <w:rPr>
          <w:rFonts w:ascii="Arial" w:hAnsi="Arial" w:cs="Arial"/>
          <w:color w:val="000000" w:themeColor="text1"/>
          <w:sz w:val="24"/>
          <w:szCs w:val="24"/>
        </w:rPr>
        <w:t xml:space="preserve">) </w:t>
      </w:r>
      <w:r w:rsidRPr="00682149">
        <w:rPr>
          <w:rFonts w:ascii="Arial" w:hAnsi="Arial" w:cs="Arial"/>
          <w:color w:val="000000" w:themeColor="text1"/>
          <w:sz w:val="24"/>
          <w:szCs w:val="24"/>
        </w:rPr>
        <w:t>Destacó que</w:t>
      </w:r>
      <w:r w:rsidR="009C0C6A" w:rsidRPr="00682149">
        <w:rPr>
          <w:rFonts w:ascii="Arial" w:hAnsi="Arial" w:cs="Arial"/>
          <w:color w:val="000000" w:themeColor="text1"/>
          <w:sz w:val="24"/>
          <w:szCs w:val="24"/>
        </w:rPr>
        <w:t>,</w:t>
      </w:r>
      <w:r w:rsidRPr="00682149">
        <w:rPr>
          <w:rFonts w:ascii="Arial" w:hAnsi="Arial" w:cs="Arial"/>
          <w:color w:val="000000" w:themeColor="text1"/>
          <w:sz w:val="24"/>
          <w:szCs w:val="24"/>
        </w:rPr>
        <w:t xml:space="preserve"> de acuerdo con </w:t>
      </w:r>
      <w:r w:rsidR="00835D7E" w:rsidRPr="00682149">
        <w:rPr>
          <w:rFonts w:ascii="Arial" w:hAnsi="Arial" w:cs="Arial"/>
          <w:color w:val="000000" w:themeColor="text1"/>
          <w:sz w:val="24"/>
          <w:szCs w:val="24"/>
        </w:rPr>
        <w:t xml:space="preserve">lo previsto en el artículo 287 de la Ley 1955 de 2019, por </w:t>
      </w:r>
      <w:r w:rsidR="00E11898">
        <w:rPr>
          <w:rFonts w:ascii="Arial" w:hAnsi="Arial" w:cs="Arial"/>
          <w:color w:val="000000" w:themeColor="text1"/>
          <w:sz w:val="24"/>
          <w:szCs w:val="24"/>
        </w:rPr>
        <w:t>la</w:t>
      </w:r>
      <w:r w:rsidR="005F5BDA" w:rsidRPr="00682149">
        <w:rPr>
          <w:rFonts w:ascii="Arial" w:hAnsi="Arial" w:cs="Arial"/>
          <w:color w:val="000000" w:themeColor="text1"/>
          <w:sz w:val="24"/>
          <w:szCs w:val="24"/>
        </w:rPr>
        <w:t xml:space="preserve"> </w:t>
      </w:r>
      <w:r w:rsidR="00835D7E" w:rsidRPr="00682149">
        <w:rPr>
          <w:rFonts w:ascii="Arial" w:hAnsi="Arial" w:cs="Arial"/>
          <w:color w:val="000000" w:themeColor="text1"/>
          <w:sz w:val="24"/>
          <w:szCs w:val="24"/>
        </w:rPr>
        <w:t xml:space="preserve">cual se </w:t>
      </w:r>
      <w:r w:rsidRPr="00682149">
        <w:rPr>
          <w:rFonts w:ascii="Arial" w:hAnsi="Arial" w:cs="Arial"/>
          <w:color w:val="000000" w:themeColor="text1"/>
          <w:sz w:val="24"/>
          <w:szCs w:val="24"/>
        </w:rPr>
        <w:t xml:space="preserve">aprobó </w:t>
      </w:r>
      <w:r w:rsidR="00835D7E" w:rsidRPr="00682149">
        <w:rPr>
          <w:rFonts w:ascii="Arial" w:hAnsi="Arial" w:cs="Arial"/>
          <w:color w:val="000000" w:themeColor="text1"/>
          <w:sz w:val="24"/>
          <w:szCs w:val="24"/>
        </w:rPr>
        <w:t>el Plan Nacional de Desarrollo 2018-2022, el suministro de energía eléctrica a un domicilio mediante soluciones individuales de generación</w:t>
      </w:r>
      <w:r w:rsidR="00817CC3" w:rsidRPr="00682149">
        <w:rPr>
          <w:rFonts w:ascii="Arial" w:hAnsi="Arial" w:cs="Arial"/>
          <w:color w:val="000000" w:themeColor="text1"/>
          <w:sz w:val="24"/>
          <w:szCs w:val="24"/>
        </w:rPr>
        <w:t>,</w:t>
      </w:r>
      <w:r w:rsidR="00835D7E" w:rsidRPr="00682149">
        <w:rPr>
          <w:rFonts w:ascii="Arial" w:hAnsi="Arial" w:cs="Arial"/>
          <w:color w:val="000000" w:themeColor="text1"/>
          <w:sz w:val="24"/>
          <w:szCs w:val="24"/>
        </w:rPr>
        <w:t xml:space="preserve"> se considera servicio público domicilia</w:t>
      </w:r>
      <w:r w:rsidRPr="00682149">
        <w:rPr>
          <w:rFonts w:ascii="Arial" w:hAnsi="Arial" w:cs="Arial"/>
          <w:color w:val="000000" w:themeColor="text1"/>
          <w:sz w:val="24"/>
          <w:szCs w:val="24"/>
        </w:rPr>
        <w:t>rio de energía eléctrica en ZNI.</w:t>
      </w:r>
      <w:r w:rsidR="00835D7E" w:rsidRPr="00682149">
        <w:rPr>
          <w:rFonts w:ascii="Arial" w:hAnsi="Arial" w:cs="Arial"/>
          <w:color w:val="000000" w:themeColor="text1"/>
          <w:sz w:val="24"/>
          <w:szCs w:val="24"/>
        </w:rPr>
        <w:t xml:space="preserve"> En ese sentido, los prestadores del servicio mediante soluciones individuales de generación</w:t>
      </w:r>
      <w:r w:rsidRPr="00682149">
        <w:rPr>
          <w:rFonts w:ascii="Arial" w:hAnsi="Arial" w:cs="Arial"/>
          <w:color w:val="000000" w:themeColor="text1"/>
          <w:sz w:val="24"/>
          <w:szCs w:val="24"/>
        </w:rPr>
        <w:t>,</w:t>
      </w:r>
      <w:r w:rsidR="00835D7E" w:rsidRPr="00682149">
        <w:rPr>
          <w:rFonts w:ascii="Arial" w:hAnsi="Arial" w:cs="Arial"/>
          <w:color w:val="000000" w:themeColor="text1"/>
          <w:sz w:val="24"/>
          <w:szCs w:val="24"/>
        </w:rPr>
        <w:t xml:space="preserve"> s</w:t>
      </w:r>
      <w:r w:rsidRPr="00682149">
        <w:rPr>
          <w:rFonts w:ascii="Arial" w:hAnsi="Arial" w:cs="Arial"/>
          <w:color w:val="000000" w:themeColor="text1"/>
          <w:sz w:val="24"/>
          <w:szCs w:val="24"/>
        </w:rPr>
        <w:t>olo se encuentran autorizados</w:t>
      </w:r>
      <w:r w:rsidR="009C2B60" w:rsidRPr="00682149">
        <w:rPr>
          <w:rFonts w:ascii="Arial" w:hAnsi="Arial" w:cs="Arial"/>
          <w:color w:val="000000" w:themeColor="text1"/>
          <w:sz w:val="24"/>
          <w:szCs w:val="24"/>
        </w:rPr>
        <w:t xml:space="preserve"> para</w:t>
      </w:r>
      <w:r w:rsidRPr="00682149">
        <w:rPr>
          <w:rFonts w:ascii="Arial" w:hAnsi="Arial" w:cs="Arial"/>
          <w:color w:val="000000" w:themeColor="text1"/>
          <w:sz w:val="24"/>
          <w:szCs w:val="24"/>
        </w:rPr>
        <w:t xml:space="preserve"> trasladar</w:t>
      </w:r>
      <w:r w:rsidR="00835D7E" w:rsidRPr="00682149">
        <w:rPr>
          <w:rFonts w:ascii="Arial" w:hAnsi="Arial" w:cs="Arial"/>
          <w:color w:val="000000" w:themeColor="text1"/>
          <w:sz w:val="24"/>
          <w:szCs w:val="24"/>
        </w:rPr>
        <w:t xml:space="preserve"> a los usuarios los costos definidos y reconocidos en la regulación</w:t>
      </w:r>
      <w:r w:rsidR="009C2B60" w:rsidRPr="00682149">
        <w:rPr>
          <w:rFonts w:ascii="Arial" w:hAnsi="Arial" w:cs="Arial"/>
          <w:color w:val="000000" w:themeColor="text1"/>
          <w:sz w:val="24"/>
          <w:szCs w:val="24"/>
        </w:rPr>
        <w:t>.</w:t>
      </w:r>
    </w:p>
    <w:p w14:paraId="39820784" w14:textId="77777777" w:rsidR="00835D7E" w:rsidRPr="00682149" w:rsidRDefault="00835D7E" w:rsidP="001C138F">
      <w:pPr>
        <w:spacing w:after="0" w:line="276" w:lineRule="auto"/>
        <w:jc w:val="both"/>
        <w:rPr>
          <w:rFonts w:ascii="Arial" w:hAnsi="Arial" w:cs="Arial"/>
          <w:color w:val="000000" w:themeColor="text1"/>
          <w:sz w:val="24"/>
          <w:szCs w:val="24"/>
        </w:rPr>
      </w:pPr>
    </w:p>
    <w:p w14:paraId="22448ED1" w14:textId="23C878AC" w:rsidR="00932B8E" w:rsidRPr="00682149" w:rsidRDefault="00684711" w:rsidP="001C138F">
      <w:pPr>
        <w:spacing w:after="0" w:line="276" w:lineRule="auto"/>
        <w:jc w:val="both"/>
        <w:rPr>
          <w:rFonts w:ascii="Arial" w:hAnsi="Arial" w:cs="Arial"/>
          <w:color w:val="000000" w:themeColor="text1"/>
          <w:sz w:val="24"/>
          <w:szCs w:val="24"/>
        </w:rPr>
      </w:pPr>
      <w:r w:rsidRPr="00682149">
        <w:rPr>
          <w:rFonts w:ascii="Arial" w:hAnsi="Arial" w:cs="Arial"/>
          <w:color w:val="000000" w:themeColor="text1"/>
          <w:sz w:val="24"/>
          <w:szCs w:val="24"/>
        </w:rPr>
        <w:t>xv</w:t>
      </w:r>
      <w:r w:rsidR="00835D7E" w:rsidRPr="00682149">
        <w:rPr>
          <w:rFonts w:ascii="Arial" w:hAnsi="Arial" w:cs="Arial"/>
          <w:color w:val="000000" w:themeColor="text1"/>
          <w:sz w:val="24"/>
          <w:szCs w:val="24"/>
        </w:rPr>
        <w:t xml:space="preserve">) </w:t>
      </w:r>
      <w:r w:rsidR="00562BAB" w:rsidRPr="00682149">
        <w:rPr>
          <w:rFonts w:ascii="Arial" w:hAnsi="Arial" w:cs="Arial"/>
          <w:color w:val="000000" w:themeColor="text1"/>
          <w:sz w:val="24"/>
          <w:szCs w:val="24"/>
        </w:rPr>
        <w:t xml:space="preserve">En ese orden, la tarifa general deberá someterse al </w:t>
      </w:r>
      <w:r w:rsidR="00BD6F35" w:rsidRPr="00682149">
        <w:rPr>
          <w:rFonts w:ascii="Arial" w:hAnsi="Arial" w:cs="Arial"/>
          <w:color w:val="000000" w:themeColor="text1"/>
          <w:sz w:val="24"/>
          <w:szCs w:val="24"/>
        </w:rPr>
        <w:t xml:space="preserve">procedimiento contenido en el artículo 127 de la Ley 142 de 1994, </w:t>
      </w:r>
      <w:r w:rsidR="00562BAB" w:rsidRPr="00682149">
        <w:rPr>
          <w:rFonts w:ascii="Arial" w:hAnsi="Arial" w:cs="Arial"/>
          <w:color w:val="000000" w:themeColor="text1"/>
          <w:sz w:val="24"/>
          <w:szCs w:val="24"/>
        </w:rPr>
        <w:t xml:space="preserve">en </w:t>
      </w:r>
      <w:r w:rsidR="00BD6F35" w:rsidRPr="00682149">
        <w:rPr>
          <w:rFonts w:ascii="Arial" w:hAnsi="Arial" w:cs="Arial"/>
          <w:color w:val="000000" w:themeColor="text1"/>
          <w:sz w:val="24"/>
          <w:szCs w:val="24"/>
        </w:rPr>
        <w:t xml:space="preserve">el Decreto 2696 de 1994 y </w:t>
      </w:r>
      <w:r w:rsidR="00562BAB" w:rsidRPr="00682149">
        <w:rPr>
          <w:rFonts w:ascii="Arial" w:hAnsi="Arial" w:cs="Arial"/>
          <w:color w:val="000000" w:themeColor="text1"/>
          <w:sz w:val="24"/>
          <w:szCs w:val="24"/>
        </w:rPr>
        <w:t xml:space="preserve">en </w:t>
      </w:r>
      <w:r w:rsidR="00BD6F35" w:rsidRPr="00682149">
        <w:rPr>
          <w:rFonts w:ascii="Arial" w:hAnsi="Arial" w:cs="Arial"/>
          <w:color w:val="000000" w:themeColor="text1"/>
          <w:sz w:val="24"/>
          <w:szCs w:val="24"/>
        </w:rPr>
        <w:t>la Resolución 039 de 2017, que en términos generales</w:t>
      </w:r>
      <w:r w:rsidR="00562BAB" w:rsidRPr="00682149">
        <w:rPr>
          <w:rFonts w:ascii="Arial" w:hAnsi="Arial" w:cs="Arial"/>
          <w:color w:val="000000" w:themeColor="text1"/>
          <w:sz w:val="24"/>
          <w:szCs w:val="24"/>
        </w:rPr>
        <w:t xml:space="preserve"> exige: </w:t>
      </w:r>
      <w:r w:rsidR="00932B8E" w:rsidRPr="00682149">
        <w:rPr>
          <w:rFonts w:ascii="Arial" w:hAnsi="Arial" w:cs="Arial"/>
          <w:color w:val="000000" w:themeColor="text1"/>
          <w:sz w:val="24"/>
          <w:szCs w:val="24"/>
        </w:rPr>
        <w:t xml:space="preserve">1) </w:t>
      </w:r>
      <w:r w:rsidR="00BD6F35" w:rsidRPr="00682149">
        <w:rPr>
          <w:rFonts w:ascii="Arial" w:hAnsi="Arial" w:cs="Arial"/>
          <w:color w:val="000000" w:themeColor="text1"/>
          <w:sz w:val="24"/>
          <w:szCs w:val="24"/>
        </w:rPr>
        <w:t xml:space="preserve">la </w:t>
      </w:r>
      <w:r w:rsidR="00932B8E" w:rsidRPr="00682149">
        <w:rPr>
          <w:rFonts w:ascii="Arial" w:hAnsi="Arial" w:cs="Arial"/>
          <w:color w:val="000000" w:themeColor="text1"/>
          <w:sz w:val="24"/>
          <w:szCs w:val="24"/>
        </w:rPr>
        <w:t xml:space="preserve">expedición de bases sobre las cuales se efectuará el estudio para determinar las fórmulas; 2) </w:t>
      </w:r>
      <w:r w:rsidR="00562BAB" w:rsidRPr="00682149">
        <w:rPr>
          <w:rFonts w:ascii="Arial" w:hAnsi="Arial" w:cs="Arial"/>
          <w:color w:val="000000" w:themeColor="text1"/>
          <w:sz w:val="24"/>
          <w:szCs w:val="24"/>
        </w:rPr>
        <w:t>pu</w:t>
      </w:r>
      <w:r w:rsidR="00932B8E" w:rsidRPr="00682149">
        <w:rPr>
          <w:rFonts w:ascii="Arial" w:hAnsi="Arial" w:cs="Arial"/>
          <w:color w:val="000000" w:themeColor="text1"/>
          <w:sz w:val="24"/>
          <w:szCs w:val="24"/>
        </w:rPr>
        <w:t>blic</w:t>
      </w:r>
      <w:r w:rsidR="00562BAB" w:rsidRPr="00682149">
        <w:rPr>
          <w:rFonts w:ascii="Arial" w:hAnsi="Arial" w:cs="Arial"/>
          <w:color w:val="000000" w:themeColor="text1"/>
          <w:sz w:val="24"/>
          <w:szCs w:val="24"/>
        </w:rPr>
        <w:t xml:space="preserve">ar </w:t>
      </w:r>
      <w:r w:rsidR="00932B8E" w:rsidRPr="00682149">
        <w:rPr>
          <w:rFonts w:ascii="Arial" w:hAnsi="Arial" w:cs="Arial"/>
          <w:color w:val="000000" w:themeColor="text1"/>
          <w:sz w:val="24"/>
          <w:szCs w:val="24"/>
        </w:rPr>
        <w:t xml:space="preserve">en la página web de la Comisión el texto del proyecto de metodología y de </w:t>
      </w:r>
      <w:r w:rsidR="00377D70" w:rsidRPr="00682149">
        <w:rPr>
          <w:rFonts w:ascii="Arial" w:hAnsi="Arial" w:cs="Arial"/>
          <w:color w:val="000000" w:themeColor="text1"/>
          <w:sz w:val="24"/>
          <w:szCs w:val="24"/>
        </w:rPr>
        <w:t>las</w:t>
      </w:r>
      <w:r w:rsidR="00A275F5" w:rsidRPr="00682149">
        <w:rPr>
          <w:rFonts w:ascii="Arial" w:hAnsi="Arial" w:cs="Arial"/>
          <w:color w:val="000000" w:themeColor="text1"/>
          <w:sz w:val="24"/>
          <w:szCs w:val="24"/>
        </w:rPr>
        <w:t xml:space="preserve"> </w:t>
      </w:r>
      <w:r w:rsidR="00932B8E" w:rsidRPr="00682149">
        <w:rPr>
          <w:rFonts w:ascii="Arial" w:hAnsi="Arial" w:cs="Arial"/>
          <w:color w:val="000000" w:themeColor="text1"/>
          <w:sz w:val="24"/>
          <w:szCs w:val="24"/>
        </w:rPr>
        <w:t>fórmula</w:t>
      </w:r>
      <w:r w:rsidR="00A275F5" w:rsidRPr="00682149">
        <w:rPr>
          <w:rFonts w:ascii="Arial" w:hAnsi="Arial" w:cs="Arial"/>
          <w:color w:val="000000" w:themeColor="text1"/>
          <w:sz w:val="24"/>
          <w:szCs w:val="24"/>
        </w:rPr>
        <w:t>s</w:t>
      </w:r>
      <w:r w:rsidR="00932B8E" w:rsidRPr="00682149">
        <w:rPr>
          <w:rFonts w:ascii="Arial" w:hAnsi="Arial" w:cs="Arial"/>
          <w:color w:val="000000" w:themeColor="text1"/>
          <w:sz w:val="24"/>
          <w:szCs w:val="24"/>
        </w:rPr>
        <w:t>; 3) organiza</w:t>
      </w:r>
      <w:r w:rsidR="00A275F5" w:rsidRPr="00682149">
        <w:rPr>
          <w:rFonts w:ascii="Arial" w:hAnsi="Arial" w:cs="Arial"/>
          <w:color w:val="000000" w:themeColor="text1"/>
          <w:sz w:val="24"/>
          <w:szCs w:val="24"/>
        </w:rPr>
        <w:t xml:space="preserve">r las </w:t>
      </w:r>
      <w:r w:rsidR="00932B8E" w:rsidRPr="00682149">
        <w:rPr>
          <w:rFonts w:ascii="Arial" w:hAnsi="Arial" w:cs="Arial"/>
          <w:color w:val="000000" w:themeColor="text1"/>
          <w:sz w:val="24"/>
          <w:szCs w:val="24"/>
        </w:rPr>
        <w:t>audiencias públicas; 4) elabora</w:t>
      </w:r>
      <w:r w:rsidR="00A275F5" w:rsidRPr="00682149">
        <w:rPr>
          <w:rFonts w:ascii="Arial" w:hAnsi="Arial" w:cs="Arial"/>
          <w:color w:val="000000" w:themeColor="text1"/>
          <w:sz w:val="24"/>
          <w:szCs w:val="24"/>
        </w:rPr>
        <w:t xml:space="preserve">r el documento con </w:t>
      </w:r>
      <w:r w:rsidR="00932B8E" w:rsidRPr="00682149">
        <w:rPr>
          <w:rFonts w:ascii="Arial" w:hAnsi="Arial" w:cs="Arial"/>
          <w:color w:val="000000" w:themeColor="text1"/>
          <w:sz w:val="24"/>
          <w:szCs w:val="24"/>
        </w:rPr>
        <w:t xml:space="preserve">explicación </w:t>
      </w:r>
      <w:r w:rsidR="009C2B60" w:rsidRPr="00682149">
        <w:rPr>
          <w:rFonts w:ascii="Arial" w:hAnsi="Arial" w:cs="Arial"/>
          <w:color w:val="000000" w:themeColor="text1"/>
          <w:sz w:val="24"/>
          <w:szCs w:val="24"/>
        </w:rPr>
        <w:t xml:space="preserve">sencilla </w:t>
      </w:r>
      <w:r w:rsidR="00932B8E" w:rsidRPr="00682149">
        <w:rPr>
          <w:rFonts w:ascii="Arial" w:hAnsi="Arial" w:cs="Arial"/>
          <w:color w:val="000000" w:themeColor="text1"/>
          <w:sz w:val="24"/>
          <w:szCs w:val="24"/>
        </w:rPr>
        <w:t xml:space="preserve">sobre el alcance de la propuesta de </w:t>
      </w:r>
      <w:r w:rsidR="009C2B60" w:rsidRPr="00682149">
        <w:rPr>
          <w:rFonts w:ascii="Arial" w:hAnsi="Arial" w:cs="Arial"/>
          <w:color w:val="000000" w:themeColor="text1"/>
          <w:sz w:val="24"/>
          <w:szCs w:val="24"/>
        </w:rPr>
        <w:t xml:space="preserve">las </w:t>
      </w:r>
      <w:r w:rsidR="00932B8E" w:rsidRPr="00682149">
        <w:rPr>
          <w:rFonts w:ascii="Arial" w:hAnsi="Arial" w:cs="Arial"/>
          <w:color w:val="000000" w:themeColor="text1"/>
          <w:sz w:val="24"/>
          <w:szCs w:val="24"/>
        </w:rPr>
        <w:t xml:space="preserve">fórmulas tarifarias; 5) </w:t>
      </w:r>
      <w:r w:rsidR="009C2B60" w:rsidRPr="00682149">
        <w:rPr>
          <w:rFonts w:ascii="Arial" w:hAnsi="Arial" w:cs="Arial"/>
          <w:color w:val="000000" w:themeColor="text1"/>
          <w:sz w:val="24"/>
          <w:szCs w:val="24"/>
        </w:rPr>
        <w:t xml:space="preserve">elaborar un </w:t>
      </w:r>
      <w:r w:rsidR="00932B8E" w:rsidRPr="00682149">
        <w:rPr>
          <w:rFonts w:ascii="Arial" w:hAnsi="Arial" w:cs="Arial"/>
          <w:color w:val="000000" w:themeColor="text1"/>
          <w:sz w:val="24"/>
          <w:szCs w:val="24"/>
        </w:rPr>
        <w:t>documento con memorias escri</w:t>
      </w:r>
      <w:r w:rsidR="00377D70" w:rsidRPr="00682149">
        <w:rPr>
          <w:rFonts w:ascii="Arial" w:hAnsi="Arial" w:cs="Arial"/>
          <w:color w:val="000000" w:themeColor="text1"/>
          <w:sz w:val="24"/>
          <w:szCs w:val="24"/>
        </w:rPr>
        <w:t>tas de las consultas públicas;</w:t>
      </w:r>
      <w:r w:rsidR="00932B8E" w:rsidRPr="00682149">
        <w:rPr>
          <w:rFonts w:ascii="Arial" w:hAnsi="Arial" w:cs="Arial"/>
          <w:color w:val="000000" w:themeColor="text1"/>
          <w:sz w:val="24"/>
          <w:szCs w:val="24"/>
        </w:rPr>
        <w:t xml:space="preserve"> 6) </w:t>
      </w:r>
      <w:r w:rsidR="009C2B60" w:rsidRPr="00682149">
        <w:rPr>
          <w:rFonts w:ascii="Arial" w:hAnsi="Arial" w:cs="Arial"/>
          <w:color w:val="000000" w:themeColor="text1"/>
          <w:sz w:val="24"/>
          <w:szCs w:val="24"/>
        </w:rPr>
        <w:t xml:space="preserve">la </w:t>
      </w:r>
      <w:r w:rsidR="00A275F5" w:rsidRPr="00682149">
        <w:rPr>
          <w:rFonts w:ascii="Arial" w:hAnsi="Arial" w:cs="Arial"/>
          <w:color w:val="000000" w:themeColor="text1"/>
          <w:sz w:val="24"/>
          <w:szCs w:val="24"/>
        </w:rPr>
        <w:t>a</w:t>
      </w:r>
      <w:r w:rsidR="00932B8E" w:rsidRPr="00682149">
        <w:rPr>
          <w:rFonts w:ascii="Arial" w:hAnsi="Arial" w:cs="Arial"/>
          <w:color w:val="000000" w:themeColor="text1"/>
          <w:sz w:val="24"/>
          <w:szCs w:val="24"/>
        </w:rPr>
        <w:t>probación de resolución definitiva</w:t>
      </w:r>
      <w:r w:rsidR="00E10B7E" w:rsidRPr="00682149">
        <w:rPr>
          <w:rFonts w:ascii="Arial" w:hAnsi="Arial" w:cs="Arial"/>
          <w:color w:val="000000" w:themeColor="text1"/>
          <w:sz w:val="24"/>
          <w:szCs w:val="24"/>
        </w:rPr>
        <w:t>;</w:t>
      </w:r>
      <w:r w:rsidR="00932B8E" w:rsidRPr="00682149">
        <w:rPr>
          <w:rFonts w:ascii="Arial" w:hAnsi="Arial" w:cs="Arial"/>
          <w:color w:val="000000" w:themeColor="text1"/>
          <w:sz w:val="24"/>
          <w:szCs w:val="24"/>
        </w:rPr>
        <w:t xml:space="preserve"> y</w:t>
      </w:r>
      <w:r w:rsidR="00E10B7E" w:rsidRPr="00682149">
        <w:rPr>
          <w:rFonts w:ascii="Arial" w:hAnsi="Arial" w:cs="Arial"/>
          <w:color w:val="000000" w:themeColor="text1"/>
          <w:sz w:val="24"/>
          <w:szCs w:val="24"/>
        </w:rPr>
        <w:t>,</w:t>
      </w:r>
      <w:r w:rsidR="00377D70" w:rsidRPr="00682149">
        <w:rPr>
          <w:rFonts w:ascii="Arial" w:hAnsi="Arial" w:cs="Arial"/>
          <w:color w:val="000000" w:themeColor="text1"/>
          <w:sz w:val="24"/>
          <w:szCs w:val="24"/>
        </w:rPr>
        <w:t>7)</w:t>
      </w:r>
      <w:r w:rsidR="00932B8E" w:rsidRPr="00682149">
        <w:rPr>
          <w:rFonts w:ascii="Arial" w:hAnsi="Arial" w:cs="Arial"/>
          <w:color w:val="000000" w:themeColor="text1"/>
          <w:sz w:val="24"/>
          <w:szCs w:val="24"/>
        </w:rPr>
        <w:t xml:space="preserve"> </w:t>
      </w:r>
      <w:r w:rsidR="009C2B60" w:rsidRPr="00682149">
        <w:rPr>
          <w:rFonts w:ascii="Arial" w:hAnsi="Arial" w:cs="Arial"/>
          <w:color w:val="000000" w:themeColor="text1"/>
          <w:sz w:val="24"/>
          <w:szCs w:val="24"/>
        </w:rPr>
        <w:t xml:space="preserve">la </w:t>
      </w:r>
      <w:r w:rsidR="00932B8E" w:rsidRPr="00682149">
        <w:rPr>
          <w:rFonts w:ascii="Arial" w:hAnsi="Arial" w:cs="Arial"/>
          <w:color w:val="000000" w:themeColor="text1"/>
          <w:sz w:val="24"/>
          <w:szCs w:val="24"/>
        </w:rPr>
        <w:t xml:space="preserve">publicación en Diario Oficial. </w:t>
      </w:r>
    </w:p>
    <w:p w14:paraId="4535BC4F" w14:textId="22BAC916" w:rsidR="00932B8E" w:rsidRPr="00682149" w:rsidRDefault="00932B8E" w:rsidP="001C138F">
      <w:pPr>
        <w:spacing w:after="0" w:line="276" w:lineRule="auto"/>
        <w:rPr>
          <w:rFonts w:ascii="Arial" w:hAnsi="Arial" w:cs="Arial"/>
          <w:color w:val="000000" w:themeColor="text1"/>
          <w:sz w:val="24"/>
          <w:szCs w:val="24"/>
        </w:rPr>
      </w:pPr>
      <w:r w:rsidRPr="00682149">
        <w:rPr>
          <w:rFonts w:ascii="Arial" w:hAnsi="Arial" w:cs="Arial"/>
          <w:color w:val="000000" w:themeColor="text1"/>
          <w:sz w:val="24"/>
          <w:szCs w:val="24"/>
        </w:rPr>
        <w:t xml:space="preserve"> </w:t>
      </w:r>
    </w:p>
    <w:p w14:paraId="39860A7A" w14:textId="6A52B248" w:rsidR="009C605F" w:rsidRPr="00682149" w:rsidRDefault="009C605F" w:rsidP="001C138F">
      <w:pPr>
        <w:spacing w:after="0" w:line="276" w:lineRule="auto"/>
        <w:jc w:val="both"/>
        <w:rPr>
          <w:rFonts w:ascii="Arial" w:hAnsi="Arial" w:cs="Arial"/>
          <w:color w:val="000000" w:themeColor="text1"/>
          <w:sz w:val="24"/>
          <w:szCs w:val="24"/>
        </w:rPr>
      </w:pPr>
      <w:r w:rsidRPr="00682149">
        <w:rPr>
          <w:rFonts w:ascii="Arial" w:hAnsi="Arial" w:cs="Arial"/>
          <w:color w:val="000000" w:themeColor="text1"/>
          <w:sz w:val="24"/>
          <w:szCs w:val="24"/>
        </w:rPr>
        <w:t>x</w:t>
      </w:r>
      <w:r w:rsidR="00684711" w:rsidRPr="00682149">
        <w:rPr>
          <w:rFonts w:ascii="Arial" w:hAnsi="Arial" w:cs="Arial"/>
          <w:color w:val="000000" w:themeColor="text1"/>
          <w:sz w:val="24"/>
          <w:szCs w:val="24"/>
        </w:rPr>
        <w:t>v</w:t>
      </w:r>
      <w:r w:rsidR="00A275F5" w:rsidRPr="00682149">
        <w:rPr>
          <w:rFonts w:ascii="Arial" w:hAnsi="Arial" w:cs="Arial"/>
          <w:color w:val="000000" w:themeColor="text1"/>
          <w:sz w:val="24"/>
          <w:szCs w:val="24"/>
        </w:rPr>
        <w:t>i</w:t>
      </w:r>
      <w:r w:rsidR="00835D7E" w:rsidRPr="00682149">
        <w:rPr>
          <w:rFonts w:ascii="Arial" w:hAnsi="Arial" w:cs="Arial"/>
          <w:color w:val="000000" w:themeColor="text1"/>
          <w:sz w:val="24"/>
          <w:szCs w:val="24"/>
        </w:rPr>
        <w:t>)</w:t>
      </w:r>
      <w:r w:rsidR="00A275F5" w:rsidRPr="00682149">
        <w:rPr>
          <w:rFonts w:ascii="Arial" w:hAnsi="Arial" w:cs="Arial"/>
          <w:color w:val="000000" w:themeColor="text1"/>
          <w:sz w:val="24"/>
          <w:szCs w:val="24"/>
        </w:rPr>
        <w:t xml:space="preserve"> Informó que</w:t>
      </w:r>
      <w:r w:rsidR="00684711" w:rsidRPr="00682149">
        <w:rPr>
          <w:rFonts w:ascii="Arial" w:hAnsi="Arial" w:cs="Arial"/>
          <w:color w:val="000000" w:themeColor="text1"/>
          <w:sz w:val="24"/>
          <w:szCs w:val="24"/>
        </w:rPr>
        <w:t>,</w:t>
      </w:r>
      <w:r w:rsidR="00A275F5" w:rsidRPr="00682149">
        <w:rPr>
          <w:rFonts w:ascii="Arial" w:hAnsi="Arial" w:cs="Arial"/>
          <w:color w:val="000000" w:themeColor="text1"/>
          <w:sz w:val="24"/>
          <w:szCs w:val="24"/>
        </w:rPr>
        <w:t xml:space="preserve"> </w:t>
      </w:r>
      <w:r w:rsidR="00684711" w:rsidRPr="00682149">
        <w:rPr>
          <w:rFonts w:ascii="Arial" w:hAnsi="Arial" w:cs="Arial"/>
          <w:color w:val="000000" w:themeColor="text1"/>
          <w:sz w:val="24"/>
          <w:szCs w:val="24"/>
        </w:rPr>
        <w:t xml:space="preserve">en la actualidad, </w:t>
      </w:r>
      <w:r w:rsidR="00932B8E" w:rsidRPr="00682149">
        <w:rPr>
          <w:rFonts w:ascii="Arial" w:hAnsi="Arial" w:cs="Arial"/>
          <w:color w:val="000000" w:themeColor="text1"/>
          <w:sz w:val="24"/>
          <w:szCs w:val="24"/>
        </w:rPr>
        <w:t xml:space="preserve">la Comisión </w:t>
      </w:r>
      <w:r w:rsidRPr="00682149">
        <w:rPr>
          <w:rFonts w:ascii="Arial" w:hAnsi="Arial" w:cs="Arial"/>
          <w:color w:val="000000" w:themeColor="text1"/>
          <w:sz w:val="24"/>
          <w:szCs w:val="24"/>
        </w:rPr>
        <w:t xml:space="preserve">adelanta </w:t>
      </w:r>
      <w:r w:rsidR="00932B8E" w:rsidRPr="00682149">
        <w:rPr>
          <w:rFonts w:ascii="Arial" w:hAnsi="Arial" w:cs="Arial"/>
          <w:color w:val="000000" w:themeColor="text1"/>
          <w:sz w:val="24"/>
          <w:szCs w:val="24"/>
        </w:rPr>
        <w:t>un estudio cuyo objeto es desarrollar un mode</w:t>
      </w:r>
      <w:r w:rsidRPr="00682149">
        <w:rPr>
          <w:rFonts w:ascii="Arial" w:hAnsi="Arial" w:cs="Arial"/>
          <w:color w:val="000000" w:themeColor="text1"/>
          <w:sz w:val="24"/>
          <w:szCs w:val="24"/>
        </w:rPr>
        <w:t xml:space="preserve">lo que permita </w:t>
      </w:r>
      <w:r w:rsidR="003B2566" w:rsidRPr="00682149">
        <w:rPr>
          <w:rFonts w:ascii="Arial" w:hAnsi="Arial" w:cs="Arial"/>
          <w:color w:val="000000" w:themeColor="text1"/>
          <w:sz w:val="24"/>
          <w:szCs w:val="24"/>
        </w:rPr>
        <w:t xml:space="preserve">calcular </w:t>
      </w:r>
      <w:r w:rsidRPr="00682149">
        <w:rPr>
          <w:rFonts w:ascii="Arial" w:hAnsi="Arial" w:cs="Arial"/>
          <w:color w:val="000000" w:themeColor="text1"/>
          <w:sz w:val="24"/>
          <w:szCs w:val="24"/>
        </w:rPr>
        <w:t>el cost</w:t>
      </w:r>
      <w:r w:rsidR="00377D70" w:rsidRPr="00682149">
        <w:rPr>
          <w:rFonts w:ascii="Arial" w:hAnsi="Arial" w:cs="Arial"/>
          <w:color w:val="000000" w:themeColor="text1"/>
          <w:sz w:val="24"/>
          <w:szCs w:val="24"/>
        </w:rPr>
        <w:t>o de soluciones i</w:t>
      </w:r>
      <w:r w:rsidR="00932B8E" w:rsidRPr="00682149">
        <w:rPr>
          <w:rFonts w:ascii="Arial" w:hAnsi="Arial" w:cs="Arial"/>
          <w:color w:val="000000" w:themeColor="text1"/>
          <w:sz w:val="24"/>
          <w:szCs w:val="24"/>
        </w:rPr>
        <w:t>ndividuales, a partir de la definición del nivel del servicio, los componentes típicos de dichas soluciones, los costos de transporte de los equipos, costos de inver</w:t>
      </w:r>
      <w:r w:rsidRPr="00682149">
        <w:rPr>
          <w:rFonts w:ascii="Arial" w:hAnsi="Arial" w:cs="Arial"/>
          <w:color w:val="000000" w:themeColor="text1"/>
          <w:sz w:val="24"/>
          <w:szCs w:val="24"/>
        </w:rPr>
        <w:t>sión y gastos de AOM, entre otra</w:t>
      </w:r>
      <w:r w:rsidR="00C70543" w:rsidRPr="00682149">
        <w:rPr>
          <w:rFonts w:ascii="Arial" w:hAnsi="Arial" w:cs="Arial"/>
          <w:color w:val="000000" w:themeColor="text1"/>
          <w:sz w:val="24"/>
          <w:szCs w:val="24"/>
        </w:rPr>
        <w:t>s</w:t>
      </w:r>
      <w:r w:rsidRPr="00682149">
        <w:rPr>
          <w:rFonts w:ascii="Arial" w:hAnsi="Arial" w:cs="Arial"/>
          <w:color w:val="000000" w:themeColor="text1"/>
          <w:sz w:val="24"/>
          <w:szCs w:val="24"/>
        </w:rPr>
        <w:t xml:space="preserve"> variab</w:t>
      </w:r>
      <w:r w:rsidR="00A275F5" w:rsidRPr="00682149">
        <w:rPr>
          <w:rFonts w:ascii="Arial" w:hAnsi="Arial" w:cs="Arial"/>
          <w:color w:val="000000" w:themeColor="text1"/>
          <w:sz w:val="24"/>
          <w:szCs w:val="24"/>
        </w:rPr>
        <w:t xml:space="preserve">les, con el fin de definir una </w:t>
      </w:r>
      <w:r w:rsidRPr="00682149">
        <w:rPr>
          <w:rFonts w:ascii="Arial" w:hAnsi="Arial" w:cs="Arial"/>
          <w:color w:val="000000" w:themeColor="text1"/>
          <w:sz w:val="24"/>
          <w:szCs w:val="24"/>
        </w:rPr>
        <w:t xml:space="preserve">tarifa general, para un </w:t>
      </w:r>
      <w:r w:rsidR="00932B8E" w:rsidRPr="00682149">
        <w:rPr>
          <w:rFonts w:ascii="Arial" w:hAnsi="Arial" w:cs="Arial"/>
          <w:color w:val="000000" w:themeColor="text1"/>
          <w:sz w:val="24"/>
          <w:szCs w:val="24"/>
        </w:rPr>
        <w:t>período de cinco años</w:t>
      </w:r>
      <w:r w:rsidRPr="00682149">
        <w:rPr>
          <w:rFonts w:ascii="Arial" w:hAnsi="Arial" w:cs="Arial"/>
          <w:color w:val="000000" w:themeColor="text1"/>
          <w:sz w:val="24"/>
          <w:szCs w:val="24"/>
        </w:rPr>
        <w:t xml:space="preserve">. </w:t>
      </w:r>
    </w:p>
    <w:p w14:paraId="664CB3BF" w14:textId="75643203" w:rsidR="00932B8E" w:rsidRPr="00682149" w:rsidRDefault="00932B8E" w:rsidP="001C138F">
      <w:pPr>
        <w:spacing w:after="0" w:line="276" w:lineRule="auto"/>
        <w:rPr>
          <w:rFonts w:ascii="Arial" w:hAnsi="Arial" w:cs="Arial"/>
          <w:color w:val="000000" w:themeColor="text1"/>
          <w:sz w:val="24"/>
          <w:szCs w:val="24"/>
        </w:rPr>
      </w:pPr>
    </w:p>
    <w:p w14:paraId="4DF4B55C" w14:textId="1164ED84" w:rsidR="00932B8E" w:rsidRPr="00682149" w:rsidRDefault="003B2566" w:rsidP="001C138F">
      <w:pPr>
        <w:spacing w:after="0" w:line="276" w:lineRule="auto"/>
        <w:jc w:val="both"/>
        <w:rPr>
          <w:rFonts w:ascii="Arial" w:hAnsi="Arial" w:cs="Arial"/>
          <w:color w:val="000000" w:themeColor="text1"/>
          <w:sz w:val="24"/>
          <w:szCs w:val="24"/>
        </w:rPr>
      </w:pPr>
      <w:r w:rsidRPr="00682149">
        <w:rPr>
          <w:rFonts w:ascii="Arial" w:hAnsi="Arial" w:cs="Arial"/>
          <w:color w:val="000000" w:themeColor="text1"/>
          <w:sz w:val="24"/>
          <w:szCs w:val="24"/>
        </w:rPr>
        <w:t>xv</w:t>
      </w:r>
      <w:r w:rsidR="00A275F5" w:rsidRPr="00682149">
        <w:rPr>
          <w:rFonts w:ascii="Arial" w:hAnsi="Arial" w:cs="Arial"/>
          <w:color w:val="000000" w:themeColor="text1"/>
          <w:sz w:val="24"/>
          <w:szCs w:val="24"/>
        </w:rPr>
        <w:t>ii</w:t>
      </w:r>
      <w:r w:rsidR="009C605F" w:rsidRPr="00682149">
        <w:rPr>
          <w:rFonts w:ascii="Arial" w:hAnsi="Arial" w:cs="Arial"/>
          <w:color w:val="000000" w:themeColor="text1"/>
          <w:sz w:val="24"/>
          <w:szCs w:val="24"/>
        </w:rPr>
        <w:t xml:space="preserve">) </w:t>
      </w:r>
      <w:r w:rsidRPr="00682149">
        <w:rPr>
          <w:rFonts w:ascii="Arial" w:hAnsi="Arial" w:cs="Arial"/>
          <w:color w:val="000000" w:themeColor="text1"/>
          <w:sz w:val="24"/>
          <w:szCs w:val="24"/>
        </w:rPr>
        <w:t xml:space="preserve"> También </w:t>
      </w:r>
      <w:r w:rsidR="00A275F5" w:rsidRPr="00682149">
        <w:rPr>
          <w:rFonts w:ascii="Arial" w:hAnsi="Arial" w:cs="Arial"/>
          <w:color w:val="000000" w:themeColor="text1"/>
          <w:sz w:val="24"/>
          <w:szCs w:val="24"/>
        </w:rPr>
        <w:t xml:space="preserve">la CREG, a través de la </w:t>
      </w:r>
      <w:r w:rsidR="00932B8E" w:rsidRPr="00682149">
        <w:rPr>
          <w:rFonts w:ascii="Arial" w:hAnsi="Arial" w:cs="Arial"/>
          <w:color w:val="000000" w:themeColor="text1"/>
          <w:sz w:val="24"/>
          <w:szCs w:val="24"/>
        </w:rPr>
        <w:t>Resolución</w:t>
      </w:r>
      <w:r w:rsidR="00377D70" w:rsidRPr="00682149">
        <w:rPr>
          <w:rFonts w:ascii="Arial" w:hAnsi="Arial" w:cs="Arial"/>
          <w:color w:val="000000" w:themeColor="text1"/>
          <w:sz w:val="24"/>
          <w:szCs w:val="24"/>
        </w:rPr>
        <w:t xml:space="preserve"> </w:t>
      </w:r>
      <w:r w:rsidR="00932B8E" w:rsidRPr="00682149">
        <w:rPr>
          <w:rFonts w:ascii="Arial" w:hAnsi="Arial" w:cs="Arial"/>
          <w:color w:val="000000" w:themeColor="text1"/>
          <w:sz w:val="24"/>
          <w:szCs w:val="24"/>
        </w:rPr>
        <w:t>157 de</w:t>
      </w:r>
      <w:r w:rsidR="00A275F5" w:rsidRPr="00682149">
        <w:rPr>
          <w:rFonts w:ascii="Arial" w:hAnsi="Arial" w:cs="Arial"/>
          <w:color w:val="000000" w:themeColor="text1"/>
          <w:sz w:val="24"/>
          <w:szCs w:val="24"/>
        </w:rPr>
        <w:t xml:space="preserve"> 21 de agosto </w:t>
      </w:r>
      <w:r w:rsidR="00932B8E" w:rsidRPr="00682149">
        <w:rPr>
          <w:rFonts w:ascii="Arial" w:hAnsi="Arial" w:cs="Arial"/>
          <w:color w:val="000000" w:themeColor="text1"/>
          <w:sz w:val="24"/>
          <w:szCs w:val="24"/>
        </w:rPr>
        <w:t xml:space="preserve"> 2020, ordenó hacer público un proyecto de resolución </w:t>
      </w:r>
      <w:r w:rsidR="00932B8E" w:rsidRPr="00682149">
        <w:rPr>
          <w:rFonts w:ascii="Arial" w:hAnsi="Arial" w:cs="Arial"/>
          <w:i/>
          <w:color w:val="000000" w:themeColor="text1"/>
          <w:sz w:val="24"/>
          <w:szCs w:val="24"/>
        </w:rPr>
        <w:t>“Por la cual se define una tarifa transitoria para el servicio de energía eléctrica en las Zonas No Interconectadas”</w:t>
      </w:r>
      <w:r w:rsidR="00932B8E" w:rsidRPr="00682149">
        <w:rPr>
          <w:rFonts w:ascii="Arial" w:hAnsi="Arial" w:cs="Arial"/>
          <w:color w:val="000000" w:themeColor="text1"/>
          <w:sz w:val="24"/>
          <w:szCs w:val="24"/>
        </w:rPr>
        <w:t>, en el que se invitó a los agentes, usuarios, autoridades competentes, a la Superintendencia de Servicios Públicos Domiciliarios, para que dentro de los tres días hábiles siguie</w:t>
      </w:r>
      <w:r w:rsidRPr="00682149">
        <w:rPr>
          <w:rFonts w:ascii="Arial" w:hAnsi="Arial" w:cs="Arial"/>
          <w:color w:val="000000" w:themeColor="text1"/>
          <w:sz w:val="24"/>
          <w:szCs w:val="24"/>
        </w:rPr>
        <w:t>ntes remit</w:t>
      </w:r>
      <w:r w:rsidR="00E11898">
        <w:rPr>
          <w:rFonts w:ascii="Arial" w:hAnsi="Arial" w:cs="Arial"/>
          <w:color w:val="000000" w:themeColor="text1"/>
          <w:sz w:val="24"/>
          <w:szCs w:val="24"/>
        </w:rPr>
        <w:t>ier</w:t>
      </w:r>
      <w:r w:rsidR="00932B8E" w:rsidRPr="00682149">
        <w:rPr>
          <w:rFonts w:ascii="Arial" w:hAnsi="Arial" w:cs="Arial"/>
          <w:color w:val="000000" w:themeColor="text1"/>
          <w:sz w:val="24"/>
          <w:szCs w:val="24"/>
        </w:rPr>
        <w:t xml:space="preserve">an sus observaciones o sugerencias sobre el proyecto de resolución, comentarios que fueron analizados y resueltos en el Documento CREG 131 de 2020, </w:t>
      </w:r>
      <w:r w:rsidR="0011783E" w:rsidRPr="00682149">
        <w:rPr>
          <w:rFonts w:ascii="Arial" w:hAnsi="Arial" w:cs="Arial"/>
          <w:color w:val="000000" w:themeColor="text1"/>
          <w:sz w:val="24"/>
          <w:szCs w:val="24"/>
        </w:rPr>
        <w:t xml:space="preserve">el cual constituye </w:t>
      </w:r>
      <w:r w:rsidRPr="00682149">
        <w:rPr>
          <w:rFonts w:ascii="Arial" w:hAnsi="Arial" w:cs="Arial"/>
          <w:color w:val="000000" w:themeColor="text1"/>
          <w:sz w:val="24"/>
          <w:szCs w:val="24"/>
        </w:rPr>
        <w:t xml:space="preserve">el </w:t>
      </w:r>
      <w:r w:rsidR="00932B8E" w:rsidRPr="00682149">
        <w:rPr>
          <w:rFonts w:ascii="Arial" w:hAnsi="Arial" w:cs="Arial"/>
          <w:color w:val="000000" w:themeColor="text1"/>
          <w:sz w:val="24"/>
          <w:szCs w:val="24"/>
        </w:rPr>
        <w:t xml:space="preserve">documento soporte </w:t>
      </w:r>
      <w:r w:rsidR="00B45672" w:rsidRPr="00682149">
        <w:rPr>
          <w:rFonts w:ascii="Arial" w:hAnsi="Arial" w:cs="Arial"/>
          <w:color w:val="000000" w:themeColor="text1"/>
          <w:sz w:val="24"/>
          <w:szCs w:val="24"/>
        </w:rPr>
        <w:t>par</w:t>
      </w:r>
      <w:r w:rsidR="00BD0813" w:rsidRPr="00682149">
        <w:rPr>
          <w:rFonts w:ascii="Arial" w:hAnsi="Arial" w:cs="Arial"/>
          <w:color w:val="000000" w:themeColor="text1"/>
          <w:sz w:val="24"/>
          <w:szCs w:val="24"/>
        </w:rPr>
        <w:t>a la expedición de</w:t>
      </w:r>
      <w:r w:rsidR="00A275F5" w:rsidRPr="00682149">
        <w:rPr>
          <w:rFonts w:ascii="Arial" w:hAnsi="Arial" w:cs="Arial"/>
          <w:color w:val="000000" w:themeColor="text1"/>
          <w:sz w:val="24"/>
          <w:szCs w:val="24"/>
        </w:rPr>
        <w:t xml:space="preserve">l acto controlado. </w:t>
      </w:r>
    </w:p>
    <w:p w14:paraId="3FDE6E74" w14:textId="77777777" w:rsidR="00932B8E" w:rsidRPr="00682149" w:rsidRDefault="00932B8E" w:rsidP="001C138F">
      <w:pPr>
        <w:spacing w:after="0" w:line="276" w:lineRule="auto"/>
        <w:rPr>
          <w:rFonts w:ascii="Arial" w:hAnsi="Arial" w:cs="Arial"/>
          <w:color w:val="000000" w:themeColor="text1"/>
          <w:sz w:val="24"/>
          <w:szCs w:val="24"/>
        </w:rPr>
      </w:pPr>
      <w:r w:rsidRPr="00682149">
        <w:rPr>
          <w:rFonts w:ascii="Arial" w:hAnsi="Arial" w:cs="Arial"/>
          <w:color w:val="000000" w:themeColor="text1"/>
          <w:sz w:val="24"/>
          <w:szCs w:val="24"/>
        </w:rPr>
        <w:t xml:space="preserve"> </w:t>
      </w:r>
    </w:p>
    <w:p w14:paraId="4862C1C6" w14:textId="50FA5745" w:rsidR="00454900" w:rsidRPr="00682149" w:rsidRDefault="009C605F" w:rsidP="001C138F">
      <w:pPr>
        <w:spacing w:after="0" w:line="276" w:lineRule="auto"/>
        <w:jc w:val="both"/>
        <w:rPr>
          <w:rFonts w:ascii="Arial" w:hAnsi="Arial" w:cs="Arial"/>
          <w:color w:val="000000" w:themeColor="text1"/>
          <w:sz w:val="24"/>
          <w:szCs w:val="24"/>
        </w:rPr>
      </w:pPr>
      <w:r w:rsidRPr="00682149">
        <w:rPr>
          <w:rFonts w:ascii="Arial" w:hAnsi="Arial" w:cs="Arial"/>
          <w:color w:val="000000" w:themeColor="text1"/>
          <w:sz w:val="24"/>
          <w:szCs w:val="24"/>
        </w:rPr>
        <w:lastRenderedPageBreak/>
        <w:t>x</w:t>
      </w:r>
      <w:r w:rsidR="00A275F5" w:rsidRPr="00682149">
        <w:rPr>
          <w:rFonts w:ascii="Arial" w:hAnsi="Arial" w:cs="Arial"/>
          <w:color w:val="000000" w:themeColor="text1"/>
          <w:sz w:val="24"/>
          <w:szCs w:val="24"/>
        </w:rPr>
        <w:t>i</w:t>
      </w:r>
      <w:r w:rsidR="003B2566" w:rsidRPr="00682149">
        <w:rPr>
          <w:rFonts w:ascii="Arial" w:hAnsi="Arial" w:cs="Arial"/>
          <w:color w:val="000000" w:themeColor="text1"/>
          <w:sz w:val="24"/>
          <w:szCs w:val="24"/>
        </w:rPr>
        <w:t>ii</w:t>
      </w:r>
      <w:r w:rsidRPr="00682149">
        <w:rPr>
          <w:rFonts w:ascii="Arial" w:hAnsi="Arial" w:cs="Arial"/>
          <w:color w:val="000000" w:themeColor="text1"/>
          <w:sz w:val="24"/>
          <w:szCs w:val="24"/>
        </w:rPr>
        <w:t>)</w:t>
      </w:r>
      <w:r w:rsidR="0011783E" w:rsidRPr="00682149">
        <w:rPr>
          <w:rFonts w:ascii="Arial" w:hAnsi="Arial" w:cs="Arial"/>
          <w:color w:val="000000" w:themeColor="text1"/>
          <w:sz w:val="24"/>
          <w:szCs w:val="24"/>
        </w:rPr>
        <w:t xml:space="preserve"> </w:t>
      </w:r>
      <w:r w:rsidR="00932B8E" w:rsidRPr="00682149">
        <w:rPr>
          <w:rFonts w:ascii="Arial" w:hAnsi="Arial" w:cs="Arial"/>
          <w:color w:val="000000" w:themeColor="text1"/>
          <w:sz w:val="24"/>
          <w:szCs w:val="24"/>
        </w:rPr>
        <w:t>Finalmente</w:t>
      </w:r>
      <w:r w:rsidRPr="00682149">
        <w:rPr>
          <w:rFonts w:ascii="Arial" w:hAnsi="Arial" w:cs="Arial"/>
          <w:color w:val="000000" w:themeColor="text1"/>
          <w:sz w:val="24"/>
          <w:szCs w:val="24"/>
        </w:rPr>
        <w:t xml:space="preserve">, </w:t>
      </w:r>
      <w:r w:rsidR="0011783E" w:rsidRPr="00682149">
        <w:rPr>
          <w:rFonts w:ascii="Arial" w:hAnsi="Arial" w:cs="Arial"/>
          <w:color w:val="000000" w:themeColor="text1"/>
          <w:sz w:val="24"/>
          <w:szCs w:val="24"/>
        </w:rPr>
        <w:t>destacó que para la expedición el acto</w:t>
      </w:r>
      <w:r w:rsidR="00A275F5" w:rsidRPr="00682149">
        <w:rPr>
          <w:rFonts w:ascii="Arial" w:hAnsi="Arial" w:cs="Arial"/>
          <w:color w:val="000000" w:themeColor="text1"/>
          <w:sz w:val="24"/>
          <w:szCs w:val="24"/>
        </w:rPr>
        <w:t xml:space="preserve">, la CREG no está </w:t>
      </w:r>
      <w:r w:rsidR="0011783E" w:rsidRPr="00682149">
        <w:rPr>
          <w:rFonts w:ascii="Arial" w:hAnsi="Arial" w:cs="Arial"/>
          <w:color w:val="000000" w:themeColor="text1"/>
          <w:sz w:val="24"/>
          <w:szCs w:val="24"/>
        </w:rPr>
        <w:t xml:space="preserve">obligada a </w:t>
      </w:r>
      <w:r w:rsidR="00932B8E" w:rsidRPr="00682149">
        <w:rPr>
          <w:rFonts w:ascii="Arial" w:hAnsi="Arial" w:cs="Arial"/>
          <w:color w:val="000000" w:themeColor="text1"/>
          <w:sz w:val="24"/>
          <w:szCs w:val="24"/>
        </w:rPr>
        <w:t>informa</w:t>
      </w:r>
      <w:r w:rsidRPr="00682149">
        <w:rPr>
          <w:rFonts w:ascii="Arial" w:hAnsi="Arial" w:cs="Arial"/>
          <w:color w:val="000000" w:themeColor="text1"/>
          <w:sz w:val="24"/>
          <w:szCs w:val="24"/>
        </w:rPr>
        <w:t xml:space="preserve">r </w:t>
      </w:r>
      <w:r w:rsidR="00932B8E" w:rsidRPr="00682149">
        <w:rPr>
          <w:rFonts w:ascii="Arial" w:hAnsi="Arial" w:cs="Arial"/>
          <w:color w:val="000000" w:themeColor="text1"/>
          <w:sz w:val="24"/>
          <w:szCs w:val="24"/>
        </w:rPr>
        <w:t>los proyectos de regulación a la Superintendencia de Industria y Comercio</w:t>
      </w:r>
      <w:r w:rsidR="0011783E" w:rsidRPr="00682149">
        <w:rPr>
          <w:rFonts w:ascii="Arial" w:hAnsi="Arial" w:cs="Arial"/>
          <w:color w:val="000000" w:themeColor="text1"/>
          <w:sz w:val="24"/>
          <w:szCs w:val="24"/>
        </w:rPr>
        <w:t xml:space="preserve">, </w:t>
      </w:r>
      <w:r w:rsidR="00C70543" w:rsidRPr="00682149">
        <w:rPr>
          <w:rFonts w:ascii="Arial" w:hAnsi="Arial" w:cs="Arial"/>
          <w:color w:val="000000" w:themeColor="text1"/>
          <w:sz w:val="24"/>
          <w:szCs w:val="24"/>
        </w:rPr>
        <w:t xml:space="preserve">según </w:t>
      </w:r>
      <w:r w:rsidR="0011783E" w:rsidRPr="00682149">
        <w:rPr>
          <w:rFonts w:ascii="Arial" w:hAnsi="Arial" w:cs="Arial"/>
          <w:color w:val="000000" w:themeColor="text1"/>
          <w:sz w:val="24"/>
          <w:szCs w:val="24"/>
        </w:rPr>
        <w:t>lo previsto en el parágrafo</w:t>
      </w:r>
      <w:r w:rsidR="00C70543" w:rsidRPr="00682149">
        <w:rPr>
          <w:rFonts w:ascii="Arial" w:hAnsi="Arial" w:cs="Arial"/>
          <w:color w:val="000000" w:themeColor="text1"/>
          <w:sz w:val="24"/>
          <w:szCs w:val="24"/>
        </w:rPr>
        <w:t xml:space="preserve"> </w:t>
      </w:r>
      <w:r w:rsidR="0011783E" w:rsidRPr="00682149">
        <w:rPr>
          <w:rFonts w:ascii="Arial" w:hAnsi="Arial" w:cs="Arial"/>
          <w:color w:val="000000" w:themeColor="text1"/>
          <w:sz w:val="24"/>
          <w:szCs w:val="24"/>
        </w:rPr>
        <w:t xml:space="preserve">2º del artículo 3º del Decreto Legislativo 517 de 2020. </w:t>
      </w:r>
    </w:p>
    <w:p w14:paraId="50D6C668" w14:textId="7548D0B6" w:rsidR="0011783E" w:rsidRDefault="0011783E" w:rsidP="001C138F">
      <w:pPr>
        <w:spacing w:after="0" w:line="276" w:lineRule="auto"/>
        <w:jc w:val="both"/>
        <w:rPr>
          <w:rFonts w:ascii="Arial" w:hAnsi="Arial" w:cs="Arial"/>
          <w:color w:val="000000" w:themeColor="text1"/>
          <w:spacing w:val="3"/>
          <w:sz w:val="24"/>
          <w:szCs w:val="24"/>
        </w:rPr>
      </w:pPr>
    </w:p>
    <w:p w14:paraId="0FB0918A" w14:textId="2D87DD3D" w:rsidR="00454900" w:rsidRPr="00682149" w:rsidRDefault="001D37B6" w:rsidP="001C138F">
      <w:pPr>
        <w:pStyle w:val="NormalWeb"/>
        <w:spacing w:before="0" w:beforeAutospacing="0" w:after="0" w:afterAutospacing="0" w:line="276" w:lineRule="auto"/>
        <w:jc w:val="both"/>
        <w:rPr>
          <w:rFonts w:ascii="Arial" w:hAnsi="Arial" w:cs="Arial"/>
          <w:b/>
          <w:color w:val="000000" w:themeColor="text1"/>
          <w:sz w:val="24"/>
          <w:szCs w:val="24"/>
        </w:rPr>
      </w:pPr>
      <w:r w:rsidRPr="00682149">
        <w:rPr>
          <w:rFonts w:ascii="Arial" w:hAnsi="Arial" w:cs="Arial"/>
          <w:b/>
          <w:color w:val="000000" w:themeColor="text1"/>
          <w:sz w:val="24"/>
          <w:szCs w:val="24"/>
        </w:rPr>
        <w:t>2.</w:t>
      </w:r>
      <w:r w:rsidR="00454900" w:rsidRPr="00682149">
        <w:rPr>
          <w:rFonts w:ascii="Arial" w:hAnsi="Arial" w:cs="Arial"/>
          <w:b/>
          <w:color w:val="000000" w:themeColor="text1"/>
          <w:sz w:val="24"/>
          <w:szCs w:val="24"/>
        </w:rPr>
        <w:t>3.</w:t>
      </w:r>
      <w:r w:rsidR="00454900" w:rsidRPr="00682149">
        <w:rPr>
          <w:rFonts w:ascii="Arial" w:hAnsi="Arial" w:cs="Arial"/>
          <w:b/>
          <w:color w:val="000000" w:themeColor="text1"/>
          <w:sz w:val="24"/>
          <w:szCs w:val="24"/>
        </w:rPr>
        <w:tab/>
        <w:t>Verificación de los elementos de validez del acto administrativo que se controla</w:t>
      </w:r>
    </w:p>
    <w:p w14:paraId="23D14D38" w14:textId="77777777" w:rsidR="00A900DB" w:rsidRPr="00682149" w:rsidRDefault="00A900DB" w:rsidP="001C138F">
      <w:pPr>
        <w:spacing w:after="0" w:line="276" w:lineRule="auto"/>
        <w:ind w:right="1693"/>
        <w:rPr>
          <w:rFonts w:ascii="Arial" w:hAnsi="Arial" w:cs="Arial"/>
          <w:b/>
          <w:color w:val="000000" w:themeColor="text1"/>
          <w:sz w:val="24"/>
          <w:szCs w:val="24"/>
          <w:lang w:eastAsia="es-ES"/>
        </w:rPr>
      </w:pPr>
    </w:p>
    <w:p w14:paraId="2F679025" w14:textId="2B19C152" w:rsidR="00354A88" w:rsidRPr="00682149" w:rsidRDefault="00454900" w:rsidP="001C138F">
      <w:pPr>
        <w:spacing w:after="0" w:line="276" w:lineRule="auto"/>
        <w:jc w:val="both"/>
        <w:rPr>
          <w:rFonts w:ascii="Arial" w:hAnsi="Arial" w:cs="Arial"/>
          <w:color w:val="000000" w:themeColor="text1"/>
          <w:sz w:val="24"/>
          <w:szCs w:val="24"/>
        </w:rPr>
      </w:pPr>
      <w:r w:rsidRPr="00682149">
        <w:rPr>
          <w:rFonts w:ascii="Arial" w:hAnsi="Arial" w:cs="Arial"/>
          <w:color w:val="000000" w:themeColor="text1"/>
          <w:sz w:val="24"/>
          <w:szCs w:val="24"/>
          <w:lang w:val="es-CO"/>
        </w:rPr>
        <w:t>Como se ha indicado, l</w:t>
      </w:r>
      <w:r w:rsidRPr="00682149">
        <w:rPr>
          <w:rFonts w:ascii="Arial" w:eastAsia="Times New Roman" w:hAnsi="Arial" w:cs="Arial"/>
          <w:bCs/>
          <w:color w:val="000000" w:themeColor="text1"/>
          <w:sz w:val="24"/>
          <w:szCs w:val="24"/>
          <w:lang w:val="es-ES" w:eastAsia="es-ES"/>
        </w:rPr>
        <w:t>a Resolución</w:t>
      </w:r>
      <w:r w:rsidR="000450E4" w:rsidRPr="00682149">
        <w:rPr>
          <w:rFonts w:ascii="Arial" w:eastAsia="Times New Roman" w:hAnsi="Arial" w:cs="Arial"/>
          <w:bCs/>
          <w:color w:val="000000" w:themeColor="text1"/>
          <w:sz w:val="24"/>
          <w:szCs w:val="24"/>
          <w:lang w:val="es-CO"/>
        </w:rPr>
        <w:t xml:space="preserve"> </w:t>
      </w:r>
      <w:r w:rsidR="00BD0813" w:rsidRPr="00682149">
        <w:rPr>
          <w:rFonts w:ascii="Arial" w:eastAsia="Times New Roman" w:hAnsi="Arial" w:cs="Arial"/>
          <w:bCs/>
          <w:color w:val="000000" w:themeColor="text1"/>
          <w:sz w:val="24"/>
          <w:szCs w:val="24"/>
          <w:lang w:val="es-CO"/>
        </w:rPr>
        <w:t xml:space="preserve"> CREG - </w:t>
      </w:r>
      <w:r w:rsidR="000450E4" w:rsidRPr="00682149">
        <w:rPr>
          <w:rFonts w:ascii="Arial" w:eastAsia="Times New Roman" w:hAnsi="Arial" w:cs="Arial"/>
          <w:bCs/>
          <w:color w:val="000000" w:themeColor="text1"/>
          <w:sz w:val="24"/>
          <w:szCs w:val="24"/>
          <w:lang w:val="es-CO"/>
        </w:rPr>
        <w:t>166 de 2020,</w:t>
      </w:r>
      <w:r w:rsidR="000450E4" w:rsidRPr="00682149">
        <w:rPr>
          <w:rStyle w:val="Refdenotaalpie"/>
          <w:rFonts w:ascii="Arial" w:eastAsia="Times New Roman" w:hAnsi="Arial" w:cs="Arial"/>
          <w:bCs/>
          <w:color w:val="000000" w:themeColor="text1"/>
          <w:sz w:val="24"/>
          <w:szCs w:val="24"/>
          <w:lang w:val="es-CO"/>
        </w:rPr>
        <w:footnoteReference w:id="31"/>
      </w:r>
      <w:r w:rsidR="000450E4" w:rsidRPr="00682149">
        <w:rPr>
          <w:rFonts w:ascii="Arial" w:eastAsia="Times New Roman" w:hAnsi="Arial" w:cs="Arial"/>
          <w:bCs/>
          <w:color w:val="000000" w:themeColor="text1"/>
          <w:sz w:val="24"/>
          <w:szCs w:val="24"/>
          <w:lang w:val="es-CO"/>
        </w:rPr>
        <w:t xml:space="preserve"> </w:t>
      </w:r>
      <w:r w:rsidR="0011783E" w:rsidRPr="00682149">
        <w:rPr>
          <w:rFonts w:ascii="Arial" w:eastAsia="Times New Roman" w:hAnsi="Arial" w:cs="Arial"/>
          <w:bCs/>
          <w:color w:val="000000" w:themeColor="text1"/>
          <w:sz w:val="24"/>
          <w:szCs w:val="24"/>
          <w:lang w:val="es-CO"/>
        </w:rPr>
        <w:t>cita en su epígrafe</w:t>
      </w:r>
      <w:r w:rsidR="00BD0813" w:rsidRPr="00682149">
        <w:rPr>
          <w:rFonts w:ascii="Arial" w:eastAsia="Times New Roman" w:hAnsi="Arial" w:cs="Arial"/>
          <w:bCs/>
          <w:color w:val="000000" w:themeColor="text1"/>
          <w:sz w:val="24"/>
          <w:szCs w:val="24"/>
          <w:lang w:val="es-CO"/>
        </w:rPr>
        <w:t xml:space="preserve"> como fuentes normativas del acto </w:t>
      </w:r>
      <w:r w:rsidRPr="00682149">
        <w:rPr>
          <w:rFonts w:ascii="Arial" w:eastAsia="Times New Roman" w:hAnsi="Arial" w:cs="Arial"/>
          <w:bCs/>
          <w:color w:val="000000" w:themeColor="text1"/>
          <w:sz w:val="24"/>
          <w:szCs w:val="24"/>
          <w:lang w:val="es-CO"/>
        </w:rPr>
        <w:t xml:space="preserve">(i) </w:t>
      </w:r>
      <w:r w:rsidRPr="00682149">
        <w:rPr>
          <w:rFonts w:ascii="Arial" w:eastAsia="Arial" w:hAnsi="Arial" w:cs="Arial"/>
          <w:color w:val="000000" w:themeColor="text1"/>
          <w:sz w:val="24"/>
          <w:szCs w:val="24"/>
          <w:lang w:val="es-CO"/>
        </w:rPr>
        <w:t xml:space="preserve">el Decreto </w:t>
      </w:r>
      <w:r w:rsidRPr="00682149">
        <w:rPr>
          <w:rFonts w:ascii="Arial" w:hAnsi="Arial" w:cs="Arial"/>
          <w:color w:val="000000" w:themeColor="text1"/>
          <w:sz w:val="24"/>
          <w:szCs w:val="24"/>
          <w:lang w:val="es-CO"/>
        </w:rPr>
        <w:t xml:space="preserve">Legislativo </w:t>
      </w:r>
      <w:r w:rsidR="00F36DD7" w:rsidRPr="00682149">
        <w:rPr>
          <w:rFonts w:ascii="Arial" w:hAnsi="Arial" w:cs="Arial"/>
          <w:color w:val="000000" w:themeColor="text1"/>
          <w:sz w:val="24"/>
          <w:szCs w:val="24"/>
          <w:lang w:val="es-CO"/>
        </w:rPr>
        <w:t xml:space="preserve">517 </w:t>
      </w:r>
      <w:r w:rsidRPr="00682149">
        <w:rPr>
          <w:rFonts w:ascii="Arial" w:hAnsi="Arial" w:cs="Arial"/>
          <w:color w:val="000000" w:themeColor="text1"/>
          <w:sz w:val="24"/>
          <w:szCs w:val="24"/>
          <w:lang w:val="es-CO"/>
        </w:rPr>
        <w:t>d</w:t>
      </w:r>
      <w:r w:rsidR="00A900DB" w:rsidRPr="00682149">
        <w:rPr>
          <w:rFonts w:ascii="Arial" w:hAnsi="Arial" w:cs="Arial"/>
          <w:color w:val="000000" w:themeColor="text1"/>
          <w:sz w:val="24"/>
          <w:szCs w:val="24"/>
          <w:lang w:val="es-CO"/>
        </w:rPr>
        <w:t xml:space="preserve">e 2020, por el cual se </w:t>
      </w:r>
      <w:r w:rsidRPr="00682149">
        <w:rPr>
          <w:rFonts w:ascii="Arial" w:hAnsi="Arial" w:cs="Arial"/>
          <w:color w:val="000000" w:themeColor="text1"/>
          <w:sz w:val="24"/>
          <w:szCs w:val="24"/>
          <w:lang w:val="es-CO"/>
        </w:rPr>
        <w:t xml:space="preserve"> “</w:t>
      </w:r>
      <w:r w:rsidR="00835D7E" w:rsidRPr="00682149">
        <w:rPr>
          <w:rFonts w:ascii="Arial" w:hAnsi="Arial" w:cs="Arial"/>
          <w:i/>
          <w:iCs/>
          <w:color w:val="000000" w:themeColor="text1"/>
          <w:sz w:val="24"/>
          <w:szCs w:val="24"/>
          <w:lang w:val="es-CO"/>
        </w:rPr>
        <w:t>dictan disposicio</w:t>
      </w:r>
      <w:r w:rsidR="00A900DB" w:rsidRPr="00682149">
        <w:rPr>
          <w:rFonts w:ascii="Arial" w:hAnsi="Arial" w:cs="Arial"/>
          <w:i/>
          <w:iCs/>
          <w:color w:val="000000" w:themeColor="text1"/>
          <w:sz w:val="24"/>
          <w:szCs w:val="24"/>
          <w:lang w:val="es-CO"/>
        </w:rPr>
        <w:t xml:space="preserve">nes en materia de servicios públicos de energía </w:t>
      </w:r>
      <w:r w:rsidR="00BD0813" w:rsidRPr="00682149">
        <w:rPr>
          <w:rFonts w:ascii="Arial" w:hAnsi="Arial" w:cs="Arial"/>
          <w:i/>
          <w:iCs/>
          <w:color w:val="000000" w:themeColor="text1"/>
          <w:sz w:val="24"/>
          <w:szCs w:val="24"/>
          <w:lang w:val="es-CO"/>
        </w:rPr>
        <w:t>eléctrica</w:t>
      </w:r>
      <w:r w:rsidR="00A900DB" w:rsidRPr="00682149">
        <w:rPr>
          <w:rFonts w:ascii="Arial" w:hAnsi="Arial" w:cs="Arial"/>
          <w:i/>
          <w:iCs/>
          <w:color w:val="000000" w:themeColor="text1"/>
          <w:sz w:val="24"/>
          <w:szCs w:val="24"/>
          <w:lang w:val="es-CO"/>
        </w:rPr>
        <w:t xml:space="preserve"> y gas combustible</w:t>
      </w:r>
      <w:r w:rsidRPr="00682149">
        <w:rPr>
          <w:rFonts w:ascii="Arial" w:hAnsi="Arial" w:cs="Arial"/>
          <w:i/>
          <w:iCs/>
          <w:color w:val="000000" w:themeColor="text1"/>
          <w:sz w:val="24"/>
          <w:szCs w:val="24"/>
          <w:lang w:val="es-CO"/>
        </w:rPr>
        <w:t>, en el marco del Estado de Emergencia Económica, Social y Ecológica</w:t>
      </w:r>
      <w:r w:rsidR="00A900DB" w:rsidRPr="00682149">
        <w:rPr>
          <w:rFonts w:ascii="Arial" w:hAnsi="Arial" w:cs="Arial"/>
          <w:i/>
          <w:iCs/>
          <w:color w:val="000000" w:themeColor="text1"/>
          <w:sz w:val="24"/>
          <w:szCs w:val="24"/>
          <w:lang w:val="es-CO"/>
        </w:rPr>
        <w:t>, declarado por el Decreto 417 de 2020</w:t>
      </w:r>
      <w:r w:rsidR="00B47D5F" w:rsidRPr="00682149">
        <w:rPr>
          <w:rFonts w:ascii="Arial" w:hAnsi="Arial" w:cs="Arial"/>
          <w:color w:val="000000" w:themeColor="text1"/>
          <w:sz w:val="24"/>
          <w:szCs w:val="24"/>
          <w:lang w:val="es-CO"/>
        </w:rPr>
        <w:t>”;</w:t>
      </w:r>
      <w:r w:rsidR="00A900DB" w:rsidRPr="00682149">
        <w:rPr>
          <w:rFonts w:ascii="Arial" w:hAnsi="Arial" w:cs="Arial"/>
          <w:color w:val="000000" w:themeColor="text1"/>
          <w:sz w:val="24"/>
          <w:szCs w:val="24"/>
          <w:lang w:val="es-CO"/>
        </w:rPr>
        <w:t xml:space="preserve"> </w:t>
      </w:r>
      <w:r w:rsidRPr="00682149">
        <w:rPr>
          <w:rFonts w:ascii="Arial" w:hAnsi="Arial" w:cs="Arial"/>
          <w:color w:val="000000" w:themeColor="text1"/>
          <w:sz w:val="24"/>
          <w:szCs w:val="24"/>
          <w:lang w:val="es-CO"/>
        </w:rPr>
        <w:t xml:space="preserve"> (ii)</w:t>
      </w:r>
      <w:r w:rsidR="00A900DB" w:rsidRPr="00682149">
        <w:rPr>
          <w:rFonts w:ascii="Arial" w:hAnsi="Arial" w:cs="Arial"/>
          <w:color w:val="000000" w:themeColor="text1"/>
          <w:sz w:val="24"/>
          <w:szCs w:val="24"/>
        </w:rPr>
        <w:t xml:space="preserve"> normas ordinarias contenidas en las Leyes   </w:t>
      </w:r>
      <w:r w:rsidR="00B47D5F" w:rsidRPr="00682149">
        <w:rPr>
          <w:rFonts w:ascii="Arial" w:hAnsi="Arial" w:cs="Arial"/>
          <w:color w:val="000000" w:themeColor="text1"/>
          <w:sz w:val="24"/>
          <w:szCs w:val="24"/>
        </w:rPr>
        <w:t>142</w:t>
      </w:r>
      <w:r w:rsidR="00976351" w:rsidRPr="00682149">
        <w:rPr>
          <w:rStyle w:val="Refdenotaalpie"/>
          <w:rFonts w:ascii="Arial" w:hAnsi="Arial" w:cs="Arial"/>
          <w:color w:val="000000" w:themeColor="text1"/>
          <w:sz w:val="24"/>
          <w:szCs w:val="24"/>
        </w:rPr>
        <w:footnoteReference w:id="32"/>
      </w:r>
      <w:r w:rsidR="00B47D5F" w:rsidRPr="00682149">
        <w:rPr>
          <w:rFonts w:ascii="Arial" w:hAnsi="Arial" w:cs="Arial"/>
          <w:color w:val="000000" w:themeColor="text1"/>
          <w:sz w:val="24"/>
          <w:szCs w:val="24"/>
        </w:rPr>
        <w:t xml:space="preserve"> y 143 de 1994</w:t>
      </w:r>
      <w:r w:rsidR="00976351" w:rsidRPr="00682149">
        <w:rPr>
          <w:rStyle w:val="Refdenotaalpie"/>
          <w:rFonts w:ascii="Arial" w:hAnsi="Arial" w:cs="Arial"/>
          <w:color w:val="000000" w:themeColor="text1"/>
          <w:sz w:val="24"/>
          <w:szCs w:val="24"/>
        </w:rPr>
        <w:footnoteReference w:id="33"/>
      </w:r>
      <w:r w:rsidR="00A900DB" w:rsidRPr="00682149">
        <w:rPr>
          <w:rFonts w:ascii="Arial" w:hAnsi="Arial" w:cs="Arial"/>
          <w:color w:val="000000" w:themeColor="text1"/>
          <w:sz w:val="24"/>
          <w:szCs w:val="24"/>
        </w:rPr>
        <w:t xml:space="preserve"> y los Decretos 1524</w:t>
      </w:r>
      <w:r w:rsidR="002D56DF" w:rsidRPr="00682149">
        <w:rPr>
          <w:rStyle w:val="Refdenotaalpie"/>
          <w:rFonts w:ascii="Arial" w:hAnsi="Arial" w:cs="Arial"/>
          <w:color w:val="000000" w:themeColor="text1"/>
          <w:sz w:val="24"/>
          <w:szCs w:val="24"/>
        </w:rPr>
        <w:footnoteReference w:id="34"/>
      </w:r>
      <w:r w:rsidR="00A900DB" w:rsidRPr="00682149">
        <w:rPr>
          <w:rFonts w:ascii="Arial" w:hAnsi="Arial" w:cs="Arial"/>
          <w:color w:val="000000" w:themeColor="text1"/>
          <w:sz w:val="24"/>
          <w:szCs w:val="24"/>
        </w:rPr>
        <w:t xml:space="preserve"> y 2253</w:t>
      </w:r>
      <w:r w:rsidR="00FC2ACA" w:rsidRPr="00682149">
        <w:rPr>
          <w:rStyle w:val="Refdenotaalpie"/>
          <w:rFonts w:ascii="Arial" w:hAnsi="Arial" w:cs="Arial"/>
          <w:color w:val="000000" w:themeColor="text1"/>
          <w:sz w:val="24"/>
          <w:szCs w:val="24"/>
        </w:rPr>
        <w:footnoteReference w:id="35"/>
      </w:r>
      <w:r w:rsidR="00A900DB" w:rsidRPr="00682149">
        <w:rPr>
          <w:rFonts w:ascii="Arial" w:hAnsi="Arial" w:cs="Arial"/>
          <w:color w:val="000000" w:themeColor="text1"/>
          <w:sz w:val="24"/>
          <w:szCs w:val="24"/>
        </w:rPr>
        <w:t xml:space="preserve"> de </w:t>
      </w:r>
      <w:r w:rsidR="00377D70" w:rsidRPr="00682149">
        <w:rPr>
          <w:rFonts w:ascii="Arial" w:hAnsi="Arial" w:cs="Arial"/>
          <w:color w:val="000000" w:themeColor="text1"/>
          <w:sz w:val="24"/>
          <w:szCs w:val="24"/>
        </w:rPr>
        <w:t>1994 y</w:t>
      </w:r>
      <w:r w:rsidR="00A900DB" w:rsidRPr="00682149">
        <w:rPr>
          <w:rFonts w:ascii="Arial" w:hAnsi="Arial" w:cs="Arial"/>
          <w:color w:val="000000" w:themeColor="text1"/>
          <w:sz w:val="24"/>
          <w:szCs w:val="24"/>
        </w:rPr>
        <w:t xml:space="preserve"> 1260  de 2013</w:t>
      </w:r>
      <w:r w:rsidR="00FC2ACA" w:rsidRPr="00682149">
        <w:rPr>
          <w:rStyle w:val="Refdenotaalpie"/>
          <w:rFonts w:ascii="Arial" w:hAnsi="Arial" w:cs="Arial"/>
          <w:color w:val="000000" w:themeColor="text1"/>
          <w:sz w:val="24"/>
          <w:szCs w:val="24"/>
        </w:rPr>
        <w:footnoteReference w:id="36"/>
      </w:r>
      <w:r w:rsidR="00B47D5F" w:rsidRPr="00682149">
        <w:rPr>
          <w:rFonts w:ascii="Arial" w:hAnsi="Arial" w:cs="Arial"/>
          <w:color w:val="000000" w:themeColor="text1"/>
          <w:sz w:val="24"/>
          <w:szCs w:val="24"/>
        </w:rPr>
        <w:t xml:space="preserve">; </w:t>
      </w:r>
      <w:r w:rsidR="00DB72CE" w:rsidRPr="00682149">
        <w:rPr>
          <w:rFonts w:ascii="Arial" w:hAnsi="Arial" w:cs="Arial"/>
          <w:color w:val="000000" w:themeColor="text1"/>
          <w:sz w:val="24"/>
          <w:szCs w:val="24"/>
        </w:rPr>
        <w:t>iii)</w:t>
      </w:r>
      <w:r w:rsidR="00A57E89" w:rsidRPr="00682149">
        <w:rPr>
          <w:rFonts w:ascii="Arial" w:hAnsi="Arial" w:cs="Arial"/>
          <w:color w:val="000000" w:themeColor="text1"/>
          <w:sz w:val="24"/>
          <w:szCs w:val="24"/>
        </w:rPr>
        <w:t xml:space="preserve"> </w:t>
      </w:r>
      <w:r w:rsidR="00F85F8C" w:rsidRPr="00682149">
        <w:rPr>
          <w:rFonts w:ascii="Arial" w:hAnsi="Arial" w:cs="Arial"/>
          <w:color w:val="000000" w:themeColor="text1"/>
          <w:sz w:val="24"/>
          <w:szCs w:val="24"/>
        </w:rPr>
        <w:t xml:space="preserve">la Resolución 1462 de 25 de agosto de 2020, mediante la cual el Ministerio de Salud y Protección Social prorrogó </w:t>
      </w:r>
      <w:r w:rsidR="00B47D5F" w:rsidRPr="00682149">
        <w:rPr>
          <w:rFonts w:ascii="Arial" w:hAnsi="Arial" w:cs="Arial"/>
          <w:color w:val="000000" w:themeColor="text1"/>
          <w:sz w:val="24"/>
          <w:szCs w:val="24"/>
        </w:rPr>
        <w:t>la emergencia</w:t>
      </w:r>
      <w:r w:rsidR="00DB72CE" w:rsidRPr="00682149">
        <w:rPr>
          <w:rFonts w:ascii="Arial" w:hAnsi="Arial" w:cs="Arial"/>
          <w:color w:val="000000" w:themeColor="text1"/>
          <w:sz w:val="24"/>
          <w:szCs w:val="24"/>
        </w:rPr>
        <w:t xml:space="preserve"> sanitaria</w:t>
      </w:r>
      <w:r w:rsidR="00B47D5F" w:rsidRPr="00682149">
        <w:rPr>
          <w:rFonts w:ascii="Arial" w:hAnsi="Arial" w:cs="Arial"/>
          <w:color w:val="000000" w:themeColor="text1"/>
          <w:sz w:val="24"/>
          <w:szCs w:val="24"/>
        </w:rPr>
        <w:t xml:space="preserve"> hasta el 30 de noviembre de 20</w:t>
      </w:r>
      <w:r w:rsidR="00DB72CE" w:rsidRPr="00682149">
        <w:rPr>
          <w:rFonts w:ascii="Arial" w:hAnsi="Arial" w:cs="Arial"/>
          <w:color w:val="000000" w:themeColor="text1"/>
          <w:sz w:val="24"/>
          <w:szCs w:val="24"/>
        </w:rPr>
        <w:t>20,</w:t>
      </w:r>
      <w:r w:rsidR="00A57E89" w:rsidRPr="00682149">
        <w:rPr>
          <w:rFonts w:ascii="Arial" w:hAnsi="Arial" w:cs="Arial"/>
          <w:color w:val="000000" w:themeColor="text1"/>
          <w:sz w:val="24"/>
          <w:szCs w:val="24"/>
        </w:rPr>
        <w:t xml:space="preserve"> </w:t>
      </w:r>
      <w:r w:rsidR="00B47D5F" w:rsidRPr="00682149">
        <w:rPr>
          <w:rFonts w:ascii="Arial" w:hAnsi="Arial" w:cs="Arial"/>
          <w:color w:val="000000" w:themeColor="text1"/>
          <w:sz w:val="24"/>
          <w:szCs w:val="24"/>
        </w:rPr>
        <w:t xml:space="preserve">decretada mediante </w:t>
      </w:r>
      <w:r w:rsidR="00F85F8C" w:rsidRPr="00682149">
        <w:rPr>
          <w:rFonts w:ascii="Arial" w:hAnsi="Arial" w:cs="Arial"/>
          <w:color w:val="000000" w:themeColor="text1"/>
          <w:sz w:val="24"/>
          <w:szCs w:val="24"/>
        </w:rPr>
        <w:t>Resoluciones 385 y 844 de 2020</w:t>
      </w:r>
      <w:r w:rsidR="00DB72CE" w:rsidRPr="00682149">
        <w:rPr>
          <w:rFonts w:ascii="Arial" w:hAnsi="Arial" w:cs="Arial"/>
          <w:color w:val="000000" w:themeColor="text1"/>
          <w:sz w:val="24"/>
          <w:szCs w:val="24"/>
        </w:rPr>
        <w:t xml:space="preserve">; iv) </w:t>
      </w:r>
      <w:r w:rsidR="00A57E89" w:rsidRPr="00682149">
        <w:rPr>
          <w:rFonts w:ascii="Arial" w:hAnsi="Arial" w:cs="Arial"/>
          <w:color w:val="000000" w:themeColor="text1"/>
          <w:sz w:val="24"/>
          <w:szCs w:val="24"/>
        </w:rPr>
        <w:t xml:space="preserve">la </w:t>
      </w:r>
      <w:r w:rsidR="00F85F8C" w:rsidRPr="00682149">
        <w:rPr>
          <w:rFonts w:ascii="Arial" w:hAnsi="Arial" w:cs="Arial"/>
          <w:color w:val="000000" w:themeColor="text1"/>
          <w:sz w:val="24"/>
          <w:szCs w:val="24"/>
        </w:rPr>
        <w:t xml:space="preserve">Resolución CREG 118 del 12 de junio de 2020, </w:t>
      </w:r>
      <w:r w:rsidR="00DA52B9" w:rsidRPr="00682149">
        <w:rPr>
          <w:rFonts w:ascii="Arial" w:hAnsi="Arial" w:cs="Arial"/>
          <w:color w:val="000000" w:themeColor="text1"/>
          <w:sz w:val="24"/>
          <w:szCs w:val="24"/>
        </w:rPr>
        <w:t xml:space="preserve">que </w:t>
      </w:r>
      <w:r w:rsidR="00F85F8C" w:rsidRPr="00682149">
        <w:rPr>
          <w:rFonts w:ascii="Arial" w:hAnsi="Arial" w:cs="Arial"/>
          <w:color w:val="000000" w:themeColor="text1"/>
          <w:sz w:val="24"/>
          <w:szCs w:val="24"/>
        </w:rPr>
        <w:t>exten</w:t>
      </w:r>
      <w:r w:rsidR="00E012A5" w:rsidRPr="00682149">
        <w:rPr>
          <w:rFonts w:ascii="Arial" w:hAnsi="Arial" w:cs="Arial"/>
          <w:color w:val="000000" w:themeColor="text1"/>
          <w:sz w:val="24"/>
          <w:szCs w:val="24"/>
        </w:rPr>
        <w:t xml:space="preserve">dió </w:t>
      </w:r>
      <w:r w:rsidR="00F85F8C" w:rsidRPr="00682149">
        <w:rPr>
          <w:rFonts w:ascii="Arial" w:hAnsi="Arial" w:cs="Arial"/>
          <w:color w:val="000000" w:themeColor="text1"/>
          <w:sz w:val="24"/>
          <w:szCs w:val="24"/>
        </w:rPr>
        <w:t>las medidas transitorias adoptadas para el pago de las facturas en el S</w:t>
      </w:r>
      <w:r w:rsidR="00DB72CE" w:rsidRPr="00682149">
        <w:rPr>
          <w:rFonts w:ascii="Arial" w:hAnsi="Arial" w:cs="Arial"/>
          <w:color w:val="000000" w:themeColor="text1"/>
          <w:sz w:val="24"/>
          <w:szCs w:val="24"/>
        </w:rPr>
        <w:t>istema Interconectado Nacional</w:t>
      </w:r>
      <w:r w:rsidR="00377D70" w:rsidRPr="00682149">
        <w:rPr>
          <w:rFonts w:ascii="Arial" w:hAnsi="Arial" w:cs="Arial"/>
          <w:color w:val="000000" w:themeColor="text1"/>
          <w:sz w:val="24"/>
          <w:szCs w:val="24"/>
        </w:rPr>
        <w:t>,</w:t>
      </w:r>
      <w:r w:rsidR="00DB72CE" w:rsidRPr="00682149">
        <w:rPr>
          <w:rFonts w:ascii="Arial" w:hAnsi="Arial" w:cs="Arial"/>
          <w:color w:val="000000" w:themeColor="text1"/>
          <w:sz w:val="24"/>
          <w:szCs w:val="24"/>
        </w:rPr>
        <w:t xml:space="preserve"> </w:t>
      </w:r>
      <w:r w:rsidR="00A275F5" w:rsidRPr="00682149">
        <w:rPr>
          <w:rFonts w:ascii="Arial" w:hAnsi="Arial" w:cs="Arial"/>
          <w:color w:val="000000" w:themeColor="text1"/>
          <w:sz w:val="24"/>
          <w:szCs w:val="24"/>
        </w:rPr>
        <w:t>SIN</w:t>
      </w:r>
      <w:r w:rsidR="00F85F8C" w:rsidRPr="00682149">
        <w:rPr>
          <w:rFonts w:ascii="Arial" w:hAnsi="Arial" w:cs="Arial"/>
          <w:color w:val="000000" w:themeColor="text1"/>
          <w:sz w:val="24"/>
          <w:szCs w:val="24"/>
        </w:rPr>
        <w:t xml:space="preserve"> a los usuarios y empresas prestadoras del servicio de energía eléctr</w:t>
      </w:r>
      <w:r w:rsidR="00DB72CE" w:rsidRPr="00682149">
        <w:rPr>
          <w:rFonts w:ascii="Arial" w:hAnsi="Arial" w:cs="Arial"/>
          <w:color w:val="000000" w:themeColor="text1"/>
          <w:sz w:val="24"/>
          <w:szCs w:val="24"/>
        </w:rPr>
        <w:t>ica en Zonas No Interconectadas</w:t>
      </w:r>
      <w:r w:rsidR="00377D70" w:rsidRPr="00682149">
        <w:rPr>
          <w:rFonts w:ascii="Arial" w:hAnsi="Arial" w:cs="Arial"/>
          <w:color w:val="000000" w:themeColor="text1"/>
          <w:sz w:val="24"/>
          <w:szCs w:val="24"/>
        </w:rPr>
        <w:t>,</w:t>
      </w:r>
      <w:r w:rsidR="00F85F8C" w:rsidRPr="00682149">
        <w:rPr>
          <w:rFonts w:ascii="Arial" w:hAnsi="Arial" w:cs="Arial"/>
          <w:color w:val="000000" w:themeColor="text1"/>
          <w:sz w:val="24"/>
          <w:szCs w:val="24"/>
        </w:rPr>
        <w:t xml:space="preserve"> ZNI</w:t>
      </w:r>
      <w:r w:rsidR="00A275F5" w:rsidRPr="00682149">
        <w:rPr>
          <w:rFonts w:ascii="Arial" w:hAnsi="Arial" w:cs="Arial"/>
          <w:color w:val="000000" w:themeColor="text1"/>
          <w:sz w:val="24"/>
          <w:szCs w:val="24"/>
        </w:rPr>
        <w:t xml:space="preserve"> y finalmente, v)</w:t>
      </w:r>
      <w:r w:rsidR="00A57E89" w:rsidRPr="00682149">
        <w:rPr>
          <w:rFonts w:ascii="Arial" w:hAnsi="Arial" w:cs="Arial"/>
          <w:color w:val="000000" w:themeColor="text1"/>
          <w:sz w:val="24"/>
          <w:szCs w:val="24"/>
        </w:rPr>
        <w:t xml:space="preserve"> el Decreto </w:t>
      </w:r>
      <w:r w:rsidR="00F85F8C" w:rsidRPr="00682149">
        <w:rPr>
          <w:rFonts w:ascii="Arial" w:hAnsi="Arial" w:cs="Arial"/>
          <w:color w:val="000000" w:themeColor="text1"/>
          <w:sz w:val="24"/>
          <w:szCs w:val="24"/>
        </w:rPr>
        <w:t xml:space="preserve">1076 del 28 de julio de 2020, </w:t>
      </w:r>
      <w:r w:rsidR="00A57E89" w:rsidRPr="00682149">
        <w:rPr>
          <w:rFonts w:ascii="Arial" w:hAnsi="Arial" w:cs="Arial"/>
          <w:color w:val="000000" w:themeColor="text1"/>
          <w:sz w:val="24"/>
          <w:szCs w:val="24"/>
        </w:rPr>
        <w:t xml:space="preserve">que </w:t>
      </w:r>
      <w:r w:rsidR="00F85F8C" w:rsidRPr="00682149">
        <w:rPr>
          <w:rFonts w:ascii="Arial" w:hAnsi="Arial" w:cs="Arial"/>
          <w:color w:val="000000" w:themeColor="text1"/>
          <w:sz w:val="24"/>
          <w:szCs w:val="24"/>
        </w:rPr>
        <w:t xml:space="preserve">ordenó el aislamiento preventivo obligatorio de todas las personas habitantes de la República de Colombia, a partir de las cero horas (00:00 a.m.) del día 1 de agosto de 2020, hasta las cero horas (00:00) del día 1 de septiembre de 2020, por causa del Coronavirus COVID-19.  </w:t>
      </w:r>
    </w:p>
    <w:p w14:paraId="4D040108" w14:textId="77777777" w:rsidR="00377D70" w:rsidRPr="00682149" w:rsidRDefault="00377D70" w:rsidP="001C138F">
      <w:pPr>
        <w:spacing w:after="0" w:line="276" w:lineRule="auto"/>
        <w:jc w:val="both"/>
        <w:rPr>
          <w:rFonts w:ascii="Arial" w:hAnsi="Arial" w:cs="Arial"/>
          <w:color w:val="000000" w:themeColor="text1"/>
          <w:sz w:val="24"/>
          <w:szCs w:val="24"/>
        </w:rPr>
      </w:pPr>
    </w:p>
    <w:p w14:paraId="05025033" w14:textId="58E66A78" w:rsidR="00184F3B" w:rsidRDefault="00C23864" w:rsidP="001C138F">
      <w:pPr>
        <w:spacing w:after="0" w:line="276" w:lineRule="auto"/>
        <w:jc w:val="both"/>
        <w:rPr>
          <w:rFonts w:ascii="Arial" w:eastAsia="Times New Roman" w:hAnsi="Arial" w:cs="Arial"/>
          <w:color w:val="000000" w:themeColor="text1"/>
          <w:sz w:val="24"/>
          <w:szCs w:val="24"/>
          <w:lang w:val="es-CO" w:eastAsia="es-ES_tradnl"/>
        </w:rPr>
      </w:pPr>
      <w:r w:rsidRPr="00682149">
        <w:rPr>
          <w:rFonts w:ascii="Arial" w:eastAsia="Times New Roman" w:hAnsi="Arial" w:cs="Arial"/>
          <w:color w:val="000000" w:themeColor="text1"/>
          <w:sz w:val="24"/>
          <w:szCs w:val="24"/>
          <w:lang w:val="es-CO" w:eastAsia="es-ES_tradnl"/>
        </w:rPr>
        <w:t xml:space="preserve">Es de precisar que </w:t>
      </w:r>
      <w:r w:rsidR="00CD426D" w:rsidRPr="00682149">
        <w:rPr>
          <w:rFonts w:ascii="Arial" w:eastAsia="Times New Roman" w:hAnsi="Arial" w:cs="Arial"/>
          <w:color w:val="000000" w:themeColor="text1"/>
          <w:sz w:val="24"/>
          <w:szCs w:val="24"/>
          <w:lang w:val="es-CO" w:eastAsia="es-ES_tradnl"/>
        </w:rPr>
        <w:t>e</w:t>
      </w:r>
      <w:r w:rsidR="00542BD0" w:rsidRPr="00682149">
        <w:rPr>
          <w:rFonts w:ascii="Arial" w:eastAsia="Times New Roman" w:hAnsi="Arial" w:cs="Arial"/>
          <w:color w:val="000000" w:themeColor="text1"/>
          <w:sz w:val="24"/>
          <w:szCs w:val="24"/>
          <w:lang w:val="es-CO" w:eastAsia="es-ES_tradnl"/>
        </w:rPr>
        <w:t>l ma</w:t>
      </w:r>
      <w:r w:rsidR="00E012A5" w:rsidRPr="00682149">
        <w:rPr>
          <w:rFonts w:ascii="Arial" w:eastAsia="Times New Roman" w:hAnsi="Arial" w:cs="Arial"/>
          <w:color w:val="000000" w:themeColor="text1"/>
          <w:sz w:val="24"/>
          <w:szCs w:val="24"/>
          <w:lang w:val="es-CO" w:eastAsia="es-ES_tradnl"/>
        </w:rPr>
        <w:t>rco normativo que le da sustento</w:t>
      </w:r>
      <w:r w:rsidR="00542BD0" w:rsidRPr="00682149">
        <w:rPr>
          <w:rFonts w:ascii="Arial" w:eastAsia="Times New Roman" w:hAnsi="Arial" w:cs="Arial"/>
          <w:color w:val="000000" w:themeColor="text1"/>
          <w:sz w:val="24"/>
          <w:szCs w:val="24"/>
          <w:lang w:val="es-CO" w:eastAsia="es-ES_tradnl"/>
        </w:rPr>
        <w:t xml:space="preserve"> a las competencias </w:t>
      </w:r>
      <w:r w:rsidR="00CD426D" w:rsidRPr="00682149">
        <w:rPr>
          <w:rFonts w:ascii="Arial" w:eastAsia="Times New Roman" w:hAnsi="Arial" w:cs="Arial"/>
          <w:color w:val="000000" w:themeColor="text1"/>
          <w:sz w:val="24"/>
          <w:szCs w:val="24"/>
          <w:lang w:val="es-CO" w:eastAsia="es-ES_tradnl"/>
        </w:rPr>
        <w:t xml:space="preserve">de las Comisiones de </w:t>
      </w:r>
      <w:r w:rsidR="000C7A0E" w:rsidRPr="00682149">
        <w:rPr>
          <w:rFonts w:ascii="Arial" w:eastAsia="Times New Roman" w:hAnsi="Arial" w:cs="Arial"/>
          <w:color w:val="000000" w:themeColor="text1"/>
          <w:sz w:val="24"/>
          <w:szCs w:val="24"/>
          <w:lang w:val="es-CO" w:eastAsia="es-ES_tradnl"/>
        </w:rPr>
        <w:t>Regulación</w:t>
      </w:r>
      <w:r w:rsidR="00542BD0" w:rsidRPr="00682149">
        <w:rPr>
          <w:rFonts w:ascii="Arial" w:eastAsia="Times New Roman" w:hAnsi="Arial" w:cs="Arial"/>
          <w:color w:val="000000" w:themeColor="text1"/>
          <w:sz w:val="24"/>
          <w:szCs w:val="24"/>
          <w:lang w:val="es-CO" w:eastAsia="es-ES_tradnl"/>
        </w:rPr>
        <w:t xml:space="preserve"> encuentra fundamento </w:t>
      </w:r>
      <w:r w:rsidR="007E3984" w:rsidRPr="00682149">
        <w:rPr>
          <w:rFonts w:ascii="Arial" w:eastAsia="Times New Roman" w:hAnsi="Arial" w:cs="Arial"/>
          <w:color w:val="000000" w:themeColor="text1"/>
          <w:sz w:val="24"/>
          <w:szCs w:val="24"/>
          <w:lang w:val="es-CO" w:eastAsia="es-ES_tradnl"/>
        </w:rPr>
        <w:t xml:space="preserve">constitucional </w:t>
      </w:r>
      <w:r w:rsidR="00542BD0" w:rsidRPr="00682149">
        <w:rPr>
          <w:rFonts w:ascii="Arial" w:eastAsia="Times New Roman" w:hAnsi="Arial" w:cs="Arial"/>
          <w:color w:val="000000" w:themeColor="text1"/>
          <w:sz w:val="24"/>
          <w:szCs w:val="24"/>
          <w:lang w:val="es-CO" w:eastAsia="es-ES_tradnl"/>
        </w:rPr>
        <w:t xml:space="preserve">en </w:t>
      </w:r>
      <w:r w:rsidR="00E012A5" w:rsidRPr="00682149">
        <w:rPr>
          <w:rFonts w:ascii="Arial" w:eastAsia="Times New Roman" w:hAnsi="Arial" w:cs="Arial"/>
          <w:color w:val="000000" w:themeColor="text1"/>
          <w:sz w:val="24"/>
          <w:szCs w:val="24"/>
          <w:lang w:val="es-CO" w:eastAsia="es-ES_tradnl"/>
        </w:rPr>
        <w:t xml:space="preserve">el artículo 367 de </w:t>
      </w:r>
      <w:r w:rsidR="00542BD0" w:rsidRPr="00682149">
        <w:rPr>
          <w:rFonts w:ascii="Arial" w:eastAsia="Times New Roman" w:hAnsi="Arial" w:cs="Arial"/>
          <w:color w:val="000000" w:themeColor="text1"/>
          <w:sz w:val="24"/>
          <w:szCs w:val="24"/>
          <w:lang w:val="es-CO" w:eastAsia="es-ES_tradnl"/>
        </w:rPr>
        <w:t>la Carta Política</w:t>
      </w:r>
      <w:r w:rsidR="007E3984" w:rsidRPr="00682149">
        <w:rPr>
          <w:rFonts w:ascii="Arial" w:eastAsia="Times New Roman" w:hAnsi="Arial" w:cs="Arial"/>
          <w:color w:val="000000" w:themeColor="text1"/>
          <w:sz w:val="24"/>
          <w:szCs w:val="24"/>
          <w:lang w:val="es-CO" w:eastAsia="es-ES_tradnl"/>
        </w:rPr>
        <w:t>.</w:t>
      </w:r>
      <w:r w:rsidR="00F46D3E" w:rsidRPr="00682149">
        <w:rPr>
          <w:rStyle w:val="Refdenotaalpie"/>
          <w:rFonts w:ascii="Arial" w:eastAsia="Times New Roman" w:hAnsi="Arial" w:cs="Arial"/>
          <w:color w:val="000000" w:themeColor="text1"/>
          <w:sz w:val="24"/>
          <w:szCs w:val="24"/>
          <w:lang w:val="es-CO" w:eastAsia="es-ES_tradnl"/>
        </w:rPr>
        <w:footnoteReference w:id="37"/>
      </w:r>
    </w:p>
    <w:p w14:paraId="1A8F6A9E" w14:textId="77777777" w:rsidR="00FD765E" w:rsidRPr="00682149" w:rsidRDefault="00FD765E" w:rsidP="001C138F">
      <w:pPr>
        <w:spacing w:after="0" w:line="276" w:lineRule="auto"/>
        <w:jc w:val="both"/>
        <w:rPr>
          <w:rFonts w:ascii="Arial" w:eastAsia="Times New Roman" w:hAnsi="Arial" w:cs="Arial"/>
          <w:color w:val="000000" w:themeColor="text1"/>
          <w:sz w:val="24"/>
          <w:szCs w:val="24"/>
          <w:lang w:val="es-CO" w:eastAsia="es-ES_tradnl"/>
        </w:rPr>
      </w:pPr>
    </w:p>
    <w:p w14:paraId="3C2C42BE" w14:textId="2B8F29CF" w:rsidR="00354A88" w:rsidRPr="00682149" w:rsidRDefault="00377D70" w:rsidP="001C138F">
      <w:pPr>
        <w:spacing w:after="0" w:line="276" w:lineRule="auto"/>
        <w:jc w:val="both"/>
        <w:rPr>
          <w:rFonts w:ascii="Arial" w:hAnsi="Arial" w:cs="Arial"/>
          <w:color w:val="000000" w:themeColor="text1"/>
          <w:sz w:val="24"/>
          <w:szCs w:val="24"/>
        </w:rPr>
      </w:pPr>
      <w:r w:rsidRPr="00682149">
        <w:rPr>
          <w:rFonts w:ascii="Arial" w:eastAsia="Times New Roman" w:hAnsi="Arial" w:cs="Arial"/>
          <w:color w:val="000000" w:themeColor="text1"/>
          <w:sz w:val="24"/>
          <w:szCs w:val="24"/>
          <w:lang w:val="es-CO" w:eastAsia="es-ES_tradnl"/>
        </w:rPr>
        <w:lastRenderedPageBreak/>
        <w:t xml:space="preserve">Además, </w:t>
      </w:r>
      <w:r w:rsidR="00F46D3E" w:rsidRPr="00682149">
        <w:rPr>
          <w:rFonts w:ascii="Arial" w:eastAsia="Times New Roman" w:hAnsi="Arial" w:cs="Arial"/>
          <w:color w:val="000000" w:themeColor="text1"/>
          <w:sz w:val="24"/>
          <w:szCs w:val="24"/>
          <w:lang w:val="es-CO" w:eastAsia="es-ES_tradnl"/>
        </w:rPr>
        <w:t>l</w:t>
      </w:r>
      <w:r w:rsidR="00354A88" w:rsidRPr="00682149">
        <w:rPr>
          <w:rFonts w:ascii="Arial" w:eastAsia="Times New Roman" w:hAnsi="Arial" w:cs="Arial"/>
          <w:color w:val="000000" w:themeColor="text1"/>
          <w:sz w:val="24"/>
          <w:szCs w:val="24"/>
          <w:lang w:val="es-CO" w:eastAsia="es-ES_tradnl"/>
        </w:rPr>
        <w:t xml:space="preserve">os artículos </w:t>
      </w:r>
      <w:r w:rsidR="00542BD0" w:rsidRPr="00682149">
        <w:rPr>
          <w:rFonts w:ascii="Arial" w:eastAsia="Times New Roman" w:hAnsi="Arial" w:cs="Arial"/>
          <w:color w:val="000000" w:themeColor="text1"/>
          <w:sz w:val="24"/>
          <w:szCs w:val="24"/>
          <w:lang w:val="es-CO" w:eastAsia="es-ES_tradnl"/>
        </w:rPr>
        <w:t xml:space="preserve">73.11 y </w:t>
      </w:r>
      <w:r w:rsidR="00542BD0" w:rsidRPr="00682149">
        <w:rPr>
          <w:rFonts w:ascii="Arial" w:hAnsi="Arial" w:cs="Arial"/>
          <w:color w:val="000000" w:themeColor="text1"/>
          <w:sz w:val="24"/>
          <w:szCs w:val="24"/>
        </w:rPr>
        <w:t>74.1 de la Ley 142 de 1994</w:t>
      </w:r>
      <w:r w:rsidR="00E012A5" w:rsidRPr="00682149">
        <w:rPr>
          <w:rFonts w:ascii="Arial" w:hAnsi="Arial" w:cs="Arial"/>
          <w:color w:val="000000" w:themeColor="text1"/>
          <w:sz w:val="24"/>
          <w:szCs w:val="24"/>
        </w:rPr>
        <w:t>,</w:t>
      </w:r>
      <w:r w:rsidR="00A275F5" w:rsidRPr="00682149">
        <w:rPr>
          <w:rFonts w:ascii="Arial" w:hAnsi="Arial" w:cs="Arial"/>
          <w:color w:val="000000" w:themeColor="text1"/>
          <w:sz w:val="24"/>
          <w:szCs w:val="24"/>
        </w:rPr>
        <w:t xml:space="preserve"> el Decreto 2253 de 1994 y la </w:t>
      </w:r>
      <w:r w:rsidR="002F2D88" w:rsidRPr="00682149">
        <w:rPr>
          <w:rFonts w:ascii="Arial" w:hAnsi="Arial" w:cs="Arial"/>
          <w:color w:val="000000" w:themeColor="text1"/>
          <w:sz w:val="24"/>
          <w:szCs w:val="24"/>
        </w:rPr>
        <w:t>Resolución 039 de 2017</w:t>
      </w:r>
      <w:r w:rsidR="00E012A5" w:rsidRPr="00682149">
        <w:rPr>
          <w:rFonts w:ascii="Arial" w:hAnsi="Arial" w:cs="Arial"/>
          <w:color w:val="000000" w:themeColor="text1"/>
          <w:sz w:val="24"/>
          <w:szCs w:val="24"/>
        </w:rPr>
        <w:t xml:space="preserve"> </w:t>
      </w:r>
      <w:r w:rsidR="00FB47E6" w:rsidRPr="00682149">
        <w:rPr>
          <w:rFonts w:ascii="Arial" w:hAnsi="Arial" w:cs="Arial"/>
          <w:color w:val="000000" w:themeColor="text1"/>
          <w:sz w:val="24"/>
          <w:szCs w:val="24"/>
        </w:rPr>
        <w:t xml:space="preserve">facultan a la </w:t>
      </w:r>
      <w:r w:rsidR="00542BD0" w:rsidRPr="00682149">
        <w:rPr>
          <w:rFonts w:ascii="Arial" w:hAnsi="Arial" w:cs="Arial"/>
          <w:color w:val="000000" w:themeColor="text1"/>
          <w:sz w:val="24"/>
          <w:szCs w:val="24"/>
        </w:rPr>
        <w:t>Comisión de Regulación</w:t>
      </w:r>
      <w:r w:rsidR="00FB47E6" w:rsidRPr="00682149">
        <w:rPr>
          <w:rFonts w:ascii="Arial" w:hAnsi="Arial" w:cs="Arial"/>
          <w:color w:val="000000" w:themeColor="text1"/>
          <w:sz w:val="24"/>
          <w:szCs w:val="24"/>
        </w:rPr>
        <w:t xml:space="preserve"> de Energía y </w:t>
      </w:r>
      <w:r w:rsidR="00A0204A" w:rsidRPr="00682149">
        <w:rPr>
          <w:rFonts w:ascii="Arial" w:hAnsi="Arial" w:cs="Arial"/>
          <w:color w:val="000000" w:themeColor="text1"/>
          <w:sz w:val="24"/>
          <w:szCs w:val="24"/>
        </w:rPr>
        <w:t>Gas, para</w:t>
      </w:r>
      <w:r w:rsidRPr="00682149">
        <w:rPr>
          <w:rFonts w:ascii="Arial" w:hAnsi="Arial" w:cs="Arial"/>
          <w:color w:val="000000" w:themeColor="text1"/>
          <w:sz w:val="24"/>
          <w:szCs w:val="24"/>
        </w:rPr>
        <w:t xml:space="preserve"> </w:t>
      </w:r>
      <w:r w:rsidR="00E012A5" w:rsidRPr="00682149">
        <w:rPr>
          <w:rFonts w:ascii="Arial" w:hAnsi="Arial" w:cs="Arial"/>
          <w:color w:val="000000" w:themeColor="text1"/>
          <w:sz w:val="24"/>
          <w:szCs w:val="24"/>
        </w:rPr>
        <w:t xml:space="preserve">i) </w:t>
      </w:r>
      <w:r w:rsidR="00542BD0" w:rsidRPr="00682149">
        <w:rPr>
          <w:rFonts w:ascii="Arial" w:hAnsi="Arial" w:cs="Arial"/>
          <w:color w:val="000000" w:themeColor="text1"/>
          <w:sz w:val="24"/>
          <w:szCs w:val="24"/>
        </w:rPr>
        <w:t>regular el ejercicio de las actividades de los sector</w:t>
      </w:r>
      <w:r w:rsidR="00354A88" w:rsidRPr="00682149">
        <w:rPr>
          <w:rFonts w:ascii="Arial" w:hAnsi="Arial" w:cs="Arial"/>
          <w:color w:val="000000" w:themeColor="text1"/>
          <w:sz w:val="24"/>
          <w:szCs w:val="24"/>
        </w:rPr>
        <w:t>es de energía y gas combustible,</w:t>
      </w:r>
      <w:r w:rsidR="00E012A5" w:rsidRPr="00682149">
        <w:rPr>
          <w:rFonts w:ascii="Arial" w:hAnsi="Arial" w:cs="Arial"/>
          <w:color w:val="000000" w:themeColor="text1"/>
          <w:sz w:val="24"/>
          <w:szCs w:val="24"/>
        </w:rPr>
        <w:t xml:space="preserve"> ii) </w:t>
      </w:r>
      <w:r w:rsidR="00542BD0" w:rsidRPr="00682149">
        <w:rPr>
          <w:rFonts w:ascii="Arial" w:eastAsia="Times New Roman" w:hAnsi="Arial" w:cs="Arial"/>
          <w:color w:val="000000" w:themeColor="text1"/>
          <w:sz w:val="24"/>
          <w:szCs w:val="24"/>
          <w:lang w:val="es-CO" w:eastAsia="es-ES_tradnl"/>
        </w:rPr>
        <w:t>establecer las fórmulas para la fijación de las tarifas de los servicios públicos</w:t>
      </w:r>
      <w:r w:rsidR="00E012A5" w:rsidRPr="00682149">
        <w:rPr>
          <w:rFonts w:ascii="Arial" w:eastAsia="Times New Roman" w:hAnsi="Arial" w:cs="Arial"/>
          <w:color w:val="000000" w:themeColor="text1"/>
          <w:sz w:val="24"/>
          <w:szCs w:val="24"/>
          <w:lang w:val="es-CO" w:eastAsia="es-ES_tradnl"/>
        </w:rPr>
        <w:t xml:space="preserve"> y</w:t>
      </w:r>
      <w:r w:rsidR="00C23864" w:rsidRPr="00682149">
        <w:rPr>
          <w:rFonts w:ascii="Arial" w:eastAsia="Times New Roman" w:hAnsi="Arial" w:cs="Arial"/>
          <w:color w:val="000000" w:themeColor="text1"/>
          <w:sz w:val="24"/>
          <w:szCs w:val="24"/>
          <w:lang w:val="es-CO" w:eastAsia="es-ES_tradnl"/>
        </w:rPr>
        <w:t>,</w:t>
      </w:r>
      <w:r w:rsidR="00E012A5" w:rsidRPr="00682149">
        <w:rPr>
          <w:rFonts w:ascii="Arial" w:eastAsia="Times New Roman" w:hAnsi="Arial" w:cs="Arial"/>
          <w:color w:val="000000" w:themeColor="text1"/>
          <w:sz w:val="24"/>
          <w:szCs w:val="24"/>
          <w:lang w:val="es-CO" w:eastAsia="es-ES_tradnl"/>
        </w:rPr>
        <w:t xml:space="preserve"> iii) regular </w:t>
      </w:r>
      <w:r w:rsidR="00542BD0" w:rsidRPr="00682149">
        <w:rPr>
          <w:rFonts w:ascii="Arial" w:hAnsi="Arial" w:cs="Arial"/>
          <w:color w:val="000000" w:themeColor="text1"/>
          <w:sz w:val="24"/>
          <w:szCs w:val="24"/>
        </w:rPr>
        <w:t xml:space="preserve">el régimen de libertad regulada o libertad vigilada o señalar cuándo hay lugar a la libre </w:t>
      </w:r>
      <w:r w:rsidR="00E012A5" w:rsidRPr="00682149">
        <w:rPr>
          <w:rFonts w:ascii="Arial" w:hAnsi="Arial" w:cs="Arial"/>
          <w:color w:val="000000" w:themeColor="text1"/>
          <w:sz w:val="24"/>
          <w:szCs w:val="24"/>
        </w:rPr>
        <w:t xml:space="preserve">fijación de tarifas, entre </w:t>
      </w:r>
      <w:r w:rsidR="00C80419" w:rsidRPr="00682149">
        <w:rPr>
          <w:rFonts w:ascii="Arial" w:hAnsi="Arial" w:cs="Arial"/>
          <w:color w:val="000000" w:themeColor="text1"/>
          <w:sz w:val="24"/>
          <w:szCs w:val="24"/>
        </w:rPr>
        <w:t>otras</w:t>
      </w:r>
      <w:r w:rsidR="00542BD0" w:rsidRPr="00682149">
        <w:rPr>
          <w:rStyle w:val="Refdenotaalpie"/>
          <w:rFonts w:ascii="Arial" w:eastAsia="Times New Roman" w:hAnsi="Arial" w:cs="Arial"/>
          <w:color w:val="000000" w:themeColor="text1"/>
          <w:sz w:val="24"/>
          <w:szCs w:val="24"/>
          <w:lang w:val="es-CO" w:eastAsia="es-ES_tradnl"/>
        </w:rPr>
        <w:footnoteReference w:id="38"/>
      </w:r>
      <w:r w:rsidR="00542BD0" w:rsidRPr="00682149">
        <w:rPr>
          <w:rFonts w:ascii="Arial" w:hAnsi="Arial" w:cs="Arial"/>
          <w:color w:val="000000" w:themeColor="text1"/>
          <w:sz w:val="24"/>
          <w:szCs w:val="24"/>
        </w:rPr>
        <w:t xml:space="preserve">. </w:t>
      </w:r>
    </w:p>
    <w:p w14:paraId="46DED48D" w14:textId="77777777" w:rsidR="00354A88" w:rsidRPr="00682149" w:rsidRDefault="00354A88" w:rsidP="001C138F">
      <w:pPr>
        <w:spacing w:after="0" w:line="276" w:lineRule="auto"/>
        <w:jc w:val="both"/>
        <w:rPr>
          <w:rFonts w:ascii="Arial" w:hAnsi="Arial" w:cs="Arial"/>
          <w:color w:val="000000" w:themeColor="text1"/>
          <w:sz w:val="24"/>
          <w:szCs w:val="24"/>
        </w:rPr>
      </w:pPr>
    </w:p>
    <w:p w14:paraId="6EE80609" w14:textId="5CCA2E22" w:rsidR="00542BD0" w:rsidRPr="00682149" w:rsidRDefault="00817CC3" w:rsidP="001C138F">
      <w:pPr>
        <w:spacing w:after="0" w:line="276" w:lineRule="auto"/>
        <w:jc w:val="both"/>
        <w:rPr>
          <w:rFonts w:ascii="Arial" w:hAnsi="Arial" w:cs="Arial"/>
          <w:color w:val="000000" w:themeColor="text1"/>
          <w:sz w:val="24"/>
          <w:szCs w:val="24"/>
        </w:rPr>
      </w:pPr>
      <w:r w:rsidRPr="00682149">
        <w:rPr>
          <w:rFonts w:ascii="Arial" w:hAnsi="Arial" w:cs="Arial"/>
          <w:color w:val="000000" w:themeColor="text1"/>
          <w:sz w:val="24"/>
          <w:szCs w:val="24"/>
        </w:rPr>
        <w:t xml:space="preserve">Debe precisarse que </w:t>
      </w:r>
      <w:r w:rsidR="00184F3B" w:rsidRPr="00682149">
        <w:rPr>
          <w:rFonts w:ascii="Arial" w:hAnsi="Arial" w:cs="Arial"/>
          <w:color w:val="000000" w:themeColor="text1"/>
          <w:sz w:val="24"/>
          <w:szCs w:val="24"/>
        </w:rPr>
        <w:t xml:space="preserve">el régimen tarifario </w:t>
      </w:r>
      <w:r w:rsidR="003A0123" w:rsidRPr="00682149">
        <w:rPr>
          <w:rFonts w:ascii="Arial" w:eastAsia="Times New Roman" w:hAnsi="Arial" w:cs="Arial"/>
          <w:color w:val="000000" w:themeColor="text1"/>
          <w:sz w:val="24"/>
          <w:szCs w:val="24"/>
          <w:lang w:val="es-CO" w:eastAsia="es-ES_tradnl"/>
        </w:rPr>
        <w:t>está sujet</w:t>
      </w:r>
      <w:r w:rsidR="00C80419" w:rsidRPr="00682149">
        <w:rPr>
          <w:rFonts w:ascii="Arial" w:eastAsia="Times New Roman" w:hAnsi="Arial" w:cs="Arial"/>
          <w:color w:val="000000" w:themeColor="text1"/>
          <w:sz w:val="24"/>
          <w:szCs w:val="24"/>
          <w:lang w:val="es-CO" w:eastAsia="es-ES_tradnl"/>
        </w:rPr>
        <w:t xml:space="preserve">o </w:t>
      </w:r>
      <w:r w:rsidR="003A0123" w:rsidRPr="00682149">
        <w:rPr>
          <w:rFonts w:ascii="Arial" w:eastAsia="Times New Roman" w:hAnsi="Arial" w:cs="Arial"/>
          <w:color w:val="000000" w:themeColor="text1"/>
          <w:sz w:val="24"/>
          <w:szCs w:val="24"/>
          <w:lang w:val="es-CO" w:eastAsia="es-ES_tradnl"/>
        </w:rPr>
        <w:t>a los criterios</w:t>
      </w:r>
      <w:r w:rsidR="00E012A5" w:rsidRPr="00682149">
        <w:rPr>
          <w:rFonts w:ascii="Arial" w:eastAsia="Times New Roman" w:hAnsi="Arial" w:cs="Arial"/>
          <w:color w:val="000000" w:themeColor="text1"/>
          <w:sz w:val="24"/>
          <w:szCs w:val="24"/>
          <w:lang w:val="es-CO" w:eastAsia="es-ES_tradnl"/>
        </w:rPr>
        <w:t xml:space="preserve"> de </w:t>
      </w:r>
      <w:r w:rsidR="00542BD0" w:rsidRPr="00682149">
        <w:rPr>
          <w:rFonts w:ascii="Arial" w:hAnsi="Arial" w:cs="Arial"/>
          <w:color w:val="000000" w:themeColor="text1"/>
          <w:sz w:val="24"/>
          <w:szCs w:val="24"/>
          <w:lang w:val="es-ES"/>
        </w:rPr>
        <w:t>eficiencia económica, neutralidad, solidaridad, redistribución, suficiencia financiera, simplicidad y transparencia</w:t>
      </w:r>
      <w:r w:rsidR="00542BD0" w:rsidRPr="00682149">
        <w:rPr>
          <w:rStyle w:val="Refdenotaalpie"/>
          <w:rFonts w:ascii="Arial" w:hAnsi="Arial" w:cs="Arial"/>
          <w:color w:val="000000" w:themeColor="text1"/>
          <w:sz w:val="24"/>
          <w:szCs w:val="24"/>
          <w:lang w:val="es-ES"/>
        </w:rPr>
        <w:t xml:space="preserve"> </w:t>
      </w:r>
      <w:r w:rsidR="00542BD0" w:rsidRPr="00682149">
        <w:rPr>
          <w:rStyle w:val="Refdenotaalpie"/>
          <w:rFonts w:ascii="Arial" w:hAnsi="Arial" w:cs="Arial"/>
          <w:color w:val="000000" w:themeColor="text1"/>
          <w:sz w:val="24"/>
          <w:szCs w:val="24"/>
          <w:lang w:val="es-ES"/>
        </w:rPr>
        <w:footnoteReference w:id="39"/>
      </w:r>
      <w:r w:rsidR="00542BD0" w:rsidRPr="00682149">
        <w:rPr>
          <w:rStyle w:val="Refdenotaalpie"/>
          <w:rFonts w:ascii="Arial" w:hAnsi="Arial" w:cs="Arial"/>
          <w:color w:val="000000" w:themeColor="text1"/>
          <w:sz w:val="24"/>
          <w:szCs w:val="24"/>
          <w:lang w:val="es-ES"/>
        </w:rPr>
        <w:t xml:space="preserve"> </w:t>
      </w:r>
      <w:r w:rsidR="00E012A5" w:rsidRPr="00682149">
        <w:rPr>
          <w:rFonts w:ascii="Arial" w:hAnsi="Arial" w:cs="Arial"/>
          <w:color w:val="000000" w:themeColor="text1"/>
          <w:sz w:val="24"/>
          <w:szCs w:val="24"/>
        </w:rPr>
        <w:t xml:space="preserve">. A su vez, </w:t>
      </w:r>
      <w:r w:rsidR="00542BD0" w:rsidRPr="00682149">
        <w:rPr>
          <w:rFonts w:ascii="Arial" w:hAnsi="Arial" w:cs="Arial"/>
          <w:color w:val="000000" w:themeColor="text1"/>
          <w:sz w:val="24"/>
          <w:szCs w:val="24"/>
        </w:rPr>
        <w:t xml:space="preserve">los elementos que deben contener las fórmulas tarifarias </w:t>
      </w:r>
      <w:r w:rsidR="00E012A5" w:rsidRPr="00682149">
        <w:rPr>
          <w:rFonts w:ascii="Arial" w:hAnsi="Arial" w:cs="Arial"/>
          <w:color w:val="000000" w:themeColor="text1"/>
          <w:sz w:val="24"/>
          <w:szCs w:val="24"/>
        </w:rPr>
        <w:t>en el sector energético</w:t>
      </w:r>
      <w:r w:rsidR="00542BD0" w:rsidRPr="00682149">
        <w:rPr>
          <w:rFonts w:ascii="Arial" w:hAnsi="Arial" w:cs="Arial"/>
          <w:color w:val="000000" w:themeColor="text1"/>
          <w:sz w:val="24"/>
          <w:szCs w:val="24"/>
        </w:rPr>
        <w:t xml:space="preserve"> están distribuidos entre los cargos de i)</w:t>
      </w:r>
      <w:r w:rsidR="00184F3B" w:rsidRPr="00682149">
        <w:rPr>
          <w:rFonts w:ascii="Arial" w:hAnsi="Arial" w:cs="Arial"/>
          <w:color w:val="000000" w:themeColor="text1"/>
          <w:sz w:val="24"/>
          <w:szCs w:val="24"/>
        </w:rPr>
        <w:t xml:space="preserve"> </w:t>
      </w:r>
      <w:r w:rsidR="00542BD0" w:rsidRPr="00682149">
        <w:rPr>
          <w:rFonts w:ascii="Arial" w:hAnsi="Arial" w:cs="Arial"/>
          <w:color w:val="000000" w:themeColor="text1"/>
          <w:sz w:val="24"/>
          <w:szCs w:val="24"/>
        </w:rPr>
        <w:t>unidad de consumo, ii) cargo fijo que refleje los costos económicos involucrados para garantizar la disponibilidad permanente del servicio y</w:t>
      </w:r>
      <w:r w:rsidRPr="00682149">
        <w:rPr>
          <w:rFonts w:ascii="Arial" w:hAnsi="Arial" w:cs="Arial"/>
          <w:color w:val="000000" w:themeColor="text1"/>
          <w:sz w:val="24"/>
          <w:szCs w:val="24"/>
        </w:rPr>
        <w:t>,</w:t>
      </w:r>
      <w:r w:rsidR="00542BD0" w:rsidRPr="00682149">
        <w:rPr>
          <w:rFonts w:ascii="Arial" w:hAnsi="Arial" w:cs="Arial"/>
          <w:color w:val="000000" w:themeColor="text1"/>
          <w:sz w:val="24"/>
          <w:szCs w:val="24"/>
        </w:rPr>
        <w:t xml:space="preserve"> finalmente</w:t>
      </w:r>
      <w:r w:rsidRPr="00682149">
        <w:rPr>
          <w:rFonts w:ascii="Arial" w:hAnsi="Arial" w:cs="Arial"/>
          <w:color w:val="000000" w:themeColor="text1"/>
          <w:sz w:val="24"/>
          <w:szCs w:val="24"/>
        </w:rPr>
        <w:t>,</w:t>
      </w:r>
      <w:r w:rsidR="00542BD0" w:rsidRPr="00682149">
        <w:rPr>
          <w:rFonts w:ascii="Arial" w:hAnsi="Arial" w:cs="Arial"/>
          <w:color w:val="000000" w:themeColor="text1"/>
          <w:sz w:val="24"/>
          <w:szCs w:val="24"/>
        </w:rPr>
        <w:t xml:space="preserve"> iii) </w:t>
      </w:r>
      <w:r w:rsidR="00184F3B" w:rsidRPr="00682149">
        <w:rPr>
          <w:rFonts w:ascii="Arial" w:hAnsi="Arial" w:cs="Arial"/>
          <w:color w:val="000000" w:themeColor="text1"/>
          <w:sz w:val="24"/>
          <w:szCs w:val="24"/>
        </w:rPr>
        <w:t xml:space="preserve">por </w:t>
      </w:r>
      <w:r w:rsidR="00542BD0" w:rsidRPr="00682149">
        <w:rPr>
          <w:rFonts w:ascii="Arial" w:hAnsi="Arial" w:cs="Arial"/>
          <w:color w:val="000000" w:themeColor="text1"/>
          <w:sz w:val="24"/>
          <w:szCs w:val="24"/>
        </w:rPr>
        <w:t>aportes de conexión al usuario.</w:t>
      </w:r>
      <w:r w:rsidR="00542BD0" w:rsidRPr="00682149">
        <w:rPr>
          <w:rStyle w:val="Refdenotaalpie"/>
          <w:rFonts w:ascii="Arial" w:hAnsi="Arial" w:cs="Arial"/>
          <w:color w:val="000000" w:themeColor="text1"/>
          <w:sz w:val="24"/>
          <w:szCs w:val="24"/>
        </w:rPr>
        <w:footnoteReference w:id="40"/>
      </w:r>
      <w:r w:rsidR="006F4106" w:rsidRPr="00682149">
        <w:rPr>
          <w:rFonts w:ascii="Arial" w:hAnsi="Arial" w:cs="Arial"/>
          <w:color w:val="000000" w:themeColor="text1"/>
          <w:sz w:val="24"/>
          <w:szCs w:val="24"/>
        </w:rPr>
        <w:t xml:space="preserve">, </w:t>
      </w:r>
      <w:r w:rsidR="00542BD0" w:rsidRPr="00682149">
        <w:rPr>
          <w:rFonts w:ascii="Arial" w:hAnsi="Arial" w:cs="Arial"/>
          <w:color w:val="000000" w:themeColor="text1"/>
          <w:sz w:val="24"/>
          <w:szCs w:val="24"/>
        </w:rPr>
        <w:t xml:space="preserve"> </w:t>
      </w:r>
      <w:r w:rsidR="006F4106" w:rsidRPr="00682149">
        <w:rPr>
          <w:rFonts w:ascii="Arial" w:hAnsi="Arial" w:cs="Arial"/>
          <w:color w:val="000000" w:themeColor="text1"/>
          <w:sz w:val="24"/>
          <w:szCs w:val="24"/>
        </w:rPr>
        <w:t>s</w:t>
      </w:r>
      <w:r w:rsidR="00542BD0" w:rsidRPr="00682149">
        <w:rPr>
          <w:rFonts w:ascii="Arial" w:hAnsi="Arial" w:cs="Arial"/>
          <w:color w:val="000000" w:themeColor="text1"/>
          <w:sz w:val="24"/>
          <w:szCs w:val="24"/>
        </w:rPr>
        <w:t>in perjuicio que la Comisión Reguladora p</w:t>
      </w:r>
      <w:r w:rsidR="006F4106" w:rsidRPr="00682149">
        <w:rPr>
          <w:rFonts w:ascii="Arial" w:hAnsi="Arial" w:cs="Arial"/>
          <w:color w:val="000000" w:themeColor="text1"/>
          <w:sz w:val="24"/>
          <w:szCs w:val="24"/>
        </w:rPr>
        <w:t>ueda</w:t>
      </w:r>
      <w:r w:rsidR="00542BD0" w:rsidRPr="00682149">
        <w:rPr>
          <w:rFonts w:ascii="Arial" w:hAnsi="Arial" w:cs="Arial"/>
          <w:color w:val="000000" w:themeColor="text1"/>
          <w:sz w:val="24"/>
          <w:szCs w:val="24"/>
        </w:rPr>
        <w:t xml:space="preserve"> establecer top</w:t>
      </w:r>
      <w:r w:rsidR="00377D70" w:rsidRPr="00682149">
        <w:rPr>
          <w:rFonts w:ascii="Arial" w:hAnsi="Arial" w:cs="Arial"/>
          <w:color w:val="000000" w:themeColor="text1"/>
          <w:sz w:val="24"/>
          <w:szCs w:val="24"/>
        </w:rPr>
        <w:t>es máximos y mínimos tarifarios</w:t>
      </w:r>
      <w:r w:rsidR="00542BD0" w:rsidRPr="00682149">
        <w:rPr>
          <w:rFonts w:ascii="Arial" w:hAnsi="Arial" w:cs="Arial"/>
          <w:color w:val="000000" w:themeColor="text1"/>
          <w:sz w:val="24"/>
          <w:szCs w:val="24"/>
        </w:rPr>
        <w:t xml:space="preserve"> de obligatorio cumplimiento por </w:t>
      </w:r>
      <w:r w:rsidR="00377D70" w:rsidRPr="00682149">
        <w:rPr>
          <w:rFonts w:ascii="Arial" w:hAnsi="Arial" w:cs="Arial"/>
          <w:color w:val="000000" w:themeColor="text1"/>
          <w:sz w:val="24"/>
          <w:szCs w:val="24"/>
        </w:rPr>
        <w:t xml:space="preserve">las </w:t>
      </w:r>
      <w:r w:rsidR="00542BD0" w:rsidRPr="00682149">
        <w:rPr>
          <w:rFonts w:ascii="Arial" w:hAnsi="Arial" w:cs="Arial"/>
          <w:color w:val="000000" w:themeColor="text1"/>
          <w:sz w:val="24"/>
          <w:szCs w:val="24"/>
        </w:rPr>
        <w:t>empresas</w:t>
      </w:r>
      <w:r w:rsidR="00377D70" w:rsidRPr="00682149">
        <w:rPr>
          <w:rFonts w:ascii="Arial" w:hAnsi="Arial" w:cs="Arial"/>
          <w:color w:val="000000" w:themeColor="text1"/>
          <w:sz w:val="24"/>
          <w:szCs w:val="24"/>
        </w:rPr>
        <w:t xml:space="preserve"> prestadoras</w:t>
      </w:r>
      <w:r w:rsidR="00542BD0" w:rsidRPr="00682149">
        <w:rPr>
          <w:rFonts w:ascii="Arial" w:hAnsi="Arial" w:cs="Arial"/>
          <w:color w:val="000000" w:themeColor="text1"/>
          <w:sz w:val="24"/>
          <w:szCs w:val="24"/>
        </w:rPr>
        <w:t xml:space="preserve"> (art. 88.1 Ley 142).</w:t>
      </w:r>
      <w:r w:rsidR="00E012A5" w:rsidRPr="00682149">
        <w:rPr>
          <w:rStyle w:val="Refdenotaalpie"/>
          <w:rFonts w:ascii="Arial" w:hAnsi="Arial" w:cs="Arial"/>
          <w:color w:val="000000" w:themeColor="text1"/>
          <w:sz w:val="24"/>
          <w:szCs w:val="24"/>
        </w:rPr>
        <w:footnoteReference w:id="41"/>
      </w:r>
      <w:r w:rsidR="00542BD0" w:rsidRPr="00682149">
        <w:rPr>
          <w:rFonts w:ascii="Arial" w:hAnsi="Arial" w:cs="Arial"/>
          <w:color w:val="000000" w:themeColor="text1"/>
          <w:sz w:val="24"/>
          <w:szCs w:val="24"/>
        </w:rPr>
        <w:t xml:space="preserve"> </w:t>
      </w:r>
    </w:p>
    <w:p w14:paraId="6D8CED9A" w14:textId="77777777" w:rsidR="00354A88" w:rsidRPr="00682149" w:rsidRDefault="00354A88" w:rsidP="001C138F">
      <w:pPr>
        <w:widowControl w:val="0"/>
        <w:autoSpaceDE w:val="0"/>
        <w:autoSpaceDN w:val="0"/>
        <w:adjustRightInd w:val="0"/>
        <w:spacing w:after="0" w:line="276" w:lineRule="auto"/>
        <w:ind w:left="567"/>
        <w:jc w:val="both"/>
        <w:rPr>
          <w:rFonts w:ascii="Arial" w:hAnsi="Arial" w:cs="Arial"/>
          <w:b/>
          <w:bCs/>
          <w:i/>
          <w:color w:val="000000" w:themeColor="text1"/>
          <w:lang w:val="es-ES"/>
        </w:rPr>
      </w:pPr>
    </w:p>
    <w:p w14:paraId="1532E26C" w14:textId="11A9881C" w:rsidR="00E42937" w:rsidRPr="00682149" w:rsidRDefault="00E012A5" w:rsidP="001C138F">
      <w:pPr>
        <w:spacing w:after="0" w:line="276" w:lineRule="auto"/>
        <w:jc w:val="both"/>
        <w:rPr>
          <w:rFonts w:ascii="Arial" w:hAnsi="Arial" w:cs="Arial"/>
          <w:color w:val="000000" w:themeColor="text1"/>
          <w:sz w:val="24"/>
          <w:szCs w:val="24"/>
        </w:rPr>
      </w:pPr>
      <w:r w:rsidRPr="00682149">
        <w:rPr>
          <w:rFonts w:ascii="Arial" w:hAnsi="Arial" w:cs="Arial"/>
          <w:color w:val="000000" w:themeColor="text1"/>
          <w:sz w:val="24"/>
          <w:szCs w:val="24"/>
          <w:lang w:val="es-ES"/>
        </w:rPr>
        <w:lastRenderedPageBreak/>
        <w:t xml:space="preserve">A su turno, </w:t>
      </w:r>
      <w:r w:rsidR="00817CC3" w:rsidRPr="00682149">
        <w:rPr>
          <w:rFonts w:ascii="Arial" w:hAnsi="Arial" w:cs="Arial"/>
          <w:color w:val="000000" w:themeColor="text1"/>
          <w:sz w:val="24"/>
          <w:szCs w:val="24"/>
          <w:lang w:val="es-ES"/>
        </w:rPr>
        <w:t xml:space="preserve">habrá de recordarse que </w:t>
      </w:r>
      <w:r w:rsidRPr="00682149">
        <w:rPr>
          <w:rFonts w:ascii="Arial" w:hAnsi="Arial" w:cs="Arial"/>
          <w:color w:val="000000" w:themeColor="text1"/>
          <w:sz w:val="24"/>
          <w:szCs w:val="24"/>
          <w:lang w:val="es-ES"/>
        </w:rPr>
        <w:t xml:space="preserve">el </w:t>
      </w:r>
      <w:r w:rsidR="00542BD0" w:rsidRPr="00682149">
        <w:rPr>
          <w:rFonts w:ascii="Arial" w:hAnsi="Arial" w:cs="Arial"/>
          <w:color w:val="000000" w:themeColor="text1"/>
          <w:sz w:val="24"/>
          <w:szCs w:val="24"/>
          <w:lang w:val="es-ES"/>
        </w:rPr>
        <w:t>procedimiento para determin</w:t>
      </w:r>
      <w:r w:rsidR="00354A88" w:rsidRPr="00682149">
        <w:rPr>
          <w:rFonts w:ascii="Arial" w:hAnsi="Arial" w:cs="Arial"/>
          <w:color w:val="000000" w:themeColor="text1"/>
          <w:sz w:val="24"/>
          <w:szCs w:val="24"/>
          <w:lang w:val="es-ES"/>
        </w:rPr>
        <w:t>ar las fórmulas tarifarias</w:t>
      </w:r>
      <w:r w:rsidRPr="00682149">
        <w:rPr>
          <w:rFonts w:ascii="Arial" w:hAnsi="Arial" w:cs="Arial"/>
          <w:color w:val="000000" w:themeColor="text1"/>
          <w:sz w:val="24"/>
          <w:szCs w:val="24"/>
          <w:lang w:val="es-ES"/>
        </w:rPr>
        <w:t xml:space="preserve"> se encuentra </w:t>
      </w:r>
      <w:r w:rsidR="00354A88" w:rsidRPr="00682149">
        <w:rPr>
          <w:rFonts w:ascii="Arial" w:hAnsi="Arial" w:cs="Arial"/>
          <w:color w:val="000000" w:themeColor="text1"/>
          <w:sz w:val="24"/>
          <w:szCs w:val="24"/>
          <w:lang w:val="es-ES"/>
        </w:rPr>
        <w:t xml:space="preserve">señalado </w:t>
      </w:r>
      <w:r w:rsidR="00542BD0" w:rsidRPr="00682149">
        <w:rPr>
          <w:rFonts w:ascii="Arial" w:hAnsi="Arial" w:cs="Arial"/>
          <w:color w:val="000000" w:themeColor="text1"/>
          <w:sz w:val="24"/>
          <w:szCs w:val="24"/>
          <w:lang w:val="es-ES"/>
        </w:rPr>
        <w:t xml:space="preserve">en la Ley 142 de 1994, </w:t>
      </w:r>
      <w:r w:rsidR="00184F3B" w:rsidRPr="00682149">
        <w:rPr>
          <w:rFonts w:ascii="Arial" w:hAnsi="Arial" w:cs="Arial"/>
          <w:color w:val="000000" w:themeColor="text1"/>
          <w:sz w:val="24"/>
          <w:szCs w:val="24"/>
          <w:lang w:val="es-ES"/>
        </w:rPr>
        <w:t xml:space="preserve">Ley 1437 de 2011 y las </w:t>
      </w:r>
      <w:r w:rsidR="00542BD0" w:rsidRPr="00682149">
        <w:rPr>
          <w:rFonts w:ascii="Arial" w:hAnsi="Arial" w:cs="Arial"/>
          <w:color w:val="000000" w:themeColor="text1"/>
          <w:sz w:val="24"/>
          <w:szCs w:val="24"/>
          <w:lang w:val="es-ES"/>
        </w:rPr>
        <w:t>normas especiales</w:t>
      </w:r>
      <w:r w:rsidR="00354A88" w:rsidRPr="00682149">
        <w:rPr>
          <w:rFonts w:ascii="Arial" w:hAnsi="Arial" w:cs="Arial"/>
          <w:color w:val="000000" w:themeColor="text1"/>
          <w:sz w:val="24"/>
          <w:szCs w:val="24"/>
          <w:lang w:val="es-ES"/>
        </w:rPr>
        <w:t xml:space="preserve">, </w:t>
      </w:r>
      <w:r w:rsidRPr="00682149">
        <w:rPr>
          <w:rFonts w:ascii="Arial" w:hAnsi="Arial" w:cs="Arial"/>
          <w:color w:val="000000" w:themeColor="text1"/>
          <w:sz w:val="24"/>
          <w:szCs w:val="24"/>
          <w:lang w:val="es-ES"/>
        </w:rPr>
        <w:t xml:space="preserve">para un periodo de cinco </w:t>
      </w:r>
      <w:r w:rsidR="00542BD0" w:rsidRPr="00682149">
        <w:rPr>
          <w:rFonts w:ascii="Arial" w:hAnsi="Arial" w:cs="Arial"/>
          <w:color w:val="000000" w:themeColor="text1"/>
          <w:sz w:val="24"/>
          <w:szCs w:val="24"/>
          <w:lang w:val="es-ES"/>
        </w:rPr>
        <w:t>años conforme da cuenta el artículo 126 de la Ley 142 de 1994</w:t>
      </w:r>
      <w:r w:rsidR="00184F3B" w:rsidRPr="00682149">
        <w:rPr>
          <w:rFonts w:ascii="Arial" w:hAnsi="Arial" w:cs="Arial"/>
          <w:color w:val="000000" w:themeColor="text1"/>
          <w:sz w:val="24"/>
          <w:szCs w:val="24"/>
          <w:lang w:val="es-ES"/>
        </w:rPr>
        <w:t xml:space="preserve">, las cuales </w:t>
      </w:r>
      <w:r w:rsidRPr="00682149">
        <w:rPr>
          <w:rFonts w:ascii="Arial" w:hAnsi="Arial" w:cs="Arial"/>
          <w:color w:val="000000" w:themeColor="text1"/>
          <w:sz w:val="24"/>
          <w:szCs w:val="24"/>
          <w:lang w:val="es-ES"/>
        </w:rPr>
        <w:t>se mantendrán vigentes mientras la Comisión no fije unas nuevas</w:t>
      </w:r>
      <w:r w:rsidR="00542BD0" w:rsidRPr="00682149">
        <w:rPr>
          <w:rFonts w:ascii="Arial" w:hAnsi="Arial" w:cs="Arial"/>
          <w:color w:val="000000" w:themeColor="text1"/>
          <w:sz w:val="24"/>
          <w:szCs w:val="24"/>
          <w:lang w:val="es-ES"/>
        </w:rPr>
        <w:t>.</w:t>
      </w:r>
      <w:r w:rsidR="00542BD0" w:rsidRPr="00682149">
        <w:rPr>
          <w:rStyle w:val="Refdenotaalpie"/>
          <w:rFonts w:ascii="Arial" w:hAnsi="Arial" w:cs="Arial"/>
          <w:color w:val="000000" w:themeColor="text1"/>
          <w:sz w:val="24"/>
          <w:szCs w:val="24"/>
          <w:lang w:val="es-ES"/>
        </w:rPr>
        <w:footnoteReference w:id="42"/>
      </w:r>
      <w:r w:rsidR="00542BD0" w:rsidRPr="00682149">
        <w:rPr>
          <w:rFonts w:ascii="Arial" w:hAnsi="Arial" w:cs="Arial"/>
          <w:color w:val="000000" w:themeColor="text1"/>
          <w:sz w:val="24"/>
          <w:szCs w:val="24"/>
          <w:lang w:val="es-ES"/>
        </w:rPr>
        <w:t xml:space="preserve">  </w:t>
      </w:r>
      <w:r w:rsidR="004D28AE" w:rsidRPr="00682149">
        <w:rPr>
          <w:rFonts w:ascii="Arial" w:hAnsi="Arial" w:cs="Arial"/>
          <w:color w:val="000000" w:themeColor="text1"/>
          <w:sz w:val="24"/>
          <w:szCs w:val="24"/>
        </w:rPr>
        <w:t>Empero,</w:t>
      </w:r>
      <w:r w:rsidR="0074728E" w:rsidRPr="00682149">
        <w:rPr>
          <w:rFonts w:ascii="Arial" w:hAnsi="Arial" w:cs="Arial"/>
          <w:color w:val="000000" w:themeColor="text1"/>
          <w:sz w:val="24"/>
          <w:szCs w:val="24"/>
        </w:rPr>
        <w:t xml:space="preserve"> </w:t>
      </w:r>
      <w:r w:rsidR="004D28AE" w:rsidRPr="00682149">
        <w:rPr>
          <w:rFonts w:ascii="Arial" w:hAnsi="Arial" w:cs="Arial"/>
          <w:color w:val="000000" w:themeColor="text1"/>
          <w:sz w:val="24"/>
          <w:szCs w:val="24"/>
        </w:rPr>
        <w:t>l</w:t>
      </w:r>
      <w:r w:rsidR="00E42937" w:rsidRPr="00682149">
        <w:rPr>
          <w:rFonts w:ascii="Arial" w:hAnsi="Arial" w:cs="Arial"/>
          <w:color w:val="000000" w:themeColor="text1"/>
          <w:sz w:val="24"/>
          <w:szCs w:val="24"/>
        </w:rPr>
        <w:t>a Ley 143 de 1994, norma especial y posterior que reguló el sector energético</w:t>
      </w:r>
      <w:r w:rsidR="001C2991" w:rsidRPr="00682149">
        <w:rPr>
          <w:rFonts w:ascii="Arial" w:hAnsi="Arial" w:cs="Arial"/>
          <w:color w:val="000000" w:themeColor="text1"/>
          <w:sz w:val="24"/>
          <w:szCs w:val="24"/>
        </w:rPr>
        <w:t xml:space="preserve"> y</w:t>
      </w:r>
      <w:r w:rsidR="00E42937" w:rsidRPr="00682149">
        <w:rPr>
          <w:rFonts w:ascii="Arial" w:hAnsi="Arial" w:cs="Arial"/>
          <w:color w:val="000000" w:themeColor="text1"/>
          <w:sz w:val="24"/>
          <w:szCs w:val="24"/>
        </w:rPr>
        <w:t xml:space="preserve"> trató específicamente el tema de tarifas para dicho servicio, no previ</w:t>
      </w:r>
      <w:r w:rsidR="0074728E" w:rsidRPr="00682149">
        <w:rPr>
          <w:rFonts w:ascii="Arial" w:hAnsi="Arial" w:cs="Arial"/>
          <w:color w:val="000000" w:themeColor="text1"/>
          <w:sz w:val="24"/>
          <w:szCs w:val="24"/>
        </w:rPr>
        <w:t>ó</w:t>
      </w:r>
      <w:r w:rsidR="00E42937" w:rsidRPr="00682149">
        <w:rPr>
          <w:rFonts w:ascii="Arial" w:hAnsi="Arial" w:cs="Arial"/>
          <w:color w:val="000000" w:themeColor="text1"/>
          <w:sz w:val="24"/>
          <w:szCs w:val="24"/>
        </w:rPr>
        <w:t xml:space="preserve"> la definición de las fórmulas y tampoco estableció el procedimiento</w:t>
      </w:r>
      <w:r w:rsidR="0074728E" w:rsidRPr="00682149">
        <w:rPr>
          <w:rFonts w:ascii="Arial" w:hAnsi="Arial" w:cs="Arial"/>
          <w:color w:val="000000" w:themeColor="text1"/>
          <w:sz w:val="24"/>
          <w:szCs w:val="24"/>
        </w:rPr>
        <w:t xml:space="preserve">, cuya metodología para su aplicación vino a regularse a través de la Resolución </w:t>
      </w:r>
      <w:r w:rsidR="00377D70" w:rsidRPr="00682149">
        <w:rPr>
          <w:rFonts w:ascii="Arial" w:hAnsi="Arial" w:cs="Arial"/>
          <w:color w:val="000000" w:themeColor="text1"/>
          <w:sz w:val="24"/>
          <w:szCs w:val="24"/>
        </w:rPr>
        <w:t xml:space="preserve">CREG </w:t>
      </w:r>
      <w:r w:rsidR="0074728E" w:rsidRPr="00682149">
        <w:rPr>
          <w:rFonts w:ascii="Arial" w:hAnsi="Arial" w:cs="Arial"/>
          <w:color w:val="000000" w:themeColor="text1"/>
          <w:sz w:val="24"/>
          <w:szCs w:val="24"/>
        </w:rPr>
        <w:t>091 de 2007</w:t>
      </w:r>
      <w:r w:rsidR="00E42937" w:rsidRPr="00682149">
        <w:rPr>
          <w:rFonts w:ascii="Arial" w:hAnsi="Arial" w:cs="Arial"/>
          <w:color w:val="000000" w:themeColor="text1"/>
          <w:sz w:val="24"/>
          <w:szCs w:val="24"/>
        </w:rPr>
        <w:t xml:space="preserve">. </w:t>
      </w:r>
    </w:p>
    <w:p w14:paraId="772DF58E" w14:textId="5C24F823" w:rsidR="00542BD0" w:rsidRPr="00682149" w:rsidRDefault="00700D95" w:rsidP="001C138F">
      <w:pPr>
        <w:pBdr>
          <w:top w:val="nil"/>
          <w:left w:val="nil"/>
          <w:bottom w:val="nil"/>
          <w:right w:val="nil"/>
          <w:between w:val="nil"/>
        </w:pBdr>
        <w:spacing w:after="0" w:line="276" w:lineRule="auto"/>
        <w:jc w:val="both"/>
        <w:rPr>
          <w:rFonts w:ascii="Arial" w:eastAsia="Times New Roman" w:hAnsi="Arial" w:cs="Arial"/>
          <w:color w:val="000000" w:themeColor="text1"/>
          <w:sz w:val="24"/>
          <w:szCs w:val="24"/>
          <w:lang w:val="es-CO" w:eastAsia="es-ES_tradnl"/>
        </w:rPr>
      </w:pPr>
      <w:r w:rsidRPr="00682149">
        <w:rPr>
          <w:rFonts w:ascii="Arial" w:eastAsia="Times New Roman" w:hAnsi="Arial" w:cs="Arial"/>
          <w:color w:val="000000" w:themeColor="text1"/>
          <w:sz w:val="24"/>
          <w:szCs w:val="24"/>
          <w:lang w:val="es-CO" w:eastAsia="es-ES_tradnl"/>
        </w:rPr>
        <w:t xml:space="preserve"> </w:t>
      </w:r>
    </w:p>
    <w:p w14:paraId="39324305" w14:textId="744E8E01" w:rsidR="00542BD0" w:rsidRPr="00682149" w:rsidRDefault="004D28AE" w:rsidP="001C138F">
      <w:pPr>
        <w:pBdr>
          <w:top w:val="nil"/>
          <w:left w:val="nil"/>
          <w:bottom w:val="nil"/>
          <w:right w:val="nil"/>
          <w:between w:val="nil"/>
        </w:pBdr>
        <w:spacing w:after="0" w:line="276" w:lineRule="auto"/>
        <w:jc w:val="both"/>
        <w:rPr>
          <w:rFonts w:ascii="Arial" w:hAnsi="Arial" w:cs="Arial"/>
          <w:color w:val="000000" w:themeColor="text1"/>
          <w:sz w:val="24"/>
          <w:szCs w:val="24"/>
        </w:rPr>
      </w:pPr>
      <w:r w:rsidRPr="00682149">
        <w:rPr>
          <w:rFonts w:ascii="Arial" w:hAnsi="Arial" w:cs="Arial"/>
          <w:color w:val="000000" w:themeColor="text1"/>
          <w:sz w:val="24"/>
          <w:szCs w:val="24"/>
        </w:rPr>
        <w:t>En cuanto al régimen tarifario de las zonas no interconectadas, especialmente para definir la remuneración por la prestación del servicio de energía eléctrica mediante Soluciones Individuales Solares Fotovoltaicas, el artículo 71 de la Ley 143 de 1994 ordenó al Gobierno Nacional ejecutar directamente o a través de terceros, las actividades relacionadas con la generación, transmisión y distribución de energía en Zonas no Interconectadas del país.</w:t>
      </w:r>
      <w:r w:rsidR="00817CC3" w:rsidRPr="00682149">
        <w:rPr>
          <w:rFonts w:ascii="Arial" w:hAnsi="Arial" w:cs="Arial"/>
          <w:color w:val="000000" w:themeColor="text1"/>
          <w:sz w:val="24"/>
          <w:szCs w:val="24"/>
        </w:rPr>
        <w:t xml:space="preserve"> </w:t>
      </w:r>
      <w:r w:rsidR="001C2991" w:rsidRPr="00682149">
        <w:rPr>
          <w:rFonts w:ascii="Arial" w:eastAsia="Times New Roman" w:hAnsi="Arial" w:cs="Arial"/>
          <w:color w:val="000000" w:themeColor="text1"/>
          <w:sz w:val="24"/>
          <w:szCs w:val="24"/>
          <w:lang w:val="es-CO" w:eastAsia="es-ES_tradnl"/>
        </w:rPr>
        <w:t xml:space="preserve">Además, </w:t>
      </w:r>
      <w:r w:rsidR="00700D95" w:rsidRPr="00682149">
        <w:rPr>
          <w:rFonts w:ascii="Arial" w:eastAsia="Times New Roman" w:hAnsi="Arial" w:cs="Arial"/>
          <w:color w:val="000000" w:themeColor="text1"/>
          <w:sz w:val="24"/>
          <w:szCs w:val="24"/>
          <w:lang w:val="es-CO" w:eastAsia="es-ES_tradnl"/>
        </w:rPr>
        <w:t xml:space="preserve">el </w:t>
      </w:r>
      <w:r w:rsidR="00542BD0" w:rsidRPr="00682149">
        <w:rPr>
          <w:rFonts w:ascii="Arial" w:eastAsia="Times New Roman" w:hAnsi="Arial" w:cs="Arial"/>
          <w:color w:val="000000" w:themeColor="text1"/>
          <w:sz w:val="24"/>
          <w:szCs w:val="24"/>
          <w:lang w:val="es-CO" w:eastAsia="es-ES_tradnl"/>
        </w:rPr>
        <w:t>artículo 65 de la Ley 1151 de 2007 dispuso que el Ministerio de Minas diseñaría esquemas sostenibles para la presta</w:t>
      </w:r>
      <w:r w:rsidR="00E42937" w:rsidRPr="00682149">
        <w:rPr>
          <w:rFonts w:ascii="Arial" w:eastAsia="Times New Roman" w:hAnsi="Arial" w:cs="Arial"/>
          <w:color w:val="000000" w:themeColor="text1"/>
          <w:sz w:val="24"/>
          <w:szCs w:val="24"/>
          <w:lang w:val="es-CO" w:eastAsia="es-ES_tradnl"/>
        </w:rPr>
        <w:t>ción del servicio de energía elé</w:t>
      </w:r>
      <w:r w:rsidR="00542BD0" w:rsidRPr="00682149">
        <w:rPr>
          <w:rFonts w:ascii="Arial" w:eastAsia="Times New Roman" w:hAnsi="Arial" w:cs="Arial"/>
          <w:color w:val="000000" w:themeColor="text1"/>
          <w:sz w:val="24"/>
          <w:szCs w:val="24"/>
          <w:lang w:val="es-CO" w:eastAsia="es-ES_tradnl"/>
        </w:rPr>
        <w:t>ctrica en zonas no interconectadas</w:t>
      </w:r>
      <w:r w:rsidR="00377D70" w:rsidRPr="00682149">
        <w:rPr>
          <w:rFonts w:ascii="Arial" w:eastAsia="Times New Roman" w:hAnsi="Arial" w:cs="Arial"/>
          <w:color w:val="000000" w:themeColor="text1"/>
          <w:sz w:val="24"/>
          <w:szCs w:val="24"/>
          <w:lang w:val="es-CO" w:eastAsia="es-ES_tradnl"/>
        </w:rPr>
        <w:t xml:space="preserve">, donde existiría </w:t>
      </w:r>
      <w:r w:rsidR="00542BD0" w:rsidRPr="00682149">
        <w:rPr>
          <w:rFonts w:ascii="Arial" w:eastAsia="Times New Roman" w:hAnsi="Arial" w:cs="Arial"/>
          <w:color w:val="000000" w:themeColor="text1"/>
          <w:sz w:val="24"/>
          <w:szCs w:val="24"/>
          <w:lang w:val="es-CO" w:eastAsia="es-ES_tradnl"/>
        </w:rPr>
        <w:t>un t</w:t>
      </w:r>
      <w:r w:rsidR="00184F3B" w:rsidRPr="00682149">
        <w:rPr>
          <w:rFonts w:ascii="Arial" w:eastAsia="Times New Roman" w:hAnsi="Arial" w:cs="Arial"/>
          <w:color w:val="000000" w:themeColor="text1"/>
          <w:sz w:val="24"/>
          <w:szCs w:val="24"/>
          <w:lang w:val="es-CO" w:eastAsia="es-ES_tradnl"/>
        </w:rPr>
        <w:t>ratamiento favorable</w:t>
      </w:r>
      <w:r w:rsidR="00377D70" w:rsidRPr="00682149">
        <w:rPr>
          <w:rFonts w:ascii="Arial" w:eastAsia="Times New Roman" w:hAnsi="Arial" w:cs="Arial"/>
          <w:color w:val="000000" w:themeColor="text1"/>
          <w:sz w:val="24"/>
          <w:szCs w:val="24"/>
          <w:lang w:val="es-CO" w:eastAsia="es-ES_tradnl"/>
        </w:rPr>
        <w:t xml:space="preserve"> en materia de tarifas </w:t>
      </w:r>
      <w:r w:rsidR="00184F3B" w:rsidRPr="00682149">
        <w:rPr>
          <w:rFonts w:ascii="Arial" w:eastAsia="Times New Roman" w:hAnsi="Arial" w:cs="Arial"/>
          <w:color w:val="000000" w:themeColor="text1"/>
          <w:sz w:val="24"/>
          <w:szCs w:val="24"/>
          <w:lang w:val="es-CO" w:eastAsia="es-ES_tradnl"/>
        </w:rPr>
        <w:t xml:space="preserve">para los </w:t>
      </w:r>
      <w:r w:rsidR="00542BD0" w:rsidRPr="00682149">
        <w:rPr>
          <w:rFonts w:ascii="Arial" w:eastAsia="Times New Roman" w:hAnsi="Arial" w:cs="Arial"/>
          <w:color w:val="000000" w:themeColor="text1"/>
          <w:sz w:val="24"/>
          <w:szCs w:val="24"/>
          <w:lang w:val="es-CO" w:eastAsia="es-ES_tradnl"/>
        </w:rPr>
        <w:t>us</w:t>
      </w:r>
      <w:r w:rsidR="00184F3B" w:rsidRPr="00682149">
        <w:rPr>
          <w:rFonts w:ascii="Arial" w:eastAsia="Times New Roman" w:hAnsi="Arial" w:cs="Arial"/>
          <w:color w:val="000000" w:themeColor="text1"/>
          <w:sz w:val="24"/>
          <w:szCs w:val="24"/>
          <w:lang w:val="es-CO" w:eastAsia="es-ES_tradnl"/>
        </w:rPr>
        <w:t>u</w:t>
      </w:r>
      <w:r w:rsidR="00542BD0" w:rsidRPr="00682149">
        <w:rPr>
          <w:rFonts w:ascii="Arial" w:eastAsia="Times New Roman" w:hAnsi="Arial" w:cs="Arial"/>
          <w:color w:val="000000" w:themeColor="text1"/>
          <w:sz w:val="24"/>
          <w:szCs w:val="24"/>
          <w:lang w:val="es-CO" w:eastAsia="es-ES_tradnl"/>
        </w:rPr>
        <w:t>arios</w:t>
      </w:r>
      <w:r w:rsidR="00E456D0" w:rsidRPr="00682149">
        <w:rPr>
          <w:rFonts w:ascii="Arial" w:eastAsia="Times New Roman" w:hAnsi="Arial" w:cs="Arial"/>
          <w:color w:val="000000" w:themeColor="text1"/>
          <w:sz w:val="24"/>
          <w:szCs w:val="24"/>
          <w:lang w:val="es-CO" w:eastAsia="es-ES_tradnl"/>
        </w:rPr>
        <w:t xml:space="preserve">, </w:t>
      </w:r>
      <w:r w:rsidR="00542BD0" w:rsidRPr="00682149">
        <w:rPr>
          <w:rFonts w:ascii="Arial" w:eastAsia="Times New Roman" w:hAnsi="Arial" w:cs="Arial"/>
          <w:color w:val="000000" w:themeColor="text1"/>
          <w:sz w:val="24"/>
          <w:szCs w:val="24"/>
          <w:lang w:val="es-CO" w:eastAsia="es-ES_tradnl"/>
        </w:rPr>
        <w:t>al tiempo que pre</w:t>
      </w:r>
      <w:r w:rsidR="000132DD" w:rsidRPr="00682149">
        <w:rPr>
          <w:rFonts w:ascii="Arial" w:eastAsia="Times New Roman" w:hAnsi="Arial" w:cs="Arial"/>
          <w:color w:val="000000" w:themeColor="text1"/>
          <w:sz w:val="24"/>
          <w:szCs w:val="24"/>
          <w:lang w:val="es-CO" w:eastAsia="es-ES_tradnl"/>
        </w:rPr>
        <w:t>v</w:t>
      </w:r>
      <w:r w:rsidR="00542BD0" w:rsidRPr="00682149">
        <w:rPr>
          <w:rFonts w:ascii="Arial" w:eastAsia="Times New Roman" w:hAnsi="Arial" w:cs="Arial"/>
          <w:color w:val="000000" w:themeColor="text1"/>
          <w:sz w:val="24"/>
          <w:szCs w:val="24"/>
          <w:lang w:val="es-CO" w:eastAsia="es-ES_tradnl"/>
        </w:rPr>
        <w:t xml:space="preserve">ió fortalecer el </w:t>
      </w:r>
      <w:r w:rsidR="00542BD0" w:rsidRPr="00682149">
        <w:rPr>
          <w:rFonts w:ascii="Arial" w:eastAsiaTheme="minorEastAsia" w:hAnsi="Arial" w:cs="Arial"/>
          <w:color w:val="000000" w:themeColor="text1"/>
          <w:sz w:val="24"/>
          <w:szCs w:val="24"/>
          <w:lang w:val="es-ES" w:eastAsia="es-ES"/>
        </w:rPr>
        <w:t>IPSE, entidad especializada en la estructuración e interventoría de proyectos de energización de las ZNI, para el desarrollo e implementación de soluciones energéti</w:t>
      </w:r>
      <w:r w:rsidR="001801EC" w:rsidRPr="00682149">
        <w:rPr>
          <w:rFonts w:ascii="Arial" w:eastAsiaTheme="minorEastAsia" w:hAnsi="Arial" w:cs="Arial"/>
          <w:color w:val="000000" w:themeColor="text1"/>
          <w:sz w:val="24"/>
          <w:szCs w:val="24"/>
          <w:lang w:val="es-ES" w:eastAsia="es-ES"/>
        </w:rPr>
        <w:t>ca</w:t>
      </w:r>
      <w:r w:rsidR="00184F3B" w:rsidRPr="00682149">
        <w:rPr>
          <w:rFonts w:ascii="Arial" w:eastAsiaTheme="minorEastAsia" w:hAnsi="Arial" w:cs="Arial"/>
          <w:color w:val="000000" w:themeColor="text1"/>
          <w:sz w:val="24"/>
          <w:szCs w:val="24"/>
          <w:lang w:val="es-ES" w:eastAsia="es-ES"/>
        </w:rPr>
        <w:t xml:space="preserve">s, como energías renovables </w:t>
      </w:r>
      <w:r w:rsidR="00542BD0" w:rsidRPr="00682149">
        <w:rPr>
          <w:rFonts w:ascii="Arial" w:eastAsiaTheme="minorEastAsia" w:hAnsi="Arial" w:cs="Arial"/>
          <w:color w:val="000000" w:themeColor="text1"/>
          <w:sz w:val="24"/>
          <w:szCs w:val="24"/>
          <w:lang w:val="es-ES" w:eastAsia="es-ES"/>
        </w:rPr>
        <w:t>o limpias.</w:t>
      </w:r>
      <w:r w:rsidR="00542BD0" w:rsidRPr="00682149">
        <w:rPr>
          <w:rStyle w:val="Refdenotaalpie"/>
          <w:rFonts w:ascii="Arial" w:eastAsiaTheme="minorEastAsia" w:hAnsi="Arial" w:cs="Arial"/>
          <w:color w:val="000000" w:themeColor="text1"/>
          <w:sz w:val="24"/>
          <w:szCs w:val="24"/>
          <w:lang w:val="es-ES" w:eastAsia="es-ES"/>
        </w:rPr>
        <w:footnoteReference w:id="43"/>
      </w:r>
      <w:r w:rsidR="00542BD0" w:rsidRPr="00682149">
        <w:rPr>
          <w:rFonts w:ascii="Arial" w:eastAsiaTheme="minorEastAsia" w:hAnsi="Arial" w:cs="Arial"/>
          <w:color w:val="000000" w:themeColor="text1"/>
          <w:sz w:val="24"/>
          <w:szCs w:val="24"/>
          <w:lang w:val="es-ES" w:eastAsia="es-ES"/>
        </w:rPr>
        <w:t xml:space="preserve"> </w:t>
      </w:r>
    </w:p>
    <w:p w14:paraId="042DDE60" w14:textId="4B3320DE" w:rsidR="00E456D0" w:rsidRPr="00682149" w:rsidRDefault="00700D95" w:rsidP="001C138F">
      <w:pPr>
        <w:widowControl w:val="0"/>
        <w:autoSpaceDE w:val="0"/>
        <w:autoSpaceDN w:val="0"/>
        <w:adjustRightInd w:val="0"/>
        <w:spacing w:after="0" w:line="276" w:lineRule="auto"/>
        <w:jc w:val="both"/>
        <w:rPr>
          <w:rFonts w:ascii="Arial" w:eastAsiaTheme="minorEastAsia" w:hAnsi="Arial" w:cs="Arial"/>
          <w:color w:val="000000" w:themeColor="text1"/>
          <w:sz w:val="24"/>
          <w:szCs w:val="24"/>
          <w:lang w:val="es-ES" w:eastAsia="es-ES"/>
        </w:rPr>
      </w:pPr>
      <w:r w:rsidRPr="00682149">
        <w:rPr>
          <w:rFonts w:ascii="Arial" w:eastAsiaTheme="minorEastAsia" w:hAnsi="Arial" w:cs="Arial"/>
          <w:color w:val="000000" w:themeColor="text1"/>
          <w:sz w:val="24"/>
          <w:szCs w:val="24"/>
          <w:lang w:val="es-ES" w:eastAsia="es-ES"/>
        </w:rPr>
        <w:lastRenderedPageBreak/>
        <w:t xml:space="preserve">Sin embargo, </w:t>
      </w:r>
      <w:r w:rsidR="00C80419" w:rsidRPr="00682149">
        <w:rPr>
          <w:rFonts w:ascii="Arial" w:eastAsiaTheme="minorEastAsia" w:hAnsi="Arial" w:cs="Arial"/>
          <w:color w:val="000000" w:themeColor="text1"/>
          <w:sz w:val="24"/>
          <w:szCs w:val="24"/>
          <w:lang w:val="es-ES" w:eastAsia="es-ES"/>
        </w:rPr>
        <w:t xml:space="preserve">solo </w:t>
      </w:r>
      <w:r w:rsidRPr="00682149">
        <w:rPr>
          <w:rFonts w:ascii="Arial" w:eastAsiaTheme="minorEastAsia" w:hAnsi="Arial" w:cs="Arial"/>
          <w:color w:val="000000" w:themeColor="text1"/>
          <w:sz w:val="24"/>
          <w:szCs w:val="24"/>
          <w:lang w:val="es-ES" w:eastAsia="es-ES"/>
        </w:rPr>
        <w:t xml:space="preserve">hasta la expedición de la </w:t>
      </w:r>
      <w:r w:rsidR="00542BD0" w:rsidRPr="00682149">
        <w:rPr>
          <w:rFonts w:ascii="Arial" w:eastAsiaTheme="minorEastAsia" w:hAnsi="Arial" w:cs="Arial"/>
          <w:color w:val="000000" w:themeColor="text1"/>
          <w:sz w:val="24"/>
          <w:szCs w:val="24"/>
          <w:lang w:val="es-ES" w:eastAsia="es-ES"/>
        </w:rPr>
        <w:t xml:space="preserve">Ley 1715 de </w:t>
      </w:r>
      <w:r w:rsidRPr="00682149">
        <w:rPr>
          <w:rFonts w:ascii="Arial" w:eastAsiaTheme="minorEastAsia" w:hAnsi="Arial" w:cs="Arial"/>
          <w:color w:val="000000" w:themeColor="text1"/>
          <w:sz w:val="24"/>
          <w:szCs w:val="24"/>
          <w:lang w:val="es-ES" w:eastAsia="es-ES"/>
        </w:rPr>
        <w:t xml:space="preserve">13 de mayo de 2014, </w:t>
      </w:r>
      <w:r w:rsidR="00542BD0" w:rsidRPr="00682149">
        <w:rPr>
          <w:rFonts w:ascii="Arial" w:eastAsiaTheme="minorEastAsia" w:hAnsi="Arial" w:cs="Arial"/>
          <w:color w:val="000000" w:themeColor="text1"/>
          <w:sz w:val="24"/>
          <w:szCs w:val="24"/>
          <w:lang w:val="es-ES" w:eastAsia="es-ES"/>
        </w:rPr>
        <w:t>se reguló la integración de las energías renovables no convencionales</w:t>
      </w:r>
      <w:r w:rsidR="000132DD" w:rsidRPr="00682149">
        <w:rPr>
          <w:rFonts w:ascii="Arial" w:eastAsiaTheme="minorEastAsia" w:hAnsi="Arial" w:cs="Arial"/>
          <w:color w:val="000000" w:themeColor="text1"/>
          <w:sz w:val="24"/>
          <w:szCs w:val="24"/>
          <w:lang w:val="es-ES" w:eastAsia="es-ES"/>
        </w:rPr>
        <w:t xml:space="preserve"> al Sistema Energético Nacional</w:t>
      </w:r>
      <w:r w:rsidR="00542BD0" w:rsidRPr="00682149">
        <w:rPr>
          <w:rFonts w:ascii="Arial" w:eastAsiaTheme="minorEastAsia" w:hAnsi="Arial" w:cs="Arial"/>
          <w:color w:val="000000" w:themeColor="text1"/>
          <w:sz w:val="24"/>
          <w:szCs w:val="24"/>
          <w:lang w:val="es-ES" w:eastAsia="es-ES"/>
        </w:rPr>
        <w:t xml:space="preserve">, cuyo objeto principal fue </w:t>
      </w:r>
      <w:r w:rsidR="00FD765E">
        <w:rPr>
          <w:rFonts w:ascii="Arial" w:eastAsiaTheme="minorEastAsia" w:hAnsi="Arial" w:cs="Arial"/>
          <w:color w:val="000000" w:themeColor="text1"/>
          <w:sz w:val="24"/>
          <w:szCs w:val="24"/>
          <w:lang w:val="es-ES" w:eastAsia="es-ES"/>
        </w:rPr>
        <w:t>el</w:t>
      </w:r>
      <w:r w:rsidR="00542BD0" w:rsidRPr="00682149">
        <w:rPr>
          <w:rFonts w:ascii="Arial" w:eastAsiaTheme="minorEastAsia" w:hAnsi="Arial" w:cs="Arial"/>
          <w:color w:val="000000" w:themeColor="text1"/>
          <w:sz w:val="24"/>
          <w:szCs w:val="24"/>
          <w:lang w:val="es-ES" w:eastAsia="es-ES"/>
        </w:rPr>
        <w:t xml:space="preserve"> de promover el desarrollo y la utilización de las fuentes no convencionales de energía, principalmente</w:t>
      </w:r>
      <w:r w:rsidR="0074728E" w:rsidRPr="00682149">
        <w:rPr>
          <w:rFonts w:ascii="Arial" w:eastAsiaTheme="minorEastAsia" w:hAnsi="Arial" w:cs="Arial"/>
          <w:color w:val="000000" w:themeColor="text1"/>
          <w:sz w:val="24"/>
          <w:szCs w:val="24"/>
          <w:lang w:val="es-ES" w:eastAsia="es-ES"/>
        </w:rPr>
        <w:t xml:space="preserve"> aquellas de carácter renovable</w:t>
      </w:r>
      <w:r w:rsidR="00542BD0" w:rsidRPr="00682149">
        <w:rPr>
          <w:rFonts w:ascii="Arial" w:eastAsiaTheme="minorEastAsia" w:hAnsi="Arial" w:cs="Arial"/>
          <w:color w:val="000000" w:themeColor="text1"/>
          <w:sz w:val="24"/>
          <w:szCs w:val="24"/>
          <w:lang w:val="es-ES" w:eastAsia="es-ES"/>
        </w:rPr>
        <w:t xml:space="preserve"> en el sistema energético nacional, mediante su integración al mercado eléctrico, su participación en las zonas no interconectadas</w:t>
      </w:r>
      <w:r w:rsidR="00C80419" w:rsidRPr="00682149">
        <w:rPr>
          <w:rFonts w:ascii="Arial" w:eastAsiaTheme="minorEastAsia" w:hAnsi="Arial" w:cs="Arial"/>
          <w:color w:val="000000" w:themeColor="text1"/>
          <w:sz w:val="24"/>
          <w:szCs w:val="24"/>
          <w:lang w:val="es-ES" w:eastAsia="es-ES"/>
        </w:rPr>
        <w:t xml:space="preserve">, </w:t>
      </w:r>
      <w:r w:rsidR="00542BD0" w:rsidRPr="00682149">
        <w:rPr>
          <w:rFonts w:ascii="Arial" w:eastAsiaTheme="minorEastAsia" w:hAnsi="Arial" w:cs="Arial"/>
          <w:color w:val="000000" w:themeColor="text1"/>
          <w:sz w:val="24"/>
          <w:szCs w:val="24"/>
          <w:lang w:val="es-ES" w:eastAsia="es-ES"/>
        </w:rPr>
        <w:t>en</w:t>
      </w:r>
      <w:r w:rsidR="00C80419" w:rsidRPr="00682149">
        <w:rPr>
          <w:rFonts w:ascii="Arial" w:eastAsiaTheme="minorEastAsia" w:hAnsi="Arial" w:cs="Arial"/>
          <w:color w:val="000000" w:themeColor="text1"/>
          <w:sz w:val="24"/>
          <w:szCs w:val="24"/>
          <w:lang w:val="es-ES" w:eastAsia="es-ES"/>
        </w:rPr>
        <w:t xml:space="preserve">tre </w:t>
      </w:r>
      <w:r w:rsidR="00542BD0" w:rsidRPr="00682149">
        <w:rPr>
          <w:rFonts w:ascii="Arial" w:eastAsiaTheme="minorEastAsia" w:hAnsi="Arial" w:cs="Arial"/>
          <w:color w:val="000000" w:themeColor="text1"/>
          <w:sz w:val="24"/>
          <w:szCs w:val="24"/>
          <w:lang w:val="es-ES" w:eastAsia="es-ES"/>
        </w:rPr>
        <w:t>otros usos energéticos como medio</w:t>
      </w:r>
      <w:r w:rsidR="00C80419" w:rsidRPr="00682149">
        <w:rPr>
          <w:rFonts w:ascii="Arial" w:eastAsiaTheme="minorEastAsia" w:hAnsi="Arial" w:cs="Arial"/>
          <w:color w:val="000000" w:themeColor="text1"/>
          <w:sz w:val="24"/>
          <w:szCs w:val="24"/>
          <w:lang w:val="es-ES" w:eastAsia="es-ES"/>
        </w:rPr>
        <w:t>s</w:t>
      </w:r>
      <w:r w:rsidR="00542BD0" w:rsidRPr="00682149">
        <w:rPr>
          <w:rFonts w:ascii="Arial" w:eastAsiaTheme="minorEastAsia" w:hAnsi="Arial" w:cs="Arial"/>
          <w:color w:val="000000" w:themeColor="text1"/>
          <w:sz w:val="24"/>
          <w:szCs w:val="24"/>
          <w:lang w:val="es-ES" w:eastAsia="es-ES"/>
        </w:rPr>
        <w:t xml:space="preserve"> necesario</w:t>
      </w:r>
      <w:r w:rsidR="00C80419" w:rsidRPr="00682149">
        <w:rPr>
          <w:rFonts w:ascii="Arial" w:eastAsiaTheme="minorEastAsia" w:hAnsi="Arial" w:cs="Arial"/>
          <w:color w:val="000000" w:themeColor="text1"/>
          <w:sz w:val="24"/>
          <w:szCs w:val="24"/>
          <w:lang w:val="es-ES" w:eastAsia="es-ES"/>
        </w:rPr>
        <w:t>s</w:t>
      </w:r>
      <w:r w:rsidR="00542BD0" w:rsidRPr="00682149">
        <w:rPr>
          <w:rFonts w:ascii="Arial" w:eastAsiaTheme="minorEastAsia" w:hAnsi="Arial" w:cs="Arial"/>
          <w:color w:val="000000" w:themeColor="text1"/>
          <w:sz w:val="24"/>
          <w:szCs w:val="24"/>
          <w:lang w:val="es-ES" w:eastAsia="es-ES"/>
        </w:rPr>
        <w:t xml:space="preserve"> para el desarrollo económico sostenible</w:t>
      </w:r>
      <w:r w:rsidR="00E456D0" w:rsidRPr="00682149">
        <w:rPr>
          <w:rFonts w:ascii="Arial" w:eastAsiaTheme="minorEastAsia" w:hAnsi="Arial" w:cs="Arial"/>
          <w:color w:val="000000" w:themeColor="text1"/>
          <w:sz w:val="24"/>
          <w:szCs w:val="24"/>
          <w:lang w:val="es-ES" w:eastAsia="es-ES"/>
        </w:rPr>
        <w:t>.</w:t>
      </w:r>
    </w:p>
    <w:p w14:paraId="0422DAAF" w14:textId="6EB8ACD7" w:rsidR="00542BD0" w:rsidRPr="00682149" w:rsidRDefault="00C80419" w:rsidP="001C138F">
      <w:pPr>
        <w:widowControl w:val="0"/>
        <w:autoSpaceDE w:val="0"/>
        <w:autoSpaceDN w:val="0"/>
        <w:adjustRightInd w:val="0"/>
        <w:spacing w:after="0" w:line="276" w:lineRule="auto"/>
        <w:jc w:val="both"/>
        <w:rPr>
          <w:rFonts w:ascii="Arial" w:eastAsiaTheme="minorEastAsia" w:hAnsi="Arial" w:cs="Arial"/>
          <w:color w:val="000000" w:themeColor="text1"/>
          <w:sz w:val="24"/>
          <w:szCs w:val="24"/>
          <w:lang w:val="es-ES" w:eastAsia="es-ES"/>
        </w:rPr>
      </w:pPr>
      <w:r w:rsidRPr="00682149">
        <w:rPr>
          <w:rFonts w:ascii="Arial" w:eastAsiaTheme="minorEastAsia" w:hAnsi="Arial" w:cs="Arial"/>
          <w:color w:val="000000" w:themeColor="text1"/>
          <w:sz w:val="24"/>
          <w:szCs w:val="24"/>
          <w:lang w:val="es-ES" w:eastAsia="es-ES"/>
        </w:rPr>
        <w:t xml:space="preserve"> </w:t>
      </w:r>
    </w:p>
    <w:p w14:paraId="1AFA51A9" w14:textId="756923F2" w:rsidR="000132DD" w:rsidRPr="00682149" w:rsidRDefault="006F4106" w:rsidP="001C138F">
      <w:pPr>
        <w:widowControl w:val="0"/>
        <w:autoSpaceDE w:val="0"/>
        <w:autoSpaceDN w:val="0"/>
        <w:adjustRightInd w:val="0"/>
        <w:spacing w:after="0" w:line="276" w:lineRule="auto"/>
        <w:jc w:val="both"/>
        <w:rPr>
          <w:rFonts w:ascii="Arial" w:eastAsiaTheme="minorEastAsia" w:hAnsi="Arial" w:cs="Arial"/>
          <w:color w:val="000000" w:themeColor="text1"/>
          <w:sz w:val="24"/>
          <w:szCs w:val="24"/>
          <w:lang w:val="es-ES" w:eastAsia="es-ES"/>
        </w:rPr>
      </w:pPr>
      <w:r w:rsidRPr="00682149">
        <w:rPr>
          <w:rFonts w:ascii="Arial" w:eastAsiaTheme="minorEastAsia" w:hAnsi="Arial" w:cs="Arial"/>
          <w:color w:val="000000" w:themeColor="text1"/>
          <w:sz w:val="24"/>
          <w:szCs w:val="24"/>
          <w:lang w:val="es-ES" w:eastAsia="es-ES"/>
        </w:rPr>
        <w:t>Así, l</w:t>
      </w:r>
      <w:r w:rsidR="000132DD" w:rsidRPr="00682149">
        <w:rPr>
          <w:rFonts w:ascii="Arial" w:eastAsiaTheme="minorEastAsia" w:hAnsi="Arial" w:cs="Arial"/>
          <w:color w:val="000000" w:themeColor="text1"/>
          <w:sz w:val="24"/>
          <w:szCs w:val="24"/>
          <w:lang w:val="es-ES" w:eastAsia="es-ES"/>
        </w:rPr>
        <w:t xml:space="preserve">a Ley </w:t>
      </w:r>
      <w:r w:rsidR="00542BD0" w:rsidRPr="00682149">
        <w:rPr>
          <w:rFonts w:ascii="Arial" w:eastAsiaTheme="minorEastAsia" w:hAnsi="Arial" w:cs="Arial"/>
          <w:color w:val="000000" w:themeColor="text1"/>
          <w:sz w:val="24"/>
          <w:szCs w:val="24"/>
          <w:lang w:val="es-ES" w:eastAsia="es-ES"/>
        </w:rPr>
        <w:t>1715 estableció el marco legal para la promoción del aprovechamiento de</w:t>
      </w:r>
      <w:r w:rsidR="00C80419" w:rsidRPr="00682149">
        <w:rPr>
          <w:rFonts w:ascii="Arial" w:eastAsiaTheme="minorEastAsia" w:hAnsi="Arial" w:cs="Arial"/>
          <w:color w:val="000000" w:themeColor="text1"/>
          <w:sz w:val="24"/>
          <w:szCs w:val="24"/>
          <w:lang w:val="es-ES" w:eastAsia="es-ES"/>
        </w:rPr>
        <w:t xml:space="preserve"> </w:t>
      </w:r>
      <w:r w:rsidR="00542BD0" w:rsidRPr="00682149">
        <w:rPr>
          <w:rFonts w:ascii="Arial" w:eastAsiaTheme="minorEastAsia" w:hAnsi="Arial" w:cs="Arial"/>
          <w:color w:val="000000" w:themeColor="text1"/>
          <w:sz w:val="24"/>
          <w:szCs w:val="24"/>
          <w:lang w:val="es-ES" w:eastAsia="es-ES"/>
        </w:rPr>
        <w:t>las fuentes no convencionales de energía, principalmente aquellas de carácter renovable.</w:t>
      </w:r>
      <w:r w:rsidR="00542BD0" w:rsidRPr="00682149">
        <w:rPr>
          <w:rStyle w:val="Refdenotaalpie"/>
          <w:rFonts w:ascii="Arial" w:eastAsiaTheme="minorEastAsia" w:hAnsi="Arial" w:cs="Arial"/>
          <w:color w:val="000000" w:themeColor="text1"/>
          <w:sz w:val="24"/>
          <w:szCs w:val="24"/>
          <w:lang w:val="es-ES" w:eastAsia="es-ES"/>
        </w:rPr>
        <w:footnoteReference w:id="44"/>
      </w:r>
      <w:r w:rsidR="00542BD0" w:rsidRPr="00682149">
        <w:rPr>
          <w:rFonts w:ascii="Arial" w:eastAsiaTheme="minorEastAsia" w:hAnsi="Arial" w:cs="Arial"/>
          <w:color w:val="000000" w:themeColor="text1"/>
          <w:sz w:val="24"/>
          <w:szCs w:val="24"/>
          <w:lang w:val="es-ES" w:eastAsia="es-ES"/>
        </w:rPr>
        <w:t xml:space="preserve"> </w:t>
      </w:r>
      <w:r w:rsidR="00817CC3" w:rsidRPr="00682149">
        <w:rPr>
          <w:rFonts w:ascii="Arial" w:eastAsiaTheme="minorEastAsia" w:hAnsi="Arial" w:cs="Arial"/>
          <w:color w:val="000000" w:themeColor="text1"/>
          <w:sz w:val="24"/>
          <w:szCs w:val="24"/>
          <w:lang w:val="es-ES" w:eastAsia="es-ES"/>
        </w:rPr>
        <w:t>En este sentido se p</w:t>
      </w:r>
      <w:r w:rsidR="00542BD0" w:rsidRPr="00682149">
        <w:rPr>
          <w:rFonts w:ascii="Arial" w:eastAsiaTheme="minorEastAsia" w:hAnsi="Arial" w:cs="Arial"/>
          <w:color w:val="000000" w:themeColor="text1"/>
          <w:sz w:val="24"/>
          <w:szCs w:val="24"/>
          <w:lang w:val="es-ES" w:eastAsia="es-ES"/>
        </w:rPr>
        <w:t>rivilegi</w:t>
      </w:r>
      <w:r w:rsidR="0068754E">
        <w:rPr>
          <w:rFonts w:ascii="Arial" w:eastAsiaTheme="minorEastAsia" w:hAnsi="Arial" w:cs="Arial"/>
          <w:color w:val="000000" w:themeColor="text1"/>
          <w:sz w:val="24"/>
          <w:szCs w:val="24"/>
          <w:lang w:val="es-ES" w:eastAsia="es-ES"/>
        </w:rPr>
        <w:t>aron</w:t>
      </w:r>
      <w:r w:rsidR="00817CC3" w:rsidRPr="00682149">
        <w:rPr>
          <w:rFonts w:ascii="Arial" w:eastAsiaTheme="minorEastAsia" w:hAnsi="Arial" w:cs="Arial"/>
          <w:color w:val="000000" w:themeColor="text1"/>
          <w:sz w:val="24"/>
          <w:szCs w:val="24"/>
          <w:lang w:val="es-ES" w:eastAsia="es-ES"/>
        </w:rPr>
        <w:t xml:space="preserve"> </w:t>
      </w:r>
      <w:r w:rsidR="00542BD0" w:rsidRPr="00682149">
        <w:rPr>
          <w:rFonts w:ascii="Arial" w:eastAsiaTheme="minorEastAsia" w:hAnsi="Arial" w:cs="Arial"/>
          <w:color w:val="000000" w:themeColor="text1"/>
          <w:sz w:val="24"/>
          <w:szCs w:val="24"/>
          <w:lang w:val="es-ES" w:eastAsia="es-ES"/>
        </w:rPr>
        <w:t>las actividades de autogeneración de energía individual, pequeña y gran escala, los pequeños aprovechamientos hidroeléctricos o la energía eólica</w:t>
      </w:r>
      <w:r w:rsidR="00E456D0" w:rsidRPr="00682149">
        <w:rPr>
          <w:rFonts w:ascii="Arial" w:eastAsiaTheme="minorEastAsia" w:hAnsi="Arial" w:cs="Arial"/>
          <w:color w:val="000000" w:themeColor="text1"/>
          <w:sz w:val="24"/>
          <w:szCs w:val="24"/>
          <w:lang w:val="es-ES" w:eastAsia="es-ES"/>
        </w:rPr>
        <w:t>,</w:t>
      </w:r>
      <w:r w:rsidR="00542BD0" w:rsidRPr="00682149">
        <w:rPr>
          <w:rFonts w:ascii="Arial" w:eastAsiaTheme="minorEastAsia" w:hAnsi="Arial" w:cs="Arial"/>
          <w:color w:val="000000" w:themeColor="text1"/>
          <w:sz w:val="24"/>
          <w:szCs w:val="24"/>
          <w:lang w:val="es-ES" w:eastAsia="es-ES"/>
        </w:rPr>
        <w:t xml:space="preserve"> entre otras, con el fin de contribuir</w:t>
      </w:r>
      <w:r w:rsidR="0074728E" w:rsidRPr="00682149">
        <w:rPr>
          <w:rFonts w:ascii="Arial" w:eastAsiaTheme="minorEastAsia" w:hAnsi="Arial" w:cs="Arial"/>
          <w:color w:val="000000" w:themeColor="text1"/>
          <w:sz w:val="24"/>
          <w:szCs w:val="24"/>
          <w:lang w:val="es-ES" w:eastAsia="es-ES"/>
        </w:rPr>
        <w:t xml:space="preserve"> a</w:t>
      </w:r>
      <w:r w:rsidR="000132DD" w:rsidRPr="00682149">
        <w:rPr>
          <w:rFonts w:ascii="Arial" w:eastAsiaTheme="minorEastAsia" w:hAnsi="Arial" w:cs="Arial"/>
          <w:color w:val="000000" w:themeColor="text1"/>
          <w:sz w:val="24"/>
          <w:szCs w:val="24"/>
          <w:lang w:val="es-ES" w:eastAsia="es-ES"/>
        </w:rPr>
        <w:t xml:space="preserve"> la prestación del servicio a través de </w:t>
      </w:r>
      <w:r w:rsidR="00542BD0" w:rsidRPr="00682149">
        <w:rPr>
          <w:rFonts w:ascii="Arial" w:eastAsiaTheme="minorEastAsia" w:hAnsi="Arial" w:cs="Arial"/>
          <w:color w:val="000000" w:themeColor="text1"/>
          <w:sz w:val="24"/>
          <w:szCs w:val="24"/>
          <w:lang w:val="es-ES" w:eastAsia="es-ES"/>
        </w:rPr>
        <w:t>la red de energía eléctrica.</w:t>
      </w:r>
      <w:r w:rsidR="00542BD0" w:rsidRPr="00682149">
        <w:rPr>
          <w:rStyle w:val="Refdenotaalpie"/>
          <w:rFonts w:ascii="Arial" w:eastAsiaTheme="minorEastAsia" w:hAnsi="Arial" w:cs="Arial"/>
          <w:color w:val="000000" w:themeColor="text1"/>
          <w:sz w:val="24"/>
          <w:szCs w:val="24"/>
          <w:lang w:val="es-ES" w:eastAsia="es-ES"/>
        </w:rPr>
        <w:footnoteReference w:id="45"/>
      </w:r>
      <w:r w:rsidR="00700D95" w:rsidRPr="00682149">
        <w:rPr>
          <w:rFonts w:ascii="Arial" w:eastAsiaTheme="minorEastAsia" w:hAnsi="Arial" w:cs="Arial"/>
          <w:color w:val="000000" w:themeColor="text1"/>
          <w:sz w:val="24"/>
          <w:szCs w:val="24"/>
          <w:lang w:val="es-ES" w:eastAsia="es-ES"/>
        </w:rPr>
        <w:t xml:space="preserve"> C</w:t>
      </w:r>
      <w:r w:rsidR="00542BD0" w:rsidRPr="00682149">
        <w:rPr>
          <w:rFonts w:ascii="Arial" w:eastAsiaTheme="minorEastAsia" w:hAnsi="Arial" w:cs="Arial"/>
          <w:color w:val="000000" w:themeColor="text1"/>
          <w:sz w:val="24"/>
          <w:szCs w:val="24"/>
          <w:lang w:val="es-ES" w:eastAsia="es-ES"/>
        </w:rPr>
        <w:t xml:space="preserve">on sujeción a dicha </w:t>
      </w:r>
      <w:r w:rsidR="000132DD" w:rsidRPr="00682149">
        <w:rPr>
          <w:rFonts w:ascii="Arial" w:eastAsiaTheme="minorEastAsia" w:hAnsi="Arial" w:cs="Arial"/>
          <w:color w:val="000000" w:themeColor="text1"/>
          <w:sz w:val="24"/>
          <w:szCs w:val="24"/>
          <w:lang w:val="es-ES" w:eastAsia="es-ES"/>
        </w:rPr>
        <w:t>norma</w:t>
      </w:r>
      <w:r w:rsidR="00817CC3" w:rsidRPr="00682149">
        <w:rPr>
          <w:rFonts w:ascii="Arial" w:eastAsiaTheme="minorEastAsia" w:hAnsi="Arial" w:cs="Arial"/>
          <w:color w:val="000000" w:themeColor="text1"/>
          <w:sz w:val="24"/>
          <w:szCs w:val="24"/>
          <w:lang w:val="es-ES" w:eastAsia="es-ES"/>
        </w:rPr>
        <w:t>,</w:t>
      </w:r>
      <w:r w:rsidR="000132DD" w:rsidRPr="00682149">
        <w:rPr>
          <w:rFonts w:ascii="Arial" w:eastAsiaTheme="minorEastAsia" w:hAnsi="Arial" w:cs="Arial"/>
          <w:color w:val="000000" w:themeColor="text1"/>
          <w:sz w:val="24"/>
          <w:szCs w:val="24"/>
          <w:lang w:val="es-ES" w:eastAsia="es-ES"/>
        </w:rPr>
        <w:t xml:space="preserve"> </w:t>
      </w:r>
      <w:r w:rsidR="00700D95" w:rsidRPr="00682149">
        <w:rPr>
          <w:rFonts w:ascii="Arial" w:eastAsiaTheme="minorEastAsia" w:hAnsi="Arial" w:cs="Arial"/>
          <w:color w:val="000000" w:themeColor="text1"/>
          <w:sz w:val="24"/>
          <w:szCs w:val="24"/>
          <w:lang w:val="es-ES" w:eastAsia="es-ES"/>
        </w:rPr>
        <w:t>le correspondía a</w:t>
      </w:r>
      <w:r w:rsidR="00542BD0" w:rsidRPr="00682149">
        <w:rPr>
          <w:rFonts w:ascii="Arial" w:eastAsiaTheme="minorEastAsia" w:hAnsi="Arial" w:cs="Arial"/>
          <w:color w:val="000000" w:themeColor="text1"/>
          <w:sz w:val="24"/>
          <w:szCs w:val="24"/>
          <w:lang w:val="es-ES" w:eastAsia="es-ES"/>
        </w:rPr>
        <w:t>l Ministerio de Minas y Energía exp</w:t>
      </w:r>
      <w:r w:rsidR="00700D95" w:rsidRPr="00682149">
        <w:rPr>
          <w:rFonts w:ascii="Arial" w:eastAsiaTheme="minorEastAsia" w:hAnsi="Arial" w:cs="Arial"/>
          <w:color w:val="000000" w:themeColor="text1"/>
          <w:sz w:val="24"/>
          <w:szCs w:val="24"/>
          <w:lang w:val="es-ES" w:eastAsia="es-ES"/>
        </w:rPr>
        <w:t xml:space="preserve">edir </w:t>
      </w:r>
      <w:r w:rsidR="00542BD0" w:rsidRPr="00682149">
        <w:rPr>
          <w:rFonts w:ascii="Arial" w:eastAsiaTheme="minorEastAsia" w:hAnsi="Arial" w:cs="Arial"/>
          <w:color w:val="000000" w:themeColor="text1"/>
          <w:sz w:val="24"/>
          <w:szCs w:val="24"/>
          <w:lang w:val="es-ES" w:eastAsia="es-ES"/>
        </w:rPr>
        <w:t xml:space="preserve">los lineamientos </w:t>
      </w:r>
      <w:r w:rsidR="00542BD0" w:rsidRPr="00976D77">
        <w:rPr>
          <w:rFonts w:ascii="Arial" w:eastAsiaTheme="minorEastAsia" w:hAnsi="Arial" w:cs="Arial"/>
          <w:color w:val="000000" w:themeColor="text1"/>
          <w:sz w:val="24"/>
          <w:szCs w:val="24"/>
          <w:lang w:val="es-ES" w:eastAsia="es-ES"/>
        </w:rPr>
        <w:t>en materia</w:t>
      </w:r>
      <w:r w:rsidR="00542BD0" w:rsidRPr="00682149">
        <w:rPr>
          <w:rFonts w:ascii="Arial" w:eastAsiaTheme="minorEastAsia" w:hAnsi="Arial" w:cs="Arial"/>
          <w:color w:val="000000" w:themeColor="text1"/>
          <w:sz w:val="24"/>
          <w:szCs w:val="24"/>
          <w:lang w:val="es-ES" w:eastAsia="es-ES"/>
        </w:rPr>
        <w:t xml:space="preserve"> de política energética </w:t>
      </w:r>
      <w:r w:rsidR="00976D77">
        <w:rPr>
          <w:rFonts w:ascii="Arial" w:eastAsiaTheme="minorEastAsia" w:hAnsi="Arial" w:cs="Arial"/>
          <w:color w:val="000000" w:themeColor="text1"/>
          <w:sz w:val="24"/>
          <w:szCs w:val="24"/>
          <w:lang w:val="es-ES" w:eastAsia="es-ES"/>
        </w:rPr>
        <w:t xml:space="preserve">en el sector </w:t>
      </w:r>
      <w:r w:rsidR="00542BD0" w:rsidRPr="00682149">
        <w:rPr>
          <w:rFonts w:ascii="Arial" w:eastAsiaTheme="minorEastAsia" w:hAnsi="Arial" w:cs="Arial"/>
          <w:color w:val="000000" w:themeColor="text1"/>
          <w:sz w:val="24"/>
          <w:szCs w:val="24"/>
          <w:lang w:val="es-ES" w:eastAsia="es-ES"/>
        </w:rPr>
        <w:t>de generación con FNCE en las Zonas No Interconectadas</w:t>
      </w:r>
    </w:p>
    <w:p w14:paraId="0D046C77" w14:textId="77777777" w:rsidR="000132DD" w:rsidRPr="00682149" w:rsidRDefault="000132DD" w:rsidP="001C138F">
      <w:pPr>
        <w:widowControl w:val="0"/>
        <w:autoSpaceDE w:val="0"/>
        <w:autoSpaceDN w:val="0"/>
        <w:adjustRightInd w:val="0"/>
        <w:spacing w:after="0" w:line="276" w:lineRule="auto"/>
        <w:jc w:val="both"/>
        <w:rPr>
          <w:rFonts w:ascii="Arial" w:eastAsiaTheme="minorEastAsia" w:hAnsi="Arial" w:cs="Arial"/>
          <w:color w:val="000000" w:themeColor="text1"/>
          <w:sz w:val="24"/>
          <w:szCs w:val="24"/>
          <w:lang w:val="es-ES" w:eastAsia="es-ES"/>
        </w:rPr>
      </w:pPr>
    </w:p>
    <w:p w14:paraId="34454969" w14:textId="1B0A396A" w:rsidR="00542BD0" w:rsidRPr="00682149" w:rsidRDefault="00C80419" w:rsidP="001C138F">
      <w:pPr>
        <w:widowControl w:val="0"/>
        <w:autoSpaceDE w:val="0"/>
        <w:autoSpaceDN w:val="0"/>
        <w:adjustRightInd w:val="0"/>
        <w:spacing w:after="0" w:line="276" w:lineRule="auto"/>
        <w:jc w:val="both"/>
        <w:rPr>
          <w:rFonts w:ascii="Arial" w:eastAsiaTheme="minorEastAsia" w:hAnsi="Arial" w:cs="Arial"/>
          <w:color w:val="000000" w:themeColor="text1"/>
          <w:sz w:val="24"/>
          <w:szCs w:val="24"/>
          <w:lang w:val="es-ES" w:eastAsia="es-ES"/>
        </w:rPr>
      </w:pPr>
      <w:r w:rsidRPr="00682149">
        <w:rPr>
          <w:rFonts w:ascii="Arial" w:eastAsia="Times New Roman" w:hAnsi="Arial" w:cs="Arial"/>
          <w:color w:val="000000" w:themeColor="text1"/>
          <w:sz w:val="24"/>
          <w:szCs w:val="24"/>
          <w:lang w:val="es-CO" w:eastAsia="es-ES_tradnl"/>
        </w:rPr>
        <w:t xml:space="preserve">Por su parte, </w:t>
      </w:r>
      <w:r w:rsidR="00542BD0" w:rsidRPr="00682149">
        <w:rPr>
          <w:rFonts w:ascii="Arial" w:eastAsia="Times New Roman" w:hAnsi="Arial" w:cs="Arial"/>
          <w:color w:val="000000" w:themeColor="text1"/>
          <w:sz w:val="24"/>
          <w:szCs w:val="24"/>
          <w:lang w:val="es-CO" w:eastAsia="es-ES_tradnl"/>
        </w:rPr>
        <w:t>el artículo 287 de la Ley 1955</w:t>
      </w:r>
      <w:r w:rsidR="000132DD" w:rsidRPr="00682149">
        <w:rPr>
          <w:rFonts w:ascii="Arial" w:eastAsia="Times New Roman" w:hAnsi="Arial" w:cs="Arial"/>
          <w:color w:val="000000" w:themeColor="text1"/>
          <w:sz w:val="24"/>
          <w:szCs w:val="24"/>
          <w:lang w:val="es-CO" w:eastAsia="es-ES_tradnl"/>
        </w:rPr>
        <w:t xml:space="preserve"> de mayo de 2019, </w:t>
      </w:r>
      <w:r w:rsidR="00542BD0" w:rsidRPr="00682149">
        <w:rPr>
          <w:rFonts w:ascii="Arial" w:eastAsia="Times New Roman" w:hAnsi="Arial" w:cs="Arial"/>
          <w:bCs/>
          <w:color w:val="000000" w:themeColor="text1"/>
          <w:sz w:val="24"/>
          <w:szCs w:val="24"/>
          <w:lang w:val="es-CO" w:eastAsia="es-ES_tradnl"/>
        </w:rPr>
        <w:t xml:space="preserve">le imprimió el carácter de servicio público domiciliario al </w:t>
      </w:r>
      <w:r w:rsidR="00542BD0" w:rsidRPr="00682149">
        <w:rPr>
          <w:rFonts w:ascii="Arial" w:eastAsiaTheme="minorEastAsia" w:hAnsi="Arial" w:cs="Arial"/>
          <w:bCs/>
          <w:color w:val="000000" w:themeColor="text1"/>
          <w:sz w:val="24"/>
          <w:szCs w:val="24"/>
          <w:lang w:val="es-ES" w:eastAsia="es-ES"/>
        </w:rPr>
        <w:t>suministro de e</w:t>
      </w:r>
      <w:r w:rsidR="00B078B8" w:rsidRPr="00682149">
        <w:rPr>
          <w:rFonts w:ascii="Arial" w:eastAsiaTheme="minorEastAsia" w:hAnsi="Arial" w:cs="Arial"/>
          <w:bCs/>
          <w:color w:val="000000" w:themeColor="text1"/>
          <w:sz w:val="24"/>
          <w:szCs w:val="24"/>
          <w:lang w:val="es-ES" w:eastAsia="es-ES"/>
        </w:rPr>
        <w:t xml:space="preserve">nergía eléctrica </w:t>
      </w:r>
      <w:r w:rsidR="00542BD0" w:rsidRPr="00682149">
        <w:rPr>
          <w:rFonts w:ascii="Arial" w:eastAsiaTheme="minorEastAsia" w:hAnsi="Arial" w:cs="Arial"/>
          <w:bCs/>
          <w:color w:val="000000" w:themeColor="text1"/>
          <w:sz w:val="24"/>
          <w:szCs w:val="24"/>
          <w:lang w:val="es-ES" w:eastAsia="es-ES"/>
        </w:rPr>
        <w:t>mediante soluciones individuales de generación en zonas no interconectadas ZNI.</w:t>
      </w:r>
      <w:r w:rsidR="00542BD0" w:rsidRPr="00682149">
        <w:rPr>
          <w:rStyle w:val="Refdenotaalpie"/>
          <w:rFonts w:ascii="Arial" w:eastAsiaTheme="minorEastAsia" w:hAnsi="Arial" w:cs="Arial"/>
          <w:bCs/>
          <w:color w:val="000000" w:themeColor="text1"/>
          <w:sz w:val="24"/>
          <w:szCs w:val="24"/>
          <w:lang w:val="es-ES" w:eastAsia="es-ES"/>
        </w:rPr>
        <w:footnoteReference w:id="46"/>
      </w:r>
      <w:r w:rsidR="00700D95" w:rsidRPr="00682149">
        <w:rPr>
          <w:rFonts w:ascii="Arial" w:eastAsiaTheme="minorEastAsia" w:hAnsi="Arial" w:cs="Arial"/>
          <w:bCs/>
          <w:color w:val="000000" w:themeColor="text1"/>
          <w:sz w:val="24"/>
          <w:szCs w:val="24"/>
          <w:lang w:val="es-ES" w:eastAsia="es-ES"/>
        </w:rPr>
        <w:t xml:space="preserve">  Hasta </w:t>
      </w:r>
      <w:r w:rsidR="00700D95" w:rsidRPr="00682149">
        <w:rPr>
          <w:rFonts w:ascii="Arial" w:eastAsiaTheme="minorEastAsia" w:hAnsi="Arial" w:cs="Arial"/>
          <w:bCs/>
          <w:color w:val="000000" w:themeColor="text1"/>
          <w:sz w:val="24"/>
          <w:szCs w:val="24"/>
          <w:lang w:val="es-ES" w:eastAsia="es-ES"/>
        </w:rPr>
        <w:lastRenderedPageBreak/>
        <w:t>entonces, este tipo de prestació</w:t>
      </w:r>
      <w:r w:rsidR="00700D95" w:rsidRPr="00682149">
        <w:rPr>
          <w:rFonts w:ascii="Arial" w:eastAsiaTheme="minorEastAsia" w:hAnsi="Arial" w:cs="Arial"/>
          <w:color w:val="000000" w:themeColor="text1"/>
          <w:sz w:val="24"/>
          <w:szCs w:val="24"/>
          <w:lang w:val="es-ES" w:eastAsia="es-ES"/>
        </w:rPr>
        <w:t>n de servicio</w:t>
      </w:r>
      <w:r w:rsidR="0074728E" w:rsidRPr="00682149">
        <w:rPr>
          <w:rFonts w:ascii="Arial" w:eastAsiaTheme="minorEastAsia" w:hAnsi="Arial" w:cs="Arial"/>
          <w:color w:val="000000" w:themeColor="text1"/>
          <w:sz w:val="24"/>
          <w:szCs w:val="24"/>
          <w:lang w:val="es-ES" w:eastAsia="es-ES"/>
        </w:rPr>
        <w:t xml:space="preserve"> solo</w:t>
      </w:r>
      <w:r w:rsidR="00700D95" w:rsidRPr="00682149">
        <w:rPr>
          <w:rFonts w:ascii="Arial" w:eastAsiaTheme="minorEastAsia" w:hAnsi="Arial" w:cs="Arial"/>
          <w:color w:val="000000" w:themeColor="text1"/>
          <w:sz w:val="24"/>
          <w:szCs w:val="24"/>
          <w:lang w:val="es-ES" w:eastAsia="es-ES"/>
        </w:rPr>
        <w:t xml:space="preserve"> contenía una definición y regulación tangencial en la Ley 1715 de 2014, </w:t>
      </w:r>
      <w:r w:rsidRPr="00682149">
        <w:rPr>
          <w:rFonts w:ascii="Arial" w:eastAsiaTheme="minorEastAsia" w:hAnsi="Arial" w:cs="Arial"/>
          <w:color w:val="000000" w:themeColor="text1"/>
          <w:sz w:val="24"/>
          <w:szCs w:val="24"/>
          <w:lang w:val="es-ES" w:eastAsia="es-ES"/>
        </w:rPr>
        <w:t xml:space="preserve">pero no reguló </w:t>
      </w:r>
      <w:r w:rsidR="00E456D0" w:rsidRPr="00682149">
        <w:rPr>
          <w:rFonts w:ascii="Arial" w:eastAsiaTheme="minorEastAsia" w:hAnsi="Arial" w:cs="Arial"/>
          <w:color w:val="000000" w:themeColor="text1"/>
          <w:sz w:val="24"/>
          <w:szCs w:val="24"/>
          <w:lang w:val="es-ES" w:eastAsia="es-ES"/>
        </w:rPr>
        <w:t xml:space="preserve">la solución </w:t>
      </w:r>
      <w:r w:rsidRPr="00682149">
        <w:rPr>
          <w:rFonts w:ascii="Arial" w:eastAsiaTheme="minorEastAsia" w:hAnsi="Arial" w:cs="Arial"/>
          <w:color w:val="000000" w:themeColor="text1"/>
          <w:sz w:val="24"/>
          <w:szCs w:val="24"/>
          <w:lang w:val="es-ES" w:eastAsia="es-ES"/>
        </w:rPr>
        <w:t>de energía</w:t>
      </w:r>
      <w:r w:rsidR="00700D95" w:rsidRPr="00682149">
        <w:rPr>
          <w:rFonts w:ascii="Arial" w:eastAsiaTheme="minorEastAsia" w:hAnsi="Arial" w:cs="Arial"/>
          <w:color w:val="000000" w:themeColor="text1"/>
          <w:sz w:val="24"/>
          <w:szCs w:val="24"/>
          <w:lang w:val="es-ES" w:eastAsia="es-ES"/>
        </w:rPr>
        <w:t xml:space="preserve"> mediante sistemas solares fotovoltaico</w:t>
      </w:r>
      <w:r w:rsidRPr="00682149">
        <w:rPr>
          <w:rFonts w:ascii="Arial" w:eastAsiaTheme="minorEastAsia" w:hAnsi="Arial" w:cs="Arial"/>
          <w:color w:val="000000" w:themeColor="text1"/>
          <w:sz w:val="24"/>
          <w:szCs w:val="24"/>
          <w:lang w:val="es-ES" w:eastAsia="es-ES"/>
        </w:rPr>
        <w:t>s</w:t>
      </w:r>
      <w:r w:rsidR="00700D95" w:rsidRPr="00682149">
        <w:rPr>
          <w:rFonts w:ascii="Arial" w:eastAsiaTheme="minorEastAsia" w:hAnsi="Arial" w:cs="Arial"/>
          <w:color w:val="000000" w:themeColor="text1"/>
          <w:sz w:val="24"/>
          <w:szCs w:val="24"/>
          <w:lang w:val="es-ES" w:eastAsia="es-ES"/>
        </w:rPr>
        <w:t xml:space="preserve"> individuales</w:t>
      </w:r>
      <w:r w:rsidRPr="00682149">
        <w:rPr>
          <w:rFonts w:ascii="Arial" w:eastAsiaTheme="minorEastAsia" w:hAnsi="Arial" w:cs="Arial"/>
          <w:color w:val="000000" w:themeColor="text1"/>
          <w:sz w:val="24"/>
          <w:szCs w:val="24"/>
          <w:lang w:val="es-ES" w:eastAsia="es-ES"/>
        </w:rPr>
        <w:t xml:space="preserve">. </w:t>
      </w:r>
    </w:p>
    <w:p w14:paraId="611E0E3E" w14:textId="77777777" w:rsidR="00542BD0" w:rsidRPr="00682149" w:rsidRDefault="00542BD0" w:rsidP="001C138F">
      <w:pPr>
        <w:pBdr>
          <w:top w:val="nil"/>
          <w:left w:val="nil"/>
          <w:bottom w:val="nil"/>
          <w:right w:val="nil"/>
          <w:between w:val="nil"/>
        </w:pBdr>
        <w:spacing w:after="0" w:line="276" w:lineRule="auto"/>
        <w:jc w:val="both"/>
        <w:rPr>
          <w:rFonts w:ascii="Arial" w:eastAsia="Times New Roman" w:hAnsi="Arial" w:cs="Arial"/>
          <w:color w:val="000000" w:themeColor="text1"/>
          <w:sz w:val="24"/>
          <w:szCs w:val="24"/>
          <w:lang w:val="es-CO" w:eastAsia="es-ES_tradnl"/>
        </w:rPr>
      </w:pPr>
    </w:p>
    <w:p w14:paraId="498178D1" w14:textId="457DADD7" w:rsidR="0074728E" w:rsidRPr="00682149" w:rsidRDefault="00C80419" w:rsidP="001C138F">
      <w:pPr>
        <w:widowControl w:val="0"/>
        <w:autoSpaceDE w:val="0"/>
        <w:autoSpaceDN w:val="0"/>
        <w:adjustRightInd w:val="0"/>
        <w:spacing w:after="0" w:line="276" w:lineRule="auto"/>
        <w:jc w:val="both"/>
        <w:rPr>
          <w:rFonts w:ascii="Arial" w:hAnsi="Arial" w:cs="Arial"/>
          <w:color w:val="000000" w:themeColor="text1"/>
          <w:sz w:val="24"/>
          <w:szCs w:val="24"/>
        </w:rPr>
      </w:pPr>
      <w:r w:rsidRPr="00682149">
        <w:rPr>
          <w:rFonts w:ascii="Arial" w:hAnsi="Arial" w:cs="Arial"/>
          <w:color w:val="000000" w:themeColor="text1"/>
          <w:sz w:val="24"/>
          <w:szCs w:val="24"/>
        </w:rPr>
        <w:t xml:space="preserve">No </w:t>
      </w:r>
      <w:r w:rsidR="00817CC3" w:rsidRPr="00682149">
        <w:rPr>
          <w:rFonts w:ascii="Arial" w:hAnsi="Arial" w:cs="Arial"/>
          <w:color w:val="000000" w:themeColor="text1"/>
          <w:sz w:val="24"/>
          <w:szCs w:val="24"/>
        </w:rPr>
        <w:t xml:space="preserve">obstante </w:t>
      </w:r>
      <w:r w:rsidRPr="00682149">
        <w:rPr>
          <w:rFonts w:ascii="Arial" w:hAnsi="Arial" w:cs="Arial"/>
          <w:color w:val="000000" w:themeColor="text1"/>
          <w:sz w:val="24"/>
          <w:szCs w:val="24"/>
        </w:rPr>
        <w:t xml:space="preserve">lo anterior, no se pasa por alto que </w:t>
      </w:r>
      <w:r w:rsidR="00A549CE" w:rsidRPr="00682149">
        <w:rPr>
          <w:rFonts w:ascii="Arial" w:hAnsi="Arial" w:cs="Arial"/>
          <w:color w:val="000000" w:themeColor="text1"/>
          <w:sz w:val="24"/>
          <w:szCs w:val="24"/>
        </w:rPr>
        <w:t xml:space="preserve">a través de </w:t>
      </w:r>
      <w:r w:rsidR="00E60DE1" w:rsidRPr="00682149">
        <w:rPr>
          <w:rFonts w:ascii="Arial" w:hAnsi="Arial" w:cs="Arial"/>
          <w:color w:val="000000" w:themeColor="text1"/>
          <w:sz w:val="24"/>
          <w:szCs w:val="24"/>
        </w:rPr>
        <w:t xml:space="preserve">la </w:t>
      </w:r>
      <w:r w:rsidR="00542BD0" w:rsidRPr="00682149">
        <w:rPr>
          <w:rFonts w:ascii="Arial" w:hAnsi="Arial" w:cs="Arial"/>
          <w:color w:val="000000" w:themeColor="text1"/>
          <w:sz w:val="24"/>
          <w:szCs w:val="24"/>
        </w:rPr>
        <w:t>Resolución 091 de 2007</w:t>
      </w:r>
      <w:r w:rsidR="00817CC3" w:rsidRPr="00682149">
        <w:rPr>
          <w:rFonts w:ascii="Arial" w:hAnsi="Arial" w:cs="Arial"/>
          <w:color w:val="000000" w:themeColor="text1"/>
          <w:sz w:val="24"/>
          <w:szCs w:val="24"/>
        </w:rPr>
        <w:t>,</w:t>
      </w:r>
      <w:r w:rsidR="00542BD0" w:rsidRPr="00682149">
        <w:rPr>
          <w:rFonts w:ascii="Arial" w:hAnsi="Arial" w:cs="Arial"/>
          <w:color w:val="000000" w:themeColor="text1"/>
          <w:sz w:val="24"/>
          <w:szCs w:val="24"/>
        </w:rPr>
        <w:t xml:space="preserve"> la Comisión de Regulación estableci</w:t>
      </w:r>
      <w:r w:rsidRPr="00682149">
        <w:rPr>
          <w:rFonts w:ascii="Arial" w:hAnsi="Arial" w:cs="Arial"/>
          <w:color w:val="000000" w:themeColor="text1"/>
          <w:sz w:val="24"/>
          <w:szCs w:val="24"/>
        </w:rPr>
        <w:t xml:space="preserve">ó la </w:t>
      </w:r>
      <w:r w:rsidR="00E60DE1" w:rsidRPr="00682149">
        <w:rPr>
          <w:rFonts w:ascii="Arial" w:hAnsi="Arial" w:cs="Arial"/>
          <w:color w:val="000000" w:themeColor="text1"/>
          <w:sz w:val="24"/>
          <w:szCs w:val="24"/>
        </w:rPr>
        <w:t>metodología general</w:t>
      </w:r>
      <w:r w:rsidR="00542BD0" w:rsidRPr="00682149">
        <w:rPr>
          <w:rFonts w:ascii="Arial" w:hAnsi="Arial" w:cs="Arial"/>
          <w:color w:val="000000" w:themeColor="text1"/>
          <w:sz w:val="24"/>
          <w:szCs w:val="24"/>
        </w:rPr>
        <w:t xml:space="preserve"> para remunerar las actividades de generación, distribución y comercia</w:t>
      </w:r>
      <w:r w:rsidR="00381769" w:rsidRPr="00682149">
        <w:rPr>
          <w:rFonts w:ascii="Arial" w:hAnsi="Arial" w:cs="Arial"/>
          <w:color w:val="000000" w:themeColor="text1"/>
          <w:sz w:val="24"/>
          <w:szCs w:val="24"/>
        </w:rPr>
        <w:t>lización de energía eléctrica, así como</w:t>
      </w:r>
      <w:r w:rsidR="00542BD0" w:rsidRPr="00682149">
        <w:rPr>
          <w:rFonts w:ascii="Arial" w:hAnsi="Arial" w:cs="Arial"/>
          <w:color w:val="000000" w:themeColor="text1"/>
          <w:sz w:val="24"/>
          <w:szCs w:val="24"/>
        </w:rPr>
        <w:t xml:space="preserve"> las fórmulas generales para establecer el costo unitario </w:t>
      </w:r>
      <w:r w:rsidR="00A549CE" w:rsidRPr="00682149">
        <w:rPr>
          <w:rFonts w:ascii="Arial" w:hAnsi="Arial" w:cs="Arial"/>
          <w:color w:val="000000" w:themeColor="text1"/>
          <w:sz w:val="24"/>
          <w:szCs w:val="24"/>
        </w:rPr>
        <w:t xml:space="preserve">por la </w:t>
      </w:r>
      <w:r w:rsidR="00542BD0" w:rsidRPr="00682149">
        <w:rPr>
          <w:rFonts w:ascii="Arial" w:hAnsi="Arial" w:cs="Arial"/>
          <w:color w:val="000000" w:themeColor="text1"/>
          <w:sz w:val="24"/>
          <w:szCs w:val="24"/>
        </w:rPr>
        <w:t>prestación del servicio público de energía eléctrica en Zonas No Inter</w:t>
      </w:r>
      <w:r w:rsidR="00381769" w:rsidRPr="00682149">
        <w:rPr>
          <w:rFonts w:ascii="Arial" w:hAnsi="Arial" w:cs="Arial"/>
          <w:color w:val="000000" w:themeColor="text1"/>
          <w:sz w:val="24"/>
          <w:szCs w:val="24"/>
        </w:rPr>
        <w:t>conectadas</w:t>
      </w:r>
      <w:r w:rsidR="00A549CE" w:rsidRPr="00682149">
        <w:rPr>
          <w:rFonts w:ascii="Arial" w:hAnsi="Arial" w:cs="Arial"/>
          <w:color w:val="000000" w:themeColor="text1"/>
          <w:sz w:val="24"/>
          <w:szCs w:val="24"/>
        </w:rPr>
        <w:t xml:space="preserve">. </w:t>
      </w:r>
    </w:p>
    <w:p w14:paraId="5B1F3BA9" w14:textId="77777777" w:rsidR="0074728E" w:rsidRPr="00682149" w:rsidRDefault="0074728E" w:rsidP="001C138F">
      <w:pPr>
        <w:widowControl w:val="0"/>
        <w:autoSpaceDE w:val="0"/>
        <w:autoSpaceDN w:val="0"/>
        <w:adjustRightInd w:val="0"/>
        <w:spacing w:after="0" w:line="276" w:lineRule="auto"/>
        <w:jc w:val="both"/>
        <w:rPr>
          <w:rFonts w:ascii="Arial" w:hAnsi="Arial" w:cs="Arial"/>
          <w:color w:val="000000" w:themeColor="text1"/>
          <w:sz w:val="24"/>
          <w:szCs w:val="24"/>
        </w:rPr>
      </w:pPr>
    </w:p>
    <w:p w14:paraId="1B477044" w14:textId="5232427D" w:rsidR="00542BD0" w:rsidRPr="00682149" w:rsidRDefault="00A549CE" w:rsidP="001C138F">
      <w:pPr>
        <w:widowControl w:val="0"/>
        <w:autoSpaceDE w:val="0"/>
        <w:autoSpaceDN w:val="0"/>
        <w:adjustRightInd w:val="0"/>
        <w:spacing w:after="0" w:line="276" w:lineRule="auto"/>
        <w:jc w:val="both"/>
        <w:rPr>
          <w:rFonts w:ascii="Arial" w:eastAsiaTheme="minorEastAsia" w:hAnsi="Arial" w:cs="Arial"/>
          <w:color w:val="000000" w:themeColor="text1"/>
          <w:sz w:val="24"/>
          <w:szCs w:val="24"/>
          <w:lang w:val="es-ES" w:eastAsia="es-ES"/>
        </w:rPr>
      </w:pPr>
      <w:r w:rsidRPr="00682149">
        <w:rPr>
          <w:rFonts w:ascii="Arial" w:hAnsi="Arial" w:cs="Arial"/>
          <w:color w:val="000000" w:themeColor="text1"/>
          <w:sz w:val="24"/>
          <w:szCs w:val="24"/>
        </w:rPr>
        <w:t>S</w:t>
      </w:r>
      <w:r w:rsidR="00381769" w:rsidRPr="00682149">
        <w:rPr>
          <w:rFonts w:ascii="Arial" w:hAnsi="Arial" w:cs="Arial"/>
          <w:color w:val="000000" w:themeColor="text1"/>
          <w:sz w:val="24"/>
          <w:szCs w:val="24"/>
        </w:rPr>
        <w:t xml:space="preserve">in embargo, </w:t>
      </w:r>
      <w:r w:rsidR="00542BD0" w:rsidRPr="00682149">
        <w:rPr>
          <w:rFonts w:ascii="Arial" w:hAnsi="Arial" w:cs="Arial"/>
          <w:color w:val="000000" w:themeColor="text1"/>
          <w:sz w:val="24"/>
          <w:szCs w:val="24"/>
        </w:rPr>
        <w:t>dicha resolución no se ocupó específicamente de l</w:t>
      </w:r>
      <w:r w:rsidR="000132DD" w:rsidRPr="00682149">
        <w:rPr>
          <w:rFonts w:ascii="Arial" w:hAnsi="Arial" w:cs="Arial"/>
          <w:color w:val="000000" w:themeColor="text1"/>
          <w:sz w:val="24"/>
          <w:szCs w:val="24"/>
        </w:rPr>
        <w:t xml:space="preserve">a implementación de las </w:t>
      </w:r>
      <w:r w:rsidR="000F4F98" w:rsidRPr="00682149">
        <w:rPr>
          <w:rFonts w:ascii="Arial" w:hAnsi="Arial" w:cs="Arial"/>
          <w:color w:val="000000" w:themeColor="text1"/>
          <w:sz w:val="24"/>
          <w:szCs w:val="24"/>
        </w:rPr>
        <w:t>fórmulas</w:t>
      </w:r>
      <w:r w:rsidR="00542BD0" w:rsidRPr="00682149">
        <w:rPr>
          <w:rFonts w:ascii="Arial" w:hAnsi="Arial" w:cs="Arial"/>
          <w:color w:val="000000" w:themeColor="text1"/>
          <w:sz w:val="24"/>
          <w:szCs w:val="24"/>
        </w:rPr>
        <w:t xml:space="preserve"> en materia de energía</w:t>
      </w:r>
      <w:r w:rsidR="004D28AE" w:rsidRPr="00682149">
        <w:rPr>
          <w:rFonts w:ascii="Arial" w:hAnsi="Arial" w:cs="Arial"/>
          <w:color w:val="000000" w:themeColor="text1"/>
          <w:sz w:val="24"/>
          <w:szCs w:val="24"/>
        </w:rPr>
        <w:t>s</w:t>
      </w:r>
      <w:r w:rsidR="00542BD0" w:rsidRPr="00682149">
        <w:rPr>
          <w:rFonts w:ascii="Arial" w:hAnsi="Arial" w:cs="Arial"/>
          <w:color w:val="000000" w:themeColor="text1"/>
          <w:sz w:val="24"/>
          <w:szCs w:val="24"/>
        </w:rPr>
        <w:t xml:space="preserve"> renovables o so</w:t>
      </w:r>
      <w:r w:rsidR="00542BD0" w:rsidRPr="00682149">
        <w:rPr>
          <w:rFonts w:ascii="Arial" w:eastAsiaTheme="minorEastAsia" w:hAnsi="Arial" w:cs="Arial"/>
          <w:color w:val="000000" w:themeColor="text1"/>
          <w:sz w:val="24"/>
          <w:szCs w:val="24"/>
          <w:lang w:val="es-ES" w:eastAsia="es-ES"/>
        </w:rPr>
        <w:t xml:space="preserve">luciones individuales </w:t>
      </w:r>
      <w:r w:rsidR="00381769" w:rsidRPr="00682149">
        <w:rPr>
          <w:rFonts w:ascii="Arial" w:eastAsiaTheme="minorEastAsia" w:hAnsi="Arial" w:cs="Arial"/>
          <w:color w:val="000000" w:themeColor="text1"/>
          <w:sz w:val="24"/>
          <w:szCs w:val="24"/>
          <w:lang w:val="es-ES" w:eastAsia="es-ES"/>
        </w:rPr>
        <w:t xml:space="preserve">fotovoltaicas </w:t>
      </w:r>
      <w:r w:rsidR="00542BD0" w:rsidRPr="00682149">
        <w:rPr>
          <w:rFonts w:ascii="Arial" w:eastAsiaTheme="minorEastAsia" w:hAnsi="Arial" w:cs="Arial"/>
          <w:color w:val="000000" w:themeColor="text1"/>
          <w:sz w:val="24"/>
          <w:szCs w:val="24"/>
          <w:lang w:val="es-ES" w:eastAsia="es-ES"/>
        </w:rPr>
        <w:t>de generación en zonas no intercone</w:t>
      </w:r>
      <w:r w:rsidR="00E456D0" w:rsidRPr="00682149">
        <w:rPr>
          <w:rFonts w:ascii="Arial" w:eastAsiaTheme="minorEastAsia" w:hAnsi="Arial" w:cs="Arial"/>
          <w:color w:val="000000" w:themeColor="text1"/>
          <w:sz w:val="24"/>
          <w:szCs w:val="24"/>
          <w:lang w:val="es-ES" w:eastAsia="es-ES"/>
        </w:rPr>
        <w:t>ctadas</w:t>
      </w:r>
      <w:r w:rsidR="00B40A45" w:rsidRPr="00682149">
        <w:rPr>
          <w:rFonts w:ascii="Arial" w:eastAsiaTheme="minorEastAsia" w:hAnsi="Arial" w:cs="Arial"/>
          <w:color w:val="000000" w:themeColor="text1"/>
          <w:sz w:val="24"/>
          <w:szCs w:val="24"/>
          <w:lang w:val="es-ES" w:eastAsia="es-ES"/>
        </w:rPr>
        <w:t xml:space="preserve"> con potencia superior a 0,5 KW o 500 W</w:t>
      </w:r>
      <w:r w:rsidR="000132DD" w:rsidRPr="00682149">
        <w:rPr>
          <w:rFonts w:ascii="Arial" w:eastAsiaTheme="minorEastAsia" w:hAnsi="Arial" w:cs="Arial"/>
          <w:color w:val="000000" w:themeColor="text1"/>
          <w:sz w:val="24"/>
          <w:szCs w:val="24"/>
          <w:lang w:val="es-ES" w:eastAsia="es-ES"/>
        </w:rPr>
        <w:t>, definidas transitoriamente en la Resolución 166</w:t>
      </w:r>
      <w:r w:rsidR="00E456D0" w:rsidRPr="00682149">
        <w:rPr>
          <w:rFonts w:ascii="Arial" w:eastAsiaTheme="minorEastAsia" w:hAnsi="Arial" w:cs="Arial"/>
          <w:color w:val="000000" w:themeColor="text1"/>
          <w:sz w:val="24"/>
          <w:szCs w:val="24"/>
          <w:lang w:val="es-ES" w:eastAsia="es-ES"/>
        </w:rPr>
        <w:t>/20, luego de que la</w:t>
      </w:r>
      <w:r w:rsidR="0068754E">
        <w:rPr>
          <w:rFonts w:ascii="Arial" w:eastAsiaTheme="minorEastAsia" w:hAnsi="Arial" w:cs="Arial"/>
          <w:color w:val="000000" w:themeColor="text1"/>
          <w:sz w:val="24"/>
          <w:szCs w:val="24"/>
          <w:lang w:val="es-ES" w:eastAsia="es-ES"/>
        </w:rPr>
        <w:t>s</w:t>
      </w:r>
      <w:r w:rsidR="00E456D0" w:rsidRPr="00682149">
        <w:rPr>
          <w:rFonts w:ascii="Arial" w:eastAsiaTheme="minorEastAsia" w:hAnsi="Arial" w:cs="Arial"/>
          <w:color w:val="000000" w:themeColor="text1"/>
          <w:sz w:val="24"/>
          <w:szCs w:val="24"/>
          <w:lang w:val="es-ES" w:eastAsia="es-ES"/>
        </w:rPr>
        <w:t xml:space="preserve"> Ley</w:t>
      </w:r>
      <w:r w:rsidR="0068754E">
        <w:rPr>
          <w:rFonts w:ascii="Arial" w:eastAsiaTheme="minorEastAsia" w:hAnsi="Arial" w:cs="Arial"/>
          <w:color w:val="000000" w:themeColor="text1"/>
          <w:sz w:val="24"/>
          <w:szCs w:val="24"/>
          <w:lang w:val="es-ES" w:eastAsia="es-ES"/>
        </w:rPr>
        <w:t>es</w:t>
      </w:r>
      <w:r w:rsidR="00E456D0" w:rsidRPr="00682149">
        <w:rPr>
          <w:rFonts w:ascii="Arial" w:eastAsiaTheme="minorEastAsia" w:hAnsi="Arial" w:cs="Arial"/>
          <w:color w:val="000000" w:themeColor="text1"/>
          <w:sz w:val="24"/>
          <w:szCs w:val="24"/>
          <w:lang w:val="es-ES" w:eastAsia="es-ES"/>
        </w:rPr>
        <w:t xml:space="preserve"> 1715 de 2014 y 1955 de 2019, incorporara</w:t>
      </w:r>
      <w:r w:rsidR="0068754E">
        <w:rPr>
          <w:rFonts w:ascii="Arial" w:eastAsiaTheme="minorEastAsia" w:hAnsi="Arial" w:cs="Arial"/>
          <w:color w:val="000000" w:themeColor="text1"/>
          <w:sz w:val="24"/>
          <w:szCs w:val="24"/>
          <w:lang w:val="es-ES" w:eastAsia="es-ES"/>
        </w:rPr>
        <w:t>n</w:t>
      </w:r>
      <w:r w:rsidR="00E456D0" w:rsidRPr="00682149">
        <w:rPr>
          <w:rFonts w:ascii="Arial" w:eastAsiaTheme="minorEastAsia" w:hAnsi="Arial" w:cs="Arial"/>
          <w:color w:val="000000" w:themeColor="text1"/>
          <w:sz w:val="24"/>
          <w:szCs w:val="24"/>
          <w:lang w:val="es-ES" w:eastAsia="es-ES"/>
        </w:rPr>
        <w:t xml:space="preserve"> </w:t>
      </w:r>
      <w:r w:rsidR="00B40A45" w:rsidRPr="00682149">
        <w:rPr>
          <w:rFonts w:ascii="Arial" w:eastAsiaTheme="minorEastAsia" w:hAnsi="Arial" w:cs="Arial"/>
          <w:color w:val="000000" w:themeColor="text1"/>
          <w:sz w:val="24"/>
          <w:szCs w:val="24"/>
          <w:lang w:val="es-ES" w:eastAsia="es-ES"/>
        </w:rPr>
        <w:t>este tip</w:t>
      </w:r>
      <w:r w:rsidR="0074728E" w:rsidRPr="00682149">
        <w:rPr>
          <w:rFonts w:ascii="Arial" w:eastAsiaTheme="minorEastAsia" w:hAnsi="Arial" w:cs="Arial"/>
          <w:color w:val="000000" w:themeColor="text1"/>
          <w:sz w:val="24"/>
          <w:szCs w:val="24"/>
          <w:lang w:val="es-ES" w:eastAsia="es-ES"/>
        </w:rPr>
        <w:t xml:space="preserve">o de soluciones </w:t>
      </w:r>
      <w:r w:rsidR="00E60DE1" w:rsidRPr="00682149">
        <w:rPr>
          <w:rFonts w:ascii="Arial" w:eastAsiaTheme="minorEastAsia" w:hAnsi="Arial" w:cs="Arial"/>
          <w:color w:val="000000" w:themeColor="text1"/>
          <w:sz w:val="24"/>
          <w:szCs w:val="24"/>
          <w:lang w:val="es-ES" w:eastAsia="es-ES"/>
        </w:rPr>
        <w:t>al sistema energético nacional</w:t>
      </w:r>
      <w:r w:rsidR="003A0123" w:rsidRPr="00682149">
        <w:rPr>
          <w:rFonts w:ascii="Arial" w:eastAsiaTheme="minorEastAsia" w:hAnsi="Arial" w:cs="Arial"/>
          <w:color w:val="000000" w:themeColor="text1"/>
          <w:sz w:val="24"/>
          <w:szCs w:val="24"/>
          <w:lang w:val="es-ES" w:eastAsia="es-ES"/>
        </w:rPr>
        <w:t xml:space="preserve"> y</w:t>
      </w:r>
      <w:r w:rsidRPr="00682149">
        <w:rPr>
          <w:rFonts w:ascii="Arial" w:eastAsiaTheme="minorEastAsia" w:hAnsi="Arial" w:cs="Arial"/>
          <w:color w:val="000000" w:themeColor="text1"/>
          <w:sz w:val="24"/>
          <w:szCs w:val="24"/>
          <w:lang w:val="es-ES" w:eastAsia="es-ES"/>
        </w:rPr>
        <w:t xml:space="preserve"> </w:t>
      </w:r>
      <w:r w:rsidR="00E60DE1" w:rsidRPr="00682149">
        <w:rPr>
          <w:rFonts w:ascii="Arial" w:eastAsiaTheme="minorEastAsia" w:hAnsi="Arial" w:cs="Arial"/>
          <w:color w:val="000000" w:themeColor="text1"/>
          <w:sz w:val="24"/>
          <w:szCs w:val="24"/>
          <w:lang w:val="es-ES" w:eastAsia="es-ES"/>
        </w:rPr>
        <w:t>le</w:t>
      </w:r>
      <w:r w:rsidR="00B40A45" w:rsidRPr="00682149">
        <w:rPr>
          <w:rFonts w:ascii="Arial" w:eastAsiaTheme="minorEastAsia" w:hAnsi="Arial" w:cs="Arial"/>
          <w:color w:val="000000" w:themeColor="text1"/>
          <w:sz w:val="24"/>
          <w:szCs w:val="24"/>
          <w:lang w:val="es-ES" w:eastAsia="es-ES"/>
        </w:rPr>
        <w:t>s</w:t>
      </w:r>
      <w:r w:rsidR="00E60DE1" w:rsidRPr="00682149">
        <w:rPr>
          <w:rFonts w:ascii="Arial" w:eastAsiaTheme="minorEastAsia" w:hAnsi="Arial" w:cs="Arial"/>
          <w:color w:val="000000" w:themeColor="text1"/>
          <w:sz w:val="24"/>
          <w:szCs w:val="24"/>
          <w:lang w:val="es-ES" w:eastAsia="es-ES"/>
        </w:rPr>
        <w:t xml:space="preserve"> </w:t>
      </w:r>
      <w:r w:rsidR="00E456D0" w:rsidRPr="00682149">
        <w:rPr>
          <w:rFonts w:ascii="Arial" w:eastAsiaTheme="minorEastAsia" w:hAnsi="Arial" w:cs="Arial"/>
          <w:color w:val="000000" w:themeColor="text1"/>
          <w:sz w:val="24"/>
          <w:szCs w:val="24"/>
          <w:lang w:val="es-ES" w:eastAsia="es-ES"/>
        </w:rPr>
        <w:t xml:space="preserve">fuera </w:t>
      </w:r>
      <w:r w:rsidR="00E60DE1" w:rsidRPr="00682149">
        <w:rPr>
          <w:rFonts w:ascii="Arial" w:eastAsiaTheme="minorEastAsia" w:hAnsi="Arial" w:cs="Arial"/>
          <w:color w:val="000000" w:themeColor="text1"/>
          <w:sz w:val="24"/>
          <w:szCs w:val="24"/>
          <w:lang w:val="es-ES" w:eastAsia="es-ES"/>
        </w:rPr>
        <w:t>conf</w:t>
      </w:r>
      <w:r w:rsidR="00E456D0" w:rsidRPr="00682149">
        <w:rPr>
          <w:rFonts w:ascii="Arial" w:eastAsiaTheme="minorEastAsia" w:hAnsi="Arial" w:cs="Arial"/>
          <w:color w:val="000000" w:themeColor="text1"/>
          <w:sz w:val="24"/>
          <w:szCs w:val="24"/>
          <w:lang w:val="es-ES" w:eastAsia="es-ES"/>
        </w:rPr>
        <w:t xml:space="preserve">erido </w:t>
      </w:r>
      <w:r w:rsidR="003A0123" w:rsidRPr="00682149">
        <w:rPr>
          <w:rFonts w:ascii="Arial" w:eastAsiaTheme="minorEastAsia" w:hAnsi="Arial" w:cs="Arial"/>
          <w:color w:val="000000" w:themeColor="text1"/>
          <w:sz w:val="24"/>
          <w:szCs w:val="24"/>
          <w:lang w:val="es-ES" w:eastAsia="es-ES"/>
        </w:rPr>
        <w:t>el carácter de servicio público domiciliario</w:t>
      </w:r>
      <w:r w:rsidR="00B40A45" w:rsidRPr="00682149">
        <w:rPr>
          <w:rFonts w:ascii="Arial" w:eastAsiaTheme="minorEastAsia" w:hAnsi="Arial" w:cs="Arial"/>
          <w:color w:val="000000" w:themeColor="text1"/>
          <w:sz w:val="24"/>
          <w:szCs w:val="24"/>
          <w:lang w:val="es-ES" w:eastAsia="es-ES"/>
        </w:rPr>
        <w:t>.</w:t>
      </w:r>
    </w:p>
    <w:p w14:paraId="23836DE3" w14:textId="77777777" w:rsidR="00E60DE1" w:rsidRPr="00682149" w:rsidRDefault="00E60DE1" w:rsidP="001C138F">
      <w:pPr>
        <w:widowControl w:val="0"/>
        <w:autoSpaceDE w:val="0"/>
        <w:autoSpaceDN w:val="0"/>
        <w:adjustRightInd w:val="0"/>
        <w:spacing w:after="0" w:line="276" w:lineRule="auto"/>
        <w:jc w:val="both"/>
        <w:rPr>
          <w:rFonts w:ascii="Arial" w:eastAsiaTheme="minorEastAsia" w:hAnsi="Arial" w:cs="Arial"/>
          <w:color w:val="000000" w:themeColor="text1"/>
          <w:sz w:val="24"/>
          <w:szCs w:val="24"/>
          <w:lang w:val="es-ES" w:eastAsia="es-ES"/>
        </w:rPr>
      </w:pPr>
    </w:p>
    <w:p w14:paraId="367134E7" w14:textId="2EF61CB6" w:rsidR="00454900" w:rsidRPr="00682149" w:rsidRDefault="00A57E89" w:rsidP="001C138F">
      <w:pPr>
        <w:widowControl w:val="0"/>
        <w:autoSpaceDE w:val="0"/>
        <w:autoSpaceDN w:val="0"/>
        <w:adjustRightInd w:val="0"/>
        <w:spacing w:after="0" w:line="276" w:lineRule="auto"/>
        <w:jc w:val="both"/>
        <w:rPr>
          <w:rFonts w:ascii="Arial" w:eastAsia="Times New Roman" w:hAnsi="Arial" w:cs="Arial"/>
          <w:bCs/>
          <w:color w:val="000000" w:themeColor="text1"/>
          <w:sz w:val="24"/>
          <w:szCs w:val="24"/>
          <w:lang w:val="es-ES" w:eastAsia="es-ES"/>
        </w:rPr>
      </w:pPr>
      <w:r w:rsidRPr="00682149">
        <w:rPr>
          <w:rFonts w:ascii="Arial" w:eastAsia="Arial" w:hAnsi="Arial" w:cs="Arial"/>
          <w:color w:val="000000" w:themeColor="text1"/>
          <w:sz w:val="24"/>
          <w:szCs w:val="24"/>
          <w:lang w:val="es-CO"/>
        </w:rPr>
        <w:t xml:space="preserve">En consecuencia, </w:t>
      </w:r>
      <w:r w:rsidR="00817CC3" w:rsidRPr="00682149">
        <w:rPr>
          <w:rFonts w:ascii="Arial" w:eastAsia="Arial" w:hAnsi="Arial" w:cs="Arial"/>
          <w:color w:val="000000" w:themeColor="text1"/>
          <w:sz w:val="24"/>
          <w:szCs w:val="24"/>
          <w:lang w:val="es-CO"/>
        </w:rPr>
        <w:t xml:space="preserve">verificados los anteriores antecedentes normativos y fácticos, </w:t>
      </w:r>
      <w:r w:rsidRPr="00682149">
        <w:rPr>
          <w:rFonts w:ascii="Arial" w:eastAsia="Arial" w:hAnsi="Arial" w:cs="Arial"/>
          <w:color w:val="000000" w:themeColor="text1"/>
          <w:sz w:val="24"/>
          <w:szCs w:val="24"/>
          <w:lang w:val="es-CO"/>
        </w:rPr>
        <w:t>el examen del acto control</w:t>
      </w:r>
      <w:r w:rsidR="00381769" w:rsidRPr="00682149">
        <w:rPr>
          <w:rFonts w:ascii="Arial" w:eastAsia="Arial" w:hAnsi="Arial" w:cs="Arial"/>
          <w:color w:val="000000" w:themeColor="text1"/>
          <w:sz w:val="24"/>
          <w:szCs w:val="24"/>
          <w:lang w:val="es-CO"/>
        </w:rPr>
        <w:t>ado</w:t>
      </w:r>
      <w:r w:rsidRPr="00682149">
        <w:rPr>
          <w:rFonts w:ascii="Arial" w:eastAsia="Arial" w:hAnsi="Arial" w:cs="Arial"/>
          <w:color w:val="000000" w:themeColor="text1"/>
          <w:sz w:val="24"/>
          <w:szCs w:val="24"/>
          <w:lang w:val="es-CO"/>
        </w:rPr>
        <w:t xml:space="preserve"> se hará a la luz de la norma Constitucional, el Decreto Presidencial 417 de 2020 que declaró el Estado de Excepción</w:t>
      </w:r>
      <w:r w:rsidR="00107A63" w:rsidRPr="00682149">
        <w:rPr>
          <w:rFonts w:ascii="Arial" w:eastAsia="Arial" w:hAnsi="Arial" w:cs="Arial"/>
          <w:color w:val="000000" w:themeColor="text1"/>
          <w:sz w:val="24"/>
          <w:szCs w:val="24"/>
          <w:lang w:val="es-CO"/>
        </w:rPr>
        <w:t xml:space="preserve">, </w:t>
      </w:r>
      <w:r w:rsidRPr="00682149">
        <w:rPr>
          <w:rFonts w:ascii="Arial" w:eastAsia="Arial" w:hAnsi="Arial" w:cs="Arial"/>
          <w:color w:val="000000" w:themeColor="text1"/>
          <w:sz w:val="24"/>
          <w:szCs w:val="24"/>
          <w:lang w:val="es-CO"/>
        </w:rPr>
        <w:t xml:space="preserve">el Decreto </w:t>
      </w:r>
      <w:r w:rsidRPr="00682149">
        <w:rPr>
          <w:rFonts w:ascii="Arial" w:hAnsi="Arial" w:cs="Arial"/>
          <w:color w:val="000000" w:themeColor="text1"/>
          <w:sz w:val="24"/>
          <w:szCs w:val="24"/>
          <w:lang w:val="es-CO"/>
        </w:rPr>
        <w:t>Legislativo 517 de 2020 que lo desarrolla</w:t>
      </w:r>
      <w:r w:rsidR="00E60DE1" w:rsidRPr="00682149">
        <w:rPr>
          <w:rFonts w:ascii="Arial" w:hAnsi="Arial" w:cs="Arial"/>
          <w:color w:val="000000" w:themeColor="text1"/>
          <w:sz w:val="24"/>
          <w:szCs w:val="24"/>
          <w:lang w:val="es-CO"/>
        </w:rPr>
        <w:t xml:space="preserve"> y de las normas ordinarias</w:t>
      </w:r>
      <w:r w:rsidR="00B40A45" w:rsidRPr="00682149">
        <w:rPr>
          <w:rFonts w:ascii="Arial" w:hAnsi="Arial" w:cs="Arial"/>
          <w:color w:val="000000" w:themeColor="text1"/>
          <w:sz w:val="24"/>
          <w:szCs w:val="24"/>
          <w:lang w:val="es-CO"/>
        </w:rPr>
        <w:t xml:space="preserve"> de la Ley 142 y 143 de 1994</w:t>
      </w:r>
      <w:r w:rsidR="004D28AE" w:rsidRPr="00682149">
        <w:rPr>
          <w:rFonts w:ascii="Arial" w:hAnsi="Arial" w:cs="Arial"/>
          <w:color w:val="000000" w:themeColor="text1"/>
          <w:sz w:val="24"/>
          <w:szCs w:val="24"/>
          <w:lang w:val="es-CO"/>
        </w:rPr>
        <w:t>,</w:t>
      </w:r>
      <w:r w:rsidR="00B40A45" w:rsidRPr="00682149">
        <w:rPr>
          <w:rFonts w:ascii="Arial" w:hAnsi="Arial" w:cs="Arial"/>
          <w:color w:val="000000" w:themeColor="text1"/>
          <w:sz w:val="24"/>
          <w:szCs w:val="24"/>
          <w:lang w:val="es-CO"/>
        </w:rPr>
        <w:t xml:space="preserve"> la Resolución 091 de 2007, mediante la cual la CREG estableció la metodología general para la definición de las tarifas en </w:t>
      </w:r>
      <w:r w:rsidR="001C2991" w:rsidRPr="00682149">
        <w:rPr>
          <w:rFonts w:ascii="Arial" w:hAnsi="Arial" w:cs="Arial"/>
          <w:color w:val="000000" w:themeColor="text1"/>
          <w:sz w:val="24"/>
          <w:szCs w:val="24"/>
          <w:lang w:val="es-CO"/>
        </w:rPr>
        <w:t>ZNI</w:t>
      </w:r>
      <w:r w:rsidR="006F4106" w:rsidRPr="00682149">
        <w:rPr>
          <w:rFonts w:ascii="Arial" w:hAnsi="Arial" w:cs="Arial"/>
          <w:color w:val="000000" w:themeColor="text1"/>
          <w:sz w:val="24"/>
          <w:szCs w:val="24"/>
          <w:lang w:val="es-CO"/>
        </w:rPr>
        <w:t>,</w:t>
      </w:r>
      <w:r w:rsidR="001C2991" w:rsidRPr="00682149">
        <w:rPr>
          <w:rFonts w:ascii="Arial" w:hAnsi="Arial" w:cs="Arial"/>
          <w:color w:val="000000" w:themeColor="text1"/>
          <w:sz w:val="24"/>
          <w:szCs w:val="24"/>
          <w:lang w:val="es-CO"/>
        </w:rPr>
        <w:t xml:space="preserve"> y de la Resolución CREG  039</w:t>
      </w:r>
      <w:r w:rsidR="00B40A45" w:rsidRPr="00682149">
        <w:rPr>
          <w:rFonts w:ascii="Arial" w:hAnsi="Arial" w:cs="Arial"/>
          <w:color w:val="000000" w:themeColor="text1"/>
          <w:sz w:val="24"/>
          <w:szCs w:val="24"/>
          <w:lang w:val="es-CO"/>
        </w:rPr>
        <w:t xml:space="preserve"> de 2017 que fijó el procedimiento para la expedición del sistema regulatorio</w:t>
      </w:r>
      <w:r w:rsidR="00817CC3" w:rsidRPr="00682149">
        <w:rPr>
          <w:rFonts w:ascii="Arial" w:hAnsi="Arial" w:cs="Arial"/>
          <w:color w:val="000000" w:themeColor="text1"/>
          <w:sz w:val="24"/>
          <w:szCs w:val="24"/>
          <w:lang w:val="es-CO"/>
        </w:rPr>
        <w:t>, s</w:t>
      </w:r>
      <w:r w:rsidR="00B40A45" w:rsidRPr="00682149">
        <w:rPr>
          <w:rFonts w:ascii="Arial" w:hAnsi="Arial" w:cs="Arial"/>
          <w:color w:val="000000" w:themeColor="text1"/>
          <w:sz w:val="24"/>
          <w:szCs w:val="24"/>
          <w:lang w:val="es-CO"/>
        </w:rPr>
        <w:t xml:space="preserve">in perjuicio de </w:t>
      </w:r>
      <w:r w:rsidR="0074728E" w:rsidRPr="00682149">
        <w:rPr>
          <w:rFonts w:ascii="Arial" w:hAnsi="Arial" w:cs="Arial"/>
          <w:color w:val="000000" w:themeColor="text1"/>
          <w:sz w:val="24"/>
          <w:szCs w:val="24"/>
          <w:lang w:val="es-CO"/>
        </w:rPr>
        <w:t xml:space="preserve">la mención de </w:t>
      </w:r>
      <w:r w:rsidR="00B40A45" w:rsidRPr="00682149">
        <w:rPr>
          <w:rFonts w:ascii="Arial" w:hAnsi="Arial" w:cs="Arial"/>
          <w:color w:val="000000" w:themeColor="text1"/>
          <w:sz w:val="24"/>
          <w:szCs w:val="24"/>
          <w:lang w:val="es-CO"/>
        </w:rPr>
        <w:t>la</w:t>
      </w:r>
      <w:r w:rsidR="001C2991" w:rsidRPr="00682149">
        <w:rPr>
          <w:rFonts w:ascii="Arial" w:hAnsi="Arial" w:cs="Arial"/>
          <w:color w:val="000000" w:themeColor="text1"/>
          <w:sz w:val="24"/>
          <w:szCs w:val="24"/>
          <w:lang w:val="es-CO"/>
        </w:rPr>
        <w:t>s</w:t>
      </w:r>
      <w:r w:rsidR="00B40A45" w:rsidRPr="00682149">
        <w:rPr>
          <w:rFonts w:ascii="Arial" w:hAnsi="Arial" w:cs="Arial"/>
          <w:color w:val="000000" w:themeColor="text1"/>
          <w:sz w:val="24"/>
          <w:szCs w:val="24"/>
          <w:lang w:val="es-CO"/>
        </w:rPr>
        <w:t xml:space="preserve"> </w:t>
      </w:r>
      <w:r w:rsidR="00E60DE1" w:rsidRPr="00682149">
        <w:rPr>
          <w:rFonts w:ascii="Arial" w:hAnsi="Arial" w:cs="Arial"/>
          <w:color w:val="000000" w:themeColor="text1"/>
          <w:sz w:val="24"/>
          <w:szCs w:val="24"/>
          <w:lang w:val="es-CO"/>
        </w:rPr>
        <w:t>Ley</w:t>
      </w:r>
      <w:r w:rsidR="001C2991" w:rsidRPr="00682149">
        <w:rPr>
          <w:rFonts w:ascii="Arial" w:hAnsi="Arial" w:cs="Arial"/>
          <w:color w:val="000000" w:themeColor="text1"/>
          <w:sz w:val="24"/>
          <w:szCs w:val="24"/>
          <w:lang w:val="es-CO"/>
        </w:rPr>
        <w:t>es</w:t>
      </w:r>
      <w:r w:rsidR="00E60DE1" w:rsidRPr="00682149">
        <w:rPr>
          <w:rFonts w:ascii="Arial" w:hAnsi="Arial" w:cs="Arial"/>
          <w:color w:val="000000" w:themeColor="text1"/>
          <w:sz w:val="24"/>
          <w:szCs w:val="24"/>
          <w:lang w:val="es-CO"/>
        </w:rPr>
        <w:t xml:space="preserve"> 1715 de 2014</w:t>
      </w:r>
      <w:r w:rsidR="00B40A45" w:rsidRPr="00682149">
        <w:rPr>
          <w:rFonts w:ascii="Arial" w:hAnsi="Arial" w:cs="Arial"/>
          <w:color w:val="000000" w:themeColor="text1"/>
          <w:sz w:val="24"/>
          <w:szCs w:val="24"/>
          <w:lang w:val="es-CO"/>
        </w:rPr>
        <w:t xml:space="preserve"> y 1955 de 2019.</w:t>
      </w:r>
      <w:r w:rsidR="00B40A45" w:rsidRPr="00682149">
        <w:rPr>
          <w:rFonts w:ascii="Arial" w:eastAsia="Times New Roman" w:hAnsi="Arial" w:cs="Arial"/>
          <w:bCs/>
          <w:color w:val="000000" w:themeColor="text1"/>
          <w:sz w:val="24"/>
          <w:szCs w:val="24"/>
          <w:lang w:val="es-ES" w:eastAsia="es-ES"/>
        </w:rPr>
        <w:t xml:space="preserve"> </w:t>
      </w:r>
    </w:p>
    <w:p w14:paraId="300759F6" w14:textId="3F5A273B" w:rsidR="00454900" w:rsidRPr="00682149" w:rsidRDefault="00454900" w:rsidP="001C138F">
      <w:pPr>
        <w:pBdr>
          <w:top w:val="nil"/>
          <w:left w:val="nil"/>
          <w:bottom w:val="nil"/>
          <w:right w:val="nil"/>
          <w:between w:val="nil"/>
        </w:pBdr>
        <w:spacing w:after="0" w:line="276" w:lineRule="auto"/>
        <w:jc w:val="both"/>
        <w:rPr>
          <w:rFonts w:ascii="Arial" w:eastAsia="Arial" w:hAnsi="Arial" w:cs="Arial"/>
          <w:b/>
          <w:color w:val="000000" w:themeColor="text1"/>
          <w:sz w:val="24"/>
          <w:szCs w:val="24"/>
          <w:lang w:val="es-CO"/>
        </w:rPr>
      </w:pPr>
    </w:p>
    <w:p w14:paraId="009FD383" w14:textId="5D94E4B6" w:rsidR="0022251B" w:rsidRPr="00682149" w:rsidRDefault="0022251B" w:rsidP="001C138F">
      <w:pPr>
        <w:pBdr>
          <w:top w:val="nil"/>
          <w:left w:val="nil"/>
          <w:bottom w:val="nil"/>
          <w:right w:val="nil"/>
          <w:between w:val="nil"/>
        </w:pBdr>
        <w:spacing w:after="0" w:line="276" w:lineRule="auto"/>
        <w:jc w:val="both"/>
        <w:rPr>
          <w:rFonts w:ascii="Arial" w:eastAsia="Arial" w:hAnsi="Arial" w:cs="Arial"/>
          <w:bCs/>
          <w:color w:val="000000" w:themeColor="text1"/>
          <w:sz w:val="24"/>
          <w:szCs w:val="24"/>
          <w:lang w:val="es-CO"/>
        </w:rPr>
      </w:pPr>
      <w:r w:rsidRPr="00682149">
        <w:rPr>
          <w:rFonts w:ascii="Arial" w:eastAsia="Arial" w:hAnsi="Arial" w:cs="Arial"/>
          <w:bCs/>
          <w:color w:val="000000" w:themeColor="text1"/>
          <w:sz w:val="24"/>
          <w:szCs w:val="24"/>
          <w:lang w:val="es-CO"/>
        </w:rPr>
        <w:t>Precisado lo anterior, pa</w:t>
      </w:r>
      <w:r w:rsidR="00E10B7E" w:rsidRPr="00682149">
        <w:rPr>
          <w:rFonts w:ascii="Arial" w:eastAsia="Arial" w:hAnsi="Arial" w:cs="Arial"/>
          <w:bCs/>
          <w:color w:val="000000" w:themeColor="text1"/>
          <w:sz w:val="24"/>
          <w:szCs w:val="24"/>
          <w:lang w:val="es-CO"/>
        </w:rPr>
        <w:t>s</w:t>
      </w:r>
      <w:r w:rsidRPr="00682149">
        <w:rPr>
          <w:rFonts w:ascii="Arial" w:eastAsia="Arial" w:hAnsi="Arial" w:cs="Arial"/>
          <w:bCs/>
          <w:color w:val="000000" w:themeColor="text1"/>
          <w:sz w:val="24"/>
          <w:szCs w:val="24"/>
          <w:lang w:val="es-CO"/>
        </w:rPr>
        <w:t xml:space="preserve">a la </w:t>
      </w:r>
      <w:r w:rsidR="0068754E">
        <w:rPr>
          <w:rFonts w:ascii="Arial" w:eastAsia="Arial" w:hAnsi="Arial" w:cs="Arial"/>
          <w:bCs/>
          <w:color w:val="000000" w:themeColor="text1"/>
          <w:sz w:val="24"/>
          <w:szCs w:val="24"/>
          <w:lang w:val="es-CO"/>
        </w:rPr>
        <w:t>S</w:t>
      </w:r>
      <w:r w:rsidRPr="00682149">
        <w:rPr>
          <w:rFonts w:ascii="Arial" w:eastAsia="Arial" w:hAnsi="Arial" w:cs="Arial"/>
          <w:bCs/>
          <w:color w:val="000000" w:themeColor="text1"/>
          <w:sz w:val="24"/>
          <w:szCs w:val="24"/>
          <w:lang w:val="es-CO"/>
        </w:rPr>
        <w:t>ala al estudio de los elementos formal</w:t>
      </w:r>
      <w:r w:rsidR="000C7A0E" w:rsidRPr="00682149">
        <w:rPr>
          <w:rFonts w:ascii="Arial" w:eastAsia="Arial" w:hAnsi="Arial" w:cs="Arial"/>
          <w:bCs/>
          <w:color w:val="000000" w:themeColor="text1"/>
          <w:sz w:val="24"/>
          <w:szCs w:val="24"/>
          <w:lang w:val="es-CO"/>
        </w:rPr>
        <w:t xml:space="preserve"> y material de la a</w:t>
      </w:r>
      <w:r w:rsidR="000C7A0E" w:rsidRPr="00682149">
        <w:rPr>
          <w:bCs/>
          <w:color w:val="000000" w:themeColor="text1"/>
        </w:rPr>
        <w:t xml:space="preserve"> </w:t>
      </w:r>
      <w:r w:rsidR="000C7A0E" w:rsidRPr="00682149">
        <w:rPr>
          <w:rFonts w:ascii="Arial" w:eastAsia="Arial" w:hAnsi="Arial" w:cs="Arial"/>
          <w:bCs/>
          <w:color w:val="000000" w:themeColor="text1"/>
          <w:sz w:val="24"/>
          <w:szCs w:val="24"/>
          <w:lang w:val="es-CO"/>
        </w:rPr>
        <w:t xml:space="preserve">Resolución CREG 166 de 2020 </w:t>
      </w:r>
    </w:p>
    <w:p w14:paraId="2903C8A1" w14:textId="77777777" w:rsidR="0022251B" w:rsidRPr="00682149" w:rsidRDefault="0022251B" w:rsidP="001C138F">
      <w:pPr>
        <w:pBdr>
          <w:top w:val="nil"/>
          <w:left w:val="nil"/>
          <w:bottom w:val="nil"/>
          <w:right w:val="nil"/>
          <w:between w:val="nil"/>
        </w:pBdr>
        <w:spacing w:after="0" w:line="276" w:lineRule="auto"/>
        <w:jc w:val="both"/>
        <w:rPr>
          <w:rFonts w:ascii="Arial" w:eastAsia="Arial" w:hAnsi="Arial" w:cs="Arial"/>
          <w:b/>
          <w:color w:val="000000" w:themeColor="text1"/>
          <w:sz w:val="24"/>
          <w:szCs w:val="24"/>
          <w:lang w:val="es-CO"/>
        </w:rPr>
      </w:pPr>
    </w:p>
    <w:p w14:paraId="2512F641" w14:textId="2EABE4FF" w:rsidR="00454900" w:rsidRPr="00682149" w:rsidRDefault="001D37B6" w:rsidP="001C138F">
      <w:pPr>
        <w:pBdr>
          <w:top w:val="nil"/>
          <w:left w:val="nil"/>
          <w:bottom w:val="nil"/>
          <w:right w:val="nil"/>
          <w:between w:val="nil"/>
        </w:pBdr>
        <w:spacing w:after="0" w:line="276" w:lineRule="auto"/>
        <w:jc w:val="both"/>
        <w:rPr>
          <w:rFonts w:ascii="Arial" w:eastAsia="Times New Roman" w:hAnsi="Arial" w:cs="Arial"/>
          <w:b/>
          <w:color w:val="000000" w:themeColor="text1"/>
          <w:sz w:val="24"/>
          <w:szCs w:val="24"/>
          <w:lang w:val="es-CO" w:eastAsia="es-ES_tradnl"/>
        </w:rPr>
      </w:pPr>
      <w:r w:rsidRPr="00682149">
        <w:rPr>
          <w:rFonts w:ascii="Arial" w:eastAsia="Arial" w:hAnsi="Arial" w:cs="Arial"/>
          <w:b/>
          <w:color w:val="000000" w:themeColor="text1"/>
          <w:sz w:val="24"/>
          <w:szCs w:val="24"/>
          <w:lang w:val="es-CO"/>
        </w:rPr>
        <w:t>2.4</w:t>
      </w:r>
      <w:r w:rsidR="00454900" w:rsidRPr="00682149">
        <w:rPr>
          <w:rFonts w:ascii="Arial" w:eastAsia="Arial" w:hAnsi="Arial" w:cs="Arial"/>
          <w:b/>
          <w:color w:val="000000" w:themeColor="text1"/>
          <w:sz w:val="24"/>
          <w:szCs w:val="24"/>
          <w:lang w:val="es-CO"/>
        </w:rPr>
        <w:t>.</w:t>
      </w:r>
      <w:r w:rsidR="00454900" w:rsidRPr="00682149">
        <w:rPr>
          <w:rFonts w:ascii="Arial" w:eastAsia="Arial" w:hAnsi="Arial" w:cs="Arial"/>
          <w:b/>
          <w:color w:val="000000" w:themeColor="text1"/>
          <w:sz w:val="24"/>
          <w:szCs w:val="24"/>
          <w:lang w:val="es-CO"/>
        </w:rPr>
        <w:tab/>
        <w:t xml:space="preserve">Verificación del </w:t>
      </w:r>
      <w:r w:rsidR="00454900" w:rsidRPr="00682149">
        <w:rPr>
          <w:rFonts w:ascii="Arial" w:eastAsia="Times New Roman" w:hAnsi="Arial" w:cs="Arial"/>
          <w:b/>
          <w:color w:val="000000" w:themeColor="text1"/>
          <w:sz w:val="24"/>
          <w:szCs w:val="24"/>
          <w:lang w:val="es-CO" w:eastAsia="es-ES_tradnl"/>
        </w:rPr>
        <w:t>elemento formal:</w:t>
      </w:r>
    </w:p>
    <w:p w14:paraId="637DE4D1" w14:textId="77777777" w:rsidR="00454900" w:rsidRPr="00682149" w:rsidRDefault="00454900" w:rsidP="001C138F">
      <w:pPr>
        <w:pBdr>
          <w:top w:val="nil"/>
          <w:left w:val="nil"/>
          <w:bottom w:val="nil"/>
          <w:right w:val="nil"/>
          <w:between w:val="nil"/>
        </w:pBdr>
        <w:spacing w:after="0" w:line="276" w:lineRule="auto"/>
        <w:jc w:val="both"/>
        <w:rPr>
          <w:rFonts w:ascii="Arial" w:eastAsia="Times New Roman" w:hAnsi="Arial" w:cs="Arial"/>
          <w:b/>
          <w:color w:val="000000" w:themeColor="text1"/>
          <w:sz w:val="24"/>
          <w:szCs w:val="24"/>
          <w:lang w:val="es-CO" w:eastAsia="es-ES_tradnl"/>
        </w:rPr>
      </w:pPr>
    </w:p>
    <w:p w14:paraId="089E09E8" w14:textId="3417063D" w:rsidR="00D247BF" w:rsidRDefault="00D247BF" w:rsidP="001C138F">
      <w:pPr>
        <w:pBdr>
          <w:top w:val="nil"/>
          <w:left w:val="nil"/>
          <w:bottom w:val="nil"/>
          <w:right w:val="nil"/>
          <w:between w:val="nil"/>
        </w:pBdr>
        <w:spacing w:after="0" w:line="276" w:lineRule="auto"/>
        <w:jc w:val="both"/>
        <w:rPr>
          <w:rFonts w:ascii="Arial" w:eastAsia="Times New Roman" w:hAnsi="Arial" w:cs="Arial"/>
          <w:color w:val="000000" w:themeColor="text1"/>
          <w:sz w:val="24"/>
          <w:szCs w:val="24"/>
          <w:lang w:val="es-CO" w:eastAsia="es-ES_tradnl"/>
        </w:rPr>
      </w:pPr>
      <w:r w:rsidRPr="00682149">
        <w:rPr>
          <w:rFonts w:ascii="Arial" w:eastAsia="Times New Roman" w:hAnsi="Arial" w:cs="Arial"/>
          <w:color w:val="000000" w:themeColor="text1"/>
          <w:sz w:val="24"/>
          <w:szCs w:val="24"/>
          <w:lang w:val="es-CO" w:eastAsia="es-ES_tradnl"/>
        </w:rPr>
        <w:t xml:space="preserve">Sea lo primero indicar que, en cada caso, la forma de exteriorizar el acto administrativo, en sentido amplio, deberá observar cómo se crea o produce el acto, así como los pasos o requisitos que deben cumplirse, acción que comprende, además de los requisitos de forma, la </w:t>
      </w:r>
      <w:r w:rsidR="0068754E">
        <w:rPr>
          <w:rFonts w:ascii="Arial" w:eastAsia="Times New Roman" w:hAnsi="Arial" w:cs="Arial"/>
          <w:color w:val="000000" w:themeColor="text1"/>
          <w:sz w:val="24"/>
          <w:szCs w:val="24"/>
          <w:lang w:val="es-CO" w:eastAsia="es-ES_tradnl"/>
        </w:rPr>
        <w:t>f</w:t>
      </w:r>
      <w:r w:rsidRPr="00682149">
        <w:rPr>
          <w:rFonts w:ascii="Arial" w:eastAsia="Times New Roman" w:hAnsi="Arial" w:cs="Arial"/>
          <w:color w:val="000000" w:themeColor="text1"/>
          <w:sz w:val="24"/>
          <w:szCs w:val="24"/>
          <w:lang w:val="es-CO" w:eastAsia="es-ES_tradnl"/>
        </w:rPr>
        <w:t>echa, firma, apariencia y denominación, entre otros.</w:t>
      </w:r>
    </w:p>
    <w:p w14:paraId="0CFC284A" w14:textId="77777777" w:rsidR="0068754E" w:rsidRPr="00682149" w:rsidRDefault="0068754E" w:rsidP="001C138F">
      <w:pPr>
        <w:pBdr>
          <w:top w:val="nil"/>
          <w:left w:val="nil"/>
          <w:bottom w:val="nil"/>
          <w:right w:val="nil"/>
          <w:between w:val="nil"/>
        </w:pBdr>
        <w:spacing w:after="0" w:line="276" w:lineRule="auto"/>
        <w:jc w:val="both"/>
        <w:rPr>
          <w:rFonts w:ascii="Arial" w:eastAsia="Times New Roman" w:hAnsi="Arial" w:cs="Arial"/>
          <w:color w:val="000000" w:themeColor="text1"/>
          <w:sz w:val="24"/>
          <w:szCs w:val="24"/>
          <w:lang w:val="es-CO" w:eastAsia="es-ES_tradnl"/>
        </w:rPr>
      </w:pPr>
    </w:p>
    <w:p w14:paraId="395E7746" w14:textId="214544D9" w:rsidR="00BD0813" w:rsidRPr="00682149" w:rsidRDefault="00D247BF" w:rsidP="001C138F">
      <w:pPr>
        <w:pBdr>
          <w:top w:val="nil"/>
          <w:left w:val="nil"/>
          <w:bottom w:val="nil"/>
          <w:right w:val="nil"/>
          <w:between w:val="nil"/>
        </w:pBdr>
        <w:spacing w:after="0" w:line="276" w:lineRule="auto"/>
        <w:jc w:val="both"/>
        <w:rPr>
          <w:rFonts w:ascii="Arial" w:eastAsia="Times New Roman" w:hAnsi="Arial" w:cs="Arial"/>
          <w:color w:val="000000" w:themeColor="text1"/>
          <w:sz w:val="24"/>
          <w:szCs w:val="24"/>
          <w:lang w:val="es-CO" w:eastAsia="es-ES_tradnl"/>
        </w:rPr>
      </w:pPr>
      <w:r w:rsidRPr="00682149">
        <w:rPr>
          <w:rFonts w:ascii="Arial" w:eastAsia="Times New Roman" w:hAnsi="Arial" w:cs="Arial"/>
          <w:color w:val="000000" w:themeColor="text1"/>
          <w:sz w:val="24"/>
          <w:szCs w:val="24"/>
          <w:lang w:val="es-CO" w:eastAsia="es-ES_tradnl"/>
        </w:rPr>
        <w:t>Para el caso particular, l</w:t>
      </w:r>
      <w:r w:rsidR="00454900" w:rsidRPr="00682149">
        <w:rPr>
          <w:rFonts w:ascii="Arial" w:eastAsia="Times New Roman" w:hAnsi="Arial" w:cs="Arial"/>
          <w:color w:val="000000" w:themeColor="text1"/>
          <w:sz w:val="24"/>
          <w:szCs w:val="24"/>
          <w:lang w:val="es-CO" w:eastAsia="es-ES_tradnl"/>
        </w:rPr>
        <w:t>a norma superior no prevé una forma específica de cara a la expedición de los actos administrativos que se expidan en desarrollo de los decretos legislativos, pues salvo que así lo dispongan</w:t>
      </w:r>
      <w:r w:rsidRPr="00682149">
        <w:rPr>
          <w:rFonts w:ascii="Arial" w:eastAsia="Times New Roman" w:hAnsi="Arial" w:cs="Arial"/>
          <w:color w:val="000000" w:themeColor="text1"/>
          <w:sz w:val="24"/>
          <w:szCs w:val="24"/>
          <w:lang w:val="es-CO" w:eastAsia="es-ES_tradnl"/>
        </w:rPr>
        <w:t xml:space="preserve"> expresamente</w:t>
      </w:r>
      <w:r w:rsidR="00454900" w:rsidRPr="00682149">
        <w:rPr>
          <w:rFonts w:ascii="Arial" w:eastAsia="Times New Roman" w:hAnsi="Arial" w:cs="Arial"/>
          <w:color w:val="000000" w:themeColor="text1"/>
          <w:sz w:val="24"/>
          <w:szCs w:val="24"/>
          <w:lang w:val="es-CO" w:eastAsia="es-ES_tradnl"/>
        </w:rPr>
        <w:t>, o una ley previa ya lo hubiere fijado, para la manifestación de la voluntad administrativa, transformadora, capaz de generar cambios, basta la conjunción de elementos que concurren a dar existencia e identidad al acto administrativo, para que así se entienda válidamente proferido</w:t>
      </w:r>
      <w:r w:rsidR="00310C06" w:rsidRPr="00682149">
        <w:rPr>
          <w:rFonts w:ascii="Arial" w:eastAsia="Times New Roman" w:hAnsi="Arial" w:cs="Arial"/>
          <w:color w:val="000000" w:themeColor="text1"/>
          <w:sz w:val="24"/>
          <w:szCs w:val="24"/>
          <w:lang w:val="es-CO" w:eastAsia="es-ES_tradnl"/>
        </w:rPr>
        <w:t xml:space="preserve">. </w:t>
      </w:r>
    </w:p>
    <w:p w14:paraId="5141089E" w14:textId="77777777" w:rsidR="0075576B" w:rsidRPr="00682149" w:rsidRDefault="0075576B" w:rsidP="001C138F">
      <w:pPr>
        <w:spacing w:after="0" w:line="276" w:lineRule="auto"/>
        <w:jc w:val="both"/>
        <w:rPr>
          <w:rFonts w:ascii="Arial" w:eastAsia="Arial" w:hAnsi="Arial" w:cs="Arial"/>
          <w:color w:val="000000" w:themeColor="text1"/>
          <w:sz w:val="24"/>
          <w:szCs w:val="24"/>
          <w:lang w:val="es-CO"/>
        </w:rPr>
      </w:pPr>
    </w:p>
    <w:p w14:paraId="0D24402C" w14:textId="40A25C79" w:rsidR="00A15CBE" w:rsidRPr="00682149" w:rsidRDefault="00050A8A" w:rsidP="001C138F">
      <w:pPr>
        <w:spacing w:after="0" w:line="276" w:lineRule="auto"/>
        <w:contextualSpacing/>
        <w:jc w:val="both"/>
        <w:rPr>
          <w:rFonts w:ascii="Arial" w:eastAsiaTheme="minorEastAsia" w:hAnsi="Arial" w:cs="Arial"/>
          <w:color w:val="000000" w:themeColor="text1"/>
          <w:sz w:val="24"/>
          <w:szCs w:val="24"/>
          <w:lang w:val="es-ES" w:eastAsia="es-ES"/>
        </w:rPr>
      </w:pPr>
      <w:r w:rsidRPr="00682149">
        <w:rPr>
          <w:rFonts w:ascii="Arial" w:eastAsia="Times New Roman" w:hAnsi="Arial" w:cs="Arial"/>
          <w:color w:val="000000" w:themeColor="text1"/>
          <w:sz w:val="24"/>
          <w:szCs w:val="24"/>
          <w:lang w:val="es-CO" w:eastAsia="es-ES_tradnl"/>
        </w:rPr>
        <w:t>S</w:t>
      </w:r>
      <w:r w:rsidR="00372447" w:rsidRPr="00682149">
        <w:rPr>
          <w:rFonts w:ascii="Arial" w:eastAsia="Times New Roman" w:hAnsi="Arial" w:cs="Arial"/>
          <w:color w:val="000000" w:themeColor="text1"/>
          <w:sz w:val="24"/>
          <w:szCs w:val="24"/>
          <w:lang w:val="es-CO" w:eastAsia="es-ES_tradnl"/>
        </w:rPr>
        <w:t xml:space="preserve">obre el punto, </w:t>
      </w:r>
      <w:r w:rsidR="00B078B8" w:rsidRPr="00682149">
        <w:rPr>
          <w:rFonts w:ascii="Arial" w:eastAsia="Times New Roman" w:hAnsi="Arial" w:cs="Arial"/>
          <w:color w:val="000000" w:themeColor="text1"/>
          <w:sz w:val="24"/>
          <w:szCs w:val="24"/>
          <w:lang w:val="es-CO" w:eastAsia="es-ES_tradnl"/>
        </w:rPr>
        <w:t>al margen de las exigencias formales básicas que activaron el control de legalidad de la Resolución N.º 166</w:t>
      </w:r>
      <w:r w:rsidR="00D247BF" w:rsidRPr="00682149">
        <w:rPr>
          <w:rFonts w:ascii="Arial" w:eastAsia="Times New Roman" w:hAnsi="Arial" w:cs="Arial"/>
          <w:color w:val="000000" w:themeColor="text1"/>
          <w:sz w:val="24"/>
          <w:szCs w:val="24"/>
          <w:lang w:val="es-CO" w:eastAsia="es-ES_tradnl"/>
        </w:rPr>
        <w:t xml:space="preserve">, </w:t>
      </w:r>
      <w:r w:rsidR="00F22DC8" w:rsidRPr="00682149">
        <w:rPr>
          <w:rFonts w:ascii="Arial" w:eastAsia="Times New Roman" w:hAnsi="Arial" w:cs="Arial"/>
          <w:color w:val="000000" w:themeColor="text1"/>
          <w:sz w:val="24"/>
          <w:szCs w:val="24"/>
          <w:lang w:val="es-CO" w:eastAsia="es-ES_tradnl"/>
        </w:rPr>
        <w:t xml:space="preserve">corresponde </w:t>
      </w:r>
      <w:r w:rsidR="00372447" w:rsidRPr="00682149">
        <w:rPr>
          <w:rFonts w:ascii="Arial" w:eastAsia="Times New Roman" w:hAnsi="Arial" w:cs="Arial"/>
          <w:color w:val="000000" w:themeColor="text1"/>
          <w:sz w:val="24"/>
          <w:szCs w:val="24"/>
          <w:lang w:val="es-CO" w:eastAsia="es-ES_tradnl"/>
        </w:rPr>
        <w:t>verificar si el acto observó lo</w:t>
      </w:r>
      <w:r w:rsidR="0068754E">
        <w:rPr>
          <w:rFonts w:ascii="Arial" w:eastAsia="Times New Roman" w:hAnsi="Arial" w:cs="Arial"/>
          <w:color w:val="000000" w:themeColor="text1"/>
          <w:sz w:val="24"/>
          <w:szCs w:val="24"/>
          <w:lang w:val="es-CO" w:eastAsia="es-ES_tradnl"/>
        </w:rPr>
        <w:t>s</w:t>
      </w:r>
      <w:r w:rsidR="00372447" w:rsidRPr="00682149">
        <w:rPr>
          <w:rFonts w:ascii="Arial" w:eastAsia="Times New Roman" w:hAnsi="Arial" w:cs="Arial"/>
          <w:color w:val="000000" w:themeColor="text1"/>
          <w:sz w:val="24"/>
          <w:szCs w:val="24"/>
          <w:lang w:val="es-CO" w:eastAsia="es-ES_tradnl"/>
        </w:rPr>
        <w:t xml:space="preserve"> requisitos que dan lugar a su nacimiento que</w:t>
      </w:r>
      <w:r w:rsidR="00D247BF" w:rsidRPr="00682149">
        <w:rPr>
          <w:rFonts w:ascii="Arial" w:eastAsia="Times New Roman" w:hAnsi="Arial" w:cs="Arial"/>
          <w:color w:val="000000" w:themeColor="text1"/>
          <w:sz w:val="24"/>
          <w:szCs w:val="24"/>
          <w:lang w:val="es-CO" w:eastAsia="es-ES_tradnl"/>
        </w:rPr>
        <w:t>,</w:t>
      </w:r>
      <w:r w:rsidR="00372447" w:rsidRPr="00682149">
        <w:rPr>
          <w:rFonts w:ascii="Arial" w:eastAsia="Times New Roman" w:hAnsi="Arial" w:cs="Arial"/>
          <w:color w:val="000000" w:themeColor="text1"/>
          <w:sz w:val="24"/>
          <w:szCs w:val="24"/>
          <w:lang w:val="es-CO" w:eastAsia="es-ES_tradnl"/>
        </w:rPr>
        <w:t xml:space="preserve"> en otras </w:t>
      </w:r>
      <w:r w:rsidR="000C7A0E" w:rsidRPr="00682149">
        <w:rPr>
          <w:rFonts w:ascii="Arial" w:eastAsia="Times New Roman" w:hAnsi="Arial" w:cs="Arial"/>
          <w:color w:val="000000" w:themeColor="text1"/>
          <w:sz w:val="24"/>
          <w:szCs w:val="24"/>
          <w:lang w:val="es-CO" w:eastAsia="es-ES_tradnl"/>
        </w:rPr>
        <w:t>palabras, tienen</w:t>
      </w:r>
      <w:r w:rsidR="00372447" w:rsidRPr="00682149">
        <w:rPr>
          <w:rFonts w:ascii="Arial" w:eastAsia="Times New Roman" w:hAnsi="Arial" w:cs="Arial"/>
          <w:color w:val="000000" w:themeColor="text1"/>
          <w:sz w:val="24"/>
          <w:szCs w:val="24"/>
          <w:lang w:val="es-CO" w:eastAsia="es-ES_tradnl"/>
        </w:rPr>
        <w:t xml:space="preserve"> que ver con el </w:t>
      </w:r>
      <w:r w:rsidR="005C3B38" w:rsidRPr="00682149">
        <w:rPr>
          <w:rFonts w:ascii="Arial" w:eastAsia="Times New Roman" w:hAnsi="Arial" w:cs="Arial"/>
          <w:color w:val="000000" w:themeColor="text1"/>
          <w:sz w:val="24"/>
          <w:szCs w:val="24"/>
          <w:lang w:val="es-CO" w:eastAsia="es-ES_tradnl"/>
        </w:rPr>
        <w:t>contenido formal d</w:t>
      </w:r>
      <w:r w:rsidR="00BA694F" w:rsidRPr="00682149">
        <w:rPr>
          <w:rFonts w:ascii="Arial" w:eastAsia="Times New Roman" w:hAnsi="Arial" w:cs="Arial"/>
          <w:color w:val="000000" w:themeColor="text1"/>
          <w:sz w:val="24"/>
          <w:szCs w:val="24"/>
          <w:lang w:val="es-CO" w:eastAsia="es-ES_tradnl"/>
        </w:rPr>
        <w:t xml:space="preserve">el procedimiento general </w:t>
      </w:r>
      <w:r w:rsidR="00A15CBE" w:rsidRPr="00682149">
        <w:rPr>
          <w:rFonts w:ascii="Arial" w:hAnsi="Arial" w:cs="Arial"/>
          <w:color w:val="000000" w:themeColor="text1"/>
          <w:sz w:val="24"/>
          <w:szCs w:val="24"/>
        </w:rPr>
        <w:t>para</w:t>
      </w:r>
      <w:r w:rsidR="008F247D" w:rsidRPr="00682149">
        <w:rPr>
          <w:rFonts w:ascii="Arial" w:hAnsi="Arial" w:cs="Arial"/>
          <w:color w:val="000000" w:themeColor="text1"/>
          <w:sz w:val="24"/>
          <w:szCs w:val="24"/>
        </w:rPr>
        <w:t xml:space="preserve"> definir </w:t>
      </w:r>
      <w:r w:rsidR="00C408C9" w:rsidRPr="00682149">
        <w:rPr>
          <w:rFonts w:ascii="Arial" w:hAnsi="Arial" w:cs="Arial"/>
          <w:color w:val="000000" w:themeColor="text1"/>
          <w:sz w:val="24"/>
          <w:szCs w:val="24"/>
        </w:rPr>
        <w:t xml:space="preserve">la </w:t>
      </w:r>
      <w:r w:rsidR="00BA694F" w:rsidRPr="00682149">
        <w:rPr>
          <w:rFonts w:ascii="Arial" w:hAnsi="Arial" w:cs="Arial"/>
          <w:color w:val="000000" w:themeColor="text1"/>
          <w:sz w:val="24"/>
          <w:szCs w:val="24"/>
        </w:rPr>
        <w:t xml:space="preserve">regulación </w:t>
      </w:r>
      <w:r w:rsidR="00C408C9" w:rsidRPr="00682149">
        <w:rPr>
          <w:rFonts w:ascii="Arial" w:hAnsi="Arial" w:cs="Arial"/>
          <w:color w:val="000000" w:themeColor="text1"/>
          <w:sz w:val="24"/>
          <w:szCs w:val="24"/>
        </w:rPr>
        <w:t>tarifaria,</w:t>
      </w:r>
      <w:r w:rsidR="00372447" w:rsidRPr="00682149">
        <w:rPr>
          <w:rFonts w:ascii="Arial" w:hAnsi="Arial" w:cs="Arial"/>
          <w:color w:val="000000" w:themeColor="text1"/>
          <w:sz w:val="24"/>
          <w:szCs w:val="24"/>
        </w:rPr>
        <w:t xml:space="preserve"> previsto en el </w:t>
      </w:r>
      <w:r w:rsidR="00A15CBE" w:rsidRPr="00682149">
        <w:rPr>
          <w:rFonts w:ascii="Arial" w:hAnsi="Arial" w:cs="Arial"/>
          <w:color w:val="000000" w:themeColor="text1"/>
          <w:sz w:val="24"/>
          <w:szCs w:val="24"/>
        </w:rPr>
        <w:t>artículo 126 y siguientes de la Ley 142</w:t>
      </w:r>
      <w:r w:rsidR="00A15CBE" w:rsidRPr="00682149">
        <w:rPr>
          <w:rStyle w:val="Refdenotaalpie"/>
          <w:rFonts w:ascii="Arial" w:hAnsi="Arial" w:cs="Arial"/>
          <w:color w:val="000000" w:themeColor="text1"/>
          <w:sz w:val="24"/>
          <w:szCs w:val="24"/>
        </w:rPr>
        <w:footnoteReference w:id="47"/>
      </w:r>
      <w:r w:rsidR="00372447" w:rsidRPr="00682149">
        <w:rPr>
          <w:rFonts w:ascii="Arial" w:hAnsi="Arial" w:cs="Arial"/>
          <w:color w:val="000000" w:themeColor="text1"/>
          <w:sz w:val="24"/>
          <w:szCs w:val="24"/>
        </w:rPr>
        <w:t xml:space="preserve">, </w:t>
      </w:r>
      <w:r w:rsidR="00A15CBE" w:rsidRPr="00682149">
        <w:rPr>
          <w:rFonts w:ascii="Arial" w:hAnsi="Arial" w:cs="Arial"/>
          <w:color w:val="000000" w:themeColor="text1"/>
          <w:sz w:val="24"/>
          <w:szCs w:val="24"/>
        </w:rPr>
        <w:t>la Ley 1437 de 2011</w:t>
      </w:r>
      <w:r w:rsidR="00372447" w:rsidRPr="00682149">
        <w:rPr>
          <w:rFonts w:ascii="Arial" w:hAnsi="Arial" w:cs="Arial"/>
          <w:color w:val="000000" w:themeColor="text1"/>
          <w:sz w:val="24"/>
          <w:szCs w:val="24"/>
        </w:rPr>
        <w:t xml:space="preserve"> y la </w:t>
      </w:r>
      <w:r w:rsidR="00A15CBE" w:rsidRPr="00682149">
        <w:rPr>
          <w:rFonts w:ascii="Arial" w:hAnsi="Arial" w:cs="Arial"/>
          <w:color w:val="000000" w:themeColor="text1"/>
          <w:sz w:val="24"/>
          <w:szCs w:val="24"/>
        </w:rPr>
        <w:t>Resolución CREG 039 de 30 de abril de 2017.</w:t>
      </w:r>
    </w:p>
    <w:p w14:paraId="42BE823E" w14:textId="77777777" w:rsidR="00A15CBE" w:rsidRPr="00682149" w:rsidRDefault="00A15CBE" w:rsidP="001C138F">
      <w:pPr>
        <w:widowControl w:val="0"/>
        <w:autoSpaceDE w:val="0"/>
        <w:autoSpaceDN w:val="0"/>
        <w:adjustRightInd w:val="0"/>
        <w:spacing w:after="0" w:line="276" w:lineRule="auto"/>
        <w:jc w:val="both"/>
        <w:rPr>
          <w:rFonts w:ascii="Arial" w:eastAsiaTheme="minorEastAsia" w:hAnsi="Arial" w:cs="Arial"/>
          <w:color w:val="000000" w:themeColor="text1"/>
          <w:lang w:val="es-ES" w:eastAsia="es-ES"/>
        </w:rPr>
      </w:pPr>
    </w:p>
    <w:p w14:paraId="21976F73" w14:textId="16C13E22" w:rsidR="00A15CBE" w:rsidRPr="00682149" w:rsidRDefault="00A15CBE" w:rsidP="001C138F">
      <w:pPr>
        <w:spacing w:after="0" w:line="276" w:lineRule="auto"/>
        <w:jc w:val="both"/>
        <w:rPr>
          <w:rFonts w:ascii="Arial" w:hAnsi="Arial" w:cs="Arial"/>
          <w:color w:val="000000" w:themeColor="text1"/>
          <w:sz w:val="24"/>
          <w:szCs w:val="24"/>
        </w:rPr>
      </w:pPr>
      <w:r w:rsidRPr="00682149">
        <w:rPr>
          <w:rFonts w:ascii="Arial" w:hAnsi="Arial" w:cs="Arial"/>
          <w:color w:val="000000" w:themeColor="text1"/>
          <w:sz w:val="24"/>
          <w:szCs w:val="24"/>
        </w:rPr>
        <w:t xml:space="preserve">En </w:t>
      </w:r>
      <w:r w:rsidR="0030474A" w:rsidRPr="00682149">
        <w:rPr>
          <w:rFonts w:ascii="Arial" w:hAnsi="Arial" w:cs="Arial"/>
          <w:color w:val="000000" w:themeColor="text1"/>
          <w:sz w:val="24"/>
          <w:szCs w:val="24"/>
        </w:rPr>
        <w:t xml:space="preserve">rigor, </w:t>
      </w:r>
      <w:r w:rsidRPr="00682149">
        <w:rPr>
          <w:rFonts w:ascii="Arial" w:hAnsi="Arial" w:cs="Arial"/>
          <w:color w:val="000000" w:themeColor="text1"/>
          <w:sz w:val="24"/>
          <w:szCs w:val="24"/>
        </w:rPr>
        <w:t>la expedición de la tarifa general de las soluciones de energía eléctrica mediante sistemas solares fotovoltaicos individuales AC con potencia mayor a 0,5kW debe consultar el procedimiento contenido en el artículo 127 de la Ley 142 de 1994 y en la Resolución 039 de 2017</w:t>
      </w:r>
      <w:r w:rsidRPr="00682149">
        <w:rPr>
          <w:rStyle w:val="Refdenotaalpie"/>
          <w:rFonts w:ascii="Arial" w:hAnsi="Arial" w:cs="Arial"/>
          <w:color w:val="000000" w:themeColor="text1"/>
          <w:sz w:val="24"/>
          <w:szCs w:val="24"/>
        </w:rPr>
        <w:footnoteReference w:id="48"/>
      </w:r>
      <w:r w:rsidRPr="00682149">
        <w:rPr>
          <w:rFonts w:ascii="Arial" w:hAnsi="Arial" w:cs="Arial"/>
          <w:color w:val="000000" w:themeColor="text1"/>
          <w:sz w:val="24"/>
          <w:szCs w:val="24"/>
        </w:rPr>
        <w:t>, que en términos generales exige</w:t>
      </w:r>
      <w:r w:rsidR="00D247BF" w:rsidRPr="00682149">
        <w:rPr>
          <w:rFonts w:ascii="Arial" w:hAnsi="Arial" w:cs="Arial"/>
          <w:color w:val="000000" w:themeColor="text1"/>
          <w:sz w:val="24"/>
          <w:szCs w:val="24"/>
        </w:rPr>
        <w:t>n</w:t>
      </w:r>
      <w:r w:rsidRPr="00682149">
        <w:rPr>
          <w:rFonts w:ascii="Arial" w:hAnsi="Arial" w:cs="Arial"/>
          <w:color w:val="000000" w:themeColor="text1"/>
          <w:sz w:val="24"/>
          <w:szCs w:val="24"/>
        </w:rPr>
        <w:t xml:space="preserve">: </w:t>
      </w:r>
    </w:p>
    <w:p w14:paraId="65719BF6" w14:textId="77777777" w:rsidR="00A15CBE" w:rsidRPr="00682149" w:rsidRDefault="00A15CBE" w:rsidP="001C138F">
      <w:pPr>
        <w:widowControl w:val="0"/>
        <w:tabs>
          <w:tab w:val="left" w:pos="220"/>
          <w:tab w:val="left" w:pos="720"/>
        </w:tabs>
        <w:autoSpaceDE w:val="0"/>
        <w:autoSpaceDN w:val="0"/>
        <w:adjustRightInd w:val="0"/>
        <w:spacing w:after="0" w:line="276" w:lineRule="auto"/>
        <w:ind w:left="220"/>
        <w:jc w:val="both"/>
        <w:rPr>
          <w:rFonts w:ascii="Arial" w:eastAsiaTheme="minorEastAsia" w:hAnsi="Arial" w:cs="Arial"/>
          <w:color w:val="000000" w:themeColor="text1"/>
          <w:sz w:val="24"/>
          <w:szCs w:val="24"/>
          <w:lang w:val="es-ES" w:eastAsia="es-ES"/>
        </w:rPr>
      </w:pPr>
      <w:r w:rsidRPr="00682149">
        <w:rPr>
          <w:rFonts w:ascii="Arial" w:hAnsi="Arial" w:cs="Arial"/>
          <w:color w:val="000000" w:themeColor="text1"/>
          <w:sz w:val="24"/>
          <w:szCs w:val="24"/>
        </w:rPr>
        <w:lastRenderedPageBreak/>
        <w:t xml:space="preserve">1) La expedición de bases sobre las cuales se efectuará el estudio para determinar las fórmulas, que contengan los aspectos </w:t>
      </w:r>
      <w:r w:rsidRPr="00682149">
        <w:rPr>
          <w:rFonts w:ascii="Arial" w:eastAsiaTheme="minorEastAsia" w:hAnsi="Arial" w:cs="Arial"/>
          <w:color w:val="000000" w:themeColor="text1"/>
          <w:sz w:val="24"/>
          <w:szCs w:val="24"/>
          <w:lang w:val="es-ES" w:eastAsia="es-ES"/>
        </w:rPr>
        <w:t>generales, el criterio de eficiencia, costos y gastos y, los criterios relacionados con calidad del servicio, la remuneración y los demás criterios tarifarios contenidos en la ley.</w:t>
      </w:r>
    </w:p>
    <w:p w14:paraId="527929A6" w14:textId="77777777" w:rsidR="00A15CBE" w:rsidRPr="00682149" w:rsidRDefault="00A15CBE" w:rsidP="001C138F">
      <w:pPr>
        <w:spacing w:after="0" w:line="276" w:lineRule="auto"/>
        <w:ind w:left="220"/>
        <w:jc w:val="both"/>
        <w:rPr>
          <w:rFonts w:ascii="Arial" w:hAnsi="Arial" w:cs="Arial"/>
          <w:color w:val="000000" w:themeColor="text1"/>
          <w:sz w:val="24"/>
          <w:szCs w:val="24"/>
        </w:rPr>
      </w:pPr>
      <w:r w:rsidRPr="00682149">
        <w:rPr>
          <w:rFonts w:ascii="Arial" w:hAnsi="Arial" w:cs="Arial"/>
          <w:color w:val="000000" w:themeColor="text1"/>
          <w:sz w:val="24"/>
          <w:szCs w:val="24"/>
        </w:rPr>
        <w:t xml:space="preserve"> </w:t>
      </w:r>
    </w:p>
    <w:p w14:paraId="0D3F93C2" w14:textId="0B95DA55" w:rsidR="00A15CBE" w:rsidRPr="00682149" w:rsidRDefault="00A15CBE" w:rsidP="001C138F">
      <w:pPr>
        <w:spacing w:after="0" w:line="276" w:lineRule="auto"/>
        <w:ind w:left="220"/>
        <w:jc w:val="both"/>
        <w:rPr>
          <w:rFonts w:ascii="Arial" w:eastAsiaTheme="minorEastAsia" w:hAnsi="Arial" w:cs="Arial"/>
          <w:color w:val="000000" w:themeColor="text1"/>
          <w:sz w:val="24"/>
          <w:szCs w:val="24"/>
          <w:lang w:val="es-ES" w:eastAsia="es-ES"/>
        </w:rPr>
      </w:pPr>
      <w:r w:rsidRPr="00682149">
        <w:rPr>
          <w:rFonts w:ascii="Arial" w:hAnsi="Arial" w:cs="Arial"/>
          <w:color w:val="000000" w:themeColor="text1"/>
          <w:sz w:val="24"/>
          <w:szCs w:val="24"/>
        </w:rPr>
        <w:t xml:space="preserve">2) Tres meses antes de que se inicie </w:t>
      </w:r>
      <w:r w:rsidR="001F6842" w:rsidRPr="00682149">
        <w:rPr>
          <w:rFonts w:ascii="Arial" w:hAnsi="Arial" w:cs="Arial"/>
          <w:color w:val="000000" w:themeColor="text1"/>
          <w:sz w:val="24"/>
          <w:szCs w:val="24"/>
        </w:rPr>
        <w:t>el periodo de vigencia de las fó</w:t>
      </w:r>
      <w:r w:rsidRPr="00682149">
        <w:rPr>
          <w:rFonts w:ascii="Arial" w:hAnsi="Arial" w:cs="Arial"/>
          <w:color w:val="000000" w:themeColor="text1"/>
          <w:sz w:val="24"/>
          <w:szCs w:val="24"/>
        </w:rPr>
        <w:t xml:space="preserve">rmulas </w:t>
      </w:r>
      <w:r w:rsidR="001F6842" w:rsidRPr="00682149">
        <w:rPr>
          <w:rFonts w:ascii="Arial" w:hAnsi="Arial" w:cs="Arial"/>
          <w:color w:val="000000" w:themeColor="text1"/>
          <w:sz w:val="24"/>
          <w:szCs w:val="24"/>
        </w:rPr>
        <w:t>tarifarias, se publicará</w:t>
      </w:r>
      <w:r w:rsidRPr="00682149">
        <w:rPr>
          <w:rFonts w:ascii="Arial" w:hAnsi="Arial" w:cs="Arial"/>
          <w:color w:val="000000" w:themeColor="text1"/>
          <w:sz w:val="24"/>
          <w:szCs w:val="24"/>
        </w:rPr>
        <w:t>n en la página web de la Comisión</w:t>
      </w:r>
      <w:r w:rsidR="001F6842" w:rsidRPr="00682149">
        <w:rPr>
          <w:rFonts w:ascii="Arial" w:hAnsi="Arial" w:cs="Arial"/>
          <w:color w:val="000000" w:themeColor="text1"/>
          <w:sz w:val="24"/>
          <w:szCs w:val="24"/>
        </w:rPr>
        <w:t>,</w:t>
      </w:r>
      <w:r w:rsidRPr="00682149">
        <w:rPr>
          <w:rFonts w:ascii="Arial" w:hAnsi="Arial" w:cs="Arial"/>
          <w:color w:val="000000" w:themeColor="text1"/>
          <w:sz w:val="24"/>
          <w:szCs w:val="24"/>
        </w:rPr>
        <w:t xml:space="preserve"> el texto del proyecto de metodología y fórmulas, </w:t>
      </w:r>
      <w:r w:rsidRPr="00682149">
        <w:rPr>
          <w:rFonts w:ascii="Arial" w:eastAsiaTheme="minorEastAsia" w:hAnsi="Arial" w:cs="Arial"/>
          <w:color w:val="000000" w:themeColor="text1"/>
          <w:sz w:val="24"/>
          <w:szCs w:val="24"/>
          <w:lang w:val="es-ES" w:eastAsia="es-ES"/>
        </w:rPr>
        <w:t>los estudios respectivos y los textos de los proyectos de resoluciones y se invitará a los interesados, quienes podrán consultarlos a través de la página Web de la Comisión.</w:t>
      </w:r>
    </w:p>
    <w:p w14:paraId="5B1433C5" w14:textId="77777777" w:rsidR="00A15CBE" w:rsidRPr="00682149" w:rsidRDefault="00A15CBE" w:rsidP="001C138F">
      <w:pPr>
        <w:spacing w:after="0" w:line="276" w:lineRule="auto"/>
        <w:ind w:left="220"/>
        <w:jc w:val="both"/>
        <w:rPr>
          <w:rFonts w:ascii="Arial" w:hAnsi="Arial" w:cs="Arial"/>
          <w:color w:val="000000" w:themeColor="text1"/>
          <w:sz w:val="24"/>
          <w:szCs w:val="24"/>
        </w:rPr>
      </w:pPr>
      <w:r w:rsidRPr="00682149">
        <w:rPr>
          <w:rFonts w:ascii="Arial" w:hAnsi="Arial" w:cs="Arial"/>
          <w:color w:val="000000" w:themeColor="text1"/>
          <w:sz w:val="24"/>
          <w:szCs w:val="24"/>
        </w:rPr>
        <w:t xml:space="preserve"> </w:t>
      </w:r>
    </w:p>
    <w:p w14:paraId="3112F28C" w14:textId="77777777" w:rsidR="00A15CBE" w:rsidRPr="00682149" w:rsidRDefault="00A15CBE" w:rsidP="001C138F">
      <w:pPr>
        <w:widowControl w:val="0"/>
        <w:autoSpaceDE w:val="0"/>
        <w:autoSpaceDN w:val="0"/>
        <w:adjustRightInd w:val="0"/>
        <w:spacing w:after="0" w:line="276" w:lineRule="auto"/>
        <w:ind w:left="220"/>
        <w:jc w:val="both"/>
        <w:rPr>
          <w:rFonts w:ascii="Arial" w:eastAsiaTheme="minorEastAsia" w:hAnsi="Arial" w:cs="Arial"/>
          <w:color w:val="000000" w:themeColor="text1"/>
          <w:sz w:val="24"/>
          <w:szCs w:val="24"/>
          <w:lang w:val="es-ES" w:eastAsia="es-ES"/>
        </w:rPr>
      </w:pPr>
      <w:r w:rsidRPr="00682149">
        <w:rPr>
          <w:rFonts w:ascii="Arial" w:hAnsi="Arial" w:cs="Arial"/>
          <w:color w:val="000000" w:themeColor="text1"/>
          <w:sz w:val="24"/>
          <w:szCs w:val="24"/>
        </w:rPr>
        <w:t xml:space="preserve">3) La Comisión organizará las audiencias públicas, </w:t>
      </w:r>
      <w:r w:rsidRPr="00682149">
        <w:rPr>
          <w:rFonts w:ascii="Arial" w:eastAsiaTheme="minorEastAsia" w:hAnsi="Arial" w:cs="Arial"/>
          <w:color w:val="000000" w:themeColor="text1"/>
          <w:sz w:val="24"/>
          <w:szCs w:val="24"/>
          <w:lang w:val="es-ES" w:eastAsia="es-ES"/>
        </w:rPr>
        <w:t xml:space="preserve">en distintos distritos y municipios, en el curso de los dos meses siguientes a la publicación del proyecto en la página web, para lograr la participación de los usuarios. </w:t>
      </w:r>
    </w:p>
    <w:p w14:paraId="3EEFA081" w14:textId="77777777" w:rsidR="00A15CBE" w:rsidRPr="00682149" w:rsidRDefault="00A15CBE" w:rsidP="001C138F">
      <w:pPr>
        <w:spacing w:after="0" w:line="276" w:lineRule="auto"/>
        <w:ind w:left="220"/>
        <w:jc w:val="both"/>
        <w:rPr>
          <w:rFonts w:ascii="Arial" w:hAnsi="Arial" w:cs="Arial"/>
          <w:color w:val="000000" w:themeColor="text1"/>
          <w:sz w:val="24"/>
          <w:szCs w:val="24"/>
        </w:rPr>
      </w:pPr>
    </w:p>
    <w:p w14:paraId="09ED3ED2" w14:textId="0E796E4E" w:rsidR="00A15CBE" w:rsidRPr="00682149" w:rsidRDefault="00A15CBE" w:rsidP="001C138F">
      <w:pPr>
        <w:spacing w:after="0" w:line="276" w:lineRule="auto"/>
        <w:ind w:left="220"/>
        <w:jc w:val="both"/>
        <w:rPr>
          <w:rFonts w:ascii="Arial" w:eastAsiaTheme="minorEastAsia" w:hAnsi="Arial" w:cs="Arial"/>
          <w:color w:val="000000" w:themeColor="text1"/>
          <w:sz w:val="24"/>
          <w:szCs w:val="24"/>
          <w:lang w:val="es-ES" w:eastAsia="es-ES"/>
        </w:rPr>
      </w:pPr>
      <w:r w:rsidRPr="00682149">
        <w:rPr>
          <w:rFonts w:ascii="Arial" w:hAnsi="Arial" w:cs="Arial"/>
          <w:color w:val="000000" w:themeColor="text1"/>
          <w:sz w:val="24"/>
          <w:szCs w:val="24"/>
        </w:rPr>
        <w:t>4) En dicha sesión</w:t>
      </w:r>
      <w:r w:rsidR="00D247BF" w:rsidRPr="00682149">
        <w:rPr>
          <w:rFonts w:ascii="Arial" w:hAnsi="Arial" w:cs="Arial"/>
          <w:color w:val="000000" w:themeColor="text1"/>
          <w:sz w:val="24"/>
          <w:szCs w:val="24"/>
        </w:rPr>
        <w:t>,</w:t>
      </w:r>
      <w:r w:rsidRPr="00682149">
        <w:rPr>
          <w:rFonts w:ascii="Arial" w:hAnsi="Arial" w:cs="Arial"/>
          <w:color w:val="000000" w:themeColor="text1"/>
          <w:sz w:val="24"/>
          <w:szCs w:val="24"/>
        </w:rPr>
        <w:t xml:space="preserve"> podrán </w:t>
      </w:r>
      <w:r w:rsidRPr="00682149">
        <w:rPr>
          <w:rFonts w:ascii="Arial" w:eastAsiaTheme="minorEastAsia" w:hAnsi="Arial" w:cs="Arial"/>
          <w:color w:val="000000" w:themeColor="text1"/>
          <w:sz w:val="24"/>
          <w:szCs w:val="24"/>
          <w:lang w:val="es-ES" w:eastAsia="es-ES"/>
        </w:rPr>
        <w:t>intervenir los representantes de las personas prestadoras de los servicios objeto de la decisión; los vocales de los comités de control social de los servicios públicos que fueren debidamente acreditados; los representantes legales de las ligas o de las asociaciones de consumidores; los representantes legales de las organizaciones gremiales; y los delegados de las universidades y centros de investigación y los usuarios. La consulta será grabada y se dejará un acta escrita, al igual que se incorporarán los documentos presentados y los principales puntos que fueron objeto de debate.</w:t>
      </w:r>
    </w:p>
    <w:p w14:paraId="6D8FBC7A" w14:textId="77777777" w:rsidR="00A15CBE" w:rsidRPr="00682149" w:rsidRDefault="00A15CBE" w:rsidP="001C138F">
      <w:pPr>
        <w:spacing w:after="0" w:line="276" w:lineRule="auto"/>
        <w:ind w:left="220"/>
        <w:jc w:val="both"/>
        <w:rPr>
          <w:rFonts w:ascii="Arial" w:hAnsi="Arial" w:cs="Arial"/>
          <w:color w:val="000000" w:themeColor="text1"/>
          <w:sz w:val="24"/>
          <w:szCs w:val="24"/>
        </w:rPr>
      </w:pPr>
    </w:p>
    <w:p w14:paraId="3E3E8B62" w14:textId="6389528B" w:rsidR="00A15CBE" w:rsidRPr="00682149" w:rsidRDefault="00A15CBE" w:rsidP="001C138F">
      <w:pPr>
        <w:spacing w:after="0" w:line="276" w:lineRule="auto"/>
        <w:ind w:left="220"/>
        <w:jc w:val="both"/>
        <w:rPr>
          <w:rFonts w:ascii="Arial" w:eastAsiaTheme="minorEastAsia" w:hAnsi="Arial" w:cs="Arial"/>
          <w:color w:val="000000" w:themeColor="text1"/>
          <w:sz w:val="24"/>
          <w:szCs w:val="24"/>
          <w:lang w:val="es-ES" w:eastAsia="es-ES"/>
        </w:rPr>
      </w:pPr>
      <w:r w:rsidRPr="00682149">
        <w:rPr>
          <w:rFonts w:ascii="Arial" w:hAnsi="Arial" w:cs="Arial"/>
          <w:color w:val="000000" w:themeColor="text1"/>
          <w:sz w:val="24"/>
          <w:szCs w:val="24"/>
        </w:rPr>
        <w:t xml:space="preserve">5) </w:t>
      </w:r>
      <w:r w:rsidRPr="00682149">
        <w:rPr>
          <w:rFonts w:ascii="Arial" w:eastAsiaTheme="minorEastAsia" w:hAnsi="Arial" w:cs="Arial"/>
          <w:color w:val="000000" w:themeColor="text1"/>
          <w:sz w:val="24"/>
          <w:szCs w:val="24"/>
          <w:lang w:val="es-ES" w:eastAsia="es-ES"/>
        </w:rPr>
        <w:t>El Comité de Expertos deberá elaborar el documento final que servirá de base para la toma de la decisión, que contendrá las razones por las cuales se aceptan o rechazan las propuestas formuladas y finalmente se expedirá la Resolución respectiva. En la parte motiva se hará mención del documento en el cual la Comisión revisó los comentarios recibidos. Agotado el trámite indicado y expedida la resolución se publicará</w:t>
      </w:r>
      <w:r w:rsidRPr="00682149">
        <w:rPr>
          <w:rFonts w:ascii="Arial" w:eastAsiaTheme="minorEastAsia" w:hAnsi="Arial" w:cs="Arial"/>
          <w:i/>
          <w:iCs/>
          <w:color w:val="000000" w:themeColor="text1"/>
          <w:sz w:val="24"/>
          <w:szCs w:val="24"/>
          <w:lang w:val="es-ES" w:eastAsia="es-ES"/>
        </w:rPr>
        <w:t>.</w:t>
      </w:r>
    </w:p>
    <w:p w14:paraId="0075FA35" w14:textId="77777777" w:rsidR="00A15CBE" w:rsidRPr="00682149" w:rsidRDefault="00A15CBE" w:rsidP="001C138F">
      <w:pPr>
        <w:spacing w:after="0" w:line="276" w:lineRule="auto"/>
        <w:ind w:left="220"/>
        <w:jc w:val="both"/>
        <w:rPr>
          <w:rFonts w:ascii="Arial" w:eastAsiaTheme="minorEastAsia" w:hAnsi="Arial" w:cs="Arial"/>
          <w:b/>
          <w:bCs/>
          <w:color w:val="000000" w:themeColor="text1"/>
          <w:sz w:val="24"/>
          <w:szCs w:val="24"/>
          <w:lang w:val="es-ES" w:eastAsia="es-ES"/>
        </w:rPr>
      </w:pPr>
      <w:r w:rsidRPr="00682149">
        <w:rPr>
          <w:rFonts w:ascii="Arial" w:eastAsiaTheme="minorEastAsia" w:hAnsi="Arial" w:cs="Arial"/>
          <w:b/>
          <w:bCs/>
          <w:color w:val="000000" w:themeColor="text1"/>
          <w:sz w:val="24"/>
          <w:szCs w:val="24"/>
          <w:lang w:val="es-ES" w:eastAsia="es-ES"/>
        </w:rPr>
        <w:t xml:space="preserve"> </w:t>
      </w:r>
    </w:p>
    <w:p w14:paraId="490C814B" w14:textId="77777777" w:rsidR="00A15CBE" w:rsidRPr="00682149" w:rsidRDefault="00A15CBE" w:rsidP="001C138F">
      <w:pPr>
        <w:spacing w:after="0" w:line="276" w:lineRule="auto"/>
        <w:ind w:left="220"/>
        <w:jc w:val="both"/>
        <w:rPr>
          <w:rFonts w:ascii="Arial" w:hAnsi="Arial" w:cs="Arial"/>
          <w:color w:val="000000" w:themeColor="text1"/>
          <w:sz w:val="24"/>
          <w:szCs w:val="24"/>
        </w:rPr>
      </w:pPr>
      <w:r w:rsidRPr="00682149">
        <w:rPr>
          <w:rFonts w:ascii="Arial" w:eastAsiaTheme="minorEastAsia" w:hAnsi="Arial" w:cs="Arial"/>
          <w:bCs/>
          <w:color w:val="000000" w:themeColor="text1"/>
          <w:sz w:val="24"/>
          <w:szCs w:val="24"/>
          <w:lang w:val="es-ES" w:eastAsia="es-ES"/>
        </w:rPr>
        <w:lastRenderedPageBreak/>
        <w:t>6)</w:t>
      </w:r>
      <w:r w:rsidRPr="00682149">
        <w:rPr>
          <w:rFonts w:ascii="Arial" w:eastAsiaTheme="minorEastAsia" w:hAnsi="Arial" w:cs="Arial"/>
          <w:b/>
          <w:bCs/>
          <w:color w:val="000000" w:themeColor="text1"/>
          <w:sz w:val="24"/>
          <w:szCs w:val="24"/>
          <w:lang w:val="es-ES" w:eastAsia="es-ES"/>
        </w:rPr>
        <w:t xml:space="preserve"> </w:t>
      </w:r>
      <w:r w:rsidRPr="00682149">
        <w:rPr>
          <w:rFonts w:ascii="Arial" w:eastAsiaTheme="minorEastAsia" w:hAnsi="Arial" w:cs="Arial"/>
          <w:color w:val="000000" w:themeColor="text1"/>
          <w:sz w:val="24"/>
          <w:szCs w:val="24"/>
          <w:lang w:val="es-ES" w:eastAsia="es-ES"/>
        </w:rPr>
        <w:t>El Director Ejecutivo de la CREG informará a la Superintendencia de Industria y Comercio los actos administrativos de carácter general que pretenda expedir la Comisión y que puedan tener incidencia en la competencia.</w:t>
      </w:r>
      <w:r w:rsidRPr="00682149">
        <w:rPr>
          <w:rStyle w:val="Refdenotaalpie"/>
          <w:rFonts w:ascii="Arial" w:eastAsiaTheme="minorEastAsia" w:hAnsi="Arial" w:cs="Arial"/>
          <w:color w:val="000000" w:themeColor="text1"/>
          <w:sz w:val="24"/>
          <w:szCs w:val="24"/>
          <w:lang w:val="es-ES" w:eastAsia="es-ES"/>
        </w:rPr>
        <w:footnoteReference w:id="49"/>
      </w:r>
      <w:r w:rsidRPr="00682149">
        <w:rPr>
          <w:rFonts w:ascii="Arial" w:eastAsiaTheme="minorEastAsia" w:hAnsi="Arial" w:cs="Arial"/>
          <w:color w:val="000000" w:themeColor="text1"/>
          <w:sz w:val="24"/>
          <w:szCs w:val="24"/>
          <w:lang w:val="es-ES" w:eastAsia="es-ES"/>
        </w:rPr>
        <w:t xml:space="preserve"> </w:t>
      </w:r>
    </w:p>
    <w:p w14:paraId="7842F69B" w14:textId="77777777" w:rsidR="0030474A" w:rsidRPr="00682149" w:rsidRDefault="0030474A" w:rsidP="001C138F">
      <w:pPr>
        <w:spacing w:after="0" w:line="276" w:lineRule="auto"/>
        <w:contextualSpacing/>
        <w:rPr>
          <w:rFonts w:ascii="Arial" w:eastAsia="Times New Roman" w:hAnsi="Arial" w:cs="Arial"/>
          <w:b/>
          <w:color w:val="000000" w:themeColor="text1"/>
          <w:sz w:val="24"/>
          <w:szCs w:val="24"/>
          <w:lang w:val="es-CO" w:eastAsia="es-ES_tradnl"/>
        </w:rPr>
      </w:pPr>
    </w:p>
    <w:p w14:paraId="451AC55A" w14:textId="15DDE690" w:rsidR="005A0EDE" w:rsidRPr="00682149" w:rsidRDefault="00372447" w:rsidP="001C138F">
      <w:pPr>
        <w:spacing w:after="0" w:line="276" w:lineRule="auto"/>
        <w:contextualSpacing/>
        <w:jc w:val="both"/>
        <w:rPr>
          <w:rFonts w:ascii="Arial" w:eastAsiaTheme="minorEastAsia" w:hAnsi="Arial" w:cs="Arial"/>
          <w:color w:val="000000" w:themeColor="text1"/>
          <w:sz w:val="24"/>
          <w:szCs w:val="24"/>
          <w:lang w:val="es-ES" w:eastAsia="es-ES"/>
        </w:rPr>
      </w:pPr>
      <w:r w:rsidRPr="00976D77">
        <w:rPr>
          <w:rFonts w:ascii="Arial" w:eastAsia="Times New Roman" w:hAnsi="Arial" w:cs="Arial"/>
          <w:color w:val="000000" w:themeColor="text1"/>
          <w:sz w:val="24"/>
          <w:szCs w:val="24"/>
          <w:lang w:val="es-CO" w:eastAsia="es-ES_tradnl"/>
        </w:rPr>
        <w:t xml:space="preserve">No obstante lo anterior, de cara </w:t>
      </w:r>
      <w:r w:rsidR="00275977" w:rsidRPr="00976D77">
        <w:rPr>
          <w:rFonts w:ascii="Arial" w:eastAsia="Times New Roman" w:hAnsi="Arial" w:cs="Arial"/>
          <w:color w:val="000000" w:themeColor="text1"/>
          <w:sz w:val="24"/>
          <w:szCs w:val="24"/>
          <w:lang w:val="es-CO" w:eastAsia="es-ES_tradnl"/>
        </w:rPr>
        <w:t>a la expedición del acto que contiene la</w:t>
      </w:r>
      <w:r w:rsidR="00976D77" w:rsidRPr="00976D77">
        <w:rPr>
          <w:rFonts w:ascii="Arial" w:eastAsia="Times New Roman" w:hAnsi="Arial" w:cs="Arial"/>
          <w:color w:val="000000" w:themeColor="text1"/>
          <w:sz w:val="24"/>
          <w:szCs w:val="24"/>
          <w:lang w:val="es-CO" w:eastAsia="es-ES_tradnl"/>
        </w:rPr>
        <w:t>s</w:t>
      </w:r>
      <w:r w:rsidR="00275977" w:rsidRPr="00976D77">
        <w:rPr>
          <w:rFonts w:ascii="Arial" w:eastAsia="Times New Roman" w:hAnsi="Arial" w:cs="Arial"/>
          <w:color w:val="000000" w:themeColor="text1"/>
          <w:sz w:val="24"/>
          <w:szCs w:val="24"/>
          <w:lang w:val="es-CO" w:eastAsia="es-ES_tradnl"/>
        </w:rPr>
        <w:t xml:space="preserve"> tarifas </w:t>
      </w:r>
      <w:r w:rsidR="00D247BF" w:rsidRPr="00976D77">
        <w:rPr>
          <w:rFonts w:ascii="Arial" w:eastAsia="Times New Roman" w:hAnsi="Arial" w:cs="Arial"/>
          <w:color w:val="000000" w:themeColor="text1"/>
          <w:sz w:val="24"/>
          <w:szCs w:val="24"/>
          <w:lang w:val="es-CO" w:eastAsia="es-ES_tradnl"/>
        </w:rPr>
        <w:t>transitorias</w:t>
      </w:r>
      <w:r w:rsidR="00275977" w:rsidRPr="00976D77">
        <w:rPr>
          <w:rFonts w:ascii="Arial" w:eastAsia="Times New Roman" w:hAnsi="Arial" w:cs="Arial"/>
          <w:color w:val="000000" w:themeColor="text1"/>
          <w:sz w:val="24"/>
          <w:szCs w:val="24"/>
          <w:lang w:val="es-CO" w:eastAsia="es-ES_tradnl"/>
        </w:rPr>
        <w:t xml:space="preserve"> objeto de control, </w:t>
      </w:r>
      <w:r w:rsidRPr="00976D77">
        <w:rPr>
          <w:rFonts w:ascii="Arial" w:eastAsia="Times New Roman" w:hAnsi="Arial" w:cs="Arial"/>
          <w:color w:val="000000" w:themeColor="text1"/>
          <w:sz w:val="24"/>
          <w:szCs w:val="24"/>
          <w:lang w:val="es-CO" w:eastAsia="es-ES_tradnl"/>
        </w:rPr>
        <w:t xml:space="preserve">el artículo 3º del Decreto Legislativo 517 </w:t>
      </w:r>
      <w:r w:rsidR="00717650" w:rsidRPr="00976D77">
        <w:rPr>
          <w:rFonts w:ascii="Arial" w:eastAsia="Times New Roman" w:hAnsi="Arial" w:cs="Arial"/>
          <w:color w:val="000000" w:themeColor="text1"/>
          <w:sz w:val="24"/>
          <w:szCs w:val="24"/>
          <w:lang w:val="es-CO" w:eastAsia="es-ES_tradnl"/>
        </w:rPr>
        <w:t>fle</w:t>
      </w:r>
      <w:r w:rsidR="00717650" w:rsidRPr="00682149">
        <w:rPr>
          <w:rFonts w:ascii="Arial" w:eastAsia="Times New Roman" w:hAnsi="Arial" w:cs="Arial"/>
          <w:color w:val="000000" w:themeColor="text1"/>
          <w:sz w:val="24"/>
          <w:szCs w:val="24"/>
          <w:lang w:val="es-CO" w:eastAsia="es-ES_tradnl"/>
        </w:rPr>
        <w:t xml:space="preserve">xibilizó algunos </w:t>
      </w:r>
      <w:r w:rsidR="00D247BF" w:rsidRPr="00682149">
        <w:rPr>
          <w:rFonts w:ascii="Arial" w:eastAsia="Times New Roman" w:hAnsi="Arial" w:cs="Arial"/>
          <w:color w:val="000000" w:themeColor="text1"/>
          <w:sz w:val="24"/>
          <w:szCs w:val="24"/>
          <w:lang w:val="es-CO" w:eastAsia="es-ES_tradnl"/>
        </w:rPr>
        <w:t>de ellos</w:t>
      </w:r>
      <w:r w:rsidR="00717650" w:rsidRPr="00682149">
        <w:rPr>
          <w:rFonts w:ascii="Arial" w:eastAsia="Times New Roman" w:hAnsi="Arial" w:cs="Arial"/>
          <w:color w:val="000000" w:themeColor="text1"/>
          <w:sz w:val="24"/>
          <w:szCs w:val="24"/>
          <w:lang w:val="es-CO" w:eastAsia="es-ES_tradnl"/>
        </w:rPr>
        <w:t xml:space="preserve">, cómo los </w:t>
      </w:r>
      <w:r w:rsidR="00717650" w:rsidRPr="00682149">
        <w:rPr>
          <w:rFonts w:ascii="Arial" w:eastAsiaTheme="minorEastAsia" w:hAnsi="Arial" w:cs="Arial"/>
          <w:color w:val="000000" w:themeColor="text1"/>
          <w:sz w:val="24"/>
          <w:szCs w:val="24"/>
          <w:lang w:val="es-ES" w:eastAsia="es-ES"/>
        </w:rPr>
        <w:t>períodos, plazos, información de los proyectos de regulación a la Superintendencia de Industria y Comercio</w:t>
      </w:r>
      <w:r w:rsidR="0068754E">
        <w:rPr>
          <w:rFonts w:ascii="Arial" w:eastAsiaTheme="minorEastAsia" w:hAnsi="Arial" w:cs="Arial"/>
          <w:color w:val="000000" w:themeColor="text1"/>
          <w:sz w:val="24"/>
          <w:szCs w:val="24"/>
          <w:lang w:val="es-ES" w:eastAsia="es-ES"/>
        </w:rPr>
        <w:t>,</w:t>
      </w:r>
      <w:r w:rsidR="00717650" w:rsidRPr="00682149">
        <w:rPr>
          <w:rFonts w:ascii="Arial" w:eastAsiaTheme="minorEastAsia" w:hAnsi="Arial" w:cs="Arial"/>
          <w:color w:val="000000" w:themeColor="text1"/>
          <w:sz w:val="24"/>
          <w:szCs w:val="24"/>
          <w:lang w:val="es-ES" w:eastAsia="es-ES"/>
        </w:rPr>
        <w:t xml:space="preserve"> publicidad y de </w:t>
      </w:r>
      <w:r w:rsidR="00A0204A" w:rsidRPr="00682149">
        <w:rPr>
          <w:rFonts w:ascii="Arial" w:eastAsiaTheme="minorEastAsia" w:hAnsi="Arial" w:cs="Arial"/>
          <w:color w:val="000000" w:themeColor="text1"/>
          <w:sz w:val="24"/>
          <w:szCs w:val="24"/>
          <w:lang w:val="es-ES" w:eastAsia="es-ES"/>
        </w:rPr>
        <w:t xml:space="preserve">consulta, </w:t>
      </w:r>
      <w:r w:rsidR="00A0204A" w:rsidRPr="00682149">
        <w:rPr>
          <w:rFonts w:ascii="Arial" w:eastAsia="Times New Roman" w:hAnsi="Arial" w:cs="Arial"/>
          <w:color w:val="000000" w:themeColor="text1"/>
          <w:sz w:val="24"/>
          <w:szCs w:val="24"/>
          <w:lang w:val="es-CO" w:eastAsia="es-ES_tradnl"/>
        </w:rPr>
        <w:t>sin</w:t>
      </w:r>
      <w:r w:rsidR="00717650" w:rsidRPr="00682149">
        <w:rPr>
          <w:rFonts w:ascii="Arial" w:eastAsia="Times New Roman" w:hAnsi="Arial" w:cs="Arial"/>
          <w:color w:val="000000" w:themeColor="text1"/>
          <w:sz w:val="24"/>
          <w:szCs w:val="24"/>
          <w:lang w:val="es-CO" w:eastAsia="es-ES_tradnl"/>
        </w:rPr>
        <w:t xml:space="preserve"> </w:t>
      </w:r>
      <w:r w:rsidR="00275977" w:rsidRPr="00682149">
        <w:rPr>
          <w:rFonts w:ascii="Arial" w:eastAsia="Times New Roman" w:hAnsi="Arial" w:cs="Arial"/>
          <w:color w:val="000000" w:themeColor="text1"/>
          <w:sz w:val="24"/>
          <w:szCs w:val="24"/>
          <w:lang w:val="es-CO" w:eastAsia="es-ES_tradnl"/>
        </w:rPr>
        <w:t xml:space="preserve">echar de menos los requisitos esenciales </w:t>
      </w:r>
      <w:r w:rsidR="00F510FC" w:rsidRPr="00682149">
        <w:rPr>
          <w:rFonts w:ascii="Arial" w:eastAsia="Times New Roman" w:hAnsi="Arial" w:cs="Arial"/>
          <w:color w:val="000000" w:themeColor="text1"/>
          <w:sz w:val="24"/>
          <w:szCs w:val="24"/>
          <w:lang w:val="es-CO" w:eastAsia="es-ES_tradnl"/>
        </w:rPr>
        <w:t>para su expedición</w:t>
      </w:r>
      <w:r w:rsidR="005A0EDE" w:rsidRPr="00682149">
        <w:rPr>
          <w:rFonts w:ascii="Arial" w:eastAsiaTheme="minorEastAsia" w:hAnsi="Arial" w:cs="Arial"/>
          <w:color w:val="000000" w:themeColor="text1"/>
          <w:sz w:val="24"/>
          <w:szCs w:val="24"/>
          <w:lang w:val="es-ES" w:eastAsia="es-ES"/>
        </w:rPr>
        <w:t xml:space="preserve">. </w:t>
      </w:r>
    </w:p>
    <w:p w14:paraId="7AF13E8B" w14:textId="77777777" w:rsidR="007D6319" w:rsidRPr="00682149" w:rsidRDefault="007D6319" w:rsidP="001C138F">
      <w:pPr>
        <w:spacing w:after="0" w:line="276" w:lineRule="auto"/>
        <w:jc w:val="both"/>
        <w:rPr>
          <w:rFonts w:ascii="Arial" w:eastAsiaTheme="minorEastAsia" w:hAnsi="Arial" w:cs="Arial"/>
          <w:i/>
          <w:color w:val="000000" w:themeColor="text1"/>
          <w:lang w:val="es-ES" w:eastAsia="es-ES"/>
        </w:rPr>
      </w:pPr>
    </w:p>
    <w:p w14:paraId="075D6997" w14:textId="28176BC0" w:rsidR="000C6888" w:rsidRPr="00682149" w:rsidRDefault="007D6319" w:rsidP="001C138F">
      <w:pPr>
        <w:spacing w:after="0" w:line="276" w:lineRule="auto"/>
        <w:jc w:val="both"/>
        <w:rPr>
          <w:rFonts w:ascii="Arial" w:eastAsiaTheme="minorEastAsia" w:hAnsi="Arial" w:cs="Arial"/>
          <w:color w:val="000000" w:themeColor="text1"/>
          <w:sz w:val="24"/>
          <w:szCs w:val="24"/>
          <w:lang w:val="es-ES" w:eastAsia="es-ES"/>
        </w:rPr>
      </w:pPr>
      <w:r w:rsidRPr="00682149">
        <w:rPr>
          <w:rFonts w:ascii="Arial" w:eastAsiaTheme="minorEastAsia" w:hAnsi="Arial" w:cs="Arial"/>
          <w:color w:val="000000" w:themeColor="text1"/>
          <w:sz w:val="24"/>
          <w:szCs w:val="24"/>
          <w:lang w:val="es-ES" w:eastAsia="es-ES"/>
        </w:rPr>
        <w:t>En efecto, los parágrafos 2º y 3º del artículo 3º del Decreto Legislativo 517 d</w:t>
      </w:r>
      <w:r w:rsidR="006A1BC3" w:rsidRPr="00682149">
        <w:rPr>
          <w:rFonts w:ascii="Arial" w:eastAsiaTheme="minorEastAsia" w:hAnsi="Arial" w:cs="Arial"/>
          <w:color w:val="000000" w:themeColor="text1"/>
          <w:sz w:val="24"/>
          <w:szCs w:val="24"/>
          <w:lang w:val="es-ES" w:eastAsia="es-ES"/>
        </w:rPr>
        <w:t xml:space="preserve">eterminaron </w:t>
      </w:r>
      <w:r w:rsidRPr="00682149">
        <w:rPr>
          <w:rFonts w:ascii="Arial" w:eastAsiaTheme="minorEastAsia" w:hAnsi="Arial" w:cs="Arial"/>
          <w:color w:val="000000" w:themeColor="text1"/>
          <w:sz w:val="24"/>
          <w:szCs w:val="24"/>
          <w:lang w:val="es-ES" w:eastAsia="es-ES"/>
        </w:rPr>
        <w:t>que la Comisión de Regulación de Energía y Gas CREG al adopta</w:t>
      </w:r>
      <w:r w:rsidR="000C6888" w:rsidRPr="00682149">
        <w:rPr>
          <w:rFonts w:ascii="Arial" w:eastAsiaTheme="minorEastAsia" w:hAnsi="Arial" w:cs="Arial"/>
          <w:color w:val="000000" w:themeColor="text1"/>
          <w:sz w:val="24"/>
          <w:szCs w:val="24"/>
          <w:lang w:val="es-ES" w:eastAsia="es-ES"/>
        </w:rPr>
        <w:t>r</w:t>
      </w:r>
      <w:r w:rsidR="006A1BC3" w:rsidRPr="00682149">
        <w:rPr>
          <w:rFonts w:ascii="Arial" w:eastAsiaTheme="minorEastAsia" w:hAnsi="Arial" w:cs="Arial"/>
          <w:color w:val="000000" w:themeColor="text1"/>
          <w:sz w:val="24"/>
          <w:szCs w:val="24"/>
          <w:lang w:val="es-ES" w:eastAsia="es-ES"/>
        </w:rPr>
        <w:t xml:space="preserve"> las medidas pod</w:t>
      </w:r>
      <w:r w:rsidR="000C6888" w:rsidRPr="00682149">
        <w:rPr>
          <w:rFonts w:ascii="Arial" w:eastAsiaTheme="minorEastAsia" w:hAnsi="Arial" w:cs="Arial"/>
          <w:color w:val="000000" w:themeColor="text1"/>
          <w:sz w:val="24"/>
          <w:szCs w:val="24"/>
          <w:lang w:val="es-ES" w:eastAsia="es-ES"/>
        </w:rPr>
        <w:t xml:space="preserve">ía hacerlo </w:t>
      </w:r>
      <w:r w:rsidRPr="00682149">
        <w:rPr>
          <w:rFonts w:ascii="Arial" w:eastAsiaTheme="minorEastAsia" w:hAnsi="Arial" w:cs="Arial"/>
          <w:color w:val="000000" w:themeColor="text1"/>
          <w:sz w:val="24"/>
          <w:szCs w:val="24"/>
          <w:lang w:val="es-ES" w:eastAsia="es-ES"/>
        </w:rPr>
        <w:t xml:space="preserve">sin la observación de los períodos, plazos y requisitos definidos en las leyes 142 y 143 de 1994 y demás disposiciones legales, por </w:t>
      </w:r>
      <w:r w:rsidR="003D4908" w:rsidRPr="00682149">
        <w:rPr>
          <w:rFonts w:ascii="Arial" w:eastAsiaTheme="minorEastAsia" w:hAnsi="Arial" w:cs="Arial"/>
          <w:color w:val="000000" w:themeColor="text1"/>
          <w:sz w:val="24"/>
          <w:szCs w:val="24"/>
          <w:lang w:val="es-ES" w:eastAsia="es-ES"/>
        </w:rPr>
        <w:t>lo que no estaría obligada</w:t>
      </w:r>
      <w:r w:rsidRPr="00682149">
        <w:rPr>
          <w:rFonts w:ascii="Arial" w:eastAsiaTheme="minorEastAsia" w:hAnsi="Arial" w:cs="Arial"/>
          <w:color w:val="000000" w:themeColor="text1"/>
          <w:sz w:val="24"/>
          <w:szCs w:val="24"/>
          <w:lang w:val="es-ES" w:eastAsia="es-ES"/>
        </w:rPr>
        <w:t xml:space="preserve"> a publicar el texto del proyecto, la metodología y las fórmulas con tres meses de anticipación de iniciar el periodo de vigencia, ni organizar las audiencias en los dos meses siguientes a la publicación del proyecto para l</w:t>
      </w:r>
      <w:r w:rsidR="003D4908" w:rsidRPr="00682149">
        <w:rPr>
          <w:rFonts w:ascii="Arial" w:eastAsiaTheme="minorEastAsia" w:hAnsi="Arial" w:cs="Arial"/>
          <w:color w:val="000000" w:themeColor="text1"/>
          <w:sz w:val="24"/>
          <w:szCs w:val="24"/>
          <w:lang w:val="es-ES" w:eastAsia="es-ES"/>
        </w:rPr>
        <w:t xml:space="preserve">a participación de los usuarios. </w:t>
      </w:r>
    </w:p>
    <w:p w14:paraId="4A019209" w14:textId="77777777" w:rsidR="000C6888" w:rsidRPr="00682149" w:rsidRDefault="000C6888" w:rsidP="001C138F">
      <w:pPr>
        <w:spacing w:after="0" w:line="276" w:lineRule="auto"/>
        <w:jc w:val="both"/>
        <w:rPr>
          <w:rFonts w:ascii="Arial" w:eastAsiaTheme="minorEastAsia" w:hAnsi="Arial" w:cs="Arial"/>
          <w:color w:val="000000" w:themeColor="text1"/>
          <w:sz w:val="24"/>
          <w:szCs w:val="24"/>
          <w:lang w:val="es-ES" w:eastAsia="es-ES"/>
        </w:rPr>
      </w:pPr>
    </w:p>
    <w:p w14:paraId="27F0E040" w14:textId="7832BE6A" w:rsidR="000C6888" w:rsidRPr="00682149" w:rsidRDefault="003D4908" w:rsidP="001C138F">
      <w:pPr>
        <w:spacing w:after="0" w:line="276" w:lineRule="auto"/>
        <w:jc w:val="both"/>
        <w:rPr>
          <w:rFonts w:ascii="Arial" w:eastAsiaTheme="minorEastAsia" w:hAnsi="Arial" w:cs="Arial"/>
          <w:color w:val="000000" w:themeColor="text1"/>
          <w:sz w:val="24"/>
          <w:szCs w:val="24"/>
          <w:lang w:val="es-ES" w:eastAsia="es-ES"/>
        </w:rPr>
      </w:pPr>
      <w:r w:rsidRPr="00682149">
        <w:rPr>
          <w:rFonts w:ascii="Arial" w:eastAsiaTheme="minorEastAsia" w:hAnsi="Arial" w:cs="Arial"/>
          <w:color w:val="000000" w:themeColor="text1"/>
          <w:sz w:val="24"/>
          <w:szCs w:val="24"/>
          <w:lang w:val="es-ES" w:eastAsia="es-ES"/>
        </w:rPr>
        <w:t xml:space="preserve">En este caso, </w:t>
      </w:r>
      <w:r w:rsidR="006A1BC3" w:rsidRPr="00682149">
        <w:rPr>
          <w:rFonts w:ascii="Arial" w:eastAsiaTheme="minorEastAsia" w:hAnsi="Arial" w:cs="Arial"/>
          <w:color w:val="000000" w:themeColor="text1"/>
          <w:sz w:val="24"/>
          <w:szCs w:val="24"/>
          <w:lang w:val="es-ES" w:eastAsia="es-ES"/>
        </w:rPr>
        <w:t xml:space="preserve">como </w:t>
      </w:r>
      <w:r w:rsidR="007D6319" w:rsidRPr="00682149">
        <w:rPr>
          <w:rFonts w:ascii="Arial" w:eastAsiaTheme="minorEastAsia" w:hAnsi="Arial" w:cs="Arial"/>
          <w:color w:val="000000" w:themeColor="text1"/>
          <w:sz w:val="24"/>
          <w:szCs w:val="24"/>
          <w:lang w:val="es-ES" w:eastAsia="es-ES"/>
        </w:rPr>
        <w:t>no existía una regulación tarifaria en este tipo de solución energética</w:t>
      </w:r>
      <w:r w:rsidR="006A1BC3" w:rsidRPr="00682149">
        <w:rPr>
          <w:rFonts w:ascii="Arial" w:eastAsiaTheme="minorEastAsia" w:hAnsi="Arial" w:cs="Arial"/>
          <w:color w:val="000000" w:themeColor="text1"/>
          <w:sz w:val="24"/>
          <w:szCs w:val="24"/>
          <w:lang w:val="es-ES" w:eastAsia="es-ES"/>
        </w:rPr>
        <w:t xml:space="preserve">, </w:t>
      </w:r>
      <w:r w:rsidR="00B0637F" w:rsidRPr="00682149">
        <w:rPr>
          <w:rFonts w:ascii="Arial" w:eastAsiaTheme="minorEastAsia" w:hAnsi="Arial" w:cs="Arial"/>
          <w:color w:val="000000" w:themeColor="text1"/>
          <w:sz w:val="24"/>
          <w:szCs w:val="24"/>
          <w:lang w:val="es-ES" w:eastAsia="es-ES"/>
        </w:rPr>
        <w:t xml:space="preserve">basta que la decisión </w:t>
      </w:r>
      <w:r w:rsidR="006A1BC3" w:rsidRPr="00682149">
        <w:rPr>
          <w:rFonts w:ascii="Arial" w:eastAsiaTheme="minorEastAsia" w:hAnsi="Arial" w:cs="Arial"/>
          <w:color w:val="000000" w:themeColor="text1"/>
          <w:sz w:val="24"/>
          <w:szCs w:val="24"/>
          <w:lang w:val="es-ES" w:eastAsia="es-ES"/>
        </w:rPr>
        <w:t>produ</w:t>
      </w:r>
      <w:r w:rsidR="00B0637F" w:rsidRPr="00682149">
        <w:rPr>
          <w:rFonts w:ascii="Arial" w:eastAsiaTheme="minorEastAsia" w:hAnsi="Arial" w:cs="Arial"/>
          <w:color w:val="000000" w:themeColor="text1"/>
          <w:sz w:val="24"/>
          <w:szCs w:val="24"/>
          <w:lang w:val="es-ES" w:eastAsia="es-ES"/>
        </w:rPr>
        <w:t xml:space="preserve">zca </w:t>
      </w:r>
      <w:r w:rsidR="006A1BC3" w:rsidRPr="00682149">
        <w:rPr>
          <w:rFonts w:ascii="Arial" w:eastAsiaTheme="minorEastAsia" w:hAnsi="Arial" w:cs="Arial"/>
          <w:color w:val="000000" w:themeColor="text1"/>
          <w:sz w:val="24"/>
          <w:szCs w:val="24"/>
          <w:lang w:val="es-ES" w:eastAsia="es-ES"/>
        </w:rPr>
        <w:t xml:space="preserve">efectos a partir de su </w:t>
      </w:r>
      <w:r w:rsidR="00B638BF">
        <w:rPr>
          <w:rFonts w:ascii="Arial" w:eastAsiaTheme="minorEastAsia" w:hAnsi="Arial" w:cs="Arial"/>
          <w:color w:val="000000" w:themeColor="text1"/>
          <w:sz w:val="24"/>
          <w:szCs w:val="24"/>
          <w:lang w:val="es-ES" w:eastAsia="es-ES"/>
        </w:rPr>
        <w:t>publicación</w:t>
      </w:r>
      <w:r w:rsidR="00B0637F" w:rsidRPr="00682149">
        <w:rPr>
          <w:rFonts w:ascii="Arial" w:eastAsiaTheme="minorEastAsia" w:hAnsi="Arial" w:cs="Arial"/>
          <w:color w:val="000000" w:themeColor="text1"/>
          <w:sz w:val="24"/>
          <w:szCs w:val="24"/>
          <w:lang w:val="es-ES" w:eastAsia="es-ES"/>
        </w:rPr>
        <w:t>. A</w:t>
      </w:r>
      <w:r w:rsidR="000C6888" w:rsidRPr="00682149">
        <w:rPr>
          <w:rFonts w:ascii="Arial" w:eastAsiaTheme="minorEastAsia" w:hAnsi="Arial" w:cs="Arial"/>
          <w:color w:val="000000" w:themeColor="text1"/>
          <w:sz w:val="24"/>
          <w:szCs w:val="24"/>
          <w:lang w:val="es-ES" w:eastAsia="es-ES"/>
        </w:rPr>
        <w:t>unado a lo anterior</w:t>
      </w:r>
      <w:r w:rsidR="00B0637F" w:rsidRPr="00682149">
        <w:rPr>
          <w:rFonts w:ascii="Arial" w:eastAsiaTheme="minorEastAsia" w:hAnsi="Arial" w:cs="Arial"/>
          <w:color w:val="000000" w:themeColor="text1"/>
          <w:sz w:val="24"/>
          <w:szCs w:val="24"/>
          <w:lang w:val="es-ES" w:eastAsia="es-ES"/>
        </w:rPr>
        <w:t>,</w:t>
      </w:r>
      <w:r w:rsidR="006A1BC3" w:rsidRPr="00682149">
        <w:rPr>
          <w:rFonts w:ascii="Arial" w:eastAsiaTheme="minorEastAsia" w:hAnsi="Arial" w:cs="Arial"/>
          <w:color w:val="000000" w:themeColor="text1"/>
          <w:sz w:val="24"/>
          <w:szCs w:val="24"/>
          <w:lang w:val="es-ES" w:eastAsia="es-ES"/>
        </w:rPr>
        <w:t xml:space="preserve"> </w:t>
      </w:r>
      <w:r w:rsidR="0068754E">
        <w:rPr>
          <w:rFonts w:ascii="Arial" w:eastAsiaTheme="minorEastAsia" w:hAnsi="Arial" w:cs="Arial"/>
          <w:color w:val="000000" w:themeColor="text1"/>
          <w:sz w:val="24"/>
          <w:szCs w:val="24"/>
          <w:lang w:val="es-ES" w:eastAsia="es-ES"/>
        </w:rPr>
        <w:t xml:space="preserve">para el </w:t>
      </w:r>
      <w:proofErr w:type="spellStart"/>
      <w:r w:rsidR="0068754E">
        <w:rPr>
          <w:rFonts w:ascii="Arial" w:eastAsiaTheme="minorEastAsia" w:hAnsi="Arial" w:cs="Arial"/>
          <w:color w:val="000000" w:themeColor="text1"/>
          <w:sz w:val="24"/>
          <w:szCs w:val="24"/>
          <w:lang w:val="es-ES" w:eastAsia="es-ES"/>
        </w:rPr>
        <w:t>proferimiento</w:t>
      </w:r>
      <w:proofErr w:type="spellEnd"/>
      <w:r w:rsidR="0068754E">
        <w:rPr>
          <w:rFonts w:ascii="Arial" w:eastAsiaTheme="minorEastAsia" w:hAnsi="Arial" w:cs="Arial"/>
          <w:color w:val="000000" w:themeColor="text1"/>
          <w:sz w:val="24"/>
          <w:szCs w:val="24"/>
          <w:lang w:val="es-ES" w:eastAsia="es-ES"/>
        </w:rPr>
        <w:t xml:space="preserve"> de </w:t>
      </w:r>
      <w:r w:rsidR="006A1BC3" w:rsidRPr="00682149">
        <w:rPr>
          <w:rFonts w:ascii="Arial" w:eastAsiaTheme="minorEastAsia" w:hAnsi="Arial" w:cs="Arial"/>
          <w:color w:val="000000" w:themeColor="text1"/>
          <w:sz w:val="24"/>
          <w:szCs w:val="24"/>
          <w:lang w:val="es-ES" w:eastAsia="es-ES"/>
        </w:rPr>
        <w:t>la Resolución 166</w:t>
      </w:r>
      <w:r w:rsidR="0068754E">
        <w:rPr>
          <w:rFonts w:ascii="Arial" w:eastAsiaTheme="minorEastAsia" w:hAnsi="Arial" w:cs="Arial"/>
          <w:color w:val="000000" w:themeColor="text1"/>
          <w:sz w:val="24"/>
          <w:szCs w:val="24"/>
          <w:lang w:val="es-ES" w:eastAsia="es-ES"/>
        </w:rPr>
        <w:t xml:space="preserve"> la CREG</w:t>
      </w:r>
      <w:r w:rsidR="000C6888" w:rsidRPr="00682149">
        <w:rPr>
          <w:rFonts w:ascii="Arial" w:eastAsiaTheme="minorEastAsia" w:hAnsi="Arial" w:cs="Arial"/>
          <w:color w:val="000000" w:themeColor="text1"/>
          <w:sz w:val="24"/>
          <w:szCs w:val="24"/>
          <w:lang w:val="es-ES" w:eastAsia="es-ES"/>
        </w:rPr>
        <w:t xml:space="preserve"> </w:t>
      </w:r>
      <w:r w:rsidR="006A1BC3" w:rsidRPr="00682149">
        <w:rPr>
          <w:rFonts w:ascii="Arial" w:eastAsiaTheme="minorEastAsia" w:hAnsi="Arial" w:cs="Arial"/>
          <w:color w:val="000000" w:themeColor="text1"/>
          <w:sz w:val="24"/>
          <w:szCs w:val="24"/>
          <w:lang w:val="es-ES" w:eastAsia="es-ES"/>
        </w:rPr>
        <w:t xml:space="preserve">no estaba obligada a agotar </w:t>
      </w:r>
      <w:r w:rsidR="007D6319" w:rsidRPr="00682149">
        <w:rPr>
          <w:rFonts w:ascii="Arial" w:eastAsiaTheme="minorEastAsia" w:hAnsi="Arial" w:cs="Arial"/>
          <w:color w:val="000000" w:themeColor="text1"/>
          <w:sz w:val="24"/>
          <w:szCs w:val="24"/>
          <w:lang w:val="es-ES" w:eastAsia="es-ES"/>
        </w:rPr>
        <w:t>el requisito de información del proyecto de regulación tarifaria a la Superintendencia de Industria y C</w:t>
      </w:r>
      <w:r w:rsidR="006A1BC3" w:rsidRPr="00682149">
        <w:rPr>
          <w:rFonts w:ascii="Arial" w:eastAsiaTheme="minorEastAsia" w:hAnsi="Arial" w:cs="Arial"/>
          <w:color w:val="000000" w:themeColor="text1"/>
          <w:sz w:val="24"/>
          <w:szCs w:val="24"/>
          <w:lang w:val="es-ES" w:eastAsia="es-ES"/>
        </w:rPr>
        <w:t xml:space="preserve">omercio, así como tampoco </w:t>
      </w:r>
      <w:r w:rsidR="007D6319" w:rsidRPr="00682149">
        <w:rPr>
          <w:rFonts w:ascii="Arial" w:eastAsiaTheme="minorEastAsia" w:hAnsi="Arial" w:cs="Arial"/>
          <w:color w:val="000000" w:themeColor="text1"/>
          <w:sz w:val="24"/>
          <w:szCs w:val="24"/>
          <w:lang w:val="es-ES" w:eastAsia="es-ES"/>
        </w:rPr>
        <w:t>agotar los requisitos de publicidad y de consulta de los proyectos de regulación p</w:t>
      </w:r>
      <w:r w:rsidRPr="00682149">
        <w:rPr>
          <w:rFonts w:ascii="Arial" w:eastAsiaTheme="minorEastAsia" w:hAnsi="Arial" w:cs="Arial"/>
          <w:color w:val="000000" w:themeColor="text1"/>
          <w:sz w:val="24"/>
          <w:szCs w:val="24"/>
          <w:lang w:val="es-ES" w:eastAsia="es-ES"/>
        </w:rPr>
        <w:t xml:space="preserve">revistos en la Ley 1437 de 2011. </w:t>
      </w:r>
    </w:p>
    <w:p w14:paraId="14474187" w14:textId="77777777" w:rsidR="000C6888" w:rsidRPr="00682149" w:rsidRDefault="000C6888" w:rsidP="001C138F">
      <w:pPr>
        <w:spacing w:after="0" w:line="276" w:lineRule="auto"/>
        <w:jc w:val="both"/>
        <w:rPr>
          <w:rFonts w:ascii="Arial" w:eastAsiaTheme="minorEastAsia" w:hAnsi="Arial" w:cs="Arial"/>
          <w:color w:val="000000" w:themeColor="text1"/>
          <w:sz w:val="24"/>
          <w:szCs w:val="24"/>
          <w:lang w:val="es-ES" w:eastAsia="es-ES"/>
        </w:rPr>
      </w:pPr>
    </w:p>
    <w:p w14:paraId="1E7C32E2" w14:textId="258D5BF9" w:rsidR="007D6319" w:rsidRPr="00682149" w:rsidRDefault="006A1BC3" w:rsidP="001C138F">
      <w:pPr>
        <w:spacing w:after="0" w:line="276" w:lineRule="auto"/>
        <w:jc w:val="both"/>
        <w:rPr>
          <w:rFonts w:ascii="Arial" w:eastAsiaTheme="minorEastAsia" w:hAnsi="Arial" w:cs="Arial"/>
          <w:color w:val="000000" w:themeColor="text1"/>
          <w:sz w:val="24"/>
          <w:szCs w:val="24"/>
          <w:lang w:val="es-ES" w:eastAsia="es-ES"/>
        </w:rPr>
      </w:pPr>
      <w:r w:rsidRPr="00682149">
        <w:rPr>
          <w:rFonts w:ascii="Arial" w:eastAsiaTheme="minorEastAsia" w:hAnsi="Arial" w:cs="Arial"/>
          <w:color w:val="000000" w:themeColor="text1"/>
          <w:sz w:val="24"/>
          <w:szCs w:val="24"/>
          <w:lang w:val="es-ES" w:eastAsia="es-ES"/>
        </w:rPr>
        <w:t>A</w:t>
      </w:r>
      <w:r w:rsidR="003D4908" w:rsidRPr="00682149">
        <w:rPr>
          <w:rFonts w:ascii="Arial" w:eastAsiaTheme="minorEastAsia" w:hAnsi="Arial" w:cs="Arial"/>
          <w:color w:val="000000" w:themeColor="text1"/>
          <w:sz w:val="24"/>
          <w:szCs w:val="24"/>
          <w:lang w:val="es-ES" w:eastAsia="es-ES"/>
        </w:rPr>
        <w:t>unque no se publicitó</w:t>
      </w:r>
      <w:r w:rsidR="007D6319" w:rsidRPr="00682149">
        <w:rPr>
          <w:rFonts w:ascii="Arial" w:eastAsiaTheme="minorEastAsia" w:hAnsi="Arial" w:cs="Arial"/>
          <w:color w:val="000000" w:themeColor="text1"/>
          <w:sz w:val="24"/>
          <w:szCs w:val="24"/>
          <w:lang w:val="es-ES" w:eastAsia="es-ES"/>
        </w:rPr>
        <w:t xml:space="preserve"> el proyecto a la Superintendencia de Industria y Comerci</w:t>
      </w:r>
      <w:r w:rsidR="003D4908" w:rsidRPr="00682149">
        <w:rPr>
          <w:rFonts w:ascii="Arial" w:eastAsiaTheme="minorEastAsia" w:hAnsi="Arial" w:cs="Arial"/>
          <w:color w:val="000000" w:themeColor="text1"/>
          <w:sz w:val="24"/>
          <w:szCs w:val="24"/>
          <w:lang w:val="es-ES" w:eastAsia="es-ES"/>
        </w:rPr>
        <w:t>o</w:t>
      </w:r>
      <w:r w:rsidR="00E82D0F" w:rsidRPr="00682149">
        <w:rPr>
          <w:rFonts w:ascii="Arial" w:eastAsiaTheme="minorEastAsia" w:hAnsi="Arial" w:cs="Arial"/>
          <w:color w:val="000000" w:themeColor="text1"/>
          <w:sz w:val="24"/>
          <w:szCs w:val="24"/>
          <w:lang w:val="es-ES" w:eastAsia="es-ES"/>
        </w:rPr>
        <w:t xml:space="preserve">, sin embargo, </w:t>
      </w:r>
      <w:r w:rsidR="000C6888" w:rsidRPr="00682149">
        <w:rPr>
          <w:rFonts w:ascii="Arial" w:eastAsiaTheme="minorEastAsia" w:hAnsi="Arial" w:cs="Arial"/>
          <w:color w:val="000000" w:themeColor="text1"/>
          <w:sz w:val="24"/>
          <w:szCs w:val="24"/>
          <w:lang w:val="es-ES" w:eastAsia="es-ES"/>
        </w:rPr>
        <w:t xml:space="preserve">se agotó </w:t>
      </w:r>
      <w:r w:rsidR="007D6319" w:rsidRPr="00682149">
        <w:rPr>
          <w:rFonts w:ascii="Arial" w:eastAsiaTheme="minorEastAsia" w:hAnsi="Arial" w:cs="Arial"/>
          <w:color w:val="000000" w:themeColor="text1"/>
          <w:sz w:val="24"/>
          <w:szCs w:val="24"/>
          <w:lang w:val="es-ES" w:eastAsia="es-ES"/>
        </w:rPr>
        <w:t>el requisito de publicidad del proyecto conforme lo dispuso la Resolución 157 de 2020 y se logró la participación de los operadores</w:t>
      </w:r>
      <w:r w:rsidR="00B0637F" w:rsidRPr="00682149">
        <w:rPr>
          <w:rFonts w:ascii="Arial" w:eastAsiaTheme="minorEastAsia" w:hAnsi="Arial" w:cs="Arial"/>
          <w:color w:val="000000" w:themeColor="text1"/>
          <w:sz w:val="24"/>
          <w:szCs w:val="24"/>
          <w:lang w:val="es-ES" w:eastAsia="es-ES"/>
        </w:rPr>
        <w:t>, al margen que la CREG no se encontraba obligad</w:t>
      </w:r>
      <w:r w:rsidR="0068754E">
        <w:rPr>
          <w:rFonts w:ascii="Arial" w:eastAsiaTheme="minorEastAsia" w:hAnsi="Arial" w:cs="Arial"/>
          <w:color w:val="000000" w:themeColor="text1"/>
          <w:sz w:val="24"/>
          <w:szCs w:val="24"/>
          <w:lang w:val="es-ES" w:eastAsia="es-ES"/>
        </w:rPr>
        <w:t>a</w:t>
      </w:r>
      <w:r w:rsidR="00B0637F" w:rsidRPr="00682149">
        <w:rPr>
          <w:rFonts w:ascii="Arial" w:eastAsiaTheme="minorEastAsia" w:hAnsi="Arial" w:cs="Arial"/>
          <w:color w:val="000000" w:themeColor="text1"/>
          <w:sz w:val="24"/>
          <w:szCs w:val="24"/>
          <w:lang w:val="es-ES" w:eastAsia="es-ES"/>
        </w:rPr>
        <w:t xml:space="preserve"> a ello</w:t>
      </w:r>
      <w:r w:rsidR="007D6319" w:rsidRPr="00682149">
        <w:rPr>
          <w:rFonts w:ascii="Arial" w:eastAsiaTheme="minorEastAsia" w:hAnsi="Arial" w:cs="Arial"/>
          <w:color w:val="000000" w:themeColor="text1"/>
          <w:sz w:val="24"/>
          <w:szCs w:val="24"/>
          <w:lang w:val="es-ES" w:eastAsia="es-ES"/>
        </w:rPr>
        <w:t xml:space="preserve">. </w:t>
      </w:r>
    </w:p>
    <w:p w14:paraId="046AC81B" w14:textId="77777777" w:rsidR="000C6888" w:rsidRPr="00682149" w:rsidRDefault="000C6888" w:rsidP="001C138F">
      <w:pPr>
        <w:spacing w:after="0" w:line="276" w:lineRule="auto"/>
        <w:jc w:val="both"/>
        <w:rPr>
          <w:rStyle w:val="Refdecomentario"/>
          <w:color w:val="000000" w:themeColor="text1"/>
          <w:lang w:val="es-ES"/>
        </w:rPr>
      </w:pPr>
    </w:p>
    <w:p w14:paraId="5884FB35" w14:textId="31FF91A5" w:rsidR="00975E0E" w:rsidRPr="00682149" w:rsidRDefault="000C6888" w:rsidP="001C138F">
      <w:pPr>
        <w:spacing w:after="0" w:line="276" w:lineRule="auto"/>
        <w:jc w:val="both"/>
        <w:rPr>
          <w:rFonts w:ascii="Arial" w:hAnsi="Arial" w:cs="Arial"/>
          <w:color w:val="000000" w:themeColor="text1"/>
          <w:sz w:val="24"/>
          <w:szCs w:val="24"/>
        </w:rPr>
      </w:pPr>
      <w:r w:rsidRPr="00682149">
        <w:rPr>
          <w:rFonts w:ascii="Arial" w:eastAsiaTheme="minorEastAsia" w:hAnsi="Arial" w:cs="Arial"/>
          <w:color w:val="000000" w:themeColor="text1"/>
          <w:sz w:val="24"/>
          <w:szCs w:val="24"/>
          <w:lang w:val="es-ES" w:eastAsia="es-ES"/>
        </w:rPr>
        <w:t xml:space="preserve">En consecuencia, </w:t>
      </w:r>
      <w:r w:rsidR="00A23D87" w:rsidRPr="00682149">
        <w:rPr>
          <w:rFonts w:ascii="Arial" w:eastAsiaTheme="minorEastAsia" w:hAnsi="Arial" w:cs="Arial"/>
          <w:color w:val="000000" w:themeColor="text1"/>
          <w:sz w:val="24"/>
          <w:szCs w:val="24"/>
          <w:lang w:val="es-ES" w:eastAsia="es-ES"/>
        </w:rPr>
        <w:t>la Resolución 166</w:t>
      </w:r>
      <w:r w:rsidR="002910FB" w:rsidRPr="00682149">
        <w:rPr>
          <w:rFonts w:ascii="Arial" w:eastAsiaTheme="minorEastAsia" w:hAnsi="Arial" w:cs="Arial"/>
          <w:color w:val="000000" w:themeColor="text1"/>
          <w:sz w:val="24"/>
          <w:szCs w:val="24"/>
          <w:lang w:val="es-ES" w:eastAsia="es-ES"/>
        </w:rPr>
        <w:t xml:space="preserve"> </w:t>
      </w:r>
      <w:r w:rsidR="00A23D87" w:rsidRPr="00682149">
        <w:rPr>
          <w:rFonts w:ascii="Arial" w:eastAsiaTheme="minorEastAsia" w:hAnsi="Arial" w:cs="Arial"/>
          <w:color w:val="000000" w:themeColor="text1"/>
          <w:sz w:val="24"/>
          <w:szCs w:val="24"/>
          <w:lang w:val="es-ES" w:eastAsia="es-ES"/>
        </w:rPr>
        <w:t xml:space="preserve">consultó </w:t>
      </w:r>
      <w:r w:rsidR="00DE58DF" w:rsidRPr="00682149">
        <w:rPr>
          <w:rFonts w:ascii="Arial" w:eastAsiaTheme="minorEastAsia" w:hAnsi="Arial" w:cs="Arial"/>
          <w:color w:val="000000" w:themeColor="text1"/>
          <w:sz w:val="24"/>
          <w:szCs w:val="24"/>
          <w:lang w:val="es-ES" w:eastAsia="es-ES"/>
        </w:rPr>
        <w:t>las exigencia</w:t>
      </w:r>
      <w:r w:rsidR="002910FB" w:rsidRPr="00682149">
        <w:rPr>
          <w:rFonts w:ascii="Arial" w:eastAsiaTheme="minorEastAsia" w:hAnsi="Arial" w:cs="Arial"/>
          <w:color w:val="000000" w:themeColor="text1"/>
          <w:sz w:val="24"/>
          <w:szCs w:val="24"/>
          <w:lang w:val="es-ES" w:eastAsia="es-ES"/>
        </w:rPr>
        <w:t>s</w:t>
      </w:r>
      <w:r w:rsidR="00DE58DF" w:rsidRPr="00682149">
        <w:rPr>
          <w:rFonts w:ascii="Arial" w:eastAsiaTheme="minorEastAsia" w:hAnsi="Arial" w:cs="Arial"/>
          <w:color w:val="000000" w:themeColor="text1"/>
          <w:sz w:val="24"/>
          <w:szCs w:val="24"/>
          <w:lang w:val="es-ES" w:eastAsia="es-ES"/>
        </w:rPr>
        <w:t xml:space="preserve"> del</w:t>
      </w:r>
      <w:r w:rsidR="00A67F06" w:rsidRPr="00682149">
        <w:rPr>
          <w:rFonts w:ascii="Arial" w:eastAsiaTheme="minorEastAsia" w:hAnsi="Arial" w:cs="Arial"/>
          <w:color w:val="000000" w:themeColor="text1"/>
          <w:sz w:val="24"/>
          <w:szCs w:val="24"/>
          <w:lang w:val="es-ES" w:eastAsia="es-ES"/>
        </w:rPr>
        <w:t xml:space="preserve"> artículo 3º del Decreto 51</w:t>
      </w:r>
      <w:r w:rsidR="00BA5403" w:rsidRPr="00682149">
        <w:rPr>
          <w:rFonts w:ascii="Arial" w:eastAsiaTheme="minorEastAsia" w:hAnsi="Arial" w:cs="Arial"/>
          <w:color w:val="000000" w:themeColor="text1"/>
          <w:sz w:val="24"/>
          <w:szCs w:val="24"/>
          <w:lang w:val="es-ES" w:eastAsia="es-ES"/>
        </w:rPr>
        <w:t>7 de 2020</w:t>
      </w:r>
      <w:r w:rsidR="00A67F06" w:rsidRPr="00682149">
        <w:rPr>
          <w:rFonts w:ascii="Arial" w:eastAsiaTheme="minorEastAsia" w:hAnsi="Arial" w:cs="Arial"/>
          <w:color w:val="000000" w:themeColor="text1"/>
          <w:sz w:val="24"/>
          <w:szCs w:val="24"/>
          <w:lang w:val="es-ES" w:eastAsia="es-ES"/>
        </w:rPr>
        <w:t xml:space="preserve"> </w:t>
      </w:r>
      <w:r w:rsidR="00DE58DF" w:rsidRPr="00682149">
        <w:rPr>
          <w:rFonts w:ascii="Arial" w:eastAsiaTheme="minorEastAsia" w:hAnsi="Arial" w:cs="Arial"/>
          <w:color w:val="000000" w:themeColor="text1"/>
          <w:sz w:val="24"/>
          <w:szCs w:val="24"/>
          <w:lang w:val="es-ES" w:eastAsia="es-ES"/>
        </w:rPr>
        <w:t xml:space="preserve">para superar el control de legalidad, </w:t>
      </w:r>
      <w:r w:rsidR="00A23D87" w:rsidRPr="00682149">
        <w:rPr>
          <w:rFonts w:ascii="Arial" w:eastAsiaTheme="minorEastAsia" w:hAnsi="Arial" w:cs="Arial"/>
          <w:color w:val="000000" w:themeColor="text1"/>
          <w:sz w:val="24"/>
          <w:szCs w:val="24"/>
          <w:lang w:val="es-ES" w:eastAsia="es-ES"/>
        </w:rPr>
        <w:t xml:space="preserve">dado que </w:t>
      </w:r>
      <w:r w:rsidR="00DE58DF" w:rsidRPr="00682149">
        <w:rPr>
          <w:rFonts w:ascii="Arial" w:eastAsiaTheme="minorEastAsia" w:hAnsi="Arial" w:cs="Arial"/>
          <w:color w:val="000000" w:themeColor="text1"/>
          <w:sz w:val="24"/>
          <w:szCs w:val="24"/>
          <w:lang w:val="es-ES" w:eastAsia="es-ES"/>
        </w:rPr>
        <w:t>era suficiente</w:t>
      </w:r>
      <w:r w:rsidR="00A23D87" w:rsidRPr="00682149">
        <w:rPr>
          <w:rFonts w:ascii="Arial" w:eastAsiaTheme="minorEastAsia" w:hAnsi="Arial" w:cs="Arial"/>
          <w:color w:val="000000" w:themeColor="text1"/>
          <w:sz w:val="24"/>
          <w:szCs w:val="24"/>
          <w:lang w:val="es-ES" w:eastAsia="es-ES"/>
        </w:rPr>
        <w:t xml:space="preserve"> </w:t>
      </w:r>
      <w:r w:rsidRPr="00682149">
        <w:rPr>
          <w:rFonts w:ascii="Arial" w:eastAsiaTheme="minorEastAsia" w:hAnsi="Arial" w:cs="Arial"/>
          <w:color w:val="000000" w:themeColor="text1"/>
          <w:sz w:val="24"/>
          <w:szCs w:val="24"/>
          <w:lang w:val="es-ES" w:eastAsia="es-ES"/>
        </w:rPr>
        <w:t xml:space="preserve">fundarse </w:t>
      </w:r>
      <w:r w:rsidR="002910FB" w:rsidRPr="00682149">
        <w:rPr>
          <w:rFonts w:ascii="Arial" w:eastAsiaTheme="minorEastAsia" w:hAnsi="Arial" w:cs="Arial"/>
          <w:color w:val="000000" w:themeColor="text1"/>
          <w:sz w:val="24"/>
          <w:szCs w:val="24"/>
          <w:lang w:val="es-ES" w:eastAsia="es-ES"/>
        </w:rPr>
        <w:t>en:</w:t>
      </w:r>
      <w:r w:rsidR="00A23D87" w:rsidRPr="00682149">
        <w:rPr>
          <w:rFonts w:ascii="Arial" w:eastAsiaTheme="minorEastAsia" w:hAnsi="Arial" w:cs="Arial"/>
          <w:color w:val="000000" w:themeColor="text1"/>
          <w:sz w:val="24"/>
          <w:szCs w:val="24"/>
          <w:lang w:val="es-ES" w:eastAsia="es-ES"/>
        </w:rPr>
        <w:t xml:space="preserve"> </w:t>
      </w:r>
      <w:r w:rsidR="00A67F06" w:rsidRPr="00682149">
        <w:rPr>
          <w:rFonts w:ascii="Arial" w:eastAsiaTheme="minorEastAsia" w:hAnsi="Arial" w:cs="Arial"/>
          <w:iCs/>
          <w:color w:val="000000" w:themeColor="text1"/>
          <w:sz w:val="24"/>
          <w:szCs w:val="24"/>
          <w:lang w:val="es-ES" w:eastAsia="es-ES"/>
        </w:rPr>
        <w:t xml:space="preserve">i) los estudios previos técnicos contenidos en el </w:t>
      </w:r>
      <w:r w:rsidR="00BA5403" w:rsidRPr="00682149">
        <w:rPr>
          <w:rFonts w:ascii="Arial" w:eastAsiaTheme="minorEastAsia" w:hAnsi="Arial" w:cs="Arial"/>
          <w:iCs/>
          <w:color w:val="000000" w:themeColor="text1"/>
          <w:sz w:val="24"/>
          <w:szCs w:val="24"/>
          <w:lang w:val="es-ES" w:eastAsia="es-ES"/>
        </w:rPr>
        <w:t xml:space="preserve">documento de </w:t>
      </w:r>
      <w:r w:rsidR="00A67F06" w:rsidRPr="00682149">
        <w:rPr>
          <w:rFonts w:ascii="Arial" w:eastAsiaTheme="minorEastAsia" w:hAnsi="Arial" w:cs="Arial"/>
          <w:iCs/>
          <w:color w:val="000000" w:themeColor="text1"/>
          <w:sz w:val="24"/>
          <w:szCs w:val="24"/>
          <w:lang w:val="es-ES" w:eastAsia="es-ES"/>
        </w:rPr>
        <w:t xml:space="preserve">trabajo </w:t>
      </w:r>
      <w:r w:rsidR="00A67F06" w:rsidRPr="00682149">
        <w:rPr>
          <w:rFonts w:ascii="Arial" w:hAnsi="Arial" w:cs="Arial"/>
          <w:color w:val="000000" w:themeColor="text1"/>
          <w:sz w:val="24"/>
          <w:szCs w:val="24"/>
        </w:rPr>
        <w:t xml:space="preserve">CREG-123 14-08-2020, </w:t>
      </w:r>
      <w:r w:rsidR="002910FB" w:rsidRPr="00682149">
        <w:rPr>
          <w:rFonts w:ascii="Arial" w:hAnsi="Arial" w:cs="Arial"/>
          <w:color w:val="000000" w:themeColor="text1"/>
          <w:sz w:val="24"/>
          <w:szCs w:val="24"/>
        </w:rPr>
        <w:t xml:space="preserve">ii) </w:t>
      </w:r>
      <w:r w:rsidR="00BA5403" w:rsidRPr="00682149">
        <w:rPr>
          <w:rFonts w:ascii="Arial" w:hAnsi="Arial" w:cs="Arial"/>
          <w:color w:val="000000" w:themeColor="text1"/>
          <w:sz w:val="24"/>
          <w:szCs w:val="24"/>
        </w:rPr>
        <w:t xml:space="preserve">en </w:t>
      </w:r>
      <w:r w:rsidR="002910FB" w:rsidRPr="00682149">
        <w:rPr>
          <w:rFonts w:ascii="Arial" w:hAnsi="Arial" w:cs="Arial"/>
          <w:color w:val="000000" w:themeColor="text1"/>
          <w:sz w:val="24"/>
          <w:szCs w:val="24"/>
        </w:rPr>
        <w:t xml:space="preserve">la resolución </w:t>
      </w:r>
      <w:r w:rsidR="00BA5403" w:rsidRPr="00682149">
        <w:rPr>
          <w:rFonts w:ascii="Arial" w:hAnsi="Arial" w:cs="Arial"/>
          <w:color w:val="000000" w:themeColor="text1"/>
          <w:sz w:val="24"/>
          <w:szCs w:val="24"/>
        </w:rPr>
        <w:t xml:space="preserve">CREG </w:t>
      </w:r>
      <w:r w:rsidR="002910FB" w:rsidRPr="00682149">
        <w:rPr>
          <w:rFonts w:ascii="Arial" w:hAnsi="Arial" w:cs="Arial"/>
          <w:color w:val="000000" w:themeColor="text1"/>
          <w:sz w:val="24"/>
          <w:szCs w:val="24"/>
        </w:rPr>
        <w:t xml:space="preserve">n.º 157 de 14 de agosto de </w:t>
      </w:r>
      <w:r w:rsidR="00DE58DF" w:rsidRPr="00682149">
        <w:rPr>
          <w:rFonts w:ascii="Arial" w:hAnsi="Arial" w:cs="Arial"/>
          <w:color w:val="000000" w:themeColor="text1"/>
          <w:sz w:val="24"/>
          <w:szCs w:val="24"/>
        </w:rPr>
        <w:t>2020, que ordenó hacer público el proyecto de resolución por la cual se definen las tarifas transitorias</w:t>
      </w:r>
      <w:r w:rsidR="00A23D87" w:rsidRPr="00682149">
        <w:rPr>
          <w:rFonts w:ascii="Arial" w:hAnsi="Arial" w:cs="Arial"/>
          <w:color w:val="000000" w:themeColor="text1"/>
          <w:sz w:val="24"/>
          <w:szCs w:val="24"/>
        </w:rPr>
        <w:t xml:space="preserve"> y</w:t>
      </w:r>
      <w:r w:rsidR="00E10B7E" w:rsidRPr="00682149">
        <w:rPr>
          <w:rFonts w:ascii="Arial" w:hAnsi="Arial" w:cs="Arial"/>
          <w:color w:val="000000" w:themeColor="text1"/>
          <w:sz w:val="24"/>
          <w:szCs w:val="24"/>
        </w:rPr>
        <w:t>,</w:t>
      </w:r>
      <w:r w:rsidR="00BA5403" w:rsidRPr="00682149">
        <w:rPr>
          <w:rFonts w:ascii="Arial" w:hAnsi="Arial" w:cs="Arial"/>
          <w:color w:val="000000" w:themeColor="text1"/>
          <w:sz w:val="24"/>
          <w:szCs w:val="24"/>
        </w:rPr>
        <w:t xml:space="preserve"> en</w:t>
      </w:r>
      <w:r w:rsidR="00A23D87" w:rsidRPr="00682149">
        <w:rPr>
          <w:rFonts w:ascii="Arial" w:hAnsi="Arial" w:cs="Arial"/>
          <w:color w:val="000000" w:themeColor="text1"/>
          <w:sz w:val="24"/>
          <w:szCs w:val="24"/>
        </w:rPr>
        <w:t xml:space="preserve"> iii)</w:t>
      </w:r>
      <w:r w:rsidR="00A67F06" w:rsidRPr="00682149">
        <w:rPr>
          <w:rFonts w:ascii="Arial" w:hAnsi="Arial" w:cs="Arial"/>
          <w:color w:val="000000" w:themeColor="text1"/>
          <w:sz w:val="24"/>
          <w:szCs w:val="24"/>
        </w:rPr>
        <w:t xml:space="preserve"> las respuestas </w:t>
      </w:r>
      <w:r w:rsidR="00A23D87" w:rsidRPr="00682149">
        <w:rPr>
          <w:rFonts w:ascii="Arial" w:hAnsi="Arial" w:cs="Arial"/>
          <w:color w:val="000000" w:themeColor="text1"/>
          <w:sz w:val="24"/>
          <w:szCs w:val="24"/>
        </w:rPr>
        <w:t xml:space="preserve">y </w:t>
      </w:r>
      <w:r w:rsidR="00A23D87" w:rsidRPr="00682149">
        <w:rPr>
          <w:rFonts w:ascii="Arial" w:eastAsia="Arial" w:hAnsi="Arial" w:cs="Arial"/>
          <w:color w:val="000000" w:themeColor="text1"/>
          <w:sz w:val="24"/>
          <w:szCs w:val="24"/>
        </w:rPr>
        <w:t>análisis a</w:t>
      </w:r>
      <w:r w:rsidR="00A67F06" w:rsidRPr="00682149">
        <w:rPr>
          <w:rFonts w:ascii="Arial" w:eastAsia="Arial" w:hAnsi="Arial" w:cs="Arial"/>
          <w:color w:val="000000" w:themeColor="text1"/>
          <w:sz w:val="24"/>
          <w:szCs w:val="24"/>
        </w:rPr>
        <w:t xml:space="preserve"> los comentarios presentados por los agentes durante el trámite de consulta</w:t>
      </w:r>
      <w:r w:rsidR="00A23D87" w:rsidRPr="00682149">
        <w:rPr>
          <w:rFonts w:ascii="Arial" w:eastAsia="Arial" w:hAnsi="Arial" w:cs="Arial"/>
          <w:color w:val="000000" w:themeColor="text1"/>
          <w:sz w:val="24"/>
          <w:szCs w:val="24"/>
        </w:rPr>
        <w:t xml:space="preserve">, conforme lo explica el </w:t>
      </w:r>
      <w:r w:rsidR="00A67F06" w:rsidRPr="00682149">
        <w:rPr>
          <w:rFonts w:ascii="Arial" w:eastAsia="Arial" w:hAnsi="Arial" w:cs="Arial"/>
          <w:color w:val="000000" w:themeColor="text1"/>
          <w:sz w:val="24"/>
          <w:szCs w:val="24"/>
        </w:rPr>
        <w:t>Documento CREG-131 de 3 de septiembre de 2020</w:t>
      </w:r>
      <w:r w:rsidR="00B0637F" w:rsidRPr="00682149">
        <w:rPr>
          <w:rFonts w:ascii="Arial" w:eastAsia="Arial" w:hAnsi="Arial" w:cs="Arial"/>
          <w:color w:val="000000" w:themeColor="text1"/>
          <w:sz w:val="24"/>
          <w:szCs w:val="24"/>
        </w:rPr>
        <w:t>, por cumplir los requisitos esenciales para su expedición</w:t>
      </w:r>
      <w:r w:rsidR="00A67F06" w:rsidRPr="00682149">
        <w:rPr>
          <w:rFonts w:ascii="Arial" w:eastAsia="Arial" w:hAnsi="Arial" w:cs="Arial"/>
          <w:color w:val="000000" w:themeColor="text1"/>
          <w:sz w:val="24"/>
          <w:szCs w:val="24"/>
        </w:rPr>
        <w:t xml:space="preserve">. </w:t>
      </w:r>
    </w:p>
    <w:p w14:paraId="2F66966D" w14:textId="77777777" w:rsidR="00D247BF" w:rsidRPr="00682149" w:rsidRDefault="00D247BF" w:rsidP="001C138F">
      <w:pPr>
        <w:spacing w:after="0" w:line="276" w:lineRule="auto"/>
        <w:contextualSpacing/>
        <w:jc w:val="both"/>
        <w:rPr>
          <w:rFonts w:ascii="Arial" w:eastAsia="Times New Roman" w:hAnsi="Arial" w:cs="Arial"/>
          <w:color w:val="000000" w:themeColor="text1"/>
          <w:sz w:val="24"/>
          <w:szCs w:val="24"/>
          <w:lang w:val="es-CO" w:eastAsia="es-ES_tradnl"/>
        </w:rPr>
      </w:pPr>
    </w:p>
    <w:p w14:paraId="11D419EE" w14:textId="63810F1A" w:rsidR="00454900" w:rsidRPr="00682149" w:rsidRDefault="001D37B6" w:rsidP="001C138F">
      <w:pPr>
        <w:spacing w:after="0" w:line="276" w:lineRule="auto"/>
        <w:contextualSpacing/>
        <w:rPr>
          <w:rFonts w:ascii="Arial" w:eastAsia="Times New Roman" w:hAnsi="Arial" w:cs="Arial"/>
          <w:b/>
          <w:color w:val="000000" w:themeColor="text1"/>
          <w:sz w:val="24"/>
          <w:szCs w:val="24"/>
          <w:lang w:val="es-CO" w:eastAsia="es-ES_tradnl"/>
        </w:rPr>
      </w:pPr>
      <w:r w:rsidRPr="00682149">
        <w:rPr>
          <w:rFonts w:ascii="Arial" w:eastAsia="Times New Roman" w:hAnsi="Arial" w:cs="Arial"/>
          <w:b/>
          <w:color w:val="000000" w:themeColor="text1"/>
          <w:sz w:val="24"/>
          <w:szCs w:val="24"/>
          <w:lang w:val="es-CO" w:eastAsia="es-ES_tradnl"/>
        </w:rPr>
        <w:lastRenderedPageBreak/>
        <w:t>2.5</w:t>
      </w:r>
      <w:r w:rsidR="00454900" w:rsidRPr="00682149">
        <w:rPr>
          <w:rFonts w:ascii="Arial" w:eastAsia="Times New Roman" w:hAnsi="Arial" w:cs="Arial"/>
          <w:b/>
          <w:color w:val="000000" w:themeColor="text1"/>
          <w:sz w:val="24"/>
          <w:szCs w:val="24"/>
          <w:lang w:val="es-CO" w:eastAsia="es-ES_tradnl"/>
        </w:rPr>
        <w:t>. Verificación del elemento material</w:t>
      </w:r>
    </w:p>
    <w:p w14:paraId="3FA08B32" w14:textId="77777777" w:rsidR="006D22AA" w:rsidRPr="00682149" w:rsidRDefault="006D22AA" w:rsidP="001C138F">
      <w:pPr>
        <w:spacing w:after="0" w:line="276" w:lineRule="auto"/>
        <w:contextualSpacing/>
        <w:rPr>
          <w:rFonts w:ascii="Arial" w:eastAsia="Times New Roman" w:hAnsi="Arial" w:cs="Arial"/>
          <w:b/>
          <w:color w:val="000000" w:themeColor="text1"/>
          <w:sz w:val="24"/>
          <w:szCs w:val="24"/>
          <w:lang w:val="es-CO" w:eastAsia="es-ES_tradnl"/>
        </w:rPr>
      </w:pPr>
    </w:p>
    <w:p w14:paraId="011BB51C" w14:textId="2AF852F3" w:rsidR="009107C4" w:rsidRPr="00682149" w:rsidRDefault="00113294" w:rsidP="001C138F">
      <w:pPr>
        <w:spacing w:after="0" w:line="276" w:lineRule="auto"/>
        <w:jc w:val="both"/>
        <w:rPr>
          <w:rFonts w:ascii="Arial" w:eastAsia="Times New Roman" w:hAnsi="Arial" w:cs="Arial"/>
          <w:color w:val="000000" w:themeColor="text1"/>
          <w:sz w:val="24"/>
          <w:szCs w:val="24"/>
          <w:lang w:val="es-CO" w:eastAsia="es-ES_tradnl"/>
        </w:rPr>
      </w:pPr>
      <w:r w:rsidRPr="00682149">
        <w:rPr>
          <w:rFonts w:ascii="Arial" w:eastAsia="Times New Roman" w:hAnsi="Arial" w:cs="Arial"/>
          <w:color w:val="000000" w:themeColor="text1"/>
          <w:sz w:val="24"/>
          <w:szCs w:val="24"/>
          <w:lang w:val="es-CO" w:eastAsia="es-ES_tradnl"/>
        </w:rPr>
        <w:t>E</w:t>
      </w:r>
      <w:r w:rsidR="00646513" w:rsidRPr="00682149">
        <w:rPr>
          <w:rFonts w:ascii="Arial" w:eastAsia="Times New Roman" w:hAnsi="Arial" w:cs="Arial"/>
          <w:color w:val="000000" w:themeColor="text1"/>
          <w:sz w:val="24"/>
          <w:szCs w:val="24"/>
          <w:lang w:val="es-CO" w:eastAsia="es-ES_tradnl"/>
        </w:rPr>
        <w:t xml:space="preserve">l </w:t>
      </w:r>
      <w:r w:rsidR="00454900" w:rsidRPr="00682149">
        <w:rPr>
          <w:rFonts w:ascii="Arial" w:eastAsia="Times New Roman" w:hAnsi="Arial" w:cs="Arial"/>
          <w:color w:val="000000" w:themeColor="text1"/>
          <w:sz w:val="24"/>
          <w:szCs w:val="24"/>
          <w:lang w:val="es-CO" w:eastAsia="es-ES_tradnl"/>
        </w:rPr>
        <w:t>examen material del acto</w:t>
      </w:r>
      <w:r w:rsidRPr="00682149">
        <w:rPr>
          <w:rFonts w:ascii="Arial" w:eastAsia="Times New Roman" w:hAnsi="Arial" w:cs="Arial"/>
          <w:color w:val="000000" w:themeColor="text1"/>
          <w:sz w:val="24"/>
          <w:szCs w:val="24"/>
          <w:lang w:val="es-CO" w:eastAsia="es-ES_tradnl"/>
        </w:rPr>
        <w:t xml:space="preserve"> se refiere a la </w:t>
      </w:r>
      <w:r w:rsidR="00CA178B" w:rsidRPr="00682149">
        <w:rPr>
          <w:rFonts w:ascii="Arial" w:eastAsia="Times New Roman" w:hAnsi="Arial" w:cs="Arial"/>
          <w:color w:val="000000" w:themeColor="text1"/>
          <w:sz w:val="24"/>
          <w:szCs w:val="24"/>
          <w:lang w:val="es-CO" w:eastAsia="es-ES_tradnl"/>
        </w:rPr>
        <w:t xml:space="preserve">naturaleza o </w:t>
      </w:r>
      <w:r w:rsidRPr="00682149">
        <w:rPr>
          <w:rFonts w:ascii="Arial" w:eastAsia="Times New Roman" w:hAnsi="Arial" w:cs="Arial"/>
          <w:color w:val="000000" w:themeColor="text1"/>
          <w:sz w:val="24"/>
          <w:szCs w:val="24"/>
          <w:lang w:val="es-CO" w:eastAsia="es-ES_tradnl"/>
        </w:rPr>
        <w:t>índole</w:t>
      </w:r>
      <w:r w:rsidR="00CA178B" w:rsidRPr="00682149">
        <w:rPr>
          <w:rFonts w:ascii="Arial" w:eastAsia="Times New Roman" w:hAnsi="Arial" w:cs="Arial"/>
          <w:color w:val="000000" w:themeColor="text1"/>
          <w:sz w:val="24"/>
          <w:szCs w:val="24"/>
          <w:lang w:val="es-CO" w:eastAsia="es-ES_tradnl"/>
        </w:rPr>
        <w:t xml:space="preserve"> de los diferentes asuntos sobre los cuales ha de ejercerse la autoridad o potestad púb</w:t>
      </w:r>
      <w:r w:rsidRPr="00682149">
        <w:rPr>
          <w:rFonts w:ascii="Arial" w:eastAsia="Times New Roman" w:hAnsi="Arial" w:cs="Arial"/>
          <w:color w:val="000000" w:themeColor="text1"/>
          <w:sz w:val="24"/>
          <w:szCs w:val="24"/>
          <w:lang w:val="es-CO" w:eastAsia="es-ES_tradnl"/>
        </w:rPr>
        <w:t>l</w:t>
      </w:r>
      <w:r w:rsidR="00CA178B" w:rsidRPr="00682149">
        <w:rPr>
          <w:rFonts w:ascii="Arial" w:eastAsia="Times New Roman" w:hAnsi="Arial" w:cs="Arial"/>
          <w:color w:val="000000" w:themeColor="text1"/>
          <w:sz w:val="24"/>
          <w:szCs w:val="24"/>
          <w:lang w:val="es-CO" w:eastAsia="es-ES_tradnl"/>
        </w:rPr>
        <w:t>ica de que está investi</w:t>
      </w:r>
      <w:r w:rsidR="0068754E">
        <w:rPr>
          <w:rFonts w:ascii="Arial" w:eastAsia="Times New Roman" w:hAnsi="Arial" w:cs="Arial"/>
          <w:color w:val="000000" w:themeColor="text1"/>
          <w:sz w:val="24"/>
          <w:szCs w:val="24"/>
          <w:lang w:val="es-CO" w:eastAsia="es-ES_tradnl"/>
        </w:rPr>
        <w:t>d</w:t>
      </w:r>
      <w:r w:rsidR="00CA178B" w:rsidRPr="00682149">
        <w:rPr>
          <w:rFonts w:ascii="Arial" w:eastAsia="Times New Roman" w:hAnsi="Arial" w:cs="Arial"/>
          <w:color w:val="000000" w:themeColor="text1"/>
          <w:sz w:val="24"/>
          <w:szCs w:val="24"/>
          <w:lang w:val="es-CO" w:eastAsia="es-ES_tradnl"/>
        </w:rPr>
        <w:t>o el órgano. En consecuencia, la materia tiene una correspondencia directa con el c</w:t>
      </w:r>
      <w:r w:rsidR="00717650" w:rsidRPr="00682149">
        <w:rPr>
          <w:rFonts w:ascii="Arial" w:eastAsia="Times New Roman" w:hAnsi="Arial" w:cs="Arial"/>
          <w:color w:val="000000" w:themeColor="text1"/>
          <w:sz w:val="24"/>
          <w:szCs w:val="24"/>
          <w:lang w:val="es-CO" w:eastAsia="es-ES_tradnl"/>
        </w:rPr>
        <w:t xml:space="preserve">ontenido de las funciones o con </w:t>
      </w:r>
      <w:r w:rsidR="00CA178B" w:rsidRPr="00682149">
        <w:rPr>
          <w:rFonts w:ascii="Arial" w:eastAsia="Times New Roman" w:hAnsi="Arial" w:cs="Arial"/>
          <w:color w:val="000000" w:themeColor="text1"/>
          <w:sz w:val="24"/>
          <w:szCs w:val="24"/>
          <w:lang w:val="es-CO" w:eastAsia="es-ES_tradnl"/>
        </w:rPr>
        <w:t xml:space="preserve">las actividades o tareas que </w:t>
      </w:r>
      <w:r w:rsidR="000C7A0E" w:rsidRPr="00682149">
        <w:rPr>
          <w:rFonts w:ascii="Arial" w:eastAsia="Times New Roman" w:hAnsi="Arial" w:cs="Arial"/>
          <w:color w:val="000000" w:themeColor="text1"/>
          <w:sz w:val="24"/>
          <w:szCs w:val="24"/>
          <w:lang w:val="es-CO" w:eastAsia="es-ES_tradnl"/>
        </w:rPr>
        <w:t>legítimamente</w:t>
      </w:r>
      <w:r w:rsidR="00CA178B" w:rsidRPr="00682149">
        <w:rPr>
          <w:rFonts w:ascii="Arial" w:eastAsia="Times New Roman" w:hAnsi="Arial" w:cs="Arial"/>
          <w:color w:val="000000" w:themeColor="text1"/>
          <w:sz w:val="24"/>
          <w:szCs w:val="24"/>
          <w:lang w:val="es-CO" w:eastAsia="es-ES_tradnl"/>
        </w:rPr>
        <w:t xml:space="preserve"> puede desempeñar la autoridad.</w:t>
      </w:r>
      <w:r w:rsidR="00CA178B" w:rsidRPr="00682149">
        <w:rPr>
          <w:rStyle w:val="Refdenotaalpie"/>
          <w:rFonts w:ascii="Arial" w:eastAsia="Times New Roman" w:hAnsi="Arial" w:cs="Arial"/>
          <w:color w:val="000000" w:themeColor="text1"/>
          <w:sz w:val="24"/>
          <w:szCs w:val="24"/>
          <w:lang w:val="es-CO" w:eastAsia="es-ES_tradnl"/>
        </w:rPr>
        <w:footnoteReference w:id="50"/>
      </w:r>
      <w:r w:rsidR="00CA178B" w:rsidRPr="00682149">
        <w:rPr>
          <w:rFonts w:ascii="Arial" w:eastAsia="Times New Roman" w:hAnsi="Arial" w:cs="Arial"/>
          <w:color w:val="000000" w:themeColor="text1"/>
          <w:sz w:val="24"/>
          <w:szCs w:val="24"/>
          <w:lang w:val="es-CO" w:eastAsia="es-ES_tradnl"/>
        </w:rPr>
        <w:t xml:space="preserve"> </w:t>
      </w:r>
      <w:r w:rsidRPr="00682149">
        <w:rPr>
          <w:rFonts w:ascii="Arial" w:eastAsia="Times New Roman" w:hAnsi="Arial" w:cs="Arial"/>
          <w:color w:val="000000" w:themeColor="text1"/>
          <w:sz w:val="24"/>
          <w:szCs w:val="24"/>
          <w:lang w:val="es-CO" w:eastAsia="es-ES_tradnl"/>
        </w:rPr>
        <w:t xml:space="preserve"> En este caso, para analizar su contenido, p</w:t>
      </w:r>
      <w:r w:rsidR="00CA178B" w:rsidRPr="00682149">
        <w:rPr>
          <w:rFonts w:ascii="Arial" w:eastAsia="Times New Roman" w:hAnsi="Arial" w:cs="Arial"/>
          <w:color w:val="000000" w:themeColor="text1"/>
          <w:sz w:val="24"/>
          <w:szCs w:val="24"/>
          <w:lang w:val="es-CO" w:eastAsia="es-ES_tradnl"/>
        </w:rPr>
        <w:t>or</w:t>
      </w:r>
      <w:r w:rsidR="00454900" w:rsidRPr="00682149">
        <w:rPr>
          <w:rFonts w:ascii="Arial" w:eastAsia="Times New Roman" w:hAnsi="Arial" w:cs="Arial"/>
          <w:color w:val="000000" w:themeColor="text1"/>
          <w:sz w:val="24"/>
          <w:szCs w:val="24"/>
          <w:lang w:val="es-CO" w:eastAsia="es-ES_tradnl"/>
        </w:rPr>
        <w:t xml:space="preserve"> razones de metodología, </w:t>
      </w:r>
      <w:r w:rsidR="00646513" w:rsidRPr="00682149">
        <w:rPr>
          <w:rFonts w:ascii="Arial" w:eastAsia="Times New Roman" w:hAnsi="Arial" w:cs="Arial"/>
          <w:color w:val="000000" w:themeColor="text1"/>
          <w:sz w:val="24"/>
          <w:szCs w:val="24"/>
          <w:lang w:val="es-CO" w:eastAsia="es-ES_tradnl"/>
        </w:rPr>
        <w:t xml:space="preserve">la Sala </w:t>
      </w:r>
      <w:r w:rsidR="005F2198" w:rsidRPr="00682149">
        <w:rPr>
          <w:rFonts w:ascii="Arial" w:eastAsia="Arial" w:hAnsi="Arial" w:cs="Arial"/>
          <w:color w:val="000000" w:themeColor="text1"/>
          <w:sz w:val="24"/>
          <w:szCs w:val="24"/>
          <w:lang w:val="es-CO"/>
        </w:rPr>
        <w:t xml:space="preserve">se referirá </w:t>
      </w:r>
      <w:r w:rsidR="00646513" w:rsidRPr="00682149">
        <w:rPr>
          <w:rFonts w:ascii="Arial" w:eastAsia="Arial" w:hAnsi="Arial" w:cs="Arial"/>
          <w:color w:val="000000" w:themeColor="text1"/>
          <w:sz w:val="24"/>
          <w:szCs w:val="24"/>
          <w:lang w:val="es-CO"/>
        </w:rPr>
        <w:t xml:space="preserve">primero </w:t>
      </w:r>
      <w:r w:rsidR="00011F28" w:rsidRPr="00682149">
        <w:rPr>
          <w:rFonts w:ascii="Arial" w:eastAsia="Arial" w:hAnsi="Arial" w:cs="Arial"/>
          <w:color w:val="000000" w:themeColor="text1"/>
          <w:sz w:val="24"/>
          <w:szCs w:val="24"/>
          <w:lang w:val="es-CO"/>
        </w:rPr>
        <w:t xml:space="preserve">al Decreto </w:t>
      </w:r>
      <w:r w:rsidR="00011F28" w:rsidRPr="00682149">
        <w:rPr>
          <w:rFonts w:ascii="Arial" w:hAnsi="Arial" w:cs="Arial"/>
          <w:color w:val="000000" w:themeColor="text1"/>
          <w:sz w:val="24"/>
          <w:szCs w:val="24"/>
          <w:lang w:val="es-CO"/>
        </w:rPr>
        <w:t>Legislativo 517 de 4 de abril de 2020</w:t>
      </w:r>
      <w:r w:rsidR="006D22AA" w:rsidRPr="00682149">
        <w:rPr>
          <w:rFonts w:ascii="Arial" w:hAnsi="Arial" w:cs="Arial"/>
          <w:color w:val="000000" w:themeColor="text1"/>
          <w:sz w:val="24"/>
          <w:szCs w:val="24"/>
          <w:lang w:val="es-CO"/>
        </w:rPr>
        <w:t xml:space="preserve">, en tanto </w:t>
      </w:r>
      <w:r w:rsidR="00011F28" w:rsidRPr="00682149">
        <w:rPr>
          <w:rFonts w:ascii="Arial" w:hAnsi="Arial" w:cs="Arial"/>
          <w:color w:val="000000" w:themeColor="text1"/>
          <w:sz w:val="24"/>
          <w:szCs w:val="24"/>
          <w:lang w:val="es-CO"/>
        </w:rPr>
        <w:t xml:space="preserve">comporta la norma sustancial </w:t>
      </w:r>
      <w:r w:rsidR="0012302C" w:rsidRPr="00682149">
        <w:rPr>
          <w:rFonts w:ascii="Arial" w:hAnsi="Arial" w:cs="Arial"/>
          <w:color w:val="000000" w:themeColor="text1"/>
          <w:sz w:val="24"/>
          <w:szCs w:val="24"/>
          <w:lang w:val="es-CO"/>
        </w:rPr>
        <w:t>que fundamentó</w:t>
      </w:r>
      <w:r w:rsidR="005F2198" w:rsidRPr="00682149">
        <w:rPr>
          <w:rFonts w:ascii="Arial" w:hAnsi="Arial" w:cs="Arial"/>
          <w:color w:val="000000" w:themeColor="text1"/>
          <w:sz w:val="24"/>
          <w:szCs w:val="24"/>
          <w:lang w:val="es-CO"/>
        </w:rPr>
        <w:t xml:space="preserve"> </w:t>
      </w:r>
      <w:r w:rsidR="00DB72CE" w:rsidRPr="00682149">
        <w:rPr>
          <w:rFonts w:ascii="Arial" w:hAnsi="Arial" w:cs="Arial"/>
          <w:color w:val="000000" w:themeColor="text1"/>
          <w:sz w:val="24"/>
          <w:szCs w:val="24"/>
          <w:lang w:val="es-CO"/>
        </w:rPr>
        <w:t xml:space="preserve">el </w:t>
      </w:r>
      <w:r w:rsidR="005F2198" w:rsidRPr="00682149">
        <w:rPr>
          <w:rFonts w:ascii="Arial" w:hAnsi="Arial" w:cs="Arial"/>
          <w:color w:val="000000" w:themeColor="text1"/>
          <w:sz w:val="24"/>
          <w:szCs w:val="24"/>
          <w:lang w:val="es-CO"/>
        </w:rPr>
        <w:t>acto cont</w:t>
      </w:r>
      <w:r w:rsidR="009107C4" w:rsidRPr="00682149">
        <w:rPr>
          <w:rFonts w:ascii="Arial" w:hAnsi="Arial" w:cs="Arial"/>
          <w:color w:val="000000" w:themeColor="text1"/>
          <w:sz w:val="24"/>
          <w:szCs w:val="24"/>
          <w:lang w:val="es-CO"/>
        </w:rPr>
        <w:t xml:space="preserve">rolado, </w:t>
      </w:r>
      <w:r w:rsidR="00DB72CE" w:rsidRPr="00682149">
        <w:rPr>
          <w:rFonts w:ascii="Arial" w:hAnsi="Arial" w:cs="Arial"/>
          <w:color w:val="000000" w:themeColor="text1"/>
          <w:sz w:val="24"/>
          <w:szCs w:val="24"/>
          <w:lang w:val="es-CO"/>
        </w:rPr>
        <w:t xml:space="preserve">el cual </w:t>
      </w:r>
      <w:r w:rsidR="00011F28" w:rsidRPr="00682149">
        <w:rPr>
          <w:rFonts w:ascii="Arial" w:hAnsi="Arial" w:cs="Arial"/>
          <w:color w:val="000000" w:themeColor="text1"/>
          <w:sz w:val="24"/>
          <w:szCs w:val="24"/>
          <w:lang w:val="es-CO"/>
        </w:rPr>
        <w:t>superó el examen de Constitucionalidad a través de la Sentencia C-187 de 18 de junio de 2020</w:t>
      </w:r>
      <w:r w:rsidR="00011F28" w:rsidRPr="00682149">
        <w:rPr>
          <w:rStyle w:val="Refdenotaalpie"/>
          <w:rFonts w:ascii="Arial" w:hAnsi="Arial" w:cs="Arial"/>
          <w:color w:val="000000" w:themeColor="text1"/>
          <w:sz w:val="24"/>
          <w:szCs w:val="24"/>
          <w:lang w:val="es-CO"/>
        </w:rPr>
        <w:footnoteReference w:id="51"/>
      </w:r>
      <w:r w:rsidR="009107C4" w:rsidRPr="00682149">
        <w:rPr>
          <w:rFonts w:ascii="Arial" w:hAnsi="Arial" w:cs="Arial"/>
          <w:color w:val="000000" w:themeColor="text1"/>
          <w:sz w:val="24"/>
          <w:szCs w:val="24"/>
          <w:lang w:val="es-CO"/>
        </w:rPr>
        <w:t xml:space="preserve">, </w:t>
      </w:r>
      <w:r w:rsidR="00011F28" w:rsidRPr="00682149">
        <w:rPr>
          <w:rFonts w:ascii="Arial" w:hAnsi="Arial" w:cs="Arial"/>
          <w:color w:val="000000" w:themeColor="text1"/>
          <w:sz w:val="24"/>
          <w:szCs w:val="24"/>
          <w:lang w:val="es-CO"/>
        </w:rPr>
        <w:t>declar</w:t>
      </w:r>
      <w:r w:rsidR="009107C4" w:rsidRPr="00682149">
        <w:rPr>
          <w:rFonts w:ascii="Arial" w:hAnsi="Arial" w:cs="Arial"/>
          <w:color w:val="000000" w:themeColor="text1"/>
          <w:sz w:val="24"/>
          <w:szCs w:val="24"/>
          <w:lang w:val="es-CO"/>
        </w:rPr>
        <w:t>ada exequible</w:t>
      </w:r>
      <w:r w:rsidR="001C2991" w:rsidRPr="00682149">
        <w:rPr>
          <w:rFonts w:ascii="Arial" w:hAnsi="Arial" w:cs="Arial"/>
          <w:color w:val="000000" w:themeColor="text1"/>
          <w:sz w:val="24"/>
          <w:szCs w:val="24"/>
          <w:lang w:val="es-CO"/>
        </w:rPr>
        <w:t xml:space="preserve">. </w:t>
      </w:r>
    </w:p>
    <w:p w14:paraId="451A86CE" w14:textId="77777777" w:rsidR="009107C4" w:rsidRPr="00682149" w:rsidRDefault="009107C4" w:rsidP="001C138F">
      <w:pPr>
        <w:spacing w:after="0" w:line="276" w:lineRule="auto"/>
        <w:ind w:left="567"/>
        <w:jc w:val="both"/>
        <w:rPr>
          <w:rFonts w:ascii="Arial" w:hAnsi="Arial" w:cs="Arial"/>
          <w:color w:val="000000" w:themeColor="text1"/>
          <w:lang w:val="es-CO"/>
        </w:rPr>
      </w:pPr>
    </w:p>
    <w:p w14:paraId="62104BD3" w14:textId="0B112831" w:rsidR="00127395" w:rsidRPr="00682149" w:rsidRDefault="00646513" w:rsidP="001C138F">
      <w:pPr>
        <w:spacing w:after="0" w:line="276" w:lineRule="auto"/>
        <w:jc w:val="both"/>
        <w:rPr>
          <w:rFonts w:ascii="Arial" w:eastAsiaTheme="minorEastAsia" w:hAnsi="Arial" w:cs="Arial"/>
          <w:bCs/>
          <w:color w:val="000000" w:themeColor="text1"/>
          <w:sz w:val="24"/>
          <w:szCs w:val="24"/>
          <w:lang w:val="es-ES" w:eastAsia="es-ES"/>
        </w:rPr>
      </w:pPr>
      <w:r w:rsidRPr="00682149">
        <w:rPr>
          <w:rFonts w:ascii="Arial" w:eastAsiaTheme="minorEastAsia" w:hAnsi="Arial" w:cs="Arial"/>
          <w:bCs/>
          <w:color w:val="000000" w:themeColor="text1"/>
          <w:sz w:val="24"/>
          <w:szCs w:val="24"/>
          <w:lang w:val="es-ES" w:eastAsia="es-ES"/>
        </w:rPr>
        <w:t xml:space="preserve">En </w:t>
      </w:r>
      <w:r w:rsidR="001C2991" w:rsidRPr="00682149">
        <w:rPr>
          <w:rFonts w:ascii="Arial" w:eastAsiaTheme="minorEastAsia" w:hAnsi="Arial" w:cs="Arial"/>
          <w:bCs/>
          <w:color w:val="000000" w:themeColor="text1"/>
          <w:sz w:val="24"/>
          <w:szCs w:val="24"/>
          <w:lang w:val="es-ES" w:eastAsia="es-ES"/>
        </w:rPr>
        <w:t xml:space="preserve">ese sentido, </w:t>
      </w:r>
      <w:r w:rsidR="00127395" w:rsidRPr="00682149">
        <w:rPr>
          <w:rFonts w:ascii="Arial" w:eastAsiaTheme="minorEastAsia" w:hAnsi="Arial" w:cs="Arial"/>
          <w:bCs/>
          <w:color w:val="000000" w:themeColor="text1"/>
          <w:sz w:val="24"/>
          <w:szCs w:val="24"/>
          <w:lang w:val="es-ES" w:eastAsia="es-ES"/>
        </w:rPr>
        <w:t>el artículo 3º del Decreto Legislativo 517</w:t>
      </w:r>
      <w:r w:rsidR="00A549CE" w:rsidRPr="00682149">
        <w:rPr>
          <w:rFonts w:ascii="Arial" w:eastAsiaTheme="minorEastAsia" w:hAnsi="Arial" w:cs="Arial"/>
          <w:bCs/>
          <w:color w:val="000000" w:themeColor="text1"/>
          <w:sz w:val="24"/>
          <w:szCs w:val="24"/>
          <w:lang w:val="es-ES" w:eastAsia="es-ES"/>
        </w:rPr>
        <w:t xml:space="preserve"> </w:t>
      </w:r>
      <w:r w:rsidR="00127395" w:rsidRPr="00682149">
        <w:rPr>
          <w:rFonts w:ascii="Arial" w:eastAsiaTheme="minorEastAsia" w:hAnsi="Arial" w:cs="Arial"/>
          <w:bCs/>
          <w:color w:val="000000" w:themeColor="text1"/>
          <w:sz w:val="24"/>
          <w:szCs w:val="24"/>
          <w:lang w:val="es-ES" w:eastAsia="es-ES"/>
        </w:rPr>
        <w:t xml:space="preserve">dispuso: </w:t>
      </w:r>
    </w:p>
    <w:p w14:paraId="245D5608" w14:textId="77777777" w:rsidR="00127395" w:rsidRPr="00682149" w:rsidRDefault="00127395" w:rsidP="001C138F">
      <w:pPr>
        <w:spacing w:after="0" w:line="276" w:lineRule="auto"/>
        <w:ind w:left="567"/>
        <w:jc w:val="both"/>
        <w:rPr>
          <w:rFonts w:ascii="Arial" w:eastAsiaTheme="minorEastAsia" w:hAnsi="Arial" w:cs="Arial"/>
          <w:b/>
          <w:bCs/>
          <w:color w:val="000000" w:themeColor="text1"/>
          <w:lang w:val="es-ES" w:eastAsia="es-ES"/>
        </w:rPr>
      </w:pPr>
    </w:p>
    <w:p w14:paraId="0C196F29" w14:textId="4B94D976" w:rsidR="00127395" w:rsidRPr="00682149" w:rsidRDefault="00127395" w:rsidP="001C138F">
      <w:pPr>
        <w:spacing w:after="0" w:line="276" w:lineRule="auto"/>
        <w:ind w:left="567"/>
        <w:jc w:val="both"/>
        <w:rPr>
          <w:rFonts w:ascii="Arial" w:eastAsiaTheme="minorEastAsia" w:hAnsi="Arial" w:cs="Arial"/>
          <w:b/>
          <w:bCs/>
          <w:i/>
          <w:color w:val="000000" w:themeColor="text1"/>
          <w:u w:val="single"/>
          <w:lang w:val="es-ES" w:eastAsia="es-ES"/>
        </w:rPr>
      </w:pPr>
      <w:r w:rsidRPr="00682149">
        <w:rPr>
          <w:rFonts w:ascii="Arial" w:eastAsiaTheme="minorEastAsia" w:hAnsi="Arial" w:cs="Arial"/>
          <w:b/>
          <w:bCs/>
          <w:i/>
          <w:color w:val="000000" w:themeColor="text1"/>
          <w:lang w:val="es-ES" w:eastAsia="es-ES"/>
        </w:rPr>
        <w:t>“</w:t>
      </w:r>
      <w:r w:rsidR="009107C4" w:rsidRPr="00682149">
        <w:rPr>
          <w:rFonts w:ascii="Arial" w:eastAsiaTheme="minorEastAsia" w:hAnsi="Arial" w:cs="Arial"/>
          <w:b/>
          <w:bCs/>
          <w:i/>
          <w:color w:val="000000" w:themeColor="text1"/>
          <w:lang w:val="es-ES" w:eastAsia="es-ES"/>
        </w:rPr>
        <w:t xml:space="preserve">Artículo 3. </w:t>
      </w:r>
      <w:r w:rsidR="009107C4" w:rsidRPr="00682149">
        <w:rPr>
          <w:rFonts w:ascii="Arial" w:eastAsiaTheme="minorEastAsia" w:hAnsi="Arial" w:cs="Arial"/>
          <w:b/>
          <w:bCs/>
          <w:i/>
          <w:iCs/>
          <w:color w:val="000000" w:themeColor="text1"/>
          <w:lang w:val="es-ES" w:eastAsia="es-ES"/>
        </w:rPr>
        <w:t xml:space="preserve">Adopción de medidas extraordinarias en la prestación de los servicios públicos de energía eléctrica y gas combustible. </w:t>
      </w:r>
      <w:r w:rsidR="009107C4" w:rsidRPr="00682149">
        <w:rPr>
          <w:rFonts w:ascii="Arial" w:eastAsiaTheme="minorEastAsia" w:hAnsi="Arial" w:cs="Arial"/>
          <w:i/>
          <w:color w:val="000000" w:themeColor="text1"/>
          <w:lang w:val="es-ES" w:eastAsia="es-ES"/>
        </w:rPr>
        <w:t>Mientras permanezca vigente la declaratoria de Emergencia Sanitaria por parte del Ministerio de Salud y Protección Social, la Comisión de Regulación de Energía y Gas -CREG-, podrá adoptar en forma transitoria esquemas especiales para diferir el pago de facturas emitidas, así́ como adoptar de manera transitoria todas aquellas medidas, disposiciones tarifarias y regímenes regulatorios especiales que considere necesarios, inclusive lo relacionado con el aporte voluntario de que trata el presente Decreto, con el fin de mitigar los efectos del Estado de Emergencia Económica, Social y Ecológica sobre los usuarios y los agentes de la cadena de la prestación de los servicios públicos domiciliarios de energía eléctrica y gas combustible, y sus actividades complementarias</w:t>
      </w:r>
    </w:p>
    <w:p w14:paraId="5492B152" w14:textId="77777777" w:rsidR="00127395" w:rsidRPr="00682149" w:rsidRDefault="00127395" w:rsidP="001C138F">
      <w:pPr>
        <w:spacing w:after="0" w:line="276" w:lineRule="auto"/>
        <w:ind w:left="567"/>
        <w:jc w:val="both"/>
        <w:rPr>
          <w:rFonts w:ascii="Arial" w:eastAsiaTheme="minorEastAsia" w:hAnsi="Arial" w:cs="Arial"/>
          <w:i/>
          <w:color w:val="000000" w:themeColor="text1"/>
          <w:lang w:val="es-ES" w:eastAsia="es-ES"/>
        </w:rPr>
      </w:pPr>
    </w:p>
    <w:p w14:paraId="73C545F7" w14:textId="77777777" w:rsidR="00127395" w:rsidRPr="00682149" w:rsidRDefault="009107C4" w:rsidP="001C138F">
      <w:pPr>
        <w:spacing w:after="0" w:line="276" w:lineRule="auto"/>
        <w:ind w:left="567"/>
        <w:jc w:val="both"/>
        <w:rPr>
          <w:rFonts w:ascii="Arial" w:eastAsiaTheme="minorEastAsia" w:hAnsi="Arial" w:cs="Arial"/>
          <w:i/>
          <w:color w:val="000000" w:themeColor="text1"/>
          <w:lang w:val="es-ES" w:eastAsia="es-ES"/>
        </w:rPr>
      </w:pPr>
      <w:r w:rsidRPr="00682149">
        <w:rPr>
          <w:rFonts w:ascii="Arial" w:eastAsiaTheme="minorEastAsia" w:hAnsi="Arial" w:cs="Arial"/>
          <w:b/>
          <w:bCs/>
          <w:i/>
          <w:iCs/>
          <w:color w:val="000000" w:themeColor="text1"/>
          <w:lang w:val="es-ES" w:eastAsia="es-ES"/>
        </w:rPr>
        <w:t>PARÁGRAFO PRIMERO</w:t>
      </w:r>
      <w:r w:rsidRPr="00682149">
        <w:rPr>
          <w:rFonts w:ascii="Arial" w:eastAsiaTheme="minorEastAsia" w:hAnsi="Arial" w:cs="Arial"/>
          <w:i/>
          <w:iCs/>
          <w:color w:val="000000" w:themeColor="text1"/>
          <w:lang w:val="es-ES" w:eastAsia="es-ES"/>
        </w:rPr>
        <w:t xml:space="preserve">. </w:t>
      </w:r>
      <w:r w:rsidRPr="00682149">
        <w:rPr>
          <w:rFonts w:ascii="Arial" w:eastAsiaTheme="minorEastAsia" w:hAnsi="Arial" w:cs="Arial"/>
          <w:i/>
          <w:color w:val="000000" w:themeColor="text1"/>
          <w:lang w:val="es-ES" w:eastAsia="es-ES"/>
        </w:rPr>
        <w:t>Para las medidas que adopte la Comisión de Regulación de Energía y Gas - CREG, se establecerán en cada caso su vigencia en función del cumplimiento de los objetivos para los cuales hayan sido expedidas.</w:t>
      </w:r>
    </w:p>
    <w:p w14:paraId="6B298305" w14:textId="77777777" w:rsidR="00127395" w:rsidRPr="00682149" w:rsidRDefault="00127395" w:rsidP="001C138F">
      <w:pPr>
        <w:spacing w:after="0" w:line="276" w:lineRule="auto"/>
        <w:ind w:left="567"/>
        <w:jc w:val="both"/>
        <w:rPr>
          <w:rFonts w:ascii="Arial" w:eastAsiaTheme="minorEastAsia" w:hAnsi="Arial" w:cs="Arial"/>
          <w:i/>
          <w:color w:val="000000" w:themeColor="text1"/>
          <w:lang w:val="es-ES" w:eastAsia="es-ES"/>
        </w:rPr>
      </w:pPr>
    </w:p>
    <w:p w14:paraId="7EBBB97E" w14:textId="77777777" w:rsidR="00127395" w:rsidRPr="00682149" w:rsidRDefault="009107C4" w:rsidP="001C138F">
      <w:pPr>
        <w:spacing w:after="0" w:line="276" w:lineRule="auto"/>
        <w:ind w:left="567"/>
        <w:jc w:val="both"/>
        <w:rPr>
          <w:rFonts w:ascii="Arial" w:eastAsiaTheme="minorEastAsia" w:hAnsi="Arial" w:cs="Arial"/>
          <w:i/>
          <w:color w:val="000000" w:themeColor="text1"/>
          <w:lang w:val="es-ES" w:eastAsia="es-ES"/>
        </w:rPr>
      </w:pPr>
      <w:r w:rsidRPr="00682149">
        <w:rPr>
          <w:rFonts w:ascii="Arial" w:eastAsiaTheme="minorEastAsia" w:hAnsi="Arial" w:cs="Arial"/>
          <w:b/>
          <w:bCs/>
          <w:i/>
          <w:iCs/>
          <w:color w:val="000000" w:themeColor="text1"/>
          <w:lang w:val="es-ES" w:eastAsia="es-ES"/>
        </w:rPr>
        <w:t>PARÁGRAFO SEGUNDO</w:t>
      </w:r>
      <w:r w:rsidRPr="00682149">
        <w:rPr>
          <w:rFonts w:ascii="Arial" w:eastAsiaTheme="minorEastAsia" w:hAnsi="Arial" w:cs="Arial"/>
          <w:i/>
          <w:iCs/>
          <w:color w:val="000000" w:themeColor="text1"/>
          <w:lang w:val="es-ES" w:eastAsia="es-ES"/>
        </w:rPr>
        <w:t xml:space="preserve">. </w:t>
      </w:r>
      <w:r w:rsidRPr="00682149">
        <w:rPr>
          <w:rFonts w:ascii="Arial" w:eastAsiaTheme="minorEastAsia" w:hAnsi="Arial" w:cs="Arial"/>
          <w:i/>
          <w:color w:val="000000" w:themeColor="text1"/>
          <w:lang w:val="es-ES" w:eastAsia="es-ES"/>
        </w:rPr>
        <w:t>La Comisión de Regulación de Energía y Gas CREG- podrá adoptar todas las medidas necesarias de las que trata este Decreto mientras permanezca vigente la declaratoria de Emergencia Sanitaria por parte del Ministerio de Salud y Protección Social, sin la observación de los períodos, plazos y requisitos definidos en las leyes 142 y 143 de 1994 y demás disposiciones legales.</w:t>
      </w:r>
    </w:p>
    <w:p w14:paraId="50A4EC76" w14:textId="77777777" w:rsidR="00127395" w:rsidRPr="00682149" w:rsidRDefault="00127395" w:rsidP="001C138F">
      <w:pPr>
        <w:spacing w:after="0" w:line="276" w:lineRule="auto"/>
        <w:ind w:left="567"/>
        <w:jc w:val="both"/>
        <w:rPr>
          <w:rFonts w:ascii="Arial" w:eastAsiaTheme="minorEastAsia" w:hAnsi="Arial" w:cs="Arial"/>
          <w:i/>
          <w:color w:val="000000" w:themeColor="text1"/>
          <w:lang w:val="es-ES" w:eastAsia="es-ES"/>
        </w:rPr>
      </w:pPr>
    </w:p>
    <w:p w14:paraId="0901C1C7" w14:textId="174B8612" w:rsidR="009107C4" w:rsidRPr="00682149" w:rsidRDefault="009107C4" w:rsidP="001C138F">
      <w:pPr>
        <w:spacing w:after="0" w:line="276" w:lineRule="auto"/>
        <w:ind w:left="567"/>
        <w:jc w:val="both"/>
        <w:rPr>
          <w:rFonts w:ascii="Arial" w:eastAsiaTheme="minorEastAsia" w:hAnsi="Arial" w:cs="Arial"/>
          <w:i/>
          <w:color w:val="000000" w:themeColor="text1"/>
          <w:lang w:val="es-ES" w:eastAsia="es-ES"/>
        </w:rPr>
      </w:pPr>
      <w:r w:rsidRPr="00682149">
        <w:rPr>
          <w:rFonts w:ascii="Arial" w:eastAsiaTheme="minorEastAsia" w:hAnsi="Arial" w:cs="Arial"/>
          <w:i/>
          <w:color w:val="000000" w:themeColor="text1"/>
          <w:lang w:val="es-ES" w:eastAsia="es-ES"/>
        </w:rPr>
        <w:t>Así mismo, el Ministerio de Minas y Energía y sus entidades adscritas podrán establecer las medidas extraordinarias de las que trata este Decreto sin necesidad de agotar el requisito de información de los proyectos de regulación a la Superintendencia de Industria y Comercio del que tratan la Ley 1340 de 2009 y el Decreto 1074 de 2015. Tampoco será́ de obligatorio el cumplimiento de los requisitos y plazos de publicidad y de consulta de los proyectos de regulación previstos en la Ley 1437 de 2011 y el Decreto 1078 de 2015.</w:t>
      </w:r>
      <w:r w:rsidR="00DB72CE" w:rsidRPr="00682149">
        <w:rPr>
          <w:rFonts w:ascii="Arial" w:eastAsiaTheme="minorEastAsia" w:hAnsi="Arial" w:cs="Arial"/>
          <w:i/>
          <w:color w:val="000000" w:themeColor="text1"/>
          <w:lang w:val="es-ES" w:eastAsia="es-ES"/>
        </w:rPr>
        <w:t>”</w:t>
      </w:r>
    </w:p>
    <w:p w14:paraId="2D0AADBC" w14:textId="77777777" w:rsidR="00597242" w:rsidRDefault="00597242" w:rsidP="001C138F">
      <w:pPr>
        <w:widowControl w:val="0"/>
        <w:autoSpaceDE w:val="0"/>
        <w:autoSpaceDN w:val="0"/>
        <w:adjustRightInd w:val="0"/>
        <w:spacing w:after="0" w:line="276" w:lineRule="auto"/>
        <w:ind w:right="200"/>
        <w:jc w:val="both"/>
        <w:rPr>
          <w:rFonts w:ascii="Arial" w:eastAsiaTheme="minorEastAsia" w:hAnsi="Arial" w:cs="Arial"/>
          <w:color w:val="000000" w:themeColor="text1"/>
          <w:sz w:val="24"/>
          <w:szCs w:val="24"/>
          <w:lang w:val="es-ES" w:eastAsia="es-ES"/>
        </w:rPr>
      </w:pPr>
    </w:p>
    <w:p w14:paraId="624FC7E5" w14:textId="678B6886" w:rsidR="001C2991" w:rsidRDefault="00DF52E9" w:rsidP="001C138F">
      <w:pPr>
        <w:widowControl w:val="0"/>
        <w:autoSpaceDE w:val="0"/>
        <w:autoSpaceDN w:val="0"/>
        <w:adjustRightInd w:val="0"/>
        <w:spacing w:after="0" w:line="276" w:lineRule="auto"/>
        <w:ind w:right="200"/>
        <w:jc w:val="both"/>
        <w:rPr>
          <w:rFonts w:ascii="Arial" w:eastAsiaTheme="minorEastAsia" w:hAnsi="Arial" w:cs="Arial"/>
          <w:color w:val="000000" w:themeColor="text1"/>
          <w:sz w:val="24"/>
          <w:szCs w:val="24"/>
          <w:lang w:val="es-ES" w:eastAsia="es-ES"/>
        </w:rPr>
      </w:pPr>
      <w:r w:rsidRPr="00682149">
        <w:rPr>
          <w:rFonts w:ascii="Arial" w:eastAsiaTheme="minorEastAsia" w:hAnsi="Arial" w:cs="Arial"/>
          <w:color w:val="000000" w:themeColor="text1"/>
          <w:sz w:val="24"/>
          <w:szCs w:val="24"/>
          <w:lang w:val="es-ES" w:eastAsia="es-ES"/>
        </w:rPr>
        <w:t>P</w:t>
      </w:r>
      <w:r w:rsidR="00DB72CE" w:rsidRPr="00682149">
        <w:rPr>
          <w:rFonts w:ascii="Arial" w:eastAsiaTheme="minorEastAsia" w:hAnsi="Arial" w:cs="Arial"/>
          <w:color w:val="000000" w:themeColor="text1"/>
          <w:sz w:val="24"/>
          <w:szCs w:val="24"/>
          <w:lang w:val="es-ES" w:eastAsia="es-ES"/>
        </w:rPr>
        <w:t xml:space="preserve">ara la </w:t>
      </w:r>
      <w:r w:rsidR="00127395" w:rsidRPr="00682149">
        <w:rPr>
          <w:rFonts w:ascii="Arial" w:eastAsiaTheme="minorEastAsia" w:hAnsi="Arial" w:cs="Arial"/>
          <w:color w:val="000000" w:themeColor="text1"/>
          <w:sz w:val="24"/>
          <w:szCs w:val="24"/>
          <w:lang w:val="es-ES" w:eastAsia="es-ES"/>
        </w:rPr>
        <w:t>Corte</w:t>
      </w:r>
      <w:r w:rsidRPr="00682149">
        <w:rPr>
          <w:rFonts w:ascii="Arial" w:eastAsiaTheme="minorEastAsia" w:hAnsi="Arial" w:cs="Arial"/>
          <w:color w:val="000000" w:themeColor="text1"/>
          <w:sz w:val="24"/>
          <w:szCs w:val="24"/>
          <w:lang w:val="es-ES" w:eastAsia="es-ES"/>
        </w:rPr>
        <w:t xml:space="preserve">, </w:t>
      </w:r>
      <w:r w:rsidR="00127395" w:rsidRPr="00682149">
        <w:rPr>
          <w:rFonts w:ascii="Arial" w:eastAsiaTheme="minorEastAsia" w:hAnsi="Arial" w:cs="Arial"/>
          <w:color w:val="000000" w:themeColor="text1"/>
          <w:sz w:val="24"/>
          <w:szCs w:val="24"/>
          <w:lang w:val="es-ES" w:eastAsia="es-ES"/>
        </w:rPr>
        <w:t>e</w:t>
      </w:r>
      <w:r w:rsidR="004F6716" w:rsidRPr="00682149">
        <w:rPr>
          <w:rFonts w:ascii="Arial" w:eastAsiaTheme="minorEastAsia" w:hAnsi="Arial" w:cs="Arial"/>
          <w:color w:val="000000" w:themeColor="text1"/>
          <w:sz w:val="24"/>
          <w:szCs w:val="24"/>
          <w:lang w:val="es-ES" w:eastAsia="es-ES"/>
        </w:rPr>
        <w:t xml:space="preserve">l artículo 3º del Decreto </w:t>
      </w:r>
      <w:r w:rsidR="00176152" w:rsidRPr="00682149">
        <w:rPr>
          <w:rFonts w:ascii="Arial" w:eastAsiaTheme="minorEastAsia" w:hAnsi="Arial" w:cs="Arial"/>
          <w:color w:val="000000" w:themeColor="text1"/>
          <w:sz w:val="24"/>
          <w:szCs w:val="24"/>
          <w:lang w:val="es-ES" w:eastAsia="es-ES"/>
        </w:rPr>
        <w:t xml:space="preserve"> Legislativo </w:t>
      </w:r>
      <w:r w:rsidR="004F6716" w:rsidRPr="00682149">
        <w:rPr>
          <w:rFonts w:ascii="Arial" w:eastAsiaTheme="minorEastAsia" w:hAnsi="Arial" w:cs="Arial"/>
          <w:color w:val="000000" w:themeColor="text1"/>
          <w:sz w:val="24"/>
          <w:szCs w:val="24"/>
          <w:lang w:val="es-ES" w:eastAsia="es-ES"/>
        </w:rPr>
        <w:t xml:space="preserve">517 </w:t>
      </w:r>
      <w:r w:rsidR="000C0E06" w:rsidRPr="00682149">
        <w:rPr>
          <w:rFonts w:ascii="Arial" w:eastAsiaTheme="minorEastAsia" w:hAnsi="Arial" w:cs="Arial"/>
          <w:color w:val="000000" w:themeColor="text1"/>
          <w:sz w:val="24"/>
          <w:szCs w:val="24"/>
          <w:lang w:val="es-ES" w:eastAsia="es-ES"/>
        </w:rPr>
        <w:t>cumple con el requisito de conexidad interna en tanto guarda relación con las causas que dieron or</w:t>
      </w:r>
      <w:r w:rsidR="004954B3" w:rsidRPr="00682149">
        <w:rPr>
          <w:rFonts w:ascii="Arial" w:eastAsiaTheme="minorEastAsia" w:hAnsi="Arial" w:cs="Arial"/>
          <w:color w:val="000000" w:themeColor="text1"/>
          <w:sz w:val="24"/>
          <w:szCs w:val="24"/>
          <w:lang w:val="es-ES" w:eastAsia="es-ES"/>
        </w:rPr>
        <w:t xml:space="preserve">igen </w:t>
      </w:r>
      <w:r w:rsidR="004954B3" w:rsidRPr="00682149">
        <w:rPr>
          <w:rFonts w:ascii="Arial" w:eastAsiaTheme="minorEastAsia" w:hAnsi="Arial" w:cs="Arial"/>
          <w:color w:val="000000" w:themeColor="text1"/>
          <w:sz w:val="24"/>
          <w:szCs w:val="24"/>
          <w:lang w:val="es-ES" w:eastAsia="es-ES"/>
        </w:rPr>
        <w:lastRenderedPageBreak/>
        <w:t>a la emergencia y</w:t>
      </w:r>
      <w:r w:rsidR="00646513" w:rsidRPr="00682149">
        <w:rPr>
          <w:rFonts w:ascii="Arial" w:eastAsiaTheme="minorEastAsia" w:hAnsi="Arial" w:cs="Arial"/>
          <w:color w:val="000000" w:themeColor="text1"/>
          <w:sz w:val="24"/>
          <w:szCs w:val="24"/>
          <w:lang w:val="es-ES" w:eastAsia="es-ES"/>
        </w:rPr>
        <w:t xml:space="preserve"> </w:t>
      </w:r>
      <w:r w:rsidR="003E5E3B" w:rsidRPr="00682149">
        <w:rPr>
          <w:rFonts w:ascii="Arial" w:eastAsiaTheme="minorEastAsia" w:hAnsi="Arial" w:cs="Arial"/>
          <w:color w:val="000000" w:themeColor="text1"/>
          <w:sz w:val="24"/>
          <w:szCs w:val="24"/>
          <w:lang w:val="es-ES" w:eastAsia="es-ES"/>
        </w:rPr>
        <w:t>justificó</w:t>
      </w:r>
      <w:r w:rsidR="004F6716" w:rsidRPr="00682149">
        <w:rPr>
          <w:rFonts w:ascii="Arial" w:eastAsiaTheme="minorEastAsia" w:hAnsi="Arial" w:cs="Arial"/>
          <w:color w:val="000000" w:themeColor="text1"/>
          <w:sz w:val="24"/>
          <w:szCs w:val="24"/>
          <w:lang w:val="es-ES" w:eastAsia="es-ES"/>
        </w:rPr>
        <w:t xml:space="preserve"> las </w:t>
      </w:r>
      <w:r w:rsidR="000C0E06" w:rsidRPr="00682149">
        <w:rPr>
          <w:rFonts w:ascii="Arial" w:eastAsiaTheme="minorEastAsia" w:hAnsi="Arial" w:cs="Arial"/>
          <w:color w:val="000000" w:themeColor="text1"/>
          <w:sz w:val="24"/>
          <w:szCs w:val="24"/>
          <w:lang w:val="es-ES" w:eastAsia="es-ES"/>
        </w:rPr>
        <w:t>facultad</w:t>
      </w:r>
      <w:r w:rsidR="004F6716" w:rsidRPr="00682149">
        <w:rPr>
          <w:rFonts w:ascii="Arial" w:eastAsiaTheme="minorEastAsia" w:hAnsi="Arial" w:cs="Arial"/>
          <w:color w:val="000000" w:themeColor="text1"/>
          <w:sz w:val="24"/>
          <w:szCs w:val="24"/>
          <w:lang w:val="es-ES" w:eastAsia="es-ES"/>
        </w:rPr>
        <w:t>es</w:t>
      </w:r>
      <w:r w:rsidR="00646513" w:rsidRPr="00682149">
        <w:rPr>
          <w:rFonts w:ascii="Arial" w:eastAsiaTheme="minorEastAsia" w:hAnsi="Arial" w:cs="Arial"/>
          <w:color w:val="000000" w:themeColor="text1"/>
          <w:sz w:val="24"/>
          <w:szCs w:val="24"/>
          <w:lang w:val="es-ES" w:eastAsia="es-ES"/>
        </w:rPr>
        <w:t xml:space="preserve"> de la CREG </w:t>
      </w:r>
      <w:r w:rsidR="000C0E06" w:rsidRPr="00682149">
        <w:rPr>
          <w:rFonts w:ascii="Arial" w:eastAsiaTheme="minorEastAsia" w:hAnsi="Arial" w:cs="Arial"/>
          <w:color w:val="000000" w:themeColor="text1"/>
          <w:sz w:val="24"/>
          <w:szCs w:val="24"/>
          <w:lang w:val="es-ES" w:eastAsia="es-ES"/>
        </w:rPr>
        <w:t>para adoptar las medidas necesarias</w:t>
      </w:r>
      <w:r w:rsidR="004954B3" w:rsidRPr="00682149">
        <w:rPr>
          <w:rFonts w:ascii="Arial" w:eastAsiaTheme="minorEastAsia" w:hAnsi="Arial" w:cs="Arial"/>
          <w:color w:val="000000" w:themeColor="text1"/>
          <w:sz w:val="24"/>
          <w:szCs w:val="24"/>
          <w:lang w:val="es-ES" w:eastAsia="es-ES"/>
        </w:rPr>
        <w:t>,</w:t>
      </w:r>
      <w:r w:rsidR="00646513" w:rsidRPr="00682149">
        <w:rPr>
          <w:rFonts w:ascii="Arial" w:eastAsiaTheme="minorEastAsia" w:hAnsi="Arial" w:cs="Arial"/>
          <w:color w:val="000000" w:themeColor="text1"/>
          <w:sz w:val="24"/>
          <w:szCs w:val="24"/>
          <w:lang w:val="es-ES" w:eastAsia="es-ES"/>
        </w:rPr>
        <w:t xml:space="preserve"> dado que</w:t>
      </w:r>
      <w:r w:rsidR="00176152" w:rsidRPr="00682149">
        <w:rPr>
          <w:rFonts w:ascii="Arial" w:eastAsiaTheme="minorEastAsia" w:hAnsi="Arial" w:cs="Arial"/>
          <w:color w:val="000000" w:themeColor="text1"/>
          <w:sz w:val="24"/>
          <w:szCs w:val="24"/>
          <w:lang w:val="es-ES" w:eastAsia="es-ES"/>
        </w:rPr>
        <w:t>:</w:t>
      </w:r>
      <w:r w:rsidR="00646513" w:rsidRPr="00682149">
        <w:rPr>
          <w:rFonts w:ascii="Arial" w:eastAsiaTheme="minorEastAsia" w:hAnsi="Arial" w:cs="Arial"/>
          <w:color w:val="000000" w:themeColor="text1"/>
          <w:sz w:val="24"/>
          <w:szCs w:val="24"/>
          <w:lang w:val="es-ES" w:eastAsia="es-ES"/>
        </w:rPr>
        <w:t xml:space="preserve"> i)</w:t>
      </w:r>
      <w:r w:rsidR="004954B3" w:rsidRPr="00682149">
        <w:rPr>
          <w:rFonts w:ascii="Arial" w:eastAsiaTheme="minorEastAsia" w:hAnsi="Arial" w:cs="Arial"/>
          <w:color w:val="000000" w:themeColor="text1"/>
          <w:sz w:val="24"/>
          <w:szCs w:val="24"/>
          <w:lang w:val="es-ES" w:eastAsia="es-ES"/>
        </w:rPr>
        <w:t xml:space="preserve"> </w:t>
      </w:r>
      <w:r w:rsidR="009107C4" w:rsidRPr="00682149">
        <w:rPr>
          <w:rFonts w:ascii="Arial" w:eastAsiaTheme="minorEastAsia" w:hAnsi="Arial" w:cs="Arial"/>
          <w:color w:val="000000" w:themeColor="text1"/>
          <w:sz w:val="24"/>
          <w:szCs w:val="24"/>
          <w:lang w:val="es-ES" w:eastAsia="es-ES"/>
        </w:rPr>
        <w:t>explica detalladamente las razones por las cuales se justifica acudir a las medidas</w:t>
      </w:r>
      <w:r w:rsidR="001C2991" w:rsidRPr="00682149">
        <w:rPr>
          <w:rFonts w:ascii="Arial" w:eastAsiaTheme="minorEastAsia" w:hAnsi="Arial" w:cs="Arial"/>
          <w:color w:val="000000" w:themeColor="text1"/>
          <w:sz w:val="24"/>
          <w:szCs w:val="24"/>
          <w:lang w:val="es-ES" w:eastAsia="es-ES"/>
        </w:rPr>
        <w:t xml:space="preserve"> excepcionales</w:t>
      </w:r>
      <w:r w:rsidR="009107C4" w:rsidRPr="00682149">
        <w:rPr>
          <w:rFonts w:ascii="Arial" w:eastAsiaTheme="minorEastAsia" w:hAnsi="Arial" w:cs="Arial"/>
          <w:color w:val="000000" w:themeColor="text1"/>
          <w:sz w:val="24"/>
          <w:szCs w:val="24"/>
          <w:lang w:val="es-ES" w:eastAsia="es-ES"/>
        </w:rPr>
        <w:t xml:space="preserve">, </w:t>
      </w:r>
      <w:r w:rsidR="00646513" w:rsidRPr="00682149">
        <w:rPr>
          <w:rFonts w:ascii="Arial" w:eastAsiaTheme="minorEastAsia" w:hAnsi="Arial" w:cs="Arial"/>
          <w:color w:val="000000" w:themeColor="text1"/>
          <w:sz w:val="24"/>
          <w:szCs w:val="24"/>
          <w:lang w:val="es-ES" w:eastAsia="es-ES"/>
        </w:rPr>
        <w:t>ii) la emergencia decretada puede impactar en dificultades para pagar los servicios públicos de energía y gas domiciliario; iii) las medidas tienen</w:t>
      </w:r>
      <w:r w:rsidR="009107C4" w:rsidRPr="00682149">
        <w:rPr>
          <w:rFonts w:ascii="Arial" w:eastAsiaTheme="minorEastAsia" w:hAnsi="Arial" w:cs="Arial"/>
          <w:color w:val="000000" w:themeColor="text1"/>
          <w:sz w:val="24"/>
          <w:szCs w:val="24"/>
          <w:lang w:val="es-ES" w:eastAsia="es-ES"/>
        </w:rPr>
        <w:t xml:space="preserve"> una repercusión directa en la capacidad económica de los hogares</w:t>
      </w:r>
      <w:r w:rsidR="00176152" w:rsidRPr="00682149">
        <w:rPr>
          <w:rFonts w:ascii="Arial" w:eastAsiaTheme="minorEastAsia" w:hAnsi="Arial" w:cs="Arial"/>
          <w:color w:val="000000" w:themeColor="text1"/>
          <w:sz w:val="24"/>
          <w:szCs w:val="24"/>
          <w:lang w:val="es-ES" w:eastAsia="es-ES"/>
        </w:rPr>
        <w:t>;</w:t>
      </w:r>
      <w:r w:rsidR="00646513" w:rsidRPr="00682149">
        <w:rPr>
          <w:rFonts w:ascii="Arial" w:eastAsiaTheme="minorEastAsia" w:hAnsi="Arial" w:cs="Arial"/>
          <w:color w:val="000000" w:themeColor="text1"/>
          <w:sz w:val="24"/>
          <w:szCs w:val="24"/>
          <w:lang w:val="es-ES" w:eastAsia="es-ES"/>
        </w:rPr>
        <w:t xml:space="preserve"> y</w:t>
      </w:r>
      <w:r w:rsidR="00176152" w:rsidRPr="00682149">
        <w:rPr>
          <w:rFonts w:ascii="Arial" w:eastAsiaTheme="minorEastAsia" w:hAnsi="Arial" w:cs="Arial"/>
          <w:color w:val="000000" w:themeColor="text1"/>
          <w:sz w:val="24"/>
          <w:szCs w:val="24"/>
          <w:lang w:val="es-ES" w:eastAsia="es-ES"/>
        </w:rPr>
        <w:t>,</w:t>
      </w:r>
      <w:r w:rsidR="00646513" w:rsidRPr="00682149">
        <w:rPr>
          <w:rFonts w:ascii="Arial" w:eastAsiaTheme="minorEastAsia" w:hAnsi="Arial" w:cs="Arial"/>
          <w:color w:val="000000" w:themeColor="text1"/>
          <w:sz w:val="24"/>
          <w:szCs w:val="24"/>
          <w:lang w:val="es-ES" w:eastAsia="es-ES"/>
        </w:rPr>
        <w:t xml:space="preserve"> iv) </w:t>
      </w:r>
      <w:r w:rsidR="004954B3" w:rsidRPr="00682149">
        <w:rPr>
          <w:rFonts w:ascii="Arial" w:eastAsiaTheme="minorEastAsia" w:hAnsi="Arial" w:cs="Arial"/>
          <w:color w:val="000000" w:themeColor="text1"/>
          <w:sz w:val="24"/>
          <w:szCs w:val="24"/>
          <w:lang w:val="es-ES" w:eastAsia="es-ES"/>
        </w:rPr>
        <w:t>l</w:t>
      </w:r>
      <w:r w:rsidR="009107C4" w:rsidRPr="00682149">
        <w:rPr>
          <w:rFonts w:ascii="Arial" w:eastAsiaTheme="minorEastAsia" w:hAnsi="Arial" w:cs="Arial"/>
          <w:color w:val="000000" w:themeColor="text1"/>
          <w:sz w:val="24"/>
          <w:szCs w:val="24"/>
          <w:lang w:val="es-ES" w:eastAsia="es-ES"/>
        </w:rPr>
        <w:t>as medidas tienden a facilitar el cumplimiento de los pagos de servicios de energía eléctrica y gas domiciliario</w:t>
      </w:r>
      <w:r w:rsidR="00646513" w:rsidRPr="00682149">
        <w:rPr>
          <w:rFonts w:ascii="Arial" w:eastAsiaTheme="minorEastAsia" w:hAnsi="Arial" w:cs="Arial"/>
          <w:color w:val="000000" w:themeColor="text1"/>
          <w:sz w:val="24"/>
          <w:szCs w:val="24"/>
          <w:lang w:val="es-ES" w:eastAsia="es-ES"/>
        </w:rPr>
        <w:t xml:space="preserve">, </w:t>
      </w:r>
      <w:r w:rsidR="009107C4" w:rsidRPr="00682149">
        <w:rPr>
          <w:rFonts w:ascii="Arial" w:eastAsiaTheme="minorEastAsia" w:hAnsi="Arial" w:cs="Arial"/>
          <w:color w:val="000000" w:themeColor="text1"/>
          <w:sz w:val="24"/>
          <w:szCs w:val="24"/>
          <w:lang w:val="es-ES" w:eastAsia="es-ES"/>
        </w:rPr>
        <w:t xml:space="preserve">evitar </w:t>
      </w:r>
      <w:r w:rsidR="00646513" w:rsidRPr="00682149">
        <w:rPr>
          <w:rFonts w:ascii="Arial" w:eastAsiaTheme="minorEastAsia" w:hAnsi="Arial" w:cs="Arial"/>
          <w:color w:val="000000" w:themeColor="text1"/>
          <w:sz w:val="24"/>
          <w:szCs w:val="24"/>
          <w:lang w:val="es-ES" w:eastAsia="es-ES"/>
        </w:rPr>
        <w:t xml:space="preserve">la </w:t>
      </w:r>
      <w:r w:rsidR="009107C4" w:rsidRPr="00682149">
        <w:rPr>
          <w:rFonts w:ascii="Arial" w:eastAsiaTheme="minorEastAsia" w:hAnsi="Arial" w:cs="Arial"/>
          <w:color w:val="000000" w:themeColor="text1"/>
          <w:sz w:val="24"/>
          <w:szCs w:val="24"/>
          <w:lang w:val="es-ES" w:eastAsia="es-ES"/>
        </w:rPr>
        <w:t xml:space="preserve">suspensión </w:t>
      </w:r>
      <w:r w:rsidR="004954B3" w:rsidRPr="00682149">
        <w:rPr>
          <w:rFonts w:ascii="Arial" w:eastAsiaTheme="minorEastAsia" w:hAnsi="Arial" w:cs="Arial"/>
          <w:color w:val="000000" w:themeColor="text1"/>
          <w:sz w:val="24"/>
          <w:szCs w:val="24"/>
          <w:lang w:val="es-ES" w:eastAsia="es-ES"/>
        </w:rPr>
        <w:t xml:space="preserve">y </w:t>
      </w:r>
      <w:r w:rsidR="009107C4" w:rsidRPr="00682149">
        <w:rPr>
          <w:rFonts w:ascii="Arial" w:eastAsiaTheme="minorEastAsia" w:hAnsi="Arial" w:cs="Arial"/>
          <w:color w:val="000000" w:themeColor="text1"/>
          <w:sz w:val="24"/>
          <w:szCs w:val="24"/>
          <w:lang w:val="es-ES" w:eastAsia="es-ES"/>
        </w:rPr>
        <w:t>mitigar los efectos de la crisis</w:t>
      </w:r>
      <w:r w:rsidR="004954B3" w:rsidRPr="00682149">
        <w:rPr>
          <w:rFonts w:ascii="Arial" w:eastAsiaTheme="minorEastAsia" w:hAnsi="Arial" w:cs="Arial"/>
          <w:color w:val="000000" w:themeColor="text1"/>
          <w:sz w:val="24"/>
          <w:szCs w:val="24"/>
          <w:lang w:val="es-ES" w:eastAsia="es-ES"/>
        </w:rPr>
        <w:t>.</w:t>
      </w:r>
    </w:p>
    <w:p w14:paraId="6A35CBDF" w14:textId="77777777" w:rsidR="003778E4" w:rsidRPr="00682149" w:rsidRDefault="003778E4" w:rsidP="001C138F">
      <w:pPr>
        <w:widowControl w:val="0"/>
        <w:autoSpaceDE w:val="0"/>
        <w:autoSpaceDN w:val="0"/>
        <w:adjustRightInd w:val="0"/>
        <w:spacing w:after="0" w:line="276" w:lineRule="auto"/>
        <w:ind w:right="200"/>
        <w:jc w:val="both"/>
        <w:rPr>
          <w:rFonts w:ascii="Arial" w:eastAsiaTheme="minorEastAsia" w:hAnsi="Arial" w:cs="Arial"/>
          <w:color w:val="000000" w:themeColor="text1"/>
          <w:sz w:val="24"/>
          <w:szCs w:val="24"/>
          <w:lang w:val="es-ES" w:eastAsia="es-ES"/>
        </w:rPr>
      </w:pPr>
    </w:p>
    <w:p w14:paraId="7C91A062" w14:textId="40A62182" w:rsidR="002C179F" w:rsidRPr="00682149" w:rsidRDefault="001C2991" w:rsidP="001C138F">
      <w:pPr>
        <w:spacing w:after="0" w:line="276" w:lineRule="auto"/>
        <w:jc w:val="both"/>
        <w:rPr>
          <w:rFonts w:ascii="Arial" w:hAnsi="Arial" w:cs="Arial"/>
          <w:bCs/>
          <w:color w:val="000000" w:themeColor="text1"/>
          <w:sz w:val="24"/>
          <w:szCs w:val="24"/>
        </w:rPr>
      </w:pPr>
      <w:r w:rsidRPr="00682149">
        <w:rPr>
          <w:rFonts w:ascii="Arial" w:hAnsi="Arial" w:cs="Arial"/>
          <w:color w:val="000000" w:themeColor="text1"/>
          <w:sz w:val="24"/>
          <w:szCs w:val="24"/>
          <w:lang w:val="es-CO"/>
        </w:rPr>
        <w:t>En síntesis</w:t>
      </w:r>
      <w:r w:rsidR="00C75717" w:rsidRPr="00682149">
        <w:rPr>
          <w:rFonts w:ascii="Arial" w:hAnsi="Arial" w:cs="Arial"/>
          <w:color w:val="000000" w:themeColor="text1"/>
          <w:sz w:val="24"/>
          <w:szCs w:val="24"/>
          <w:lang w:val="es-CO"/>
        </w:rPr>
        <w:t>,</w:t>
      </w:r>
      <w:r w:rsidRPr="00682149">
        <w:rPr>
          <w:rFonts w:ascii="Arial" w:hAnsi="Arial" w:cs="Arial"/>
          <w:color w:val="000000" w:themeColor="text1"/>
          <w:sz w:val="24"/>
          <w:szCs w:val="24"/>
          <w:lang w:val="es-CO"/>
        </w:rPr>
        <w:t xml:space="preserve"> sostuvo que </w:t>
      </w:r>
      <w:r w:rsidRPr="00682149">
        <w:rPr>
          <w:rFonts w:ascii="Arial" w:eastAsiaTheme="minorEastAsia" w:hAnsi="Arial" w:cs="Arial"/>
          <w:color w:val="000000" w:themeColor="text1"/>
          <w:sz w:val="24"/>
          <w:szCs w:val="24"/>
          <w:lang w:val="es-ES" w:eastAsia="es-ES"/>
        </w:rPr>
        <w:t xml:space="preserve">las atribuciones ordinarias </w:t>
      </w:r>
      <w:r w:rsidR="003E5E3B" w:rsidRPr="00682149">
        <w:rPr>
          <w:rFonts w:ascii="Arial" w:eastAsiaTheme="minorEastAsia" w:hAnsi="Arial" w:cs="Arial"/>
          <w:color w:val="000000" w:themeColor="text1"/>
          <w:sz w:val="24"/>
          <w:szCs w:val="24"/>
          <w:lang w:val="es-ES" w:eastAsia="es-ES"/>
        </w:rPr>
        <w:t xml:space="preserve">conferidas </w:t>
      </w:r>
      <w:r w:rsidRPr="00682149">
        <w:rPr>
          <w:rFonts w:ascii="Arial" w:eastAsiaTheme="minorEastAsia" w:hAnsi="Arial" w:cs="Arial"/>
          <w:color w:val="000000" w:themeColor="text1"/>
          <w:sz w:val="24"/>
          <w:szCs w:val="24"/>
          <w:lang w:val="es-ES" w:eastAsia="es-ES"/>
        </w:rPr>
        <w:t>al Ejecutivo no permit</w:t>
      </w:r>
      <w:r w:rsidR="003E5E3B" w:rsidRPr="00682149">
        <w:rPr>
          <w:rFonts w:ascii="Arial" w:eastAsiaTheme="minorEastAsia" w:hAnsi="Arial" w:cs="Arial"/>
          <w:color w:val="000000" w:themeColor="text1"/>
          <w:sz w:val="24"/>
          <w:szCs w:val="24"/>
          <w:lang w:val="es-ES" w:eastAsia="es-ES"/>
        </w:rPr>
        <w:t xml:space="preserve">ían </w:t>
      </w:r>
      <w:r w:rsidRPr="00682149">
        <w:rPr>
          <w:rFonts w:ascii="Arial" w:eastAsiaTheme="minorEastAsia" w:hAnsi="Arial" w:cs="Arial"/>
          <w:color w:val="000000" w:themeColor="text1"/>
          <w:sz w:val="24"/>
          <w:szCs w:val="24"/>
          <w:lang w:val="es-ES" w:eastAsia="es-ES"/>
        </w:rPr>
        <w:t>alcanzar los fines propuestos y</w:t>
      </w:r>
      <w:r w:rsidR="00AD21CE">
        <w:rPr>
          <w:rFonts w:ascii="Arial" w:eastAsiaTheme="minorEastAsia" w:hAnsi="Arial" w:cs="Arial"/>
          <w:color w:val="000000" w:themeColor="text1"/>
          <w:sz w:val="24"/>
          <w:szCs w:val="24"/>
          <w:lang w:val="es-ES" w:eastAsia="es-ES"/>
        </w:rPr>
        <w:t>,</w:t>
      </w:r>
      <w:r w:rsidRPr="00682149">
        <w:rPr>
          <w:rFonts w:ascii="Arial" w:eastAsiaTheme="minorEastAsia" w:hAnsi="Arial" w:cs="Arial"/>
          <w:color w:val="000000" w:themeColor="text1"/>
          <w:sz w:val="24"/>
          <w:szCs w:val="24"/>
          <w:lang w:val="es-ES" w:eastAsia="es-ES"/>
        </w:rPr>
        <w:t xml:space="preserve"> por ende</w:t>
      </w:r>
      <w:r w:rsidR="00AD21CE">
        <w:rPr>
          <w:rFonts w:ascii="Arial" w:eastAsiaTheme="minorEastAsia" w:hAnsi="Arial" w:cs="Arial"/>
          <w:color w:val="000000" w:themeColor="text1"/>
          <w:sz w:val="24"/>
          <w:szCs w:val="24"/>
          <w:lang w:val="es-ES" w:eastAsia="es-ES"/>
        </w:rPr>
        <w:t>,</w:t>
      </w:r>
      <w:r w:rsidRPr="00682149">
        <w:rPr>
          <w:rFonts w:ascii="Arial" w:eastAsiaTheme="minorEastAsia" w:hAnsi="Arial" w:cs="Arial"/>
          <w:color w:val="000000" w:themeColor="text1"/>
          <w:sz w:val="24"/>
          <w:szCs w:val="24"/>
          <w:lang w:val="es-ES" w:eastAsia="es-ES"/>
        </w:rPr>
        <w:t xml:space="preserve"> se hizo indispensable recurrir al ejercicio de las competencias legislativas extraordinarias establecidas en el artículo 215 de la C.P.</w:t>
      </w:r>
      <w:r w:rsidR="004954B3" w:rsidRPr="00682149">
        <w:rPr>
          <w:rFonts w:ascii="Arial" w:hAnsi="Arial" w:cs="Arial"/>
          <w:b/>
          <w:color w:val="000000" w:themeColor="text1"/>
          <w:sz w:val="24"/>
          <w:szCs w:val="24"/>
        </w:rPr>
        <w:t xml:space="preserve"> </w:t>
      </w:r>
      <w:r w:rsidR="00C75717" w:rsidRPr="00682149">
        <w:rPr>
          <w:rFonts w:ascii="Arial" w:hAnsi="Arial" w:cs="Arial"/>
          <w:bCs/>
          <w:color w:val="000000" w:themeColor="text1"/>
          <w:sz w:val="24"/>
          <w:szCs w:val="24"/>
        </w:rPr>
        <w:t xml:space="preserve">para garantizar la prestación del servicio. </w:t>
      </w:r>
    </w:p>
    <w:p w14:paraId="4154A776" w14:textId="77777777" w:rsidR="002C179F" w:rsidRPr="00682149" w:rsidRDefault="002C179F" w:rsidP="001C138F">
      <w:pPr>
        <w:spacing w:after="0" w:line="276" w:lineRule="auto"/>
        <w:jc w:val="both"/>
        <w:rPr>
          <w:rFonts w:ascii="Arial" w:hAnsi="Arial" w:cs="Arial"/>
          <w:bCs/>
          <w:color w:val="000000" w:themeColor="text1"/>
          <w:sz w:val="24"/>
          <w:szCs w:val="24"/>
        </w:rPr>
      </w:pPr>
    </w:p>
    <w:p w14:paraId="56450FA6" w14:textId="2C8BA399" w:rsidR="002C179F" w:rsidRPr="00682149" w:rsidRDefault="00176152" w:rsidP="001C138F">
      <w:pPr>
        <w:spacing w:after="0" w:line="276" w:lineRule="auto"/>
        <w:jc w:val="both"/>
        <w:rPr>
          <w:rFonts w:ascii="Arial" w:hAnsi="Arial" w:cs="Arial"/>
          <w:bCs/>
          <w:color w:val="000000" w:themeColor="text1"/>
          <w:sz w:val="24"/>
          <w:szCs w:val="24"/>
        </w:rPr>
      </w:pPr>
      <w:r w:rsidRPr="00976D77">
        <w:rPr>
          <w:rFonts w:ascii="Arial" w:hAnsi="Arial" w:cs="Arial"/>
          <w:bCs/>
          <w:color w:val="000000" w:themeColor="text1"/>
          <w:sz w:val="24"/>
          <w:szCs w:val="24"/>
        </w:rPr>
        <w:t>De manera puntual,  en relación con las facultades para adoptar</w:t>
      </w:r>
      <w:r w:rsidR="00976D77" w:rsidRPr="00976D77">
        <w:rPr>
          <w:rFonts w:ascii="Arial" w:hAnsi="Arial" w:cs="Arial"/>
          <w:bCs/>
          <w:color w:val="000000" w:themeColor="text1"/>
          <w:sz w:val="24"/>
          <w:szCs w:val="24"/>
        </w:rPr>
        <w:t xml:space="preserve"> transitoriamente</w:t>
      </w:r>
      <w:r w:rsidR="00976D77">
        <w:rPr>
          <w:rFonts w:ascii="Arial" w:hAnsi="Arial" w:cs="Arial"/>
          <w:bCs/>
          <w:color w:val="000000" w:themeColor="text1"/>
          <w:sz w:val="24"/>
          <w:szCs w:val="24"/>
        </w:rPr>
        <w:t xml:space="preserve"> </w:t>
      </w:r>
      <w:r w:rsidRPr="00682149">
        <w:rPr>
          <w:rFonts w:ascii="Arial" w:hAnsi="Arial" w:cs="Arial"/>
          <w:bCs/>
          <w:color w:val="000000" w:themeColor="text1"/>
          <w:sz w:val="24"/>
          <w:szCs w:val="24"/>
        </w:rPr>
        <w:t xml:space="preserve">todas aquellas medidas, disposiciones tarifarias y regímenes regulatorios especiales que considere necesarios, </w:t>
      </w:r>
      <w:r w:rsidR="0099099B" w:rsidRPr="00682149">
        <w:rPr>
          <w:rFonts w:ascii="Arial" w:hAnsi="Arial" w:cs="Arial"/>
          <w:bCs/>
          <w:color w:val="000000" w:themeColor="text1"/>
          <w:sz w:val="24"/>
          <w:szCs w:val="24"/>
        </w:rPr>
        <w:t xml:space="preserve">advirtió la </w:t>
      </w:r>
      <w:r w:rsidR="00AD21CE">
        <w:rPr>
          <w:rFonts w:ascii="Arial" w:hAnsi="Arial" w:cs="Arial"/>
          <w:bCs/>
          <w:color w:val="000000" w:themeColor="text1"/>
          <w:sz w:val="24"/>
          <w:szCs w:val="24"/>
        </w:rPr>
        <w:t>C</w:t>
      </w:r>
      <w:r w:rsidR="0099099B" w:rsidRPr="00682149">
        <w:rPr>
          <w:rFonts w:ascii="Arial" w:hAnsi="Arial" w:cs="Arial"/>
          <w:bCs/>
          <w:color w:val="000000" w:themeColor="text1"/>
          <w:sz w:val="24"/>
          <w:szCs w:val="24"/>
        </w:rPr>
        <w:t xml:space="preserve">orte que </w:t>
      </w:r>
      <w:r w:rsidR="0099099B" w:rsidRPr="00682149">
        <w:rPr>
          <w:rFonts w:ascii="Arial" w:hAnsi="Arial" w:cs="Arial"/>
          <w:bCs/>
          <w:i/>
          <w:color w:val="000000" w:themeColor="text1"/>
          <w:sz w:val="24"/>
          <w:szCs w:val="24"/>
        </w:rPr>
        <w:t>“S</w:t>
      </w:r>
      <w:proofErr w:type="spellStart"/>
      <w:r w:rsidR="0099099B" w:rsidRPr="00682149">
        <w:rPr>
          <w:rFonts w:ascii="Arial" w:eastAsiaTheme="minorEastAsia" w:hAnsi="Arial" w:cs="Arial"/>
          <w:i/>
          <w:color w:val="000000" w:themeColor="text1"/>
          <w:sz w:val="24"/>
          <w:szCs w:val="24"/>
          <w:lang w:val="es-ES" w:eastAsia="es-ES"/>
        </w:rPr>
        <w:t>e</w:t>
      </w:r>
      <w:proofErr w:type="spellEnd"/>
      <w:r w:rsidR="0099099B" w:rsidRPr="00682149">
        <w:rPr>
          <w:rFonts w:ascii="Arial" w:eastAsiaTheme="minorEastAsia" w:hAnsi="Arial" w:cs="Arial"/>
          <w:i/>
          <w:color w:val="000000" w:themeColor="text1"/>
          <w:sz w:val="24"/>
          <w:szCs w:val="24"/>
          <w:lang w:val="es-ES" w:eastAsia="es-ES"/>
        </w:rPr>
        <w:t xml:space="preserve"> trata evidentemente de la exención de unos requisitos dispuestos en normas de rango legal cuyo cumplimiento implica plazos y formalidades que, dada la urgencia de la situación, se convierten en una barrera incompatible con la finalidad de mitigar los efectos de la crisis económica generada por la pandemia y en particular, garantizar la continuidad de la prestación de los servicios públicos domiciliarios de energía y gas combustible”</w:t>
      </w:r>
      <w:r w:rsidR="002C179F" w:rsidRPr="00682149">
        <w:rPr>
          <w:rFonts w:ascii="Arial" w:eastAsiaTheme="minorEastAsia" w:hAnsi="Arial" w:cs="Arial"/>
          <w:color w:val="000000" w:themeColor="text1"/>
          <w:sz w:val="24"/>
          <w:szCs w:val="24"/>
          <w:lang w:val="es-ES" w:eastAsia="es-ES"/>
        </w:rPr>
        <w:t xml:space="preserve"> y concluyó que </w:t>
      </w:r>
      <w:r w:rsidR="002C179F" w:rsidRPr="00682149">
        <w:rPr>
          <w:rFonts w:ascii="Arial" w:eastAsiaTheme="minorEastAsia" w:hAnsi="Arial" w:cs="Arial"/>
          <w:i/>
          <w:color w:val="000000" w:themeColor="text1"/>
          <w:sz w:val="24"/>
          <w:szCs w:val="24"/>
          <w:lang w:val="es-ES" w:eastAsia="es-ES"/>
        </w:rPr>
        <w:t>“en cuanto al artículo 3, la Cort</w:t>
      </w:r>
      <w:r w:rsidR="00717650" w:rsidRPr="00682149">
        <w:rPr>
          <w:rFonts w:ascii="Arial" w:eastAsiaTheme="minorEastAsia" w:hAnsi="Arial" w:cs="Arial"/>
          <w:i/>
          <w:color w:val="000000" w:themeColor="text1"/>
          <w:sz w:val="24"/>
          <w:szCs w:val="24"/>
          <w:lang w:val="es-ES" w:eastAsia="es-ES"/>
        </w:rPr>
        <w:t>e Constitucional consideró</w:t>
      </w:r>
      <w:r w:rsidR="002C179F" w:rsidRPr="00682149">
        <w:rPr>
          <w:rFonts w:ascii="Arial" w:eastAsiaTheme="minorEastAsia" w:hAnsi="Arial" w:cs="Arial"/>
          <w:i/>
          <w:color w:val="000000" w:themeColor="text1"/>
          <w:sz w:val="24"/>
          <w:szCs w:val="24"/>
          <w:lang w:val="es-ES" w:eastAsia="es-ES"/>
        </w:rPr>
        <w:t xml:space="preserve"> que las atribuciones conferidas a la CREG resultan exequibles pues las</w:t>
      </w:r>
      <w:r w:rsidR="002C179F" w:rsidRPr="00682149">
        <w:rPr>
          <w:rFonts w:ascii="Arial" w:eastAsiaTheme="minorEastAsia" w:hAnsi="Arial" w:cs="Arial"/>
          <w:i/>
          <w:iCs/>
          <w:color w:val="000000" w:themeColor="text1"/>
          <w:sz w:val="24"/>
          <w:szCs w:val="24"/>
          <w:lang w:val="es-ES" w:eastAsia="es-ES"/>
        </w:rPr>
        <w:t xml:space="preserve"> </w:t>
      </w:r>
      <w:r w:rsidR="002C179F" w:rsidRPr="00682149">
        <w:rPr>
          <w:rFonts w:ascii="Arial" w:eastAsiaTheme="minorEastAsia" w:hAnsi="Arial" w:cs="Arial"/>
          <w:i/>
          <w:color w:val="000000" w:themeColor="text1"/>
          <w:sz w:val="24"/>
          <w:szCs w:val="24"/>
          <w:lang w:val="es-ES" w:eastAsia="es-ES"/>
        </w:rPr>
        <w:t>facultades otorgadas se refieren a la implementación de las medidas, disposiciones tarifarias y regímenes regulatorios especiales necesarios para implementar las disposiciones del Decreto 517 de 2020.”</w:t>
      </w:r>
    </w:p>
    <w:p w14:paraId="1AE76C6D" w14:textId="5B6C23D4" w:rsidR="0099099B" w:rsidRPr="00682149" w:rsidRDefault="0099099B" w:rsidP="001C138F">
      <w:pPr>
        <w:tabs>
          <w:tab w:val="left" w:pos="3402"/>
        </w:tabs>
        <w:spacing w:after="0" w:line="276" w:lineRule="auto"/>
        <w:jc w:val="both"/>
        <w:rPr>
          <w:rFonts w:ascii="Arial" w:hAnsi="Arial" w:cs="Arial"/>
          <w:color w:val="000000" w:themeColor="text1"/>
          <w:sz w:val="24"/>
          <w:szCs w:val="24"/>
          <w:lang w:val="es-CO"/>
        </w:rPr>
      </w:pPr>
    </w:p>
    <w:p w14:paraId="67A9C60E" w14:textId="69878758" w:rsidR="00454900" w:rsidRPr="00682149" w:rsidRDefault="000C7A0E" w:rsidP="001C138F">
      <w:pPr>
        <w:spacing w:after="0" w:line="276" w:lineRule="auto"/>
        <w:jc w:val="both"/>
        <w:rPr>
          <w:rFonts w:ascii="Arial" w:hAnsi="Arial" w:cs="Arial"/>
          <w:color w:val="000000" w:themeColor="text1"/>
          <w:sz w:val="24"/>
          <w:szCs w:val="24"/>
          <w:lang w:val="es-CO"/>
        </w:rPr>
      </w:pPr>
      <w:r w:rsidRPr="00682149">
        <w:rPr>
          <w:rFonts w:ascii="Arial" w:hAnsi="Arial" w:cs="Arial"/>
          <w:color w:val="000000" w:themeColor="text1"/>
          <w:sz w:val="24"/>
          <w:szCs w:val="24"/>
          <w:lang w:val="es-CO"/>
        </w:rPr>
        <w:t>Así, s</w:t>
      </w:r>
      <w:r w:rsidR="00DB72CE" w:rsidRPr="00682149">
        <w:rPr>
          <w:rFonts w:ascii="Arial" w:hAnsi="Arial" w:cs="Arial"/>
          <w:color w:val="000000" w:themeColor="text1"/>
          <w:sz w:val="24"/>
          <w:szCs w:val="24"/>
          <w:lang w:val="es-CO"/>
        </w:rPr>
        <w:t>uperado el examen de constitucionalidad de la norma legislativa</w:t>
      </w:r>
      <w:r w:rsidRPr="00682149">
        <w:rPr>
          <w:rFonts w:ascii="Arial" w:hAnsi="Arial" w:cs="Arial"/>
          <w:color w:val="000000" w:themeColor="text1"/>
          <w:sz w:val="24"/>
          <w:szCs w:val="24"/>
          <w:lang w:val="es-CO"/>
        </w:rPr>
        <w:t xml:space="preserve"> en que dice fundarse el acto administrativo que se estudia</w:t>
      </w:r>
      <w:r w:rsidR="004F6716" w:rsidRPr="00682149">
        <w:rPr>
          <w:rFonts w:ascii="Arial" w:hAnsi="Arial" w:cs="Arial"/>
          <w:color w:val="000000" w:themeColor="text1"/>
          <w:sz w:val="24"/>
          <w:szCs w:val="24"/>
          <w:lang w:val="es-CO"/>
        </w:rPr>
        <w:t>,</w:t>
      </w:r>
      <w:r w:rsidR="00DB72CE" w:rsidRPr="00682149">
        <w:rPr>
          <w:rFonts w:ascii="Arial" w:hAnsi="Arial" w:cs="Arial"/>
          <w:color w:val="000000" w:themeColor="text1"/>
          <w:sz w:val="24"/>
          <w:szCs w:val="24"/>
          <w:lang w:val="es-CO"/>
        </w:rPr>
        <w:t xml:space="preserve"> </w:t>
      </w:r>
      <w:r w:rsidR="00A549CE" w:rsidRPr="00682149">
        <w:rPr>
          <w:rFonts w:ascii="Arial" w:eastAsia="Times New Roman" w:hAnsi="Arial" w:cs="Arial"/>
          <w:color w:val="000000" w:themeColor="text1"/>
          <w:sz w:val="24"/>
          <w:szCs w:val="24"/>
          <w:lang w:val="es-CO" w:eastAsia="es-ES_tradnl"/>
        </w:rPr>
        <w:t xml:space="preserve">para una mejor </w:t>
      </w:r>
      <w:r w:rsidR="00454900" w:rsidRPr="00682149">
        <w:rPr>
          <w:rFonts w:ascii="Arial" w:eastAsia="Times New Roman" w:hAnsi="Arial" w:cs="Arial"/>
          <w:color w:val="000000" w:themeColor="text1"/>
          <w:sz w:val="24"/>
          <w:szCs w:val="24"/>
          <w:lang w:val="es-CO" w:eastAsia="es-ES_tradnl"/>
        </w:rPr>
        <w:t>comprensión, se anali</w:t>
      </w:r>
      <w:r w:rsidR="00011F28" w:rsidRPr="00682149">
        <w:rPr>
          <w:rFonts w:ascii="Arial" w:eastAsia="Times New Roman" w:hAnsi="Arial" w:cs="Arial"/>
          <w:color w:val="000000" w:themeColor="text1"/>
          <w:sz w:val="24"/>
          <w:szCs w:val="24"/>
          <w:lang w:val="es-CO" w:eastAsia="es-ES_tradnl"/>
        </w:rPr>
        <w:t xml:space="preserve">zarán </w:t>
      </w:r>
      <w:r w:rsidR="00DB72CE" w:rsidRPr="00682149">
        <w:rPr>
          <w:rFonts w:ascii="Arial" w:eastAsia="Times New Roman" w:hAnsi="Arial" w:cs="Arial"/>
          <w:color w:val="000000" w:themeColor="text1"/>
          <w:sz w:val="24"/>
          <w:szCs w:val="24"/>
          <w:lang w:val="es-CO" w:eastAsia="es-ES_tradnl"/>
        </w:rPr>
        <w:t xml:space="preserve">separadamente </w:t>
      </w:r>
      <w:r w:rsidR="00011F28" w:rsidRPr="00682149">
        <w:rPr>
          <w:rFonts w:ascii="Arial" w:eastAsia="Times New Roman" w:hAnsi="Arial" w:cs="Arial"/>
          <w:color w:val="000000" w:themeColor="text1"/>
          <w:sz w:val="24"/>
          <w:szCs w:val="24"/>
          <w:lang w:val="es-CO" w:eastAsia="es-ES_tradnl"/>
        </w:rPr>
        <w:t xml:space="preserve">las </w:t>
      </w:r>
      <w:r w:rsidR="004F6716" w:rsidRPr="00682149">
        <w:rPr>
          <w:rFonts w:ascii="Arial" w:eastAsia="Times New Roman" w:hAnsi="Arial" w:cs="Arial"/>
          <w:color w:val="000000" w:themeColor="text1"/>
          <w:sz w:val="24"/>
          <w:szCs w:val="24"/>
          <w:lang w:val="es-CO" w:eastAsia="es-ES_tradnl"/>
        </w:rPr>
        <w:t xml:space="preserve">disposiciones </w:t>
      </w:r>
      <w:r w:rsidR="00234761" w:rsidRPr="00682149">
        <w:rPr>
          <w:rFonts w:ascii="Arial" w:eastAsia="Times New Roman" w:hAnsi="Arial" w:cs="Arial"/>
          <w:color w:val="000000" w:themeColor="text1"/>
          <w:sz w:val="24"/>
          <w:szCs w:val="24"/>
          <w:lang w:val="es-CO" w:eastAsia="es-ES_tradnl"/>
        </w:rPr>
        <w:t xml:space="preserve">adoptadas en acto controlado </w:t>
      </w:r>
      <w:r w:rsidR="00DB72CE" w:rsidRPr="00682149">
        <w:rPr>
          <w:rFonts w:ascii="Arial" w:eastAsia="Times New Roman" w:hAnsi="Arial" w:cs="Arial"/>
          <w:color w:val="000000" w:themeColor="text1"/>
          <w:sz w:val="24"/>
          <w:szCs w:val="24"/>
          <w:lang w:val="es-CO" w:eastAsia="es-ES_tradnl"/>
        </w:rPr>
        <w:t xml:space="preserve">contenido en la Resolución 166 de 3 de septiembre de 2020: </w:t>
      </w:r>
    </w:p>
    <w:p w14:paraId="771FEE7C" w14:textId="77777777" w:rsidR="00454900" w:rsidRPr="00682149" w:rsidRDefault="00454900" w:rsidP="001C138F">
      <w:pPr>
        <w:pBdr>
          <w:top w:val="nil"/>
          <w:left w:val="nil"/>
          <w:bottom w:val="nil"/>
          <w:right w:val="nil"/>
          <w:between w:val="nil"/>
        </w:pBdr>
        <w:spacing w:after="0" w:line="276" w:lineRule="auto"/>
        <w:jc w:val="both"/>
        <w:rPr>
          <w:rFonts w:ascii="Arial" w:eastAsia="Times New Roman" w:hAnsi="Arial" w:cs="Arial"/>
          <w:color w:val="000000" w:themeColor="text1"/>
          <w:sz w:val="24"/>
          <w:szCs w:val="24"/>
          <w:lang w:val="es-CO" w:eastAsia="es-ES_tradnl"/>
        </w:rPr>
      </w:pPr>
    </w:p>
    <w:p w14:paraId="5086FE3D" w14:textId="2A4D9241" w:rsidR="00454900" w:rsidRPr="00682149" w:rsidRDefault="001D37B6" w:rsidP="001C138F">
      <w:pPr>
        <w:pBdr>
          <w:top w:val="nil"/>
          <w:left w:val="nil"/>
          <w:bottom w:val="nil"/>
          <w:right w:val="nil"/>
          <w:between w:val="nil"/>
        </w:pBdr>
        <w:spacing w:after="0" w:line="276" w:lineRule="auto"/>
        <w:jc w:val="both"/>
        <w:rPr>
          <w:rFonts w:ascii="Arial" w:eastAsia="Times New Roman" w:hAnsi="Arial" w:cs="Arial"/>
          <w:b/>
          <w:color w:val="000000" w:themeColor="text1"/>
          <w:sz w:val="24"/>
          <w:szCs w:val="24"/>
          <w:lang w:val="es-CO" w:eastAsia="es-ES_tradnl"/>
        </w:rPr>
      </w:pPr>
      <w:r w:rsidRPr="00682149">
        <w:rPr>
          <w:rFonts w:ascii="Arial" w:eastAsia="Times New Roman" w:hAnsi="Arial" w:cs="Arial"/>
          <w:b/>
          <w:color w:val="000000" w:themeColor="text1"/>
          <w:sz w:val="24"/>
          <w:szCs w:val="24"/>
          <w:lang w:val="es-CO" w:eastAsia="es-ES_tradnl"/>
        </w:rPr>
        <w:t>2.5.1.</w:t>
      </w:r>
      <w:r w:rsidR="00454900" w:rsidRPr="00682149">
        <w:rPr>
          <w:rFonts w:ascii="Arial" w:eastAsia="Times New Roman" w:hAnsi="Arial" w:cs="Arial"/>
          <w:b/>
          <w:color w:val="000000" w:themeColor="text1"/>
          <w:sz w:val="24"/>
          <w:szCs w:val="24"/>
          <w:lang w:val="es-CO" w:eastAsia="es-ES_tradnl"/>
        </w:rPr>
        <w:tab/>
        <w:t>Artículo 1º</w:t>
      </w:r>
    </w:p>
    <w:p w14:paraId="40BA49E6" w14:textId="77777777" w:rsidR="00310C06" w:rsidRPr="00682149" w:rsidRDefault="00310C06" w:rsidP="001C138F">
      <w:pPr>
        <w:spacing w:after="0" w:line="276" w:lineRule="auto"/>
        <w:ind w:left="703" w:right="1693"/>
        <w:rPr>
          <w:b/>
          <w:i/>
          <w:color w:val="000000" w:themeColor="text1"/>
          <w:sz w:val="20"/>
        </w:rPr>
      </w:pPr>
    </w:p>
    <w:p w14:paraId="45B1D44C" w14:textId="0CD036A9" w:rsidR="00310C06" w:rsidRPr="00682149" w:rsidRDefault="00310C06" w:rsidP="001C138F">
      <w:pPr>
        <w:spacing w:after="0" w:line="276" w:lineRule="auto"/>
        <w:ind w:left="567"/>
        <w:jc w:val="both"/>
        <w:rPr>
          <w:rFonts w:ascii="Arial" w:hAnsi="Arial" w:cs="Arial"/>
          <w:color w:val="000000" w:themeColor="text1"/>
        </w:rPr>
      </w:pPr>
      <w:r w:rsidRPr="00682149">
        <w:rPr>
          <w:rFonts w:ascii="Arial" w:hAnsi="Arial" w:cs="Arial"/>
          <w:b/>
          <w:i/>
          <w:color w:val="000000" w:themeColor="text1"/>
        </w:rPr>
        <w:t xml:space="preserve">Objeto. </w:t>
      </w:r>
      <w:r w:rsidRPr="00682149">
        <w:rPr>
          <w:rFonts w:ascii="Arial" w:hAnsi="Arial" w:cs="Arial"/>
          <w:i/>
          <w:color w:val="000000" w:themeColor="text1"/>
        </w:rPr>
        <w:t xml:space="preserve">Definir una tarifa transitoria para el servicio de energía eléctrica mediante sistemas solares fotovoltaicos individuales AC con potencia mayor a 0.5 kW. </w:t>
      </w:r>
    </w:p>
    <w:p w14:paraId="44750039" w14:textId="77777777" w:rsidR="003778E4" w:rsidRDefault="00310C06" w:rsidP="003778E4">
      <w:pPr>
        <w:spacing w:after="0" w:line="276" w:lineRule="auto"/>
        <w:ind w:left="567"/>
        <w:jc w:val="both"/>
        <w:rPr>
          <w:rFonts w:ascii="Arial" w:hAnsi="Arial" w:cs="Arial"/>
          <w:i/>
          <w:color w:val="000000" w:themeColor="text1"/>
        </w:rPr>
      </w:pPr>
      <w:r w:rsidRPr="00682149">
        <w:rPr>
          <w:rFonts w:ascii="Arial" w:hAnsi="Arial" w:cs="Arial"/>
          <w:i/>
          <w:color w:val="000000" w:themeColor="text1"/>
        </w:rPr>
        <w:t xml:space="preserve"> </w:t>
      </w:r>
    </w:p>
    <w:p w14:paraId="76B95A16" w14:textId="569C47A2" w:rsidR="00556C84" w:rsidRPr="00682149" w:rsidRDefault="00176152" w:rsidP="003778E4">
      <w:pPr>
        <w:spacing w:after="0" w:line="276" w:lineRule="auto"/>
        <w:jc w:val="both"/>
        <w:rPr>
          <w:rFonts w:ascii="Arial" w:eastAsiaTheme="minorEastAsia" w:hAnsi="Arial" w:cs="Arial"/>
          <w:color w:val="000000" w:themeColor="text1"/>
          <w:sz w:val="24"/>
          <w:szCs w:val="24"/>
          <w:lang w:val="es-ES" w:eastAsia="es-ES"/>
        </w:rPr>
      </w:pPr>
      <w:r w:rsidRPr="00682149">
        <w:rPr>
          <w:rFonts w:ascii="Arial" w:eastAsia="Arial" w:hAnsi="Arial" w:cs="Arial"/>
          <w:color w:val="000000" w:themeColor="text1"/>
          <w:sz w:val="24"/>
          <w:szCs w:val="24"/>
          <w:lang w:val="es-CO"/>
        </w:rPr>
        <w:t xml:space="preserve">Como acaba de indicarse, </w:t>
      </w:r>
      <w:r w:rsidR="00EF7441" w:rsidRPr="00682149">
        <w:rPr>
          <w:rFonts w:ascii="Arial" w:eastAsia="Arial" w:hAnsi="Arial" w:cs="Arial"/>
          <w:color w:val="000000" w:themeColor="text1"/>
          <w:sz w:val="24"/>
          <w:szCs w:val="24"/>
          <w:lang w:val="es-CO"/>
        </w:rPr>
        <w:t>el artículo 3</w:t>
      </w:r>
      <w:r w:rsidR="00202AA8" w:rsidRPr="00682149">
        <w:rPr>
          <w:rFonts w:ascii="Arial" w:eastAsia="Arial" w:hAnsi="Arial" w:cs="Arial"/>
          <w:color w:val="000000" w:themeColor="text1"/>
          <w:sz w:val="24"/>
          <w:szCs w:val="24"/>
          <w:lang w:val="es-CO"/>
        </w:rPr>
        <w:t xml:space="preserve">º del Decreto </w:t>
      </w:r>
      <w:r w:rsidRPr="00682149">
        <w:rPr>
          <w:rFonts w:ascii="Arial" w:eastAsia="Arial" w:hAnsi="Arial" w:cs="Arial"/>
          <w:color w:val="000000" w:themeColor="text1"/>
          <w:sz w:val="24"/>
          <w:szCs w:val="24"/>
          <w:lang w:val="es-CO"/>
        </w:rPr>
        <w:t xml:space="preserve">Legislativo </w:t>
      </w:r>
      <w:r w:rsidR="00EF7441" w:rsidRPr="00682149">
        <w:rPr>
          <w:rFonts w:ascii="Arial" w:eastAsia="Arial" w:hAnsi="Arial" w:cs="Arial"/>
          <w:color w:val="000000" w:themeColor="text1"/>
          <w:sz w:val="24"/>
          <w:szCs w:val="24"/>
          <w:lang w:val="es-CO"/>
        </w:rPr>
        <w:t xml:space="preserve">517 </w:t>
      </w:r>
      <w:r w:rsidR="00202AA8" w:rsidRPr="00682149">
        <w:rPr>
          <w:rFonts w:ascii="Arial" w:eastAsia="Arial" w:hAnsi="Arial" w:cs="Arial"/>
          <w:color w:val="000000" w:themeColor="text1"/>
          <w:sz w:val="24"/>
          <w:szCs w:val="24"/>
          <w:lang w:val="es-CO"/>
        </w:rPr>
        <w:t>de 2020</w:t>
      </w:r>
      <w:r w:rsidR="00EF7441" w:rsidRPr="00682149">
        <w:rPr>
          <w:rFonts w:ascii="Arial" w:eastAsia="Arial" w:hAnsi="Arial" w:cs="Arial"/>
          <w:color w:val="000000" w:themeColor="text1"/>
          <w:sz w:val="24"/>
          <w:szCs w:val="24"/>
          <w:lang w:val="es-CO"/>
        </w:rPr>
        <w:t xml:space="preserve"> </w:t>
      </w:r>
      <w:r w:rsidR="00202AA8" w:rsidRPr="00682149">
        <w:rPr>
          <w:rFonts w:ascii="Arial" w:eastAsia="Arial" w:hAnsi="Arial" w:cs="Arial"/>
          <w:color w:val="000000" w:themeColor="text1"/>
          <w:sz w:val="24"/>
          <w:szCs w:val="24"/>
          <w:lang w:val="es-CO"/>
        </w:rPr>
        <w:t xml:space="preserve">facultó a </w:t>
      </w:r>
      <w:r w:rsidR="00EF7441" w:rsidRPr="00682149">
        <w:rPr>
          <w:rFonts w:ascii="Arial" w:eastAsiaTheme="minorEastAsia" w:hAnsi="Arial" w:cs="Arial"/>
          <w:color w:val="000000" w:themeColor="text1"/>
          <w:sz w:val="24"/>
          <w:szCs w:val="24"/>
          <w:lang w:val="es-ES" w:eastAsia="es-ES"/>
        </w:rPr>
        <w:t>la Comisión de Regulación de Energía y Gas -CREG-</w:t>
      </w:r>
      <w:r w:rsidR="00595AF7" w:rsidRPr="00682149">
        <w:rPr>
          <w:rFonts w:ascii="Arial" w:eastAsiaTheme="minorEastAsia" w:hAnsi="Arial" w:cs="Arial"/>
          <w:color w:val="000000" w:themeColor="text1"/>
          <w:sz w:val="24"/>
          <w:szCs w:val="24"/>
          <w:lang w:val="es-ES" w:eastAsia="es-ES"/>
        </w:rPr>
        <w:t xml:space="preserve"> </w:t>
      </w:r>
      <w:r w:rsidR="000C0E06" w:rsidRPr="00682149">
        <w:rPr>
          <w:rFonts w:ascii="Arial" w:eastAsiaTheme="minorEastAsia" w:hAnsi="Arial" w:cs="Arial"/>
          <w:color w:val="000000" w:themeColor="text1"/>
          <w:sz w:val="24"/>
          <w:szCs w:val="24"/>
          <w:lang w:val="es-ES" w:eastAsia="es-ES"/>
        </w:rPr>
        <w:t xml:space="preserve">para </w:t>
      </w:r>
      <w:bookmarkStart w:id="13" w:name="_Hlk57019742"/>
      <w:r w:rsidR="00EF7441" w:rsidRPr="00682149">
        <w:rPr>
          <w:rFonts w:ascii="Arial" w:eastAsiaTheme="minorEastAsia" w:hAnsi="Arial" w:cs="Arial"/>
          <w:color w:val="000000" w:themeColor="text1"/>
          <w:sz w:val="24"/>
          <w:szCs w:val="24"/>
          <w:lang w:val="es-ES" w:eastAsia="es-ES"/>
        </w:rPr>
        <w:t>adoptar de manera transitoria todas aquellas medidas, disposiciones tarifarias y regímenes regulatorios especiales que considere necesarios, mientras permane</w:t>
      </w:r>
      <w:r w:rsidR="003E5E3B" w:rsidRPr="00682149">
        <w:rPr>
          <w:rFonts w:ascii="Arial" w:eastAsiaTheme="minorEastAsia" w:hAnsi="Arial" w:cs="Arial"/>
          <w:color w:val="000000" w:themeColor="text1"/>
          <w:sz w:val="24"/>
          <w:szCs w:val="24"/>
          <w:lang w:val="es-ES" w:eastAsia="es-ES"/>
        </w:rPr>
        <w:t>zca vigente la declaratoria de emergencia s</w:t>
      </w:r>
      <w:r w:rsidR="00EF7441" w:rsidRPr="00682149">
        <w:rPr>
          <w:rFonts w:ascii="Arial" w:eastAsiaTheme="minorEastAsia" w:hAnsi="Arial" w:cs="Arial"/>
          <w:color w:val="000000" w:themeColor="text1"/>
          <w:sz w:val="24"/>
          <w:szCs w:val="24"/>
          <w:lang w:val="es-ES" w:eastAsia="es-ES"/>
        </w:rPr>
        <w:t xml:space="preserve">anitaria </w:t>
      </w:r>
      <w:r w:rsidR="00926E59" w:rsidRPr="00682149">
        <w:rPr>
          <w:rFonts w:ascii="Arial" w:eastAsiaTheme="minorEastAsia" w:hAnsi="Arial" w:cs="Arial"/>
          <w:color w:val="000000" w:themeColor="text1"/>
          <w:sz w:val="24"/>
          <w:szCs w:val="24"/>
          <w:lang w:val="es-ES" w:eastAsia="es-ES"/>
        </w:rPr>
        <w:t xml:space="preserve">proferida </w:t>
      </w:r>
      <w:r w:rsidR="00EF7441" w:rsidRPr="00682149">
        <w:rPr>
          <w:rFonts w:ascii="Arial" w:eastAsiaTheme="minorEastAsia" w:hAnsi="Arial" w:cs="Arial"/>
          <w:color w:val="000000" w:themeColor="text1"/>
          <w:sz w:val="24"/>
          <w:szCs w:val="24"/>
          <w:lang w:val="es-ES" w:eastAsia="es-ES"/>
        </w:rPr>
        <w:t>el Ministerio de Salud</w:t>
      </w:r>
      <w:bookmarkEnd w:id="13"/>
      <w:r w:rsidR="004F6716" w:rsidRPr="00682149">
        <w:rPr>
          <w:rFonts w:ascii="Arial" w:eastAsiaTheme="minorEastAsia" w:hAnsi="Arial" w:cs="Arial"/>
          <w:color w:val="000000" w:themeColor="text1"/>
          <w:sz w:val="24"/>
          <w:szCs w:val="24"/>
          <w:lang w:val="es-ES" w:eastAsia="es-ES"/>
        </w:rPr>
        <w:t xml:space="preserve">. </w:t>
      </w:r>
    </w:p>
    <w:p w14:paraId="457670E9" w14:textId="77777777" w:rsidR="00A060EA" w:rsidRPr="00682149" w:rsidRDefault="00A060EA" w:rsidP="001C138F">
      <w:pPr>
        <w:spacing w:after="0" w:line="276" w:lineRule="auto"/>
        <w:jc w:val="both"/>
        <w:rPr>
          <w:rFonts w:ascii="Arial" w:hAnsi="Arial" w:cs="Arial"/>
          <w:color w:val="000000" w:themeColor="text1"/>
          <w:sz w:val="24"/>
          <w:szCs w:val="24"/>
        </w:rPr>
      </w:pPr>
    </w:p>
    <w:p w14:paraId="415F0851" w14:textId="34834547" w:rsidR="00A060EA" w:rsidRPr="00682149" w:rsidRDefault="00176152" w:rsidP="001C138F">
      <w:pPr>
        <w:spacing w:after="0" w:line="276" w:lineRule="auto"/>
        <w:jc w:val="both"/>
        <w:rPr>
          <w:rFonts w:ascii="Arial" w:hAnsi="Arial" w:cs="Arial"/>
          <w:color w:val="000000" w:themeColor="text1"/>
          <w:sz w:val="24"/>
          <w:szCs w:val="24"/>
        </w:rPr>
      </w:pPr>
      <w:r w:rsidRPr="00682149">
        <w:rPr>
          <w:rFonts w:ascii="Arial" w:hAnsi="Arial" w:cs="Arial"/>
          <w:color w:val="000000" w:themeColor="text1"/>
          <w:sz w:val="24"/>
          <w:szCs w:val="24"/>
        </w:rPr>
        <w:t>L</w:t>
      </w:r>
      <w:r w:rsidR="00A060EA" w:rsidRPr="00682149">
        <w:rPr>
          <w:rFonts w:ascii="Arial" w:hAnsi="Arial" w:cs="Arial"/>
          <w:color w:val="000000" w:themeColor="text1"/>
          <w:sz w:val="24"/>
          <w:szCs w:val="24"/>
        </w:rPr>
        <w:t>a competencia de</w:t>
      </w:r>
      <w:r w:rsidR="001C380B" w:rsidRPr="00682149">
        <w:rPr>
          <w:rFonts w:ascii="Arial" w:hAnsi="Arial" w:cs="Arial"/>
          <w:color w:val="000000" w:themeColor="text1"/>
          <w:sz w:val="24"/>
          <w:szCs w:val="24"/>
        </w:rPr>
        <w:t xml:space="preserve"> </w:t>
      </w:r>
      <w:r w:rsidR="00A060EA" w:rsidRPr="00682149">
        <w:rPr>
          <w:rFonts w:ascii="Arial" w:hAnsi="Arial" w:cs="Arial"/>
          <w:color w:val="000000" w:themeColor="text1"/>
          <w:sz w:val="24"/>
          <w:szCs w:val="24"/>
        </w:rPr>
        <w:t>la CREG para regular la materia en función de expedir las tarifas transito</w:t>
      </w:r>
      <w:r w:rsidR="00853800" w:rsidRPr="00682149">
        <w:rPr>
          <w:rFonts w:ascii="Arial" w:hAnsi="Arial" w:cs="Arial"/>
          <w:color w:val="000000" w:themeColor="text1"/>
          <w:sz w:val="24"/>
          <w:szCs w:val="24"/>
        </w:rPr>
        <w:t xml:space="preserve">rias </w:t>
      </w:r>
      <w:r w:rsidRPr="00682149">
        <w:rPr>
          <w:rFonts w:ascii="Arial" w:hAnsi="Arial" w:cs="Arial"/>
          <w:color w:val="000000" w:themeColor="text1"/>
          <w:sz w:val="24"/>
          <w:szCs w:val="24"/>
        </w:rPr>
        <w:t xml:space="preserve">con motivo de la declaratoria del </w:t>
      </w:r>
      <w:r w:rsidR="001F6842" w:rsidRPr="00682149">
        <w:rPr>
          <w:rFonts w:ascii="Arial" w:hAnsi="Arial" w:cs="Arial"/>
          <w:color w:val="000000" w:themeColor="text1"/>
          <w:sz w:val="24"/>
          <w:szCs w:val="24"/>
        </w:rPr>
        <w:t xml:space="preserve">Estado de </w:t>
      </w:r>
      <w:r w:rsidR="00A0204A" w:rsidRPr="00682149">
        <w:rPr>
          <w:rFonts w:ascii="Arial" w:hAnsi="Arial" w:cs="Arial"/>
          <w:color w:val="000000" w:themeColor="text1"/>
          <w:sz w:val="24"/>
          <w:szCs w:val="24"/>
        </w:rPr>
        <w:t>Excepción</w:t>
      </w:r>
      <w:r w:rsidRPr="00682149">
        <w:rPr>
          <w:rFonts w:ascii="Arial" w:hAnsi="Arial" w:cs="Arial"/>
          <w:color w:val="000000" w:themeColor="text1"/>
          <w:sz w:val="24"/>
          <w:szCs w:val="24"/>
        </w:rPr>
        <w:t xml:space="preserve"> </w:t>
      </w:r>
      <w:r w:rsidR="00853800" w:rsidRPr="00682149">
        <w:rPr>
          <w:rFonts w:ascii="Arial" w:hAnsi="Arial" w:cs="Arial"/>
          <w:color w:val="000000" w:themeColor="text1"/>
          <w:sz w:val="24"/>
          <w:szCs w:val="24"/>
        </w:rPr>
        <w:t>debe abordarse desde dos pu</w:t>
      </w:r>
      <w:r w:rsidR="00A060EA" w:rsidRPr="00682149">
        <w:rPr>
          <w:rFonts w:ascii="Arial" w:hAnsi="Arial" w:cs="Arial"/>
          <w:color w:val="000000" w:themeColor="text1"/>
          <w:sz w:val="24"/>
          <w:szCs w:val="24"/>
        </w:rPr>
        <w:t xml:space="preserve">ntos de vista, i) desde el </w:t>
      </w:r>
      <w:r w:rsidR="004954B3" w:rsidRPr="00682149">
        <w:rPr>
          <w:rFonts w:ascii="Arial" w:hAnsi="Arial" w:cs="Arial"/>
          <w:color w:val="000000" w:themeColor="text1"/>
          <w:sz w:val="24"/>
          <w:szCs w:val="24"/>
        </w:rPr>
        <w:t xml:space="preserve">ámbito </w:t>
      </w:r>
      <w:r w:rsidR="00A060EA" w:rsidRPr="00682149">
        <w:rPr>
          <w:rFonts w:ascii="Arial" w:hAnsi="Arial" w:cs="Arial"/>
          <w:color w:val="000000" w:themeColor="text1"/>
          <w:sz w:val="24"/>
          <w:szCs w:val="24"/>
        </w:rPr>
        <w:t xml:space="preserve">material, </w:t>
      </w:r>
      <w:r w:rsidR="004954B3" w:rsidRPr="00682149">
        <w:rPr>
          <w:rFonts w:ascii="Arial" w:hAnsi="Arial" w:cs="Arial"/>
          <w:color w:val="000000" w:themeColor="text1"/>
          <w:sz w:val="24"/>
          <w:szCs w:val="24"/>
        </w:rPr>
        <w:t xml:space="preserve">dado que </w:t>
      </w:r>
      <w:r w:rsidR="00A060EA" w:rsidRPr="00682149">
        <w:rPr>
          <w:rFonts w:ascii="Arial" w:hAnsi="Arial" w:cs="Arial"/>
          <w:color w:val="000000" w:themeColor="text1"/>
          <w:sz w:val="24"/>
          <w:szCs w:val="24"/>
        </w:rPr>
        <w:t xml:space="preserve">su fundamento inmediato tiene origen en la competencia </w:t>
      </w:r>
      <w:r w:rsidR="00094F05" w:rsidRPr="00682149">
        <w:rPr>
          <w:rFonts w:ascii="Arial" w:hAnsi="Arial" w:cs="Arial"/>
          <w:color w:val="000000" w:themeColor="text1"/>
          <w:sz w:val="24"/>
          <w:szCs w:val="24"/>
        </w:rPr>
        <w:t xml:space="preserve">normativa </w:t>
      </w:r>
      <w:r w:rsidR="00A060EA" w:rsidRPr="00682149">
        <w:rPr>
          <w:rFonts w:ascii="Arial" w:hAnsi="Arial" w:cs="Arial"/>
          <w:color w:val="000000" w:themeColor="text1"/>
          <w:sz w:val="24"/>
          <w:szCs w:val="24"/>
        </w:rPr>
        <w:t>de</w:t>
      </w:r>
      <w:r w:rsidR="00A549CE" w:rsidRPr="00682149">
        <w:rPr>
          <w:rFonts w:ascii="Arial" w:hAnsi="Arial" w:cs="Arial"/>
          <w:color w:val="000000" w:themeColor="text1"/>
          <w:sz w:val="24"/>
          <w:szCs w:val="24"/>
        </w:rPr>
        <w:t xml:space="preserve"> la CRE</w:t>
      </w:r>
      <w:r w:rsidR="00653680" w:rsidRPr="00682149">
        <w:rPr>
          <w:rFonts w:ascii="Arial" w:hAnsi="Arial" w:cs="Arial"/>
          <w:color w:val="000000" w:themeColor="text1"/>
          <w:sz w:val="24"/>
          <w:szCs w:val="24"/>
        </w:rPr>
        <w:t>G</w:t>
      </w:r>
      <w:r w:rsidR="00A549CE" w:rsidRPr="00682149">
        <w:rPr>
          <w:rFonts w:ascii="Arial" w:hAnsi="Arial" w:cs="Arial"/>
          <w:color w:val="000000" w:themeColor="text1"/>
          <w:sz w:val="24"/>
          <w:szCs w:val="24"/>
        </w:rPr>
        <w:t xml:space="preserve"> para </w:t>
      </w:r>
      <w:r w:rsidR="00A549CE" w:rsidRPr="00682149">
        <w:rPr>
          <w:rFonts w:ascii="Arial" w:hAnsi="Arial" w:cs="Arial"/>
          <w:color w:val="000000" w:themeColor="text1"/>
          <w:sz w:val="24"/>
          <w:szCs w:val="24"/>
        </w:rPr>
        <w:lastRenderedPageBreak/>
        <w:t>regular la materia</w:t>
      </w:r>
      <w:r w:rsidR="00C408C9" w:rsidRPr="00682149">
        <w:rPr>
          <w:rFonts w:ascii="Arial" w:hAnsi="Arial" w:cs="Arial"/>
          <w:color w:val="000000" w:themeColor="text1"/>
          <w:sz w:val="24"/>
          <w:szCs w:val="24"/>
        </w:rPr>
        <w:t xml:space="preserve"> y</w:t>
      </w:r>
      <w:r w:rsidR="00E10B7E" w:rsidRPr="00682149">
        <w:rPr>
          <w:rFonts w:ascii="Arial" w:hAnsi="Arial" w:cs="Arial"/>
          <w:color w:val="000000" w:themeColor="text1"/>
          <w:sz w:val="24"/>
          <w:szCs w:val="24"/>
        </w:rPr>
        <w:t>,</w:t>
      </w:r>
      <w:r w:rsidR="00C408C9" w:rsidRPr="00682149">
        <w:rPr>
          <w:rFonts w:ascii="Arial" w:hAnsi="Arial" w:cs="Arial"/>
          <w:color w:val="000000" w:themeColor="text1"/>
          <w:sz w:val="24"/>
          <w:szCs w:val="24"/>
        </w:rPr>
        <w:t xml:space="preserve"> ii) desde el ámbito temporal, relacionado con la situación coyuntural de la emergencia decretada y mientras </w:t>
      </w:r>
      <w:r w:rsidR="00E10B7E" w:rsidRPr="00682149">
        <w:rPr>
          <w:rFonts w:ascii="Arial" w:hAnsi="Arial" w:cs="Arial"/>
          <w:color w:val="000000" w:themeColor="text1"/>
          <w:sz w:val="24"/>
          <w:szCs w:val="24"/>
        </w:rPr>
        <w:t xml:space="preserve">esta </w:t>
      </w:r>
      <w:r w:rsidR="00C408C9" w:rsidRPr="00682149">
        <w:rPr>
          <w:rFonts w:ascii="Arial" w:hAnsi="Arial" w:cs="Arial"/>
          <w:color w:val="000000" w:themeColor="text1"/>
          <w:sz w:val="24"/>
          <w:szCs w:val="24"/>
        </w:rPr>
        <w:t xml:space="preserve">dura. </w:t>
      </w:r>
    </w:p>
    <w:p w14:paraId="366CDBBB" w14:textId="75CEE902" w:rsidR="00D05E8F" w:rsidRPr="00682149" w:rsidRDefault="00A060EA" w:rsidP="001C138F">
      <w:pPr>
        <w:spacing w:after="0" w:line="276" w:lineRule="auto"/>
        <w:jc w:val="both"/>
        <w:rPr>
          <w:rFonts w:ascii="Arial" w:hAnsi="Arial" w:cs="Arial"/>
          <w:color w:val="000000" w:themeColor="text1"/>
          <w:sz w:val="24"/>
          <w:szCs w:val="24"/>
        </w:rPr>
      </w:pPr>
      <w:r w:rsidRPr="00682149">
        <w:rPr>
          <w:rFonts w:ascii="Arial" w:hAnsi="Arial" w:cs="Arial"/>
          <w:color w:val="000000" w:themeColor="text1"/>
          <w:sz w:val="24"/>
          <w:szCs w:val="24"/>
        </w:rPr>
        <w:t xml:space="preserve">   </w:t>
      </w:r>
    </w:p>
    <w:p w14:paraId="0FEDC707" w14:textId="005721DE" w:rsidR="001C380B" w:rsidRPr="00682149" w:rsidRDefault="001054D7" w:rsidP="001C138F">
      <w:pPr>
        <w:spacing w:after="0" w:line="276" w:lineRule="auto"/>
        <w:jc w:val="both"/>
        <w:rPr>
          <w:rFonts w:ascii="Arial" w:eastAsiaTheme="minorEastAsia" w:hAnsi="Arial" w:cs="Arial"/>
          <w:color w:val="000000" w:themeColor="text1"/>
          <w:sz w:val="24"/>
          <w:szCs w:val="24"/>
          <w:lang w:val="es-ES" w:eastAsia="es-ES"/>
        </w:rPr>
      </w:pPr>
      <w:r w:rsidRPr="00682149">
        <w:rPr>
          <w:rFonts w:ascii="Arial" w:hAnsi="Arial" w:cs="Arial"/>
          <w:color w:val="000000" w:themeColor="text1"/>
          <w:sz w:val="24"/>
          <w:szCs w:val="24"/>
        </w:rPr>
        <w:t xml:space="preserve">Empero, </w:t>
      </w:r>
      <w:r w:rsidR="00A549CE" w:rsidRPr="00682149">
        <w:rPr>
          <w:rFonts w:ascii="Arial" w:hAnsi="Arial" w:cs="Arial"/>
          <w:color w:val="000000" w:themeColor="text1"/>
          <w:sz w:val="24"/>
          <w:szCs w:val="24"/>
        </w:rPr>
        <w:t xml:space="preserve">debe decirse que antes de la </w:t>
      </w:r>
      <w:r w:rsidR="00A060EA" w:rsidRPr="00976D77">
        <w:rPr>
          <w:rFonts w:ascii="Arial" w:hAnsi="Arial" w:cs="Arial"/>
          <w:color w:val="000000" w:themeColor="text1"/>
          <w:sz w:val="24"/>
          <w:szCs w:val="24"/>
        </w:rPr>
        <w:t>expedición</w:t>
      </w:r>
      <w:r w:rsidR="00A060EA" w:rsidRPr="00682149">
        <w:rPr>
          <w:rFonts w:ascii="Arial" w:hAnsi="Arial" w:cs="Arial"/>
          <w:color w:val="000000" w:themeColor="text1"/>
          <w:sz w:val="24"/>
          <w:szCs w:val="24"/>
        </w:rPr>
        <w:t xml:space="preserve"> de la Resolución </w:t>
      </w:r>
      <w:r w:rsidR="000C7A0E" w:rsidRPr="00682149">
        <w:rPr>
          <w:rFonts w:ascii="Arial" w:hAnsi="Arial" w:cs="Arial"/>
          <w:color w:val="000000" w:themeColor="text1"/>
          <w:sz w:val="24"/>
          <w:szCs w:val="24"/>
        </w:rPr>
        <w:t xml:space="preserve"> CREG-</w:t>
      </w:r>
      <w:r w:rsidRPr="00682149">
        <w:rPr>
          <w:rFonts w:ascii="Arial" w:hAnsi="Arial" w:cs="Arial"/>
          <w:color w:val="000000" w:themeColor="text1"/>
          <w:sz w:val="24"/>
          <w:szCs w:val="24"/>
        </w:rPr>
        <w:t xml:space="preserve">166 </w:t>
      </w:r>
      <w:r w:rsidR="00A060EA" w:rsidRPr="00682149">
        <w:rPr>
          <w:rFonts w:ascii="Arial" w:hAnsi="Arial" w:cs="Arial"/>
          <w:color w:val="000000" w:themeColor="text1"/>
          <w:sz w:val="24"/>
          <w:szCs w:val="24"/>
        </w:rPr>
        <w:t xml:space="preserve">no se </w:t>
      </w:r>
      <w:r w:rsidR="00A549CE" w:rsidRPr="00682149">
        <w:rPr>
          <w:rFonts w:ascii="Arial" w:hAnsi="Arial" w:cs="Arial"/>
          <w:color w:val="000000" w:themeColor="text1"/>
          <w:sz w:val="24"/>
          <w:szCs w:val="24"/>
        </w:rPr>
        <w:t>habían</w:t>
      </w:r>
      <w:r w:rsidR="00976D77">
        <w:rPr>
          <w:rFonts w:ascii="Arial" w:hAnsi="Arial" w:cs="Arial"/>
          <w:color w:val="000000" w:themeColor="text1"/>
          <w:sz w:val="24"/>
          <w:szCs w:val="24"/>
        </w:rPr>
        <w:t xml:space="preserve"> proferido </w:t>
      </w:r>
      <w:r w:rsidR="00A060EA" w:rsidRPr="00682149">
        <w:rPr>
          <w:rFonts w:ascii="Arial" w:hAnsi="Arial" w:cs="Arial"/>
          <w:color w:val="000000" w:themeColor="text1"/>
          <w:sz w:val="24"/>
          <w:szCs w:val="24"/>
        </w:rPr>
        <w:t xml:space="preserve">las tarifas de energía eléctrica </w:t>
      </w:r>
      <w:r w:rsidR="00413681" w:rsidRPr="00682149">
        <w:rPr>
          <w:rFonts w:ascii="Arial" w:hAnsi="Arial" w:cs="Arial"/>
          <w:color w:val="000000" w:themeColor="text1"/>
          <w:sz w:val="24"/>
          <w:szCs w:val="24"/>
        </w:rPr>
        <w:t xml:space="preserve">aplicables a los </w:t>
      </w:r>
      <w:r w:rsidR="00A060EA" w:rsidRPr="00682149">
        <w:rPr>
          <w:rFonts w:ascii="Arial" w:hAnsi="Arial" w:cs="Arial"/>
          <w:color w:val="000000" w:themeColor="text1"/>
          <w:sz w:val="24"/>
          <w:szCs w:val="24"/>
        </w:rPr>
        <w:t>sistemas solares fotovolt</w:t>
      </w:r>
      <w:r w:rsidR="000F4F98" w:rsidRPr="00682149">
        <w:rPr>
          <w:rFonts w:ascii="Arial" w:hAnsi="Arial" w:cs="Arial"/>
          <w:color w:val="000000" w:themeColor="text1"/>
          <w:sz w:val="24"/>
          <w:szCs w:val="24"/>
        </w:rPr>
        <w:t>a</w:t>
      </w:r>
      <w:r w:rsidR="00A060EA" w:rsidRPr="00682149">
        <w:rPr>
          <w:rFonts w:ascii="Arial" w:hAnsi="Arial" w:cs="Arial"/>
          <w:color w:val="000000" w:themeColor="text1"/>
          <w:sz w:val="24"/>
          <w:szCs w:val="24"/>
        </w:rPr>
        <w:t>icos</w:t>
      </w:r>
      <w:r w:rsidR="004954B3" w:rsidRPr="00682149">
        <w:rPr>
          <w:rFonts w:ascii="Arial" w:hAnsi="Arial" w:cs="Arial"/>
          <w:color w:val="000000" w:themeColor="text1"/>
          <w:sz w:val="24"/>
          <w:szCs w:val="24"/>
        </w:rPr>
        <w:t xml:space="preserve"> individuales con potencia mayor a 0.5kW</w:t>
      </w:r>
      <w:r w:rsidR="00A060EA" w:rsidRPr="00682149">
        <w:rPr>
          <w:rFonts w:ascii="Arial" w:hAnsi="Arial" w:cs="Arial"/>
          <w:color w:val="000000" w:themeColor="text1"/>
          <w:sz w:val="24"/>
          <w:szCs w:val="24"/>
        </w:rPr>
        <w:t xml:space="preserve">, </w:t>
      </w:r>
      <w:r w:rsidR="00413681" w:rsidRPr="00682149">
        <w:rPr>
          <w:rFonts w:ascii="Arial" w:hAnsi="Arial" w:cs="Arial"/>
          <w:color w:val="000000" w:themeColor="text1"/>
          <w:sz w:val="24"/>
          <w:szCs w:val="24"/>
        </w:rPr>
        <w:t xml:space="preserve">lo cual se explica </w:t>
      </w:r>
      <w:r w:rsidR="00A549CE" w:rsidRPr="00682149">
        <w:rPr>
          <w:rFonts w:ascii="Arial" w:hAnsi="Arial" w:cs="Arial"/>
          <w:color w:val="000000" w:themeColor="text1"/>
          <w:sz w:val="24"/>
          <w:szCs w:val="24"/>
        </w:rPr>
        <w:t>porque</w:t>
      </w:r>
      <w:r w:rsidR="00413681" w:rsidRPr="00682149">
        <w:rPr>
          <w:rFonts w:ascii="Arial" w:hAnsi="Arial" w:cs="Arial"/>
          <w:color w:val="000000" w:themeColor="text1"/>
          <w:sz w:val="24"/>
          <w:szCs w:val="24"/>
        </w:rPr>
        <w:t xml:space="preserve"> </w:t>
      </w:r>
      <w:r w:rsidR="00A060EA" w:rsidRPr="00682149">
        <w:rPr>
          <w:rFonts w:ascii="Arial" w:eastAsiaTheme="minorEastAsia" w:hAnsi="Arial" w:cs="Arial"/>
          <w:color w:val="000000" w:themeColor="text1"/>
          <w:sz w:val="24"/>
          <w:szCs w:val="24"/>
          <w:lang w:val="es-ES" w:eastAsia="es-ES"/>
        </w:rPr>
        <w:t>hasta el año 2014 se expidió la Ley 1715 de energías renovables</w:t>
      </w:r>
      <w:r w:rsidR="00A549CE" w:rsidRPr="00682149">
        <w:rPr>
          <w:rFonts w:ascii="Arial" w:eastAsiaTheme="minorEastAsia" w:hAnsi="Arial" w:cs="Arial"/>
          <w:color w:val="000000" w:themeColor="text1"/>
          <w:sz w:val="24"/>
          <w:szCs w:val="24"/>
          <w:lang w:val="es-ES" w:eastAsia="es-ES"/>
        </w:rPr>
        <w:t>, por lo que antes de es</w:t>
      </w:r>
      <w:r w:rsidRPr="00682149">
        <w:rPr>
          <w:rFonts w:ascii="Arial" w:eastAsiaTheme="minorEastAsia" w:hAnsi="Arial" w:cs="Arial"/>
          <w:color w:val="000000" w:themeColor="text1"/>
          <w:sz w:val="24"/>
          <w:szCs w:val="24"/>
          <w:lang w:val="es-ES" w:eastAsia="es-ES"/>
        </w:rPr>
        <w:t>a</w:t>
      </w:r>
      <w:r w:rsidR="00413681" w:rsidRPr="00682149">
        <w:rPr>
          <w:rFonts w:ascii="Arial" w:eastAsiaTheme="minorEastAsia" w:hAnsi="Arial" w:cs="Arial"/>
          <w:color w:val="000000" w:themeColor="text1"/>
          <w:sz w:val="24"/>
          <w:szCs w:val="24"/>
          <w:lang w:val="es-ES" w:eastAsia="es-ES"/>
        </w:rPr>
        <w:t xml:space="preserve"> norma</w:t>
      </w:r>
      <w:r w:rsidRPr="00682149">
        <w:rPr>
          <w:rFonts w:ascii="Arial" w:eastAsiaTheme="minorEastAsia" w:hAnsi="Arial" w:cs="Arial"/>
          <w:color w:val="000000" w:themeColor="text1"/>
          <w:sz w:val="24"/>
          <w:szCs w:val="24"/>
          <w:lang w:val="es-ES" w:eastAsia="es-ES"/>
        </w:rPr>
        <w:t xml:space="preserve"> </w:t>
      </w:r>
      <w:r w:rsidR="00107A63" w:rsidRPr="00682149">
        <w:rPr>
          <w:rFonts w:ascii="Arial" w:eastAsiaTheme="minorEastAsia" w:hAnsi="Arial" w:cs="Arial"/>
          <w:color w:val="000000" w:themeColor="text1"/>
          <w:sz w:val="24"/>
          <w:szCs w:val="24"/>
          <w:lang w:val="es-ES" w:eastAsia="es-ES"/>
        </w:rPr>
        <w:t>no</w:t>
      </w:r>
      <w:r w:rsidR="001C380B" w:rsidRPr="00682149">
        <w:rPr>
          <w:rFonts w:ascii="Arial" w:eastAsiaTheme="minorEastAsia" w:hAnsi="Arial" w:cs="Arial"/>
          <w:color w:val="000000" w:themeColor="text1"/>
          <w:sz w:val="24"/>
          <w:szCs w:val="24"/>
          <w:lang w:val="es-ES" w:eastAsia="es-ES"/>
        </w:rPr>
        <w:t xml:space="preserve"> </w:t>
      </w:r>
      <w:r w:rsidR="00926E59" w:rsidRPr="00682149">
        <w:rPr>
          <w:rFonts w:ascii="Arial" w:eastAsiaTheme="minorEastAsia" w:hAnsi="Arial" w:cs="Arial"/>
          <w:color w:val="000000" w:themeColor="text1"/>
          <w:sz w:val="24"/>
          <w:szCs w:val="24"/>
          <w:lang w:val="es-ES" w:eastAsia="es-ES"/>
        </w:rPr>
        <w:t>ha</w:t>
      </w:r>
      <w:r w:rsidR="00106F6D" w:rsidRPr="00682149">
        <w:rPr>
          <w:rFonts w:ascii="Arial" w:eastAsiaTheme="minorEastAsia" w:hAnsi="Arial" w:cs="Arial"/>
          <w:color w:val="000000" w:themeColor="text1"/>
          <w:sz w:val="24"/>
          <w:szCs w:val="24"/>
          <w:lang w:val="es-ES" w:eastAsia="es-ES"/>
        </w:rPr>
        <w:t>bía</w:t>
      </w:r>
      <w:r w:rsidR="00926E59" w:rsidRPr="00682149">
        <w:rPr>
          <w:rFonts w:ascii="Arial" w:eastAsiaTheme="minorEastAsia" w:hAnsi="Arial" w:cs="Arial"/>
          <w:color w:val="000000" w:themeColor="text1"/>
          <w:sz w:val="24"/>
          <w:szCs w:val="24"/>
          <w:lang w:val="es-ES" w:eastAsia="es-ES"/>
        </w:rPr>
        <w:t xml:space="preserve"> </w:t>
      </w:r>
      <w:r w:rsidR="00A549CE" w:rsidRPr="00682149">
        <w:rPr>
          <w:rFonts w:ascii="Arial" w:eastAsiaTheme="minorEastAsia" w:hAnsi="Arial" w:cs="Arial"/>
          <w:color w:val="000000" w:themeColor="text1"/>
          <w:sz w:val="24"/>
          <w:szCs w:val="24"/>
          <w:lang w:val="es-ES" w:eastAsia="es-ES"/>
        </w:rPr>
        <w:t xml:space="preserve">desarrollo </w:t>
      </w:r>
      <w:r w:rsidR="00413681" w:rsidRPr="00682149">
        <w:rPr>
          <w:rFonts w:ascii="Arial" w:eastAsiaTheme="minorEastAsia" w:hAnsi="Arial" w:cs="Arial"/>
          <w:color w:val="000000" w:themeColor="text1"/>
          <w:sz w:val="24"/>
          <w:szCs w:val="24"/>
          <w:lang w:val="es-ES" w:eastAsia="es-ES"/>
        </w:rPr>
        <w:t>legal</w:t>
      </w:r>
      <w:r w:rsidR="001C380B" w:rsidRPr="00682149">
        <w:rPr>
          <w:rFonts w:ascii="Arial" w:eastAsiaTheme="minorEastAsia" w:hAnsi="Arial" w:cs="Arial"/>
          <w:color w:val="000000" w:themeColor="text1"/>
          <w:sz w:val="24"/>
          <w:szCs w:val="24"/>
          <w:lang w:val="es-ES" w:eastAsia="es-ES"/>
        </w:rPr>
        <w:t xml:space="preserve">, </w:t>
      </w:r>
      <w:r w:rsidR="00413681" w:rsidRPr="00682149">
        <w:rPr>
          <w:rFonts w:ascii="Arial" w:eastAsiaTheme="minorEastAsia" w:hAnsi="Arial" w:cs="Arial"/>
          <w:color w:val="000000" w:themeColor="text1"/>
          <w:sz w:val="24"/>
          <w:szCs w:val="24"/>
          <w:lang w:val="es-ES" w:eastAsia="es-ES"/>
        </w:rPr>
        <w:t xml:space="preserve">por tratarse de un sistema y </w:t>
      </w:r>
      <w:r w:rsidR="00A060EA" w:rsidRPr="00682149">
        <w:rPr>
          <w:rFonts w:ascii="Arial" w:eastAsiaTheme="minorEastAsia" w:hAnsi="Arial" w:cs="Arial"/>
          <w:color w:val="000000" w:themeColor="text1"/>
          <w:sz w:val="24"/>
          <w:szCs w:val="24"/>
          <w:lang w:val="es-ES" w:eastAsia="es-ES"/>
        </w:rPr>
        <w:t>servicio rel</w:t>
      </w:r>
      <w:r w:rsidR="00627A62" w:rsidRPr="00682149">
        <w:rPr>
          <w:rFonts w:ascii="Arial" w:eastAsiaTheme="minorEastAsia" w:hAnsi="Arial" w:cs="Arial"/>
          <w:color w:val="000000" w:themeColor="text1"/>
          <w:sz w:val="24"/>
          <w:szCs w:val="24"/>
          <w:lang w:val="es-ES" w:eastAsia="es-ES"/>
        </w:rPr>
        <w:t>ativamente</w:t>
      </w:r>
      <w:r w:rsidRPr="00682149">
        <w:rPr>
          <w:rFonts w:ascii="Arial" w:eastAsiaTheme="minorEastAsia" w:hAnsi="Arial" w:cs="Arial"/>
          <w:color w:val="000000" w:themeColor="text1"/>
          <w:sz w:val="24"/>
          <w:szCs w:val="24"/>
          <w:lang w:val="es-ES" w:eastAsia="es-ES"/>
        </w:rPr>
        <w:t xml:space="preserve"> nuevo</w:t>
      </w:r>
      <w:r w:rsidR="00A549CE" w:rsidRPr="00682149">
        <w:rPr>
          <w:rFonts w:ascii="Arial" w:eastAsiaTheme="minorEastAsia" w:hAnsi="Arial" w:cs="Arial"/>
          <w:color w:val="000000" w:themeColor="text1"/>
          <w:sz w:val="24"/>
          <w:szCs w:val="24"/>
          <w:lang w:val="es-ES" w:eastAsia="es-ES"/>
        </w:rPr>
        <w:t xml:space="preserve">, alternativo </w:t>
      </w:r>
      <w:r w:rsidRPr="00682149">
        <w:rPr>
          <w:rFonts w:ascii="Arial" w:eastAsiaTheme="minorEastAsia" w:hAnsi="Arial" w:cs="Arial"/>
          <w:color w:val="000000" w:themeColor="text1"/>
          <w:sz w:val="24"/>
          <w:szCs w:val="24"/>
          <w:lang w:val="es-ES" w:eastAsia="es-ES"/>
        </w:rPr>
        <w:t>y</w:t>
      </w:r>
      <w:r w:rsidR="00627A62" w:rsidRPr="00682149">
        <w:rPr>
          <w:rFonts w:ascii="Arial" w:eastAsiaTheme="minorEastAsia" w:hAnsi="Arial" w:cs="Arial"/>
          <w:color w:val="000000" w:themeColor="text1"/>
          <w:sz w:val="24"/>
          <w:szCs w:val="24"/>
          <w:lang w:val="es-ES" w:eastAsia="es-ES"/>
        </w:rPr>
        <w:t xml:space="preserve"> en expansión</w:t>
      </w:r>
      <w:r w:rsidR="00A060EA" w:rsidRPr="00682149">
        <w:rPr>
          <w:rFonts w:ascii="Arial" w:eastAsiaTheme="minorEastAsia" w:hAnsi="Arial" w:cs="Arial"/>
          <w:color w:val="000000" w:themeColor="text1"/>
          <w:sz w:val="24"/>
          <w:szCs w:val="24"/>
          <w:lang w:val="es-ES" w:eastAsia="es-ES"/>
        </w:rPr>
        <w:t xml:space="preserve">. </w:t>
      </w:r>
    </w:p>
    <w:p w14:paraId="7E6DE467" w14:textId="77777777" w:rsidR="001C380B" w:rsidRPr="00682149" w:rsidRDefault="001C380B" w:rsidP="001C138F">
      <w:pPr>
        <w:spacing w:after="0" w:line="276" w:lineRule="auto"/>
        <w:jc w:val="both"/>
        <w:rPr>
          <w:rFonts w:ascii="Arial" w:eastAsiaTheme="minorEastAsia" w:hAnsi="Arial" w:cs="Arial"/>
          <w:color w:val="000000" w:themeColor="text1"/>
          <w:sz w:val="24"/>
          <w:szCs w:val="24"/>
          <w:lang w:val="es-ES" w:eastAsia="es-ES"/>
        </w:rPr>
      </w:pPr>
    </w:p>
    <w:p w14:paraId="32780C72" w14:textId="29BAE22B" w:rsidR="00853800" w:rsidRPr="00682149" w:rsidRDefault="00853800" w:rsidP="001C138F">
      <w:pPr>
        <w:spacing w:after="0" w:line="276" w:lineRule="auto"/>
        <w:jc w:val="both"/>
        <w:rPr>
          <w:rFonts w:ascii="Arial" w:eastAsiaTheme="minorEastAsia" w:hAnsi="Arial" w:cs="Arial"/>
          <w:color w:val="000000" w:themeColor="text1"/>
          <w:sz w:val="24"/>
          <w:szCs w:val="24"/>
          <w:lang w:val="es-ES" w:eastAsia="es-ES"/>
        </w:rPr>
      </w:pPr>
      <w:r w:rsidRPr="00682149">
        <w:rPr>
          <w:rFonts w:ascii="Arial" w:eastAsiaTheme="minorEastAsia" w:hAnsi="Arial" w:cs="Arial"/>
          <w:color w:val="000000" w:themeColor="text1"/>
          <w:sz w:val="24"/>
          <w:szCs w:val="24"/>
          <w:lang w:val="es-ES" w:eastAsia="es-ES"/>
        </w:rPr>
        <w:t>En consecuencia, l</w:t>
      </w:r>
      <w:r w:rsidR="001C380B" w:rsidRPr="00682149">
        <w:rPr>
          <w:rFonts w:ascii="Arial" w:eastAsiaTheme="minorEastAsia" w:hAnsi="Arial" w:cs="Arial"/>
          <w:color w:val="000000" w:themeColor="text1"/>
          <w:sz w:val="24"/>
          <w:szCs w:val="24"/>
          <w:lang w:val="es-ES" w:eastAsia="es-ES"/>
        </w:rPr>
        <w:t xml:space="preserve">a Ley 1715 de 2014 </w:t>
      </w:r>
      <w:r w:rsidR="00A549CE" w:rsidRPr="00682149">
        <w:rPr>
          <w:rFonts w:ascii="Arial" w:eastAsiaTheme="minorEastAsia" w:hAnsi="Arial" w:cs="Arial"/>
          <w:color w:val="000000" w:themeColor="text1"/>
          <w:sz w:val="24"/>
          <w:szCs w:val="24"/>
          <w:lang w:val="es-ES" w:eastAsia="es-ES"/>
        </w:rPr>
        <w:t xml:space="preserve">constituye </w:t>
      </w:r>
      <w:r w:rsidR="00AA61B3" w:rsidRPr="00682149">
        <w:rPr>
          <w:rFonts w:ascii="Arial" w:eastAsiaTheme="minorEastAsia" w:hAnsi="Arial" w:cs="Arial"/>
          <w:color w:val="000000" w:themeColor="text1"/>
          <w:sz w:val="24"/>
          <w:szCs w:val="24"/>
          <w:lang w:val="es-ES" w:eastAsia="es-ES"/>
        </w:rPr>
        <w:t xml:space="preserve">el marco normativo </w:t>
      </w:r>
      <w:r w:rsidR="00A060EA" w:rsidRPr="00682149">
        <w:rPr>
          <w:rFonts w:ascii="Arial" w:eastAsiaTheme="minorEastAsia" w:hAnsi="Arial" w:cs="Arial"/>
          <w:color w:val="000000" w:themeColor="text1"/>
          <w:sz w:val="24"/>
          <w:szCs w:val="24"/>
          <w:lang w:val="es-ES" w:eastAsia="es-ES"/>
        </w:rPr>
        <w:t>general</w:t>
      </w:r>
      <w:r w:rsidR="00AA61B3" w:rsidRPr="00682149">
        <w:rPr>
          <w:rFonts w:ascii="Arial" w:eastAsiaTheme="minorEastAsia" w:hAnsi="Arial" w:cs="Arial"/>
          <w:color w:val="000000" w:themeColor="text1"/>
          <w:sz w:val="24"/>
          <w:szCs w:val="24"/>
          <w:lang w:val="es-ES" w:eastAsia="es-ES"/>
        </w:rPr>
        <w:t xml:space="preserve"> </w:t>
      </w:r>
      <w:r w:rsidR="00F33D3E" w:rsidRPr="00682149">
        <w:rPr>
          <w:rFonts w:ascii="Arial" w:eastAsiaTheme="minorEastAsia" w:hAnsi="Arial" w:cs="Arial"/>
          <w:color w:val="000000" w:themeColor="text1"/>
          <w:sz w:val="24"/>
          <w:szCs w:val="24"/>
          <w:lang w:val="es-ES" w:eastAsia="es-ES"/>
        </w:rPr>
        <w:t xml:space="preserve">de los sistemas de energías renovables, </w:t>
      </w:r>
      <w:r w:rsidR="00AA61B3" w:rsidRPr="00682149">
        <w:rPr>
          <w:rFonts w:ascii="Arial" w:eastAsiaTheme="minorEastAsia" w:hAnsi="Arial" w:cs="Arial"/>
          <w:color w:val="000000" w:themeColor="text1"/>
          <w:sz w:val="24"/>
          <w:szCs w:val="24"/>
          <w:lang w:val="es-ES" w:eastAsia="es-ES"/>
        </w:rPr>
        <w:t>al amparo del cual se defin</w:t>
      </w:r>
      <w:r w:rsidR="001C380B" w:rsidRPr="00682149">
        <w:rPr>
          <w:rFonts w:ascii="Arial" w:eastAsiaTheme="minorEastAsia" w:hAnsi="Arial" w:cs="Arial"/>
          <w:color w:val="000000" w:themeColor="text1"/>
          <w:sz w:val="24"/>
          <w:szCs w:val="24"/>
          <w:lang w:val="es-ES" w:eastAsia="es-ES"/>
        </w:rPr>
        <w:t xml:space="preserve">ieron </w:t>
      </w:r>
      <w:r w:rsidR="00AA61B3" w:rsidRPr="00682149">
        <w:rPr>
          <w:rFonts w:ascii="Arial" w:eastAsiaTheme="minorEastAsia" w:hAnsi="Arial" w:cs="Arial"/>
          <w:color w:val="000000" w:themeColor="text1"/>
          <w:sz w:val="24"/>
          <w:szCs w:val="24"/>
          <w:lang w:val="es-ES" w:eastAsia="es-ES"/>
        </w:rPr>
        <w:t xml:space="preserve">las distintas formas </w:t>
      </w:r>
      <w:r w:rsidR="00A060EA" w:rsidRPr="00682149">
        <w:rPr>
          <w:rFonts w:ascii="Arial" w:eastAsiaTheme="minorEastAsia" w:hAnsi="Arial" w:cs="Arial"/>
          <w:color w:val="000000" w:themeColor="text1"/>
          <w:sz w:val="24"/>
          <w:szCs w:val="24"/>
          <w:lang w:val="es-ES" w:eastAsia="es-ES"/>
        </w:rPr>
        <w:t xml:space="preserve">sobre </w:t>
      </w:r>
      <w:r w:rsidRPr="00682149">
        <w:rPr>
          <w:rFonts w:ascii="Arial" w:eastAsiaTheme="minorEastAsia" w:hAnsi="Arial" w:cs="Arial"/>
          <w:color w:val="000000" w:themeColor="text1"/>
          <w:sz w:val="24"/>
          <w:szCs w:val="24"/>
          <w:lang w:val="es-ES" w:eastAsia="es-ES"/>
        </w:rPr>
        <w:t>la utilización de plantas fotovoltaicas</w:t>
      </w:r>
      <w:r w:rsidR="001C380B" w:rsidRPr="00682149">
        <w:rPr>
          <w:rFonts w:ascii="Arial" w:eastAsiaTheme="minorEastAsia" w:hAnsi="Arial" w:cs="Arial"/>
          <w:color w:val="000000" w:themeColor="text1"/>
          <w:sz w:val="24"/>
          <w:szCs w:val="24"/>
          <w:lang w:val="es-ES" w:eastAsia="es-ES"/>
        </w:rPr>
        <w:t xml:space="preserve"> y otros servicios asociados a energías renovables</w:t>
      </w:r>
      <w:r w:rsidR="001C380B" w:rsidRPr="00682149">
        <w:rPr>
          <w:rStyle w:val="Refdenotaalpie"/>
          <w:rFonts w:ascii="Arial" w:eastAsiaTheme="minorEastAsia" w:hAnsi="Arial" w:cs="Arial"/>
          <w:color w:val="000000" w:themeColor="text1"/>
          <w:sz w:val="24"/>
          <w:szCs w:val="24"/>
          <w:lang w:val="es-ES" w:eastAsia="es-ES"/>
        </w:rPr>
        <w:footnoteReference w:id="52"/>
      </w:r>
      <w:r w:rsidR="00627A62" w:rsidRPr="00682149">
        <w:rPr>
          <w:rFonts w:ascii="Arial" w:eastAsiaTheme="minorEastAsia" w:hAnsi="Arial" w:cs="Arial"/>
          <w:color w:val="000000" w:themeColor="text1"/>
          <w:sz w:val="24"/>
          <w:szCs w:val="24"/>
          <w:lang w:val="es-ES" w:eastAsia="es-ES"/>
        </w:rPr>
        <w:t xml:space="preserve"> dirigidos</w:t>
      </w:r>
      <w:r w:rsidR="00F33D3E" w:rsidRPr="00682149">
        <w:rPr>
          <w:rFonts w:ascii="Arial" w:eastAsiaTheme="minorEastAsia" w:hAnsi="Arial" w:cs="Arial"/>
          <w:color w:val="000000" w:themeColor="text1"/>
          <w:sz w:val="24"/>
          <w:szCs w:val="24"/>
          <w:lang w:val="es-ES" w:eastAsia="es-ES"/>
        </w:rPr>
        <w:t xml:space="preserve"> a promover la autogeneración de</w:t>
      </w:r>
      <w:r w:rsidR="00A060EA" w:rsidRPr="00682149">
        <w:rPr>
          <w:rFonts w:ascii="Arial" w:eastAsiaTheme="minorEastAsia" w:hAnsi="Arial" w:cs="Arial"/>
          <w:color w:val="000000" w:themeColor="text1"/>
          <w:sz w:val="24"/>
          <w:szCs w:val="24"/>
          <w:lang w:val="es-ES" w:eastAsia="es-ES"/>
        </w:rPr>
        <w:t xml:space="preserve"> pequeña y gran escala</w:t>
      </w:r>
      <w:r w:rsidRPr="00682149">
        <w:rPr>
          <w:rFonts w:ascii="Arial" w:eastAsiaTheme="minorEastAsia" w:hAnsi="Arial" w:cs="Arial"/>
          <w:color w:val="000000" w:themeColor="text1"/>
          <w:sz w:val="24"/>
          <w:szCs w:val="24"/>
          <w:lang w:val="es-ES" w:eastAsia="es-ES"/>
        </w:rPr>
        <w:t xml:space="preserve">, </w:t>
      </w:r>
      <w:r w:rsidR="00A060EA" w:rsidRPr="00682149">
        <w:rPr>
          <w:rFonts w:ascii="Arial" w:eastAsiaTheme="minorEastAsia" w:hAnsi="Arial" w:cs="Arial"/>
          <w:color w:val="000000" w:themeColor="text1"/>
          <w:sz w:val="24"/>
          <w:szCs w:val="24"/>
          <w:lang w:val="es-ES" w:eastAsia="es-ES"/>
        </w:rPr>
        <w:t>la generación distribuida</w:t>
      </w:r>
      <w:r w:rsidR="00126779" w:rsidRPr="00682149">
        <w:rPr>
          <w:rFonts w:ascii="Arial" w:eastAsiaTheme="minorEastAsia" w:hAnsi="Arial" w:cs="Arial"/>
          <w:color w:val="000000" w:themeColor="text1"/>
          <w:sz w:val="24"/>
          <w:szCs w:val="24"/>
          <w:lang w:val="es-ES" w:eastAsia="es-ES"/>
        </w:rPr>
        <w:t xml:space="preserve"> y los instrumentos para la promoción </w:t>
      </w:r>
      <w:r w:rsidR="00094F05" w:rsidRPr="00682149">
        <w:rPr>
          <w:rFonts w:ascii="Arial" w:eastAsiaTheme="minorEastAsia" w:hAnsi="Arial" w:cs="Arial"/>
          <w:color w:val="000000" w:themeColor="text1"/>
          <w:sz w:val="24"/>
          <w:szCs w:val="24"/>
          <w:lang w:val="es-ES" w:eastAsia="es-ES"/>
        </w:rPr>
        <w:t>y</w:t>
      </w:r>
      <w:r w:rsidR="00126779" w:rsidRPr="00682149">
        <w:rPr>
          <w:rFonts w:ascii="Arial" w:eastAsiaTheme="minorEastAsia" w:hAnsi="Arial" w:cs="Arial"/>
          <w:color w:val="000000" w:themeColor="text1"/>
          <w:sz w:val="24"/>
          <w:szCs w:val="24"/>
          <w:lang w:val="es-ES" w:eastAsia="es-ES"/>
        </w:rPr>
        <w:t xml:space="preserve"> aprovechamiento de las fuentes no convencionales de energía, principalmente aquellas de carácter renovable</w:t>
      </w:r>
      <w:r w:rsidR="00106F6D" w:rsidRPr="00682149">
        <w:rPr>
          <w:rFonts w:ascii="Arial" w:eastAsiaTheme="minorEastAsia" w:hAnsi="Arial" w:cs="Arial"/>
          <w:color w:val="000000" w:themeColor="text1"/>
          <w:sz w:val="24"/>
          <w:szCs w:val="24"/>
          <w:lang w:val="es-ES" w:eastAsia="es-ES"/>
        </w:rPr>
        <w:t>;</w:t>
      </w:r>
      <w:r w:rsidR="002C179F" w:rsidRPr="00682149">
        <w:rPr>
          <w:rFonts w:ascii="Arial" w:eastAsiaTheme="minorEastAsia" w:hAnsi="Arial" w:cs="Arial"/>
          <w:color w:val="000000" w:themeColor="text1"/>
          <w:sz w:val="24"/>
          <w:szCs w:val="24"/>
          <w:lang w:val="es-ES" w:eastAsia="es-ES"/>
        </w:rPr>
        <w:t xml:space="preserve"> </w:t>
      </w:r>
      <w:r w:rsidR="00106F6D" w:rsidRPr="00682149">
        <w:rPr>
          <w:rFonts w:ascii="Arial" w:eastAsiaTheme="minorEastAsia" w:hAnsi="Arial" w:cs="Arial"/>
          <w:color w:val="000000" w:themeColor="text1"/>
          <w:sz w:val="24"/>
          <w:szCs w:val="24"/>
          <w:lang w:val="es-ES" w:eastAsia="es-ES"/>
        </w:rPr>
        <w:t>e</w:t>
      </w:r>
      <w:r w:rsidRPr="00682149">
        <w:rPr>
          <w:rFonts w:ascii="Arial" w:eastAsiaTheme="minorEastAsia" w:hAnsi="Arial" w:cs="Arial"/>
          <w:color w:val="000000" w:themeColor="text1"/>
          <w:sz w:val="24"/>
          <w:szCs w:val="24"/>
          <w:lang w:val="es-ES" w:eastAsia="es-ES"/>
        </w:rPr>
        <w:t>ntendiendo por</w:t>
      </w:r>
      <w:r w:rsidR="00627A62" w:rsidRPr="00682149">
        <w:rPr>
          <w:rFonts w:ascii="Arial" w:eastAsiaTheme="minorEastAsia" w:hAnsi="Arial" w:cs="Arial"/>
          <w:color w:val="000000" w:themeColor="text1"/>
          <w:sz w:val="24"/>
          <w:szCs w:val="24"/>
          <w:lang w:val="es-ES" w:eastAsia="es-ES"/>
        </w:rPr>
        <w:t xml:space="preserve"> autogeneración la actividad </w:t>
      </w:r>
      <w:r w:rsidR="00627A62" w:rsidRPr="00682149">
        <w:rPr>
          <w:rFonts w:ascii="Arial" w:eastAsiaTheme="minorEastAsia" w:hAnsi="Arial" w:cs="Arial"/>
          <w:color w:val="000000" w:themeColor="text1"/>
          <w:sz w:val="24"/>
          <w:szCs w:val="24"/>
          <w:lang w:val="es-ES" w:eastAsia="es-ES"/>
        </w:rPr>
        <w:lastRenderedPageBreak/>
        <w:t>realizada por personas naturales o jurídicas que producen energía eléctrica para atender sus propias necesidades, que a la vez constituyen la forma más económica</w:t>
      </w:r>
      <w:r w:rsidR="00F33D3E" w:rsidRPr="00682149">
        <w:rPr>
          <w:rFonts w:ascii="Arial" w:eastAsiaTheme="minorEastAsia" w:hAnsi="Arial" w:cs="Arial"/>
          <w:color w:val="000000" w:themeColor="text1"/>
          <w:sz w:val="24"/>
          <w:szCs w:val="24"/>
          <w:lang w:val="es-ES" w:eastAsia="es-ES"/>
        </w:rPr>
        <w:t xml:space="preserve">, sostenible </w:t>
      </w:r>
      <w:r w:rsidR="00627A62" w:rsidRPr="00682149">
        <w:rPr>
          <w:rFonts w:ascii="Arial" w:eastAsiaTheme="minorEastAsia" w:hAnsi="Arial" w:cs="Arial"/>
          <w:color w:val="000000" w:themeColor="text1"/>
          <w:sz w:val="24"/>
          <w:szCs w:val="24"/>
          <w:lang w:val="es-ES" w:eastAsia="es-ES"/>
        </w:rPr>
        <w:t xml:space="preserve">y rápida de utilización </w:t>
      </w:r>
      <w:r w:rsidRPr="00682149">
        <w:rPr>
          <w:rFonts w:ascii="Arial" w:eastAsiaTheme="minorEastAsia" w:hAnsi="Arial" w:cs="Arial"/>
          <w:color w:val="000000" w:themeColor="text1"/>
          <w:sz w:val="24"/>
          <w:szCs w:val="24"/>
          <w:lang w:val="es-ES" w:eastAsia="es-ES"/>
        </w:rPr>
        <w:t xml:space="preserve">de este servicio </w:t>
      </w:r>
      <w:r w:rsidR="00627A62" w:rsidRPr="00682149">
        <w:rPr>
          <w:rFonts w:ascii="Arial" w:eastAsiaTheme="minorEastAsia" w:hAnsi="Arial" w:cs="Arial"/>
          <w:color w:val="000000" w:themeColor="text1"/>
          <w:sz w:val="24"/>
          <w:szCs w:val="24"/>
          <w:lang w:val="es-ES" w:eastAsia="es-ES"/>
        </w:rPr>
        <w:t xml:space="preserve">en zonas no interconectadas a través de </w:t>
      </w:r>
      <w:r w:rsidR="00F33D3E" w:rsidRPr="00682149">
        <w:rPr>
          <w:rFonts w:ascii="Arial" w:eastAsiaTheme="minorEastAsia" w:hAnsi="Arial" w:cs="Arial"/>
          <w:color w:val="000000" w:themeColor="text1"/>
          <w:sz w:val="24"/>
          <w:szCs w:val="24"/>
          <w:lang w:val="es-ES" w:eastAsia="es-ES"/>
        </w:rPr>
        <w:t>la instalación de paneles fotovo</w:t>
      </w:r>
      <w:r w:rsidR="00627A62" w:rsidRPr="00682149">
        <w:rPr>
          <w:rFonts w:ascii="Arial" w:eastAsiaTheme="minorEastAsia" w:hAnsi="Arial" w:cs="Arial"/>
          <w:color w:val="000000" w:themeColor="text1"/>
          <w:sz w:val="24"/>
          <w:szCs w:val="24"/>
          <w:lang w:val="es-ES" w:eastAsia="es-ES"/>
        </w:rPr>
        <w:t>lt</w:t>
      </w:r>
      <w:r w:rsidR="00F33D3E" w:rsidRPr="00682149">
        <w:rPr>
          <w:rFonts w:ascii="Arial" w:eastAsiaTheme="minorEastAsia" w:hAnsi="Arial" w:cs="Arial"/>
          <w:color w:val="000000" w:themeColor="text1"/>
          <w:sz w:val="24"/>
          <w:szCs w:val="24"/>
          <w:lang w:val="es-ES" w:eastAsia="es-ES"/>
        </w:rPr>
        <w:t>a</w:t>
      </w:r>
      <w:r w:rsidR="00627A62" w:rsidRPr="00682149">
        <w:rPr>
          <w:rFonts w:ascii="Arial" w:eastAsiaTheme="minorEastAsia" w:hAnsi="Arial" w:cs="Arial"/>
          <w:color w:val="000000" w:themeColor="text1"/>
          <w:sz w:val="24"/>
          <w:szCs w:val="24"/>
          <w:lang w:val="es-ES" w:eastAsia="es-ES"/>
        </w:rPr>
        <w:t xml:space="preserve">icos. </w:t>
      </w:r>
    </w:p>
    <w:p w14:paraId="1ABBF7BA" w14:textId="77777777" w:rsidR="00853800" w:rsidRPr="00682149" w:rsidRDefault="00853800" w:rsidP="001C138F">
      <w:pPr>
        <w:spacing w:after="0" w:line="276" w:lineRule="auto"/>
        <w:jc w:val="both"/>
        <w:rPr>
          <w:rFonts w:ascii="Arial" w:eastAsiaTheme="minorEastAsia" w:hAnsi="Arial" w:cs="Arial"/>
          <w:color w:val="000000" w:themeColor="text1"/>
          <w:sz w:val="24"/>
          <w:szCs w:val="24"/>
          <w:lang w:val="es-ES" w:eastAsia="es-ES"/>
        </w:rPr>
      </w:pPr>
    </w:p>
    <w:p w14:paraId="5BC466CE" w14:textId="7C0108DD" w:rsidR="00E7433F" w:rsidRPr="00682149" w:rsidRDefault="00F33D3E" w:rsidP="001C138F">
      <w:pPr>
        <w:spacing w:after="0" w:line="276" w:lineRule="auto"/>
        <w:jc w:val="both"/>
        <w:rPr>
          <w:rFonts w:ascii="Arial" w:eastAsiaTheme="minorEastAsia" w:hAnsi="Arial" w:cs="Arial"/>
          <w:color w:val="000000" w:themeColor="text1"/>
          <w:sz w:val="24"/>
          <w:szCs w:val="24"/>
          <w:lang w:val="es-ES" w:eastAsia="es-ES"/>
        </w:rPr>
      </w:pPr>
      <w:r w:rsidRPr="00682149">
        <w:rPr>
          <w:rFonts w:ascii="Arial" w:eastAsiaTheme="minorEastAsia" w:hAnsi="Arial" w:cs="Arial"/>
          <w:color w:val="000000" w:themeColor="text1"/>
          <w:sz w:val="24"/>
          <w:szCs w:val="24"/>
          <w:lang w:val="es-ES" w:eastAsia="es-ES"/>
        </w:rPr>
        <w:t xml:space="preserve">Ahora, se reitera </w:t>
      </w:r>
      <w:r w:rsidR="00853800" w:rsidRPr="00682149">
        <w:rPr>
          <w:rFonts w:ascii="Arial" w:eastAsiaTheme="minorEastAsia" w:hAnsi="Arial" w:cs="Arial"/>
          <w:color w:val="000000" w:themeColor="text1"/>
          <w:sz w:val="24"/>
          <w:szCs w:val="24"/>
          <w:lang w:val="es-ES" w:eastAsia="es-ES"/>
        </w:rPr>
        <w:t xml:space="preserve">que solo con la expedición del </w:t>
      </w:r>
      <w:r w:rsidR="00A060EA" w:rsidRPr="00682149">
        <w:rPr>
          <w:rFonts w:ascii="Arial" w:eastAsia="Times New Roman" w:hAnsi="Arial" w:cs="Arial"/>
          <w:color w:val="000000" w:themeColor="text1"/>
          <w:sz w:val="24"/>
          <w:szCs w:val="24"/>
          <w:lang w:val="es-CO" w:eastAsia="es-ES_tradnl"/>
        </w:rPr>
        <w:t>artículo 287 de la Ley 1955 de 2019</w:t>
      </w:r>
      <w:r w:rsidR="00853800" w:rsidRPr="00682149">
        <w:rPr>
          <w:rFonts w:ascii="Arial" w:eastAsia="Times New Roman" w:hAnsi="Arial" w:cs="Arial"/>
          <w:color w:val="000000" w:themeColor="text1"/>
          <w:sz w:val="24"/>
          <w:szCs w:val="24"/>
          <w:lang w:val="es-CO" w:eastAsia="es-ES_tradnl"/>
        </w:rPr>
        <w:t xml:space="preserve"> –</w:t>
      </w:r>
      <w:r w:rsidR="00A060EA" w:rsidRPr="00682149">
        <w:rPr>
          <w:rFonts w:ascii="Arial" w:eastAsia="Times New Roman" w:hAnsi="Arial" w:cs="Arial"/>
          <w:color w:val="000000" w:themeColor="text1"/>
          <w:sz w:val="24"/>
          <w:szCs w:val="24"/>
          <w:lang w:val="es-CO" w:eastAsia="es-ES_tradnl"/>
        </w:rPr>
        <w:t xml:space="preserve"> Plan</w:t>
      </w:r>
      <w:r w:rsidR="00853800" w:rsidRPr="00682149">
        <w:rPr>
          <w:rFonts w:ascii="Arial" w:eastAsia="Times New Roman" w:hAnsi="Arial" w:cs="Arial"/>
          <w:color w:val="000000" w:themeColor="text1"/>
          <w:sz w:val="24"/>
          <w:szCs w:val="24"/>
          <w:lang w:val="es-CO" w:eastAsia="es-ES_tradnl"/>
        </w:rPr>
        <w:t xml:space="preserve"> Nacional</w:t>
      </w:r>
      <w:r w:rsidR="00A060EA" w:rsidRPr="00682149">
        <w:rPr>
          <w:rFonts w:ascii="Arial" w:eastAsia="Times New Roman" w:hAnsi="Arial" w:cs="Arial"/>
          <w:color w:val="000000" w:themeColor="text1"/>
          <w:sz w:val="24"/>
          <w:szCs w:val="24"/>
          <w:lang w:val="es-CO" w:eastAsia="es-ES_tradnl"/>
        </w:rPr>
        <w:t xml:space="preserve"> de De</w:t>
      </w:r>
      <w:r w:rsidR="00853800" w:rsidRPr="00682149">
        <w:rPr>
          <w:rFonts w:ascii="Arial" w:eastAsia="Times New Roman" w:hAnsi="Arial" w:cs="Arial"/>
          <w:color w:val="000000" w:themeColor="text1"/>
          <w:sz w:val="24"/>
          <w:szCs w:val="24"/>
          <w:lang w:val="es-CO" w:eastAsia="es-ES_tradnl"/>
        </w:rPr>
        <w:t>sarrollo 2018</w:t>
      </w:r>
      <w:r w:rsidR="00A060EA" w:rsidRPr="00682149">
        <w:rPr>
          <w:rFonts w:ascii="Arial" w:eastAsia="Times New Roman" w:hAnsi="Arial" w:cs="Arial"/>
          <w:color w:val="000000" w:themeColor="text1"/>
          <w:sz w:val="24"/>
          <w:szCs w:val="24"/>
          <w:lang w:val="es-CO" w:eastAsia="es-ES_tradnl"/>
        </w:rPr>
        <w:t>-2022</w:t>
      </w:r>
      <w:r w:rsidR="00853800" w:rsidRPr="00682149">
        <w:rPr>
          <w:rFonts w:ascii="Arial" w:eastAsia="Times New Roman" w:hAnsi="Arial" w:cs="Arial"/>
          <w:color w:val="000000" w:themeColor="text1"/>
          <w:sz w:val="24"/>
          <w:szCs w:val="24"/>
          <w:lang w:val="es-CO" w:eastAsia="es-ES_tradnl"/>
        </w:rPr>
        <w:t>-</w:t>
      </w:r>
      <w:r w:rsidR="00A060EA" w:rsidRPr="00682149">
        <w:rPr>
          <w:rFonts w:ascii="Arial" w:eastAsia="Times New Roman" w:hAnsi="Arial" w:cs="Arial"/>
          <w:color w:val="000000" w:themeColor="text1"/>
          <w:sz w:val="24"/>
          <w:szCs w:val="24"/>
          <w:lang w:val="es-CO" w:eastAsia="es-ES_tradnl"/>
        </w:rPr>
        <w:t>,</w:t>
      </w:r>
      <w:r w:rsidR="00853800" w:rsidRPr="00682149">
        <w:rPr>
          <w:rFonts w:ascii="Arial" w:eastAsia="Times New Roman" w:hAnsi="Arial" w:cs="Arial"/>
          <w:color w:val="000000" w:themeColor="text1"/>
          <w:sz w:val="24"/>
          <w:szCs w:val="24"/>
          <w:lang w:val="es-CO" w:eastAsia="es-ES_tradnl"/>
        </w:rPr>
        <w:t xml:space="preserve"> se </w:t>
      </w:r>
      <w:r w:rsidR="00A060EA" w:rsidRPr="00682149">
        <w:rPr>
          <w:rFonts w:ascii="Arial" w:eastAsia="Times New Roman" w:hAnsi="Arial" w:cs="Arial"/>
          <w:color w:val="000000" w:themeColor="text1"/>
          <w:sz w:val="24"/>
          <w:szCs w:val="24"/>
          <w:lang w:val="es-CO" w:eastAsia="es-ES_tradnl"/>
        </w:rPr>
        <w:t>le imprim</w:t>
      </w:r>
      <w:r w:rsidR="004954B3" w:rsidRPr="00682149">
        <w:rPr>
          <w:rFonts w:ascii="Arial" w:eastAsia="Times New Roman" w:hAnsi="Arial" w:cs="Arial"/>
          <w:color w:val="000000" w:themeColor="text1"/>
          <w:sz w:val="24"/>
          <w:szCs w:val="24"/>
          <w:lang w:val="es-CO" w:eastAsia="es-ES_tradnl"/>
        </w:rPr>
        <w:t>ió a esta</w:t>
      </w:r>
      <w:r w:rsidR="00653680" w:rsidRPr="00682149">
        <w:rPr>
          <w:rFonts w:ascii="Arial" w:eastAsia="Times New Roman" w:hAnsi="Arial" w:cs="Arial"/>
          <w:color w:val="000000" w:themeColor="text1"/>
          <w:sz w:val="24"/>
          <w:szCs w:val="24"/>
          <w:lang w:val="es-CO" w:eastAsia="es-ES_tradnl"/>
        </w:rPr>
        <w:t>s</w:t>
      </w:r>
      <w:r w:rsidR="004954B3" w:rsidRPr="00682149">
        <w:rPr>
          <w:rFonts w:ascii="Arial" w:eastAsia="Times New Roman" w:hAnsi="Arial" w:cs="Arial"/>
          <w:color w:val="000000" w:themeColor="text1"/>
          <w:sz w:val="24"/>
          <w:szCs w:val="24"/>
          <w:lang w:val="es-CO" w:eastAsia="es-ES_tradnl"/>
        </w:rPr>
        <w:t xml:space="preserve"> soluci</w:t>
      </w:r>
      <w:r w:rsidR="00653680" w:rsidRPr="00682149">
        <w:rPr>
          <w:rFonts w:ascii="Arial" w:eastAsia="Times New Roman" w:hAnsi="Arial" w:cs="Arial"/>
          <w:color w:val="000000" w:themeColor="text1"/>
          <w:sz w:val="24"/>
          <w:szCs w:val="24"/>
          <w:lang w:val="es-CO" w:eastAsia="es-ES_tradnl"/>
        </w:rPr>
        <w:t xml:space="preserve">ones </w:t>
      </w:r>
      <w:r w:rsidR="004954B3" w:rsidRPr="00682149">
        <w:rPr>
          <w:rFonts w:ascii="Arial" w:eastAsia="Times New Roman" w:hAnsi="Arial" w:cs="Arial"/>
          <w:color w:val="000000" w:themeColor="text1"/>
          <w:sz w:val="24"/>
          <w:szCs w:val="24"/>
          <w:lang w:val="es-CO" w:eastAsia="es-ES_tradnl"/>
        </w:rPr>
        <w:t xml:space="preserve">de energía eléctrica, </w:t>
      </w:r>
      <w:r w:rsidR="00A060EA" w:rsidRPr="00682149">
        <w:rPr>
          <w:rFonts w:ascii="Arial" w:eastAsia="Times New Roman" w:hAnsi="Arial" w:cs="Arial"/>
          <w:color w:val="000000" w:themeColor="text1"/>
          <w:sz w:val="24"/>
          <w:szCs w:val="24"/>
          <w:lang w:val="es-CO" w:eastAsia="es-ES_tradnl"/>
        </w:rPr>
        <w:t xml:space="preserve">el carácter de servicio público domiciliario </w:t>
      </w:r>
      <w:r w:rsidR="00F63FE4" w:rsidRPr="00682149">
        <w:rPr>
          <w:rFonts w:ascii="Arial" w:eastAsiaTheme="minorEastAsia" w:hAnsi="Arial" w:cs="Arial"/>
          <w:color w:val="000000" w:themeColor="text1"/>
          <w:sz w:val="24"/>
          <w:szCs w:val="24"/>
          <w:lang w:val="es-ES" w:eastAsia="es-ES"/>
        </w:rPr>
        <w:t>-</w:t>
      </w:r>
      <w:r w:rsidR="00A060EA" w:rsidRPr="00682149">
        <w:rPr>
          <w:rFonts w:ascii="Arial" w:eastAsiaTheme="minorEastAsia" w:hAnsi="Arial" w:cs="Arial"/>
          <w:color w:val="000000" w:themeColor="text1"/>
          <w:sz w:val="24"/>
          <w:szCs w:val="24"/>
          <w:lang w:val="es-ES" w:eastAsia="es-ES"/>
        </w:rPr>
        <w:t xml:space="preserve"> utilización de plantas fotovoltaicas</w:t>
      </w:r>
      <w:r w:rsidR="00627A62" w:rsidRPr="00682149">
        <w:rPr>
          <w:rFonts w:ascii="Arial" w:eastAsiaTheme="minorEastAsia" w:hAnsi="Arial" w:cs="Arial"/>
          <w:color w:val="000000" w:themeColor="text1"/>
          <w:sz w:val="24"/>
          <w:szCs w:val="24"/>
          <w:lang w:val="es-ES" w:eastAsia="es-ES"/>
        </w:rPr>
        <w:t xml:space="preserve"> en zonas no interconectadas del país</w:t>
      </w:r>
      <w:r w:rsidRPr="00682149">
        <w:rPr>
          <w:rFonts w:ascii="Arial" w:eastAsiaTheme="minorEastAsia" w:hAnsi="Arial" w:cs="Arial"/>
          <w:color w:val="000000" w:themeColor="text1"/>
          <w:sz w:val="24"/>
          <w:szCs w:val="24"/>
          <w:lang w:val="es-ES" w:eastAsia="es-ES"/>
        </w:rPr>
        <w:t xml:space="preserve"> para dar cumplimiento </w:t>
      </w:r>
      <w:r w:rsidR="00E42937" w:rsidRPr="00682149">
        <w:rPr>
          <w:rFonts w:ascii="Arial" w:eastAsiaTheme="minorEastAsia" w:hAnsi="Arial" w:cs="Arial"/>
          <w:color w:val="000000" w:themeColor="text1"/>
          <w:sz w:val="24"/>
          <w:szCs w:val="24"/>
          <w:lang w:val="es-ES" w:eastAsia="es-ES"/>
        </w:rPr>
        <w:t>a la</w:t>
      </w:r>
      <w:r w:rsidRPr="00682149">
        <w:rPr>
          <w:rFonts w:ascii="Arial" w:eastAsiaTheme="minorEastAsia" w:hAnsi="Arial" w:cs="Arial"/>
          <w:color w:val="000000" w:themeColor="text1"/>
          <w:sz w:val="24"/>
          <w:szCs w:val="24"/>
          <w:lang w:val="es-ES" w:eastAsia="es-ES"/>
        </w:rPr>
        <w:t xml:space="preserve"> </w:t>
      </w:r>
      <w:r w:rsidR="00853800" w:rsidRPr="00682149">
        <w:rPr>
          <w:rFonts w:ascii="Arial" w:eastAsiaTheme="minorEastAsia" w:hAnsi="Arial" w:cs="Arial"/>
          <w:color w:val="000000" w:themeColor="text1"/>
          <w:sz w:val="24"/>
          <w:szCs w:val="24"/>
          <w:lang w:val="es-ES" w:eastAsia="es-ES"/>
        </w:rPr>
        <w:t>Ley 171</w:t>
      </w:r>
      <w:r w:rsidR="00DA6386" w:rsidRPr="00682149">
        <w:rPr>
          <w:rFonts w:ascii="Arial" w:eastAsiaTheme="minorEastAsia" w:hAnsi="Arial" w:cs="Arial"/>
          <w:color w:val="000000" w:themeColor="text1"/>
          <w:sz w:val="24"/>
          <w:szCs w:val="24"/>
          <w:lang w:val="es-ES" w:eastAsia="es-ES"/>
        </w:rPr>
        <w:t>5 de 2014</w:t>
      </w:r>
      <w:r w:rsidR="00F63FE4" w:rsidRPr="00682149">
        <w:rPr>
          <w:rFonts w:ascii="Arial" w:eastAsiaTheme="minorEastAsia" w:hAnsi="Arial" w:cs="Arial"/>
          <w:color w:val="000000" w:themeColor="text1"/>
          <w:sz w:val="24"/>
          <w:szCs w:val="24"/>
          <w:lang w:val="es-ES" w:eastAsia="es-ES"/>
        </w:rPr>
        <w:t>-</w:t>
      </w:r>
      <w:r w:rsidR="00853800" w:rsidRPr="00682149">
        <w:rPr>
          <w:rFonts w:ascii="Arial" w:eastAsiaTheme="minorEastAsia" w:hAnsi="Arial" w:cs="Arial"/>
          <w:color w:val="000000" w:themeColor="text1"/>
          <w:sz w:val="24"/>
          <w:szCs w:val="24"/>
          <w:lang w:val="es-ES" w:eastAsia="es-ES"/>
        </w:rPr>
        <w:t xml:space="preserve">, </w:t>
      </w:r>
      <w:r w:rsidRPr="00682149">
        <w:rPr>
          <w:rFonts w:ascii="Arial" w:eastAsiaTheme="minorEastAsia" w:hAnsi="Arial" w:cs="Arial"/>
          <w:color w:val="000000" w:themeColor="text1"/>
          <w:sz w:val="24"/>
          <w:szCs w:val="24"/>
          <w:lang w:val="es-ES" w:eastAsia="es-ES"/>
        </w:rPr>
        <w:t xml:space="preserve">dado que </w:t>
      </w:r>
      <w:r w:rsidR="00E7433F" w:rsidRPr="00682149">
        <w:rPr>
          <w:rFonts w:ascii="Arial" w:eastAsiaTheme="minorEastAsia" w:hAnsi="Arial" w:cs="Arial"/>
          <w:color w:val="000000" w:themeColor="text1"/>
          <w:sz w:val="24"/>
          <w:szCs w:val="24"/>
          <w:lang w:val="es-ES" w:eastAsia="es-ES"/>
        </w:rPr>
        <w:t xml:space="preserve">el Gobierno Nacional </w:t>
      </w:r>
      <w:r w:rsidR="00853800" w:rsidRPr="00682149">
        <w:rPr>
          <w:rFonts w:ascii="Arial" w:eastAsiaTheme="minorEastAsia" w:hAnsi="Arial" w:cs="Arial"/>
          <w:color w:val="000000" w:themeColor="text1"/>
          <w:sz w:val="24"/>
          <w:szCs w:val="24"/>
          <w:lang w:val="es-ES" w:eastAsia="es-ES"/>
        </w:rPr>
        <w:t>tenía la carga de promover la generación con f</w:t>
      </w:r>
      <w:r w:rsidR="00E7433F" w:rsidRPr="00682149">
        <w:rPr>
          <w:rFonts w:ascii="Arial" w:eastAsiaTheme="minorEastAsia" w:hAnsi="Arial" w:cs="Arial"/>
          <w:color w:val="000000" w:themeColor="text1"/>
          <w:sz w:val="24"/>
          <w:szCs w:val="24"/>
          <w:lang w:val="es-ES" w:eastAsia="es-ES"/>
        </w:rPr>
        <w:t>uentes no</w:t>
      </w:r>
      <w:r w:rsidR="00853800" w:rsidRPr="00682149">
        <w:rPr>
          <w:rFonts w:ascii="Arial" w:eastAsiaTheme="minorEastAsia" w:hAnsi="Arial" w:cs="Arial"/>
          <w:color w:val="000000" w:themeColor="text1"/>
          <w:sz w:val="24"/>
          <w:szCs w:val="24"/>
          <w:lang w:val="es-ES" w:eastAsia="es-ES"/>
        </w:rPr>
        <w:t xml:space="preserve"> convencionales de energía </w:t>
      </w:r>
      <w:r w:rsidR="00207DEC" w:rsidRPr="00682149">
        <w:rPr>
          <w:rFonts w:ascii="Arial" w:eastAsiaTheme="minorEastAsia" w:hAnsi="Arial" w:cs="Arial"/>
          <w:color w:val="000000" w:themeColor="text1"/>
          <w:sz w:val="24"/>
          <w:szCs w:val="24"/>
          <w:lang w:val="es-ES" w:eastAsia="es-ES"/>
        </w:rPr>
        <w:t>-</w:t>
      </w:r>
      <w:r w:rsidR="00853800" w:rsidRPr="00682149">
        <w:rPr>
          <w:rFonts w:ascii="Arial" w:eastAsiaTheme="minorEastAsia" w:hAnsi="Arial" w:cs="Arial"/>
          <w:color w:val="000000" w:themeColor="text1"/>
          <w:sz w:val="24"/>
          <w:szCs w:val="24"/>
          <w:lang w:val="es-ES" w:eastAsia="es-ES"/>
        </w:rPr>
        <w:t xml:space="preserve">FNCE, </w:t>
      </w:r>
      <w:r w:rsidR="00E7433F" w:rsidRPr="00682149">
        <w:rPr>
          <w:rFonts w:ascii="Arial" w:eastAsiaTheme="minorEastAsia" w:hAnsi="Arial" w:cs="Arial"/>
          <w:color w:val="000000" w:themeColor="text1"/>
          <w:sz w:val="24"/>
          <w:szCs w:val="24"/>
          <w:lang w:val="es-ES" w:eastAsia="es-ES"/>
        </w:rPr>
        <w:t>expedir los lineamientos de política energética,</w:t>
      </w:r>
      <w:r w:rsidR="00E42937" w:rsidRPr="00682149">
        <w:rPr>
          <w:rFonts w:ascii="Arial" w:eastAsiaTheme="minorEastAsia" w:hAnsi="Arial" w:cs="Arial"/>
          <w:color w:val="000000" w:themeColor="text1"/>
          <w:sz w:val="24"/>
          <w:szCs w:val="24"/>
          <w:lang w:val="es-ES" w:eastAsia="es-ES"/>
        </w:rPr>
        <w:t xml:space="preserve"> regulación técnica, económica</w:t>
      </w:r>
      <w:r w:rsidR="00E7433F" w:rsidRPr="00682149">
        <w:rPr>
          <w:rFonts w:ascii="Arial" w:eastAsiaTheme="minorEastAsia" w:hAnsi="Arial" w:cs="Arial"/>
          <w:color w:val="000000" w:themeColor="text1"/>
          <w:sz w:val="24"/>
          <w:szCs w:val="24"/>
          <w:lang w:val="es-ES" w:eastAsia="es-ES"/>
        </w:rPr>
        <w:t xml:space="preserve"> y demás actividades necesarias, conforme a las competencias y principios establecidos en </w:t>
      </w:r>
      <w:r w:rsidR="00853800" w:rsidRPr="00682149">
        <w:rPr>
          <w:rFonts w:ascii="Arial" w:eastAsiaTheme="minorEastAsia" w:hAnsi="Arial" w:cs="Arial"/>
          <w:color w:val="000000" w:themeColor="text1"/>
          <w:sz w:val="24"/>
          <w:szCs w:val="24"/>
          <w:lang w:val="es-ES" w:eastAsia="es-ES"/>
        </w:rPr>
        <w:t xml:space="preserve">dicha </w:t>
      </w:r>
      <w:r w:rsidR="00E7433F" w:rsidRPr="00682149">
        <w:rPr>
          <w:rFonts w:ascii="Arial" w:eastAsiaTheme="minorEastAsia" w:hAnsi="Arial" w:cs="Arial"/>
          <w:color w:val="000000" w:themeColor="text1"/>
          <w:sz w:val="24"/>
          <w:szCs w:val="24"/>
          <w:lang w:val="es-ES" w:eastAsia="es-ES"/>
        </w:rPr>
        <w:t xml:space="preserve">ley y </w:t>
      </w:r>
      <w:r w:rsidR="00853800" w:rsidRPr="00682149">
        <w:rPr>
          <w:rFonts w:ascii="Arial" w:eastAsiaTheme="minorEastAsia" w:hAnsi="Arial" w:cs="Arial"/>
          <w:color w:val="000000" w:themeColor="text1"/>
          <w:sz w:val="24"/>
          <w:szCs w:val="24"/>
          <w:lang w:val="es-ES" w:eastAsia="es-ES"/>
        </w:rPr>
        <w:t xml:space="preserve">en </w:t>
      </w:r>
      <w:r w:rsidR="00E7433F" w:rsidRPr="00682149">
        <w:rPr>
          <w:rFonts w:ascii="Arial" w:eastAsiaTheme="minorEastAsia" w:hAnsi="Arial" w:cs="Arial"/>
          <w:color w:val="000000" w:themeColor="text1"/>
          <w:sz w:val="24"/>
          <w:szCs w:val="24"/>
          <w:lang w:val="es-ES" w:eastAsia="es-ES"/>
        </w:rPr>
        <w:t xml:space="preserve">las Leyes </w:t>
      </w:r>
      <w:hyperlink r:id="rId9" w:anchor="Inicio" w:history="1">
        <w:r w:rsidR="00E7433F" w:rsidRPr="00682149">
          <w:rPr>
            <w:rFonts w:ascii="Arial" w:eastAsiaTheme="minorEastAsia" w:hAnsi="Arial" w:cs="Arial"/>
            <w:color w:val="000000" w:themeColor="text1"/>
            <w:sz w:val="24"/>
            <w:szCs w:val="24"/>
            <w:lang w:val="es-ES" w:eastAsia="es-ES"/>
          </w:rPr>
          <w:t>142</w:t>
        </w:r>
      </w:hyperlink>
      <w:r w:rsidR="00E7433F" w:rsidRPr="00682149">
        <w:rPr>
          <w:rFonts w:ascii="Arial" w:eastAsiaTheme="minorEastAsia" w:hAnsi="Arial" w:cs="Arial"/>
          <w:color w:val="000000" w:themeColor="text1"/>
          <w:sz w:val="24"/>
          <w:szCs w:val="24"/>
          <w:lang w:val="es-ES" w:eastAsia="es-ES"/>
        </w:rPr>
        <w:t xml:space="preserve"> y </w:t>
      </w:r>
      <w:hyperlink r:id="rId10" w:anchor="Inicio" w:history="1">
        <w:r w:rsidR="00E7433F" w:rsidRPr="00682149">
          <w:rPr>
            <w:rFonts w:ascii="Arial" w:eastAsiaTheme="minorEastAsia" w:hAnsi="Arial" w:cs="Arial"/>
            <w:color w:val="000000" w:themeColor="text1"/>
            <w:sz w:val="24"/>
            <w:szCs w:val="24"/>
            <w:lang w:val="es-ES" w:eastAsia="es-ES"/>
          </w:rPr>
          <w:t>143</w:t>
        </w:r>
      </w:hyperlink>
      <w:r w:rsidR="003F63EE" w:rsidRPr="00682149">
        <w:rPr>
          <w:rFonts w:ascii="Arial" w:eastAsiaTheme="minorEastAsia" w:hAnsi="Arial" w:cs="Arial"/>
          <w:color w:val="000000" w:themeColor="text1"/>
          <w:sz w:val="24"/>
          <w:szCs w:val="24"/>
          <w:lang w:val="es-ES" w:eastAsia="es-ES"/>
        </w:rPr>
        <w:t xml:space="preserve"> de 1994.</w:t>
      </w:r>
      <w:r w:rsidR="00E7433F" w:rsidRPr="00682149">
        <w:rPr>
          <w:rStyle w:val="Refdenotaalpie"/>
          <w:rFonts w:ascii="Arial" w:eastAsiaTheme="minorEastAsia" w:hAnsi="Arial" w:cs="Arial"/>
          <w:color w:val="000000" w:themeColor="text1"/>
          <w:sz w:val="24"/>
          <w:szCs w:val="24"/>
          <w:lang w:val="es-ES" w:eastAsia="es-ES"/>
        </w:rPr>
        <w:footnoteReference w:id="53"/>
      </w:r>
      <w:r w:rsidR="00E7433F" w:rsidRPr="00682149">
        <w:rPr>
          <w:rFonts w:ascii="Arial" w:eastAsiaTheme="minorEastAsia" w:hAnsi="Arial" w:cs="Arial"/>
          <w:color w:val="000000" w:themeColor="text1"/>
          <w:sz w:val="24"/>
          <w:szCs w:val="24"/>
          <w:lang w:val="es-ES" w:eastAsia="es-ES"/>
        </w:rPr>
        <w:t xml:space="preserve"> </w:t>
      </w:r>
    </w:p>
    <w:p w14:paraId="343E89C4" w14:textId="77777777" w:rsidR="008F2560" w:rsidRPr="00682149" w:rsidRDefault="008F2560" w:rsidP="001C138F">
      <w:pPr>
        <w:widowControl w:val="0"/>
        <w:autoSpaceDE w:val="0"/>
        <w:autoSpaceDN w:val="0"/>
        <w:adjustRightInd w:val="0"/>
        <w:spacing w:after="0" w:line="276" w:lineRule="auto"/>
        <w:jc w:val="both"/>
        <w:rPr>
          <w:rFonts w:ascii="Arial" w:eastAsiaTheme="minorEastAsia" w:hAnsi="Arial" w:cs="Arial"/>
          <w:color w:val="000000" w:themeColor="text1"/>
          <w:sz w:val="24"/>
          <w:szCs w:val="24"/>
          <w:lang w:val="es-ES" w:eastAsia="es-ES"/>
        </w:rPr>
      </w:pPr>
    </w:p>
    <w:p w14:paraId="6F7A712E" w14:textId="21C287C1" w:rsidR="009F0934" w:rsidRPr="00682149" w:rsidRDefault="00106F6D" w:rsidP="001C138F">
      <w:pPr>
        <w:widowControl w:val="0"/>
        <w:autoSpaceDE w:val="0"/>
        <w:autoSpaceDN w:val="0"/>
        <w:adjustRightInd w:val="0"/>
        <w:spacing w:after="0" w:line="276" w:lineRule="auto"/>
        <w:jc w:val="both"/>
        <w:rPr>
          <w:rFonts w:ascii="Arial" w:hAnsi="Arial" w:cs="Arial"/>
          <w:color w:val="000000" w:themeColor="text1"/>
          <w:sz w:val="24"/>
          <w:szCs w:val="24"/>
        </w:rPr>
      </w:pPr>
      <w:r w:rsidRPr="00682149">
        <w:rPr>
          <w:rFonts w:ascii="Arial" w:hAnsi="Arial" w:cs="Arial"/>
          <w:color w:val="000000" w:themeColor="text1"/>
          <w:sz w:val="24"/>
          <w:szCs w:val="24"/>
        </w:rPr>
        <w:t>Así,</w:t>
      </w:r>
      <w:r w:rsidR="00653680" w:rsidRPr="00682149">
        <w:rPr>
          <w:rFonts w:ascii="Arial" w:hAnsi="Arial" w:cs="Arial"/>
          <w:color w:val="000000" w:themeColor="text1"/>
          <w:sz w:val="24"/>
          <w:szCs w:val="24"/>
        </w:rPr>
        <w:t xml:space="preserve"> a</w:t>
      </w:r>
      <w:r w:rsidR="0082711A" w:rsidRPr="00682149">
        <w:rPr>
          <w:rFonts w:ascii="Arial" w:hAnsi="Arial" w:cs="Arial"/>
          <w:color w:val="000000" w:themeColor="text1"/>
          <w:sz w:val="24"/>
          <w:szCs w:val="24"/>
        </w:rPr>
        <w:t xml:space="preserve">nte la falta </w:t>
      </w:r>
      <w:r w:rsidR="00E42937" w:rsidRPr="00682149">
        <w:rPr>
          <w:rFonts w:ascii="Arial" w:hAnsi="Arial" w:cs="Arial"/>
          <w:color w:val="000000" w:themeColor="text1"/>
          <w:sz w:val="24"/>
          <w:szCs w:val="24"/>
        </w:rPr>
        <w:t>de una regulación especí</w:t>
      </w:r>
      <w:r w:rsidR="003F63EE" w:rsidRPr="00682149">
        <w:rPr>
          <w:rFonts w:ascii="Arial" w:hAnsi="Arial" w:cs="Arial"/>
          <w:color w:val="000000" w:themeColor="text1"/>
          <w:sz w:val="24"/>
          <w:szCs w:val="24"/>
        </w:rPr>
        <w:t xml:space="preserve">fica de </w:t>
      </w:r>
      <w:r w:rsidR="0082711A" w:rsidRPr="00682149">
        <w:rPr>
          <w:rFonts w:ascii="Arial" w:hAnsi="Arial" w:cs="Arial"/>
          <w:color w:val="000000" w:themeColor="text1"/>
          <w:sz w:val="24"/>
          <w:szCs w:val="24"/>
        </w:rPr>
        <w:t>la Ley 1715 de 2014</w:t>
      </w:r>
      <w:r w:rsidR="00DA6386" w:rsidRPr="00682149">
        <w:rPr>
          <w:rFonts w:ascii="Arial" w:hAnsi="Arial" w:cs="Arial"/>
          <w:color w:val="000000" w:themeColor="text1"/>
          <w:sz w:val="24"/>
          <w:szCs w:val="24"/>
        </w:rPr>
        <w:t xml:space="preserve">, </w:t>
      </w:r>
      <w:r w:rsidR="0082711A" w:rsidRPr="00682149">
        <w:rPr>
          <w:rFonts w:ascii="Arial" w:hAnsi="Arial" w:cs="Arial"/>
          <w:color w:val="000000" w:themeColor="text1"/>
          <w:sz w:val="24"/>
          <w:szCs w:val="24"/>
        </w:rPr>
        <w:t xml:space="preserve">la determinación de las fórmulas tarifarias </w:t>
      </w:r>
      <w:r w:rsidR="003F63EE" w:rsidRPr="00682149">
        <w:rPr>
          <w:rFonts w:ascii="Arial" w:hAnsi="Arial" w:cs="Arial"/>
          <w:color w:val="000000" w:themeColor="text1"/>
          <w:sz w:val="24"/>
          <w:szCs w:val="24"/>
        </w:rPr>
        <w:t>de este tipo de s</w:t>
      </w:r>
      <w:r w:rsidR="00E42937" w:rsidRPr="00682149">
        <w:rPr>
          <w:rFonts w:ascii="Arial" w:hAnsi="Arial" w:cs="Arial"/>
          <w:color w:val="000000" w:themeColor="text1"/>
          <w:sz w:val="24"/>
          <w:szCs w:val="24"/>
        </w:rPr>
        <w:t xml:space="preserve">oluciones </w:t>
      </w:r>
      <w:r w:rsidR="0082711A" w:rsidRPr="00682149">
        <w:rPr>
          <w:rFonts w:ascii="Arial" w:hAnsi="Arial" w:cs="Arial"/>
          <w:color w:val="000000" w:themeColor="text1"/>
          <w:sz w:val="24"/>
          <w:szCs w:val="24"/>
        </w:rPr>
        <w:t xml:space="preserve">se </w:t>
      </w:r>
      <w:r w:rsidR="00107A63" w:rsidRPr="00682149">
        <w:rPr>
          <w:rFonts w:ascii="Arial" w:hAnsi="Arial" w:cs="Arial"/>
          <w:color w:val="000000" w:themeColor="text1"/>
          <w:sz w:val="24"/>
          <w:szCs w:val="24"/>
        </w:rPr>
        <w:t xml:space="preserve">somete </w:t>
      </w:r>
      <w:r w:rsidR="0082711A" w:rsidRPr="00682149">
        <w:rPr>
          <w:rFonts w:ascii="Arial" w:hAnsi="Arial" w:cs="Arial"/>
          <w:color w:val="000000" w:themeColor="text1"/>
          <w:sz w:val="24"/>
          <w:szCs w:val="24"/>
        </w:rPr>
        <w:t>a los causes ordinarios contenidos</w:t>
      </w:r>
      <w:r w:rsidR="00F63FE4" w:rsidRPr="00682149">
        <w:rPr>
          <w:rFonts w:ascii="Arial" w:hAnsi="Arial" w:cs="Arial"/>
          <w:color w:val="000000" w:themeColor="text1"/>
          <w:sz w:val="24"/>
          <w:szCs w:val="24"/>
        </w:rPr>
        <w:t>,</w:t>
      </w:r>
      <w:r w:rsidR="0082711A" w:rsidRPr="00682149">
        <w:rPr>
          <w:rFonts w:ascii="Arial" w:hAnsi="Arial" w:cs="Arial"/>
          <w:color w:val="000000" w:themeColor="text1"/>
          <w:sz w:val="24"/>
          <w:szCs w:val="24"/>
        </w:rPr>
        <w:t xml:space="preserve"> fundamentalmente</w:t>
      </w:r>
      <w:r w:rsidR="00F63FE4" w:rsidRPr="00682149">
        <w:rPr>
          <w:rFonts w:ascii="Arial" w:hAnsi="Arial" w:cs="Arial"/>
          <w:color w:val="000000" w:themeColor="text1"/>
          <w:sz w:val="24"/>
          <w:szCs w:val="24"/>
        </w:rPr>
        <w:t>,</w:t>
      </w:r>
      <w:r w:rsidR="0082711A" w:rsidRPr="00682149">
        <w:rPr>
          <w:rFonts w:ascii="Arial" w:hAnsi="Arial" w:cs="Arial"/>
          <w:color w:val="000000" w:themeColor="text1"/>
          <w:sz w:val="24"/>
          <w:szCs w:val="24"/>
        </w:rPr>
        <w:t xml:space="preserve"> en la Ley 142</w:t>
      </w:r>
      <w:r w:rsidR="003F63EE" w:rsidRPr="00682149">
        <w:rPr>
          <w:rFonts w:ascii="Arial" w:hAnsi="Arial" w:cs="Arial"/>
          <w:color w:val="000000" w:themeColor="text1"/>
          <w:sz w:val="24"/>
          <w:szCs w:val="24"/>
        </w:rPr>
        <w:t xml:space="preserve"> de 1994</w:t>
      </w:r>
      <w:r w:rsidR="00E42937" w:rsidRPr="00682149">
        <w:rPr>
          <w:rFonts w:ascii="Arial" w:hAnsi="Arial" w:cs="Arial"/>
          <w:color w:val="000000" w:themeColor="text1"/>
          <w:sz w:val="24"/>
          <w:szCs w:val="24"/>
        </w:rPr>
        <w:t xml:space="preserve">, </w:t>
      </w:r>
      <w:r w:rsidR="00653680" w:rsidRPr="00682149">
        <w:rPr>
          <w:rFonts w:ascii="Arial" w:hAnsi="Arial" w:cs="Arial"/>
          <w:color w:val="000000" w:themeColor="text1"/>
          <w:sz w:val="24"/>
          <w:szCs w:val="24"/>
        </w:rPr>
        <w:t xml:space="preserve">por tratarse </w:t>
      </w:r>
      <w:r w:rsidR="00E42937" w:rsidRPr="00682149">
        <w:rPr>
          <w:rFonts w:ascii="Arial" w:hAnsi="Arial" w:cs="Arial"/>
          <w:color w:val="000000" w:themeColor="text1"/>
          <w:sz w:val="24"/>
          <w:szCs w:val="24"/>
        </w:rPr>
        <w:t>de una actividad regulada</w:t>
      </w:r>
      <w:r w:rsidR="00F642A8" w:rsidRPr="00682149">
        <w:rPr>
          <w:rStyle w:val="Refdenotaalpie"/>
          <w:rFonts w:ascii="Arial" w:hAnsi="Arial" w:cs="Arial"/>
          <w:color w:val="000000" w:themeColor="text1"/>
          <w:sz w:val="24"/>
          <w:szCs w:val="24"/>
        </w:rPr>
        <w:footnoteReference w:id="54"/>
      </w:r>
      <w:r w:rsidR="00E42937" w:rsidRPr="00682149">
        <w:rPr>
          <w:rFonts w:ascii="Arial" w:hAnsi="Arial" w:cs="Arial"/>
          <w:color w:val="000000" w:themeColor="text1"/>
          <w:sz w:val="24"/>
          <w:szCs w:val="24"/>
        </w:rPr>
        <w:t xml:space="preserve"> de acuerdo con</w:t>
      </w:r>
      <w:r w:rsidR="00094F05" w:rsidRPr="00682149">
        <w:rPr>
          <w:rFonts w:ascii="Arial" w:hAnsi="Arial" w:cs="Arial"/>
          <w:color w:val="000000" w:themeColor="text1"/>
          <w:sz w:val="24"/>
          <w:szCs w:val="24"/>
        </w:rPr>
        <w:t xml:space="preserve"> el artículo 88 de la Ley 142</w:t>
      </w:r>
      <w:r w:rsidR="00BA5E16" w:rsidRPr="00682149">
        <w:rPr>
          <w:rStyle w:val="Refdenotaalpie"/>
          <w:rFonts w:ascii="Arial" w:hAnsi="Arial" w:cs="Arial"/>
          <w:color w:val="000000" w:themeColor="text1"/>
          <w:sz w:val="24"/>
          <w:szCs w:val="24"/>
        </w:rPr>
        <w:footnoteReference w:id="55"/>
      </w:r>
      <w:r w:rsidR="00BA5E16" w:rsidRPr="00682149">
        <w:rPr>
          <w:rFonts w:ascii="Arial" w:hAnsi="Arial" w:cs="Arial"/>
          <w:color w:val="000000" w:themeColor="text1"/>
          <w:sz w:val="24"/>
          <w:szCs w:val="24"/>
        </w:rPr>
        <w:t xml:space="preserve">, sometida a </w:t>
      </w:r>
      <w:r w:rsidR="00E42937" w:rsidRPr="00682149">
        <w:rPr>
          <w:rFonts w:ascii="Arial" w:hAnsi="Arial" w:cs="Arial"/>
          <w:color w:val="000000" w:themeColor="text1"/>
          <w:sz w:val="24"/>
          <w:szCs w:val="24"/>
        </w:rPr>
        <w:t xml:space="preserve">la metodología general </w:t>
      </w:r>
      <w:r w:rsidR="009F0934" w:rsidRPr="00682149">
        <w:rPr>
          <w:rFonts w:ascii="Arial" w:hAnsi="Arial" w:cs="Arial"/>
          <w:color w:val="000000" w:themeColor="text1"/>
          <w:sz w:val="24"/>
          <w:szCs w:val="24"/>
        </w:rPr>
        <w:t xml:space="preserve">contenida en </w:t>
      </w:r>
      <w:r w:rsidR="00094F05" w:rsidRPr="00682149">
        <w:rPr>
          <w:rFonts w:ascii="Arial" w:hAnsi="Arial" w:cs="Arial"/>
          <w:color w:val="000000" w:themeColor="text1"/>
          <w:sz w:val="24"/>
          <w:szCs w:val="24"/>
        </w:rPr>
        <w:t xml:space="preserve">la Resolución </w:t>
      </w:r>
      <w:r w:rsidR="009F0934" w:rsidRPr="00682149">
        <w:rPr>
          <w:rFonts w:ascii="Arial" w:hAnsi="Arial" w:cs="Arial"/>
          <w:color w:val="000000" w:themeColor="text1"/>
          <w:sz w:val="24"/>
          <w:szCs w:val="24"/>
        </w:rPr>
        <w:t xml:space="preserve">CREG </w:t>
      </w:r>
      <w:r w:rsidR="00094F05" w:rsidRPr="00682149">
        <w:rPr>
          <w:rFonts w:ascii="Arial" w:hAnsi="Arial" w:cs="Arial"/>
          <w:color w:val="000000" w:themeColor="text1"/>
          <w:sz w:val="24"/>
          <w:szCs w:val="24"/>
        </w:rPr>
        <w:t>091 de 2007</w:t>
      </w:r>
      <w:r w:rsidR="009F0934" w:rsidRPr="00682149">
        <w:rPr>
          <w:rFonts w:ascii="Arial" w:hAnsi="Arial" w:cs="Arial"/>
          <w:color w:val="000000" w:themeColor="text1"/>
          <w:sz w:val="24"/>
          <w:szCs w:val="24"/>
        </w:rPr>
        <w:t>, para la expedición</w:t>
      </w:r>
      <w:r w:rsidR="003E5E3B" w:rsidRPr="00682149">
        <w:rPr>
          <w:rFonts w:ascii="Arial" w:hAnsi="Arial" w:cs="Arial"/>
          <w:color w:val="000000" w:themeColor="text1"/>
          <w:sz w:val="24"/>
          <w:szCs w:val="24"/>
        </w:rPr>
        <w:t>, a su vez, de las</w:t>
      </w:r>
      <w:r w:rsidR="009F0934" w:rsidRPr="00682149">
        <w:rPr>
          <w:rFonts w:ascii="Arial" w:hAnsi="Arial" w:cs="Arial"/>
          <w:color w:val="000000" w:themeColor="text1"/>
          <w:sz w:val="24"/>
          <w:szCs w:val="24"/>
        </w:rPr>
        <w:t xml:space="preserve"> </w:t>
      </w:r>
      <w:r w:rsidR="000F4F98" w:rsidRPr="00682149">
        <w:rPr>
          <w:rFonts w:ascii="Arial" w:hAnsi="Arial" w:cs="Arial"/>
          <w:color w:val="000000" w:themeColor="text1"/>
          <w:sz w:val="24"/>
          <w:szCs w:val="24"/>
        </w:rPr>
        <w:t>fórmulas</w:t>
      </w:r>
      <w:r w:rsidR="009F0934" w:rsidRPr="00682149">
        <w:rPr>
          <w:rFonts w:ascii="Arial" w:hAnsi="Arial" w:cs="Arial"/>
          <w:color w:val="000000" w:themeColor="text1"/>
          <w:sz w:val="24"/>
          <w:szCs w:val="24"/>
        </w:rPr>
        <w:t xml:space="preserve"> </w:t>
      </w:r>
      <w:r w:rsidR="000F4F98" w:rsidRPr="00682149">
        <w:rPr>
          <w:rFonts w:ascii="Arial" w:hAnsi="Arial" w:cs="Arial"/>
          <w:color w:val="000000" w:themeColor="text1"/>
          <w:sz w:val="24"/>
          <w:szCs w:val="24"/>
        </w:rPr>
        <w:t>específicas</w:t>
      </w:r>
      <w:r w:rsidR="003E5E3B" w:rsidRPr="00682149">
        <w:rPr>
          <w:rFonts w:ascii="Arial" w:hAnsi="Arial" w:cs="Arial"/>
          <w:color w:val="000000" w:themeColor="text1"/>
          <w:sz w:val="24"/>
          <w:szCs w:val="24"/>
        </w:rPr>
        <w:t xml:space="preserve"> </w:t>
      </w:r>
      <w:r w:rsidR="009F0934" w:rsidRPr="00682149">
        <w:rPr>
          <w:rFonts w:ascii="Arial" w:hAnsi="Arial" w:cs="Arial"/>
          <w:color w:val="000000" w:themeColor="text1"/>
          <w:sz w:val="24"/>
          <w:szCs w:val="24"/>
        </w:rPr>
        <w:t>de estas soluciones energéticas</w:t>
      </w:r>
      <w:r w:rsidR="003E5E3B" w:rsidRPr="00682149">
        <w:rPr>
          <w:rFonts w:ascii="Arial" w:hAnsi="Arial" w:cs="Arial"/>
          <w:color w:val="000000" w:themeColor="text1"/>
          <w:sz w:val="24"/>
          <w:szCs w:val="24"/>
        </w:rPr>
        <w:t>,</w:t>
      </w:r>
      <w:r w:rsidR="009F0934" w:rsidRPr="00682149">
        <w:rPr>
          <w:rFonts w:ascii="Arial" w:hAnsi="Arial" w:cs="Arial"/>
          <w:color w:val="000000" w:themeColor="text1"/>
          <w:sz w:val="24"/>
          <w:szCs w:val="24"/>
        </w:rPr>
        <w:t xml:space="preserve"> </w:t>
      </w:r>
      <w:r w:rsidR="00BA5E16" w:rsidRPr="00682149">
        <w:rPr>
          <w:rFonts w:ascii="Arial" w:hAnsi="Arial" w:cs="Arial"/>
          <w:color w:val="000000" w:themeColor="text1"/>
          <w:sz w:val="24"/>
          <w:szCs w:val="24"/>
        </w:rPr>
        <w:t xml:space="preserve">que las empresas deberán </w:t>
      </w:r>
      <w:r w:rsidR="00873644" w:rsidRPr="00682149">
        <w:rPr>
          <w:rFonts w:ascii="Arial" w:hAnsi="Arial" w:cs="Arial"/>
          <w:color w:val="000000" w:themeColor="text1"/>
          <w:sz w:val="24"/>
          <w:szCs w:val="24"/>
        </w:rPr>
        <w:t xml:space="preserve">consultar </w:t>
      </w:r>
      <w:r w:rsidR="009F0934" w:rsidRPr="00682149">
        <w:rPr>
          <w:rFonts w:ascii="Arial" w:hAnsi="Arial" w:cs="Arial"/>
          <w:color w:val="000000" w:themeColor="text1"/>
          <w:sz w:val="24"/>
          <w:szCs w:val="24"/>
        </w:rPr>
        <w:t xml:space="preserve">por ser de obligatorio cumplimiento </w:t>
      </w:r>
      <w:r w:rsidR="00E42937" w:rsidRPr="00682149">
        <w:rPr>
          <w:rFonts w:ascii="Arial" w:hAnsi="Arial" w:cs="Arial"/>
          <w:color w:val="000000" w:themeColor="text1"/>
          <w:sz w:val="24"/>
          <w:szCs w:val="24"/>
        </w:rPr>
        <w:t>conforme lo señala el artículo 88</w:t>
      </w:r>
      <w:r w:rsidR="00BA5E16" w:rsidRPr="00682149">
        <w:rPr>
          <w:rFonts w:ascii="Arial" w:hAnsi="Arial" w:cs="Arial"/>
          <w:color w:val="000000" w:themeColor="text1"/>
          <w:sz w:val="24"/>
          <w:szCs w:val="24"/>
        </w:rPr>
        <w:t>.1</w:t>
      </w:r>
      <w:r w:rsidR="003F63EE" w:rsidRPr="00682149">
        <w:rPr>
          <w:rFonts w:ascii="Arial" w:hAnsi="Arial" w:cs="Arial"/>
          <w:color w:val="000000" w:themeColor="text1"/>
          <w:sz w:val="24"/>
          <w:szCs w:val="24"/>
        </w:rPr>
        <w:t xml:space="preserve">. </w:t>
      </w:r>
    </w:p>
    <w:p w14:paraId="414A5697" w14:textId="77777777" w:rsidR="003778E4" w:rsidRDefault="003778E4" w:rsidP="001C138F">
      <w:pPr>
        <w:widowControl w:val="0"/>
        <w:autoSpaceDE w:val="0"/>
        <w:autoSpaceDN w:val="0"/>
        <w:adjustRightInd w:val="0"/>
        <w:spacing w:after="0" w:line="276" w:lineRule="auto"/>
        <w:jc w:val="both"/>
        <w:rPr>
          <w:rFonts w:ascii="Arial" w:hAnsi="Arial" w:cs="Arial"/>
          <w:color w:val="000000" w:themeColor="text1"/>
          <w:sz w:val="24"/>
          <w:szCs w:val="24"/>
        </w:rPr>
      </w:pPr>
    </w:p>
    <w:p w14:paraId="225D1FE1" w14:textId="09C18F7C" w:rsidR="003F63EE" w:rsidRDefault="003F63EE" w:rsidP="001C138F">
      <w:pPr>
        <w:widowControl w:val="0"/>
        <w:autoSpaceDE w:val="0"/>
        <w:autoSpaceDN w:val="0"/>
        <w:adjustRightInd w:val="0"/>
        <w:spacing w:after="0" w:line="276" w:lineRule="auto"/>
        <w:jc w:val="both"/>
        <w:rPr>
          <w:rFonts w:ascii="Arial" w:hAnsi="Arial" w:cs="Arial"/>
          <w:color w:val="000000" w:themeColor="text1"/>
          <w:sz w:val="24"/>
          <w:szCs w:val="24"/>
        </w:rPr>
      </w:pPr>
      <w:r w:rsidRPr="00682149">
        <w:rPr>
          <w:rFonts w:ascii="Arial" w:hAnsi="Arial" w:cs="Arial"/>
          <w:color w:val="000000" w:themeColor="text1"/>
          <w:sz w:val="24"/>
          <w:szCs w:val="24"/>
        </w:rPr>
        <w:t xml:space="preserve">En ese orden, </w:t>
      </w:r>
      <w:r w:rsidR="00E42937" w:rsidRPr="00682149">
        <w:rPr>
          <w:rFonts w:ascii="Arial" w:hAnsi="Arial" w:cs="Arial"/>
          <w:color w:val="000000" w:themeColor="text1"/>
          <w:sz w:val="24"/>
          <w:szCs w:val="24"/>
        </w:rPr>
        <w:t>le correspondía</w:t>
      </w:r>
      <w:r w:rsidR="00DA6386" w:rsidRPr="00682149">
        <w:rPr>
          <w:rFonts w:ascii="Arial" w:hAnsi="Arial" w:cs="Arial"/>
          <w:color w:val="000000" w:themeColor="text1"/>
          <w:sz w:val="24"/>
          <w:szCs w:val="24"/>
        </w:rPr>
        <w:t xml:space="preserve"> a la </w:t>
      </w:r>
      <w:r w:rsidR="0082711A" w:rsidRPr="00682149">
        <w:rPr>
          <w:rFonts w:ascii="Arial" w:hAnsi="Arial" w:cs="Arial"/>
          <w:color w:val="000000" w:themeColor="text1"/>
          <w:sz w:val="24"/>
          <w:szCs w:val="24"/>
        </w:rPr>
        <w:t>CREG</w:t>
      </w:r>
      <w:r w:rsidR="0082711A" w:rsidRPr="00682149">
        <w:rPr>
          <w:rFonts w:ascii="Arial" w:hAnsi="Arial" w:cs="Arial"/>
          <w:color w:val="000000" w:themeColor="text1"/>
          <w:sz w:val="24"/>
          <w:szCs w:val="24"/>
          <w:lang w:val="es-ES"/>
        </w:rPr>
        <w:t xml:space="preserve"> </w:t>
      </w:r>
      <w:r w:rsidR="00DA6386" w:rsidRPr="00682149">
        <w:rPr>
          <w:rFonts w:ascii="Arial" w:hAnsi="Arial" w:cs="Arial"/>
          <w:color w:val="000000" w:themeColor="text1"/>
          <w:sz w:val="24"/>
          <w:szCs w:val="24"/>
          <w:lang w:val="es-ES"/>
        </w:rPr>
        <w:t xml:space="preserve">establecer </w:t>
      </w:r>
      <w:r w:rsidR="0082711A" w:rsidRPr="00682149">
        <w:rPr>
          <w:rFonts w:ascii="Arial" w:hAnsi="Arial" w:cs="Arial"/>
          <w:color w:val="000000" w:themeColor="text1"/>
          <w:sz w:val="24"/>
          <w:szCs w:val="24"/>
          <w:lang w:val="es-ES"/>
        </w:rPr>
        <w:t xml:space="preserve">la fijación de las tarifas de los servicios </w:t>
      </w:r>
      <w:r w:rsidRPr="00682149">
        <w:rPr>
          <w:rFonts w:ascii="Arial" w:hAnsi="Arial" w:cs="Arial"/>
          <w:color w:val="000000" w:themeColor="text1"/>
          <w:sz w:val="24"/>
          <w:szCs w:val="24"/>
        </w:rPr>
        <w:t xml:space="preserve">de energía eléctrica </w:t>
      </w:r>
      <w:r w:rsidR="009F0934" w:rsidRPr="00682149">
        <w:rPr>
          <w:rFonts w:ascii="Arial" w:hAnsi="Arial" w:cs="Arial"/>
          <w:color w:val="000000" w:themeColor="text1"/>
          <w:sz w:val="24"/>
          <w:szCs w:val="24"/>
        </w:rPr>
        <w:t xml:space="preserve">en los </w:t>
      </w:r>
      <w:r w:rsidRPr="00682149">
        <w:rPr>
          <w:rFonts w:ascii="Arial" w:hAnsi="Arial" w:cs="Arial"/>
          <w:color w:val="000000" w:themeColor="text1"/>
          <w:sz w:val="24"/>
          <w:szCs w:val="24"/>
        </w:rPr>
        <w:t>sistemas solares fotovoltaicos individuales AC con potencia mayor a 0.5 kW</w:t>
      </w:r>
      <w:r w:rsidR="009B3D29" w:rsidRPr="00682149">
        <w:rPr>
          <w:rFonts w:ascii="Arial" w:hAnsi="Arial" w:cs="Arial"/>
          <w:color w:val="000000" w:themeColor="text1"/>
          <w:sz w:val="24"/>
          <w:szCs w:val="24"/>
        </w:rPr>
        <w:t>, por lo qu</w:t>
      </w:r>
      <w:r w:rsidR="009F0934" w:rsidRPr="00682149">
        <w:rPr>
          <w:rFonts w:ascii="Arial" w:hAnsi="Arial" w:cs="Arial"/>
          <w:color w:val="000000" w:themeColor="text1"/>
          <w:sz w:val="24"/>
          <w:szCs w:val="24"/>
        </w:rPr>
        <w:t>e,</w:t>
      </w:r>
      <w:r w:rsidR="009B3D29" w:rsidRPr="00682149">
        <w:rPr>
          <w:rFonts w:ascii="Arial" w:hAnsi="Arial" w:cs="Arial"/>
          <w:color w:val="000000" w:themeColor="text1"/>
          <w:sz w:val="24"/>
          <w:szCs w:val="24"/>
        </w:rPr>
        <w:t xml:space="preserve"> desde el punto de vista funcional</w:t>
      </w:r>
      <w:r w:rsidR="00E42937" w:rsidRPr="00682149">
        <w:rPr>
          <w:rFonts w:ascii="Arial" w:hAnsi="Arial" w:cs="Arial"/>
          <w:color w:val="000000" w:themeColor="text1"/>
          <w:sz w:val="24"/>
          <w:szCs w:val="24"/>
        </w:rPr>
        <w:t>, la Comisión</w:t>
      </w:r>
      <w:r w:rsidR="009B3D29" w:rsidRPr="00682149">
        <w:rPr>
          <w:rFonts w:ascii="Arial" w:hAnsi="Arial" w:cs="Arial"/>
          <w:color w:val="000000" w:themeColor="text1"/>
          <w:sz w:val="24"/>
          <w:szCs w:val="24"/>
        </w:rPr>
        <w:t xml:space="preserve"> t</w:t>
      </w:r>
      <w:r w:rsidR="00E42937" w:rsidRPr="00682149">
        <w:rPr>
          <w:rFonts w:ascii="Arial" w:hAnsi="Arial" w:cs="Arial"/>
          <w:color w:val="000000" w:themeColor="text1"/>
          <w:sz w:val="24"/>
          <w:szCs w:val="24"/>
        </w:rPr>
        <w:t xml:space="preserve">enía la </w:t>
      </w:r>
      <w:r w:rsidR="00F63FE4" w:rsidRPr="00682149">
        <w:rPr>
          <w:rFonts w:ascii="Arial" w:hAnsi="Arial" w:cs="Arial"/>
          <w:color w:val="000000" w:themeColor="text1"/>
          <w:sz w:val="24"/>
          <w:szCs w:val="24"/>
        </w:rPr>
        <w:t xml:space="preserve">competencia </w:t>
      </w:r>
      <w:r w:rsidR="009B3D29" w:rsidRPr="00682149">
        <w:rPr>
          <w:rFonts w:ascii="Arial" w:hAnsi="Arial" w:cs="Arial"/>
          <w:color w:val="000000" w:themeColor="text1"/>
          <w:sz w:val="24"/>
          <w:szCs w:val="24"/>
        </w:rPr>
        <w:t xml:space="preserve"> para hacerlo</w:t>
      </w:r>
      <w:r w:rsidR="00714319" w:rsidRPr="00682149">
        <w:rPr>
          <w:rFonts w:ascii="Arial" w:hAnsi="Arial" w:cs="Arial"/>
          <w:color w:val="000000" w:themeColor="text1"/>
          <w:sz w:val="24"/>
          <w:szCs w:val="24"/>
        </w:rPr>
        <w:t xml:space="preserve">, sin olvidar que </w:t>
      </w:r>
      <w:r w:rsidR="009333EC" w:rsidRPr="00682149">
        <w:rPr>
          <w:rFonts w:ascii="Arial" w:hAnsi="Arial" w:cs="Arial"/>
          <w:color w:val="000000" w:themeColor="text1"/>
          <w:sz w:val="24"/>
          <w:szCs w:val="24"/>
        </w:rPr>
        <w:t xml:space="preserve">estas </w:t>
      </w:r>
      <w:r w:rsidR="00BA5E16" w:rsidRPr="00682149">
        <w:rPr>
          <w:rFonts w:ascii="Arial" w:hAnsi="Arial" w:cs="Arial"/>
          <w:color w:val="000000" w:themeColor="text1"/>
          <w:sz w:val="24"/>
          <w:szCs w:val="24"/>
        </w:rPr>
        <w:t xml:space="preserve">soluciones energéticas no </w:t>
      </w:r>
      <w:r w:rsidR="009333EC" w:rsidRPr="00682149">
        <w:rPr>
          <w:rFonts w:ascii="Arial" w:hAnsi="Arial" w:cs="Arial"/>
          <w:color w:val="000000" w:themeColor="text1"/>
          <w:sz w:val="24"/>
          <w:szCs w:val="24"/>
        </w:rPr>
        <w:t xml:space="preserve">están gobernadas bajo un régimen de </w:t>
      </w:r>
      <w:r w:rsidR="00BA5E16" w:rsidRPr="00682149">
        <w:rPr>
          <w:rFonts w:ascii="Arial" w:hAnsi="Arial" w:cs="Arial"/>
          <w:color w:val="000000" w:themeColor="text1"/>
          <w:sz w:val="24"/>
          <w:szCs w:val="24"/>
        </w:rPr>
        <w:t>libertad vigilada</w:t>
      </w:r>
      <w:r w:rsidR="00375993" w:rsidRPr="00682149">
        <w:rPr>
          <w:rStyle w:val="Refdenotaalpie"/>
          <w:rFonts w:ascii="Arial" w:hAnsi="Arial" w:cs="Arial"/>
          <w:color w:val="000000" w:themeColor="text1"/>
          <w:sz w:val="24"/>
          <w:szCs w:val="24"/>
        </w:rPr>
        <w:footnoteReference w:id="56"/>
      </w:r>
      <w:r w:rsidR="00BA5E16" w:rsidRPr="00682149">
        <w:rPr>
          <w:rFonts w:ascii="Arial" w:hAnsi="Arial" w:cs="Arial"/>
          <w:color w:val="000000" w:themeColor="text1"/>
          <w:sz w:val="24"/>
          <w:szCs w:val="24"/>
        </w:rPr>
        <w:t xml:space="preserve"> o libertad simple para la </w:t>
      </w:r>
      <w:r w:rsidR="009333EC" w:rsidRPr="00682149">
        <w:rPr>
          <w:rFonts w:ascii="Arial" w:hAnsi="Arial" w:cs="Arial"/>
          <w:color w:val="000000" w:themeColor="text1"/>
          <w:sz w:val="24"/>
          <w:szCs w:val="24"/>
        </w:rPr>
        <w:t xml:space="preserve">definición de las tarifas y su metodología. </w:t>
      </w:r>
    </w:p>
    <w:p w14:paraId="61AA4004" w14:textId="77777777" w:rsidR="004F7C0E" w:rsidRPr="00682149" w:rsidRDefault="004F7C0E" w:rsidP="001C138F">
      <w:pPr>
        <w:widowControl w:val="0"/>
        <w:autoSpaceDE w:val="0"/>
        <w:autoSpaceDN w:val="0"/>
        <w:adjustRightInd w:val="0"/>
        <w:spacing w:after="0" w:line="276" w:lineRule="auto"/>
        <w:jc w:val="both"/>
        <w:rPr>
          <w:rFonts w:ascii="Arial" w:hAnsi="Arial" w:cs="Arial"/>
          <w:color w:val="000000" w:themeColor="text1"/>
          <w:sz w:val="24"/>
          <w:szCs w:val="24"/>
        </w:rPr>
      </w:pPr>
    </w:p>
    <w:p w14:paraId="347044B8" w14:textId="54288534" w:rsidR="00094F05" w:rsidRPr="00682149" w:rsidRDefault="008F247D" w:rsidP="001C138F">
      <w:pPr>
        <w:spacing w:after="0" w:line="276" w:lineRule="auto"/>
        <w:jc w:val="both"/>
        <w:rPr>
          <w:rFonts w:ascii="Arial" w:hAnsi="Arial" w:cs="Arial"/>
          <w:color w:val="000000" w:themeColor="text1"/>
          <w:sz w:val="24"/>
          <w:szCs w:val="24"/>
        </w:rPr>
      </w:pPr>
      <w:r w:rsidRPr="00682149">
        <w:rPr>
          <w:rFonts w:ascii="Arial" w:hAnsi="Arial" w:cs="Arial"/>
          <w:color w:val="000000" w:themeColor="text1"/>
          <w:sz w:val="24"/>
          <w:szCs w:val="24"/>
        </w:rPr>
        <w:lastRenderedPageBreak/>
        <w:t>En línea con lo expuesto en el capí</w:t>
      </w:r>
      <w:r w:rsidR="00717650" w:rsidRPr="00682149">
        <w:rPr>
          <w:rFonts w:ascii="Arial" w:hAnsi="Arial" w:cs="Arial"/>
          <w:color w:val="000000" w:themeColor="text1"/>
          <w:sz w:val="24"/>
          <w:szCs w:val="24"/>
        </w:rPr>
        <w:t>tulo precedente, la expedición de las fórmulas</w:t>
      </w:r>
      <w:r w:rsidR="005C00EC" w:rsidRPr="00682149">
        <w:rPr>
          <w:rFonts w:ascii="Arial" w:hAnsi="Arial" w:cs="Arial"/>
          <w:color w:val="000000" w:themeColor="text1"/>
          <w:sz w:val="24"/>
          <w:szCs w:val="24"/>
        </w:rPr>
        <w:t xml:space="preserve"> tarifarias generales para los sistemas solares fotovoltaicos debían consultar </w:t>
      </w:r>
      <w:r w:rsidR="003D5C1C" w:rsidRPr="00682149">
        <w:rPr>
          <w:rFonts w:ascii="Arial" w:hAnsi="Arial" w:cs="Arial"/>
          <w:color w:val="000000" w:themeColor="text1"/>
          <w:sz w:val="24"/>
          <w:szCs w:val="24"/>
        </w:rPr>
        <w:t>el procedimiento contenido en el artículo 127 de la Ley 142 de 1994 y en la Resolución 039 de 2017</w:t>
      </w:r>
      <w:r w:rsidRPr="00682149">
        <w:rPr>
          <w:rFonts w:ascii="Arial" w:hAnsi="Arial" w:cs="Arial"/>
          <w:color w:val="000000" w:themeColor="text1"/>
          <w:sz w:val="24"/>
          <w:szCs w:val="24"/>
        </w:rPr>
        <w:t>, trá</w:t>
      </w:r>
      <w:r w:rsidR="005C00EC" w:rsidRPr="00682149">
        <w:rPr>
          <w:rFonts w:ascii="Arial" w:hAnsi="Arial" w:cs="Arial"/>
          <w:color w:val="000000" w:themeColor="text1"/>
          <w:sz w:val="24"/>
          <w:szCs w:val="24"/>
        </w:rPr>
        <w:t>mite que no se echa de menos dado que</w:t>
      </w:r>
      <w:r w:rsidR="00903D4D" w:rsidRPr="00682149">
        <w:rPr>
          <w:rFonts w:ascii="Arial" w:hAnsi="Arial" w:cs="Arial"/>
          <w:color w:val="000000" w:themeColor="text1"/>
          <w:sz w:val="24"/>
          <w:szCs w:val="24"/>
        </w:rPr>
        <w:t xml:space="preserve">, los antecedentes de la </w:t>
      </w:r>
      <w:r w:rsidR="00107A63" w:rsidRPr="00682149">
        <w:rPr>
          <w:rFonts w:ascii="Arial" w:hAnsi="Arial" w:cs="Arial"/>
          <w:color w:val="000000" w:themeColor="text1"/>
          <w:sz w:val="24"/>
          <w:szCs w:val="24"/>
        </w:rPr>
        <w:t xml:space="preserve">Resolución 166 </w:t>
      </w:r>
      <w:r w:rsidR="009B3D29" w:rsidRPr="00682149">
        <w:rPr>
          <w:rFonts w:ascii="Arial" w:hAnsi="Arial" w:cs="Arial"/>
          <w:color w:val="000000" w:themeColor="text1"/>
          <w:sz w:val="24"/>
          <w:szCs w:val="24"/>
        </w:rPr>
        <w:t xml:space="preserve">dan cuenta </w:t>
      </w:r>
      <w:r w:rsidR="00107A63" w:rsidRPr="00682149">
        <w:rPr>
          <w:rFonts w:ascii="Arial" w:hAnsi="Arial" w:cs="Arial"/>
          <w:color w:val="000000" w:themeColor="text1"/>
          <w:sz w:val="24"/>
          <w:szCs w:val="24"/>
        </w:rPr>
        <w:t>que</w:t>
      </w:r>
      <w:r w:rsidR="00714319" w:rsidRPr="00682149">
        <w:rPr>
          <w:rFonts w:ascii="Arial" w:hAnsi="Arial" w:cs="Arial"/>
          <w:color w:val="000000" w:themeColor="text1"/>
          <w:sz w:val="24"/>
          <w:szCs w:val="24"/>
        </w:rPr>
        <w:t xml:space="preserve"> al tiempo de su expedición, ya</w:t>
      </w:r>
      <w:r w:rsidR="00107A63" w:rsidRPr="00682149">
        <w:rPr>
          <w:rFonts w:ascii="Arial" w:hAnsi="Arial" w:cs="Arial"/>
          <w:color w:val="000000" w:themeColor="text1"/>
          <w:sz w:val="24"/>
          <w:szCs w:val="24"/>
        </w:rPr>
        <w:t xml:space="preserve"> se había iniciado el procedimiento ordinario para establecer las tarifas generales, </w:t>
      </w:r>
      <w:r w:rsidR="005C00EC" w:rsidRPr="00682149">
        <w:rPr>
          <w:rFonts w:ascii="Arial" w:hAnsi="Arial" w:cs="Arial"/>
          <w:color w:val="000000" w:themeColor="text1"/>
          <w:sz w:val="24"/>
          <w:szCs w:val="24"/>
        </w:rPr>
        <w:t xml:space="preserve">pues </w:t>
      </w:r>
      <w:r w:rsidR="00107A63" w:rsidRPr="00682149">
        <w:rPr>
          <w:rFonts w:ascii="Arial" w:hAnsi="Arial" w:cs="Arial"/>
          <w:color w:val="000000" w:themeColor="text1"/>
          <w:sz w:val="24"/>
          <w:szCs w:val="24"/>
        </w:rPr>
        <w:t xml:space="preserve">a través de la </w:t>
      </w:r>
      <w:r w:rsidR="004F500F" w:rsidRPr="00682149">
        <w:rPr>
          <w:rFonts w:ascii="Arial" w:hAnsi="Arial" w:cs="Arial"/>
          <w:color w:val="000000" w:themeColor="text1"/>
          <w:sz w:val="24"/>
          <w:szCs w:val="24"/>
        </w:rPr>
        <w:t xml:space="preserve">Resolución 137 </w:t>
      </w:r>
      <w:r w:rsidR="00C865BB" w:rsidRPr="00682149">
        <w:rPr>
          <w:rFonts w:ascii="Arial" w:hAnsi="Arial" w:cs="Arial"/>
          <w:color w:val="000000" w:themeColor="text1"/>
          <w:sz w:val="24"/>
          <w:szCs w:val="24"/>
        </w:rPr>
        <w:t>de 14 de julio de 20</w:t>
      </w:r>
      <w:r w:rsidR="00522481" w:rsidRPr="00682149">
        <w:rPr>
          <w:rFonts w:ascii="Arial" w:hAnsi="Arial" w:cs="Arial"/>
          <w:color w:val="000000" w:themeColor="text1"/>
          <w:sz w:val="24"/>
          <w:szCs w:val="24"/>
        </w:rPr>
        <w:t>20</w:t>
      </w:r>
      <w:r w:rsidR="00107A63" w:rsidRPr="00682149">
        <w:rPr>
          <w:rFonts w:ascii="Arial" w:hAnsi="Arial" w:cs="Arial"/>
          <w:color w:val="000000" w:themeColor="text1"/>
          <w:sz w:val="24"/>
          <w:szCs w:val="24"/>
        </w:rPr>
        <w:t xml:space="preserve">, se dio a conocer al público </w:t>
      </w:r>
      <w:r w:rsidR="00522481" w:rsidRPr="00682149">
        <w:rPr>
          <w:rFonts w:ascii="Arial" w:hAnsi="Arial" w:cs="Arial"/>
          <w:color w:val="000000" w:themeColor="text1"/>
          <w:sz w:val="24"/>
          <w:szCs w:val="24"/>
        </w:rPr>
        <w:t xml:space="preserve"> </w:t>
      </w:r>
      <w:r w:rsidR="00107A63" w:rsidRPr="00682149">
        <w:rPr>
          <w:rFonts w:ascii="Arial" w:hAnsi="Arial" w:cs="Arial"/>
          <w:i/>
          <w:color w:val="000000" w:themeColor="text1"/>
          <w:sz w:val="24"/>
          <w:szCs w:val="24"/>
        </w:rPr>
        <w:t>“</w:t>
      </w:r>
      <w:r w:rsidR="00C865BB" w:rsidRPr="00682149">
        <w:rPr>
          <w:rFonts w:ascii="Arial" w:hAnsi="Arial" w:cs="Arial"/>
          <w:i/>
          <w:color w:val="000000" w:themeColor="text1"/>
          <w:sz w:val="24"/>
          <w:szCs w:val="24"/>
        </w:rPr>
        <w:t xml:space="preserve">un proyecto de </w:t>
      </w:r>
      <w:r w:rsidR="0082711A" w:rsidRPr="00682149">
        <w:rPr>
          <w:rFonts w:ascii="Arial" w:hAnsi="Arial" w:cs="Arial"/>
          <w:i/>
          <w:color w:val="000000" w:themeColor="text1"/>
          <w:sz w:val="24"/>
          <w:szCs w:val="24"/>
        </w:rPr>
        <w:t>resolución por la cual se define la “Formula tarifaria general” para establecer la remuneración de la prestación del servicio de energía eléctrica mediante soluciones individuales solares fotovoltaicas</w:t>
      </w:r>
      <w:r w:rsidR="00107A63" w:rsidRPr="00682149">
        <w:rPr>
          <w:rFonts w:ascii="Arial" w:hAnsi="Arial" w:cs="Arial"/>
          <w:color w:val="000000" w:themeColor="text1"/>
          <w:sz w:val="24"/>
          <w:szCs w:val="24"/>
        </w:rPr>
        <w:t>”.</w:t>
      </w:r>
      <w:r w:rsidR="00242CB9" w:rsidRPr="00682149">
        <w:rPr>
          <w:rFonts w:ascii="Arial" w:hAnsi="Arial" w:cs="Arial"/>
          <w:color w:val="000000" w:themeColor="text1"/>
          <w:sz w:val="24"/>
          <w:szCs w:val="24"/>
        </w:rPr>
        <w:t xml:space="preserve"> E</w:t>
      </w:r>
      <w:r w:rsidR="00107A63" w:rsidRPr="00682149">
        <w:rPr>
          <w:rFonts w:ascii="Arial" w:hAnsi="Arial" w:cs="Arial"/>
          <w:color w:val="000000" w:themeColor="text1"/>
          <w:sz w:val="24"/>
          <w:szCs w:val="24"/>
        </w:rPr>
        <w:t xml:space="preserve">l mismo acto, </w:t>
      </w:r>
      <w:r w:rsidR="00DA6386" w:rsidRPr="00682149">
        <w:rPr>
          <w:rFonts w:ascii="Arial" w:hAnsi="Arial" w:cs="Arial"/>
          <w:color w:val="000000" w:themeColor="text1"/>
          <w:sz w:val="24"/>
          <w:szCs w:val="24"/>
        </w:rPr>
        <w:t>invitó</w:t>
      </w:r>
      <w:r w:rsidR="0082711A" w:rsidRPr="00682149">
        <w:rPr>
          <w:rFonts w:ascii="Arial" w:hAnsi="Arial" w:cs="Arial"/>
          <w:color w:val="000000" w:themeColor="text1"/>
          <w:sz w:val="24"/>
          <w:szCs w:val="24"/>
        </w:rPr>
        <w:t xml:space="preserve"> a los agentes</w:t>
      </w:r>
      <w:r w:rsidR="00DA6386" w:rsidRPr="00682149">
        <w:rPr>
          <w:rFonts w:ascii="Arial" w:hAnsi="Arial" w:cs="Arial"/>
          <w:color w:val="000000" w:themeColor="text1"/>
          <w:sz w:val="24"/>
          <w:szCs w:val="24"/>
        </w:rPr>
        <w:t xml:space="preserve">, </w:t>
      </w:r>
      <w:r w:rsidR="0082711A" w:rsidRPr="00682149">
        <w:rPr>
          <w:rFonts w:ascii="Arial" w:hAnsi="Arial" w:cs="Arial"/>
          <w:color w:val="000000" w:themeColor="text1"/>
          <w:sz w:val="24"/>
          <w:szCs w:val="24"/>
        </w:rPr>
        <w:t>usuarios, a las autoridades locales municipales y departamentales competentes y a la Superintendencia de Se</w:t>
      </w:r>
      <w:r w:rsidR="00714319" w:rsidRPr="00682149">
        <w:rPr>
          <w:rFonts w:ascii="Arial" w:hAnsi="Arial" w:cs="Arial"/>
          <w:color w:val="000000" w:themeColor="text1"/>
          <w:sz w:val="24"/>
          <w:szCs w:val="24"/>
        </w:rPr>
        <w:t xml:space="preserve">rvicios Públicos Domiciliarios </w:t>
      </w:r>
      <w:r w:rsidR="0082711A" w:rsidRPr="00682149">
        <w:rPr>
          <w:rFonts w:ascii="Arial" w:hAnsi="Arial" w:cs="Arial"/>
          <w:color w:val="000000" w:themeColor="text1"/>
          <w:sz w:val="24"/>
          <w:szCs w:val="24"/>
        </w:rPr>
        <w:t xml:space="preserve">para que </w:t>
      </w:r>
      <w:r w:rsidR="00DA6386" w:rsidRPr="00682149">
        <w:rPr>
          <w:rFonts w:ascii="Arial" w:hAnsi="Arial" w:cs="Arial"/>
          <w:color w:val="000000" w:themeColor="text1"/>
          <w:sz w:val="24"/>
          <w:szCs w:val="24"/>
        </w:rPr>
        <w:t>present</w:t>
      </w:r>
      <w:r w:rsidR="00F63FE4" w:rsidRPr="00682149">
        <w:rPr>
          <w:rFonts w:ascii="Arial" w:hAnsi="Arial" w:cs="Arial"/>
          <w:color w:val="000000" w:themeColor="text1"/>
          <w:sz w:val="24"/>
          <w:szCs w:val="24"/>
        </w:rPr>
        <w:t xml:space="preserve">aran </w:t>
      </w:r>
      <w:r w:rsidR="00107A63" w:rsidRPr="00682149">
        <w:rPr>
          <w:rFonts w:ascii="Arial" w:hAnsi="Arial" w:cs="Arial"/>
          <w:color w:val="000000" w:themeColor="text1"/>
          <w:sz w:val="24"/>
          <w:szCs w:val="24"/>
        </w:rPr>
        <w:t xml:space="preserve">sus observaciones </w:t>
      </w:r>
      <w:r w:rsidR="0082711A" w:rsidRPr="00682149">
        <w:rPr>
          <w:rFonts w:ascii="Arial" w:hAnsi="Arial" w:cs="Arial"/>
          <w:color w:val="000000" w:themeColor="text1"/>
          <w:sz w:val="24"/>
          <w:szCs w:val="24"/>
        </w:rPr>
        <w:t>o sugerencias dentro de los dos meses siguientes a la publicación de</w:t>
      </w:r>
      <w:r w:rsidR="007677B8" w:rsidRPr="00682149">
        <w:rPr>
          <w:rFonts w:ascii="Arial" w:hAnsi="Arial" w:cs="Arial"/>
          <w:color w:val="000000" w:themeColor="text1"/>
          <w:sz w:val="24"/>
          <w:szCs w:val="24"/>
        </w:rPr>
        <w:t xml:space="preserve">l proyecto de </w:t>
      </w:r>
      <w:r w:rsidR="0082711A" w:rsidRPr="00682149">
        <w:rPr>
          <w:rFonts w:ascii="Arial" w:hAnsi="Arial" w:cs="Arial"/>
          <w:color w:val="000000" w:themeColor="text1"/>
          <w:sz w:val="24"/>
          <w:szCs w:val="24"/>
        </w:rPr>
        <w:t>resolución en la página web</w:t>
      </w:r>
      <w:r w:rsidR="008B1705" w:rsidRPr="00682149">
        <w:rPr>
          <w:rFonts w:ascii="Arial" w:hAnsi="Arial" w:cs="Arial"/>
          <w:color w:val="000000" w:themeColor="text1"/>
          <w:sz w:val="24"/>
          <w:szCs w:val="24"/>
        </w:rPr>
        <w:t>.</w:t>
      </w:r>
    </w:p>
    <w:p w14:paraId="5DF9A780" w14:textId="77777777" w:rsidR="00DD6AC6" w:rsidRPr="00682149" w:rsidRDefault="00DD6AC6" w:rsidP="001C138F">
      <w:pPr>
        <w:spacing w:after="0" w:line="276" w:lineRule="auto"/>
        <w:jc w:val="both"/>
        <w:rPr>
          <w:rFonts w:ascii="Arial" w:hAnsi="Arial" w:cs="Arial"/>
          <w:color w:val="000000" w:themeColor="text1"/>
          <w:sz w:val="24"/>
          <w:szCs w:val="24"/>
        </w:rPr>
      </w:pPr>
    </w:p>
    <w:p w14:paraId="2D5FA640" w14:textId="6D9E9C40" w:rsidR="00AB3267" w:rsidRDefault="00107A63" w:rsidP="001C138F">
      <w:pPr>
        <w:spacing w:after="0" w:line="276" w:lineRule="auto"/>
        <w:jc w:val="both"/>
        <w:rPr>
          <w:rFonts w:ascii="Arial" w:hAnsi="Arial" w:cs="Arial"/>
          <w:color w:val="000000" w:themeColor="text1"/>
          <w:sz w:val="24"/>
          <w:szCs w:val="24"/>
        </w:rPr>
      </w:pPr>
      <w:r w:rsidRPr="00682149">
        <w:rPr>
          <w:rFonts w:ascii="Arial" w:hAnsi="Arial" w:cs="Arial"/>
          <w:color w:val="000000" w:themeColor="text1"/>
          <w:sz w:val="24"/>
          <w:szCs w:val="24"/>
        </w:rPr>
        <w:t xml:space="preserve">En consecuencia, se </w:t>
      </w:r>
      <w:r w:rsidR="00DA6386" w:rsidRPr="00682149">
        <w:rPr>
          <w:rFonts w:ascii="Arial" w:hAnsi="Arial" w:cs="Arial"/>
          <w:color w:val="000000" w:themeColor="text1"/>
          <w:sz w:val="24"/>
          <w:szCs w:val="24"/>
        </w:rPr>
        <w:t xml:space="preserve">evidencia que </w:t>
      </w:r>
      <w:r w:rsidR="00126779" w:rsidRPr="00682149">
        <w:rPr>
          <w:rFonts w:ascii="Arial" w:hAnsi="Arial" w:cs="Arial"/>
          <w:color w:val="000000" w:themeColor="text1"/>
          <w:sz w:val="24"/>
          <w:szCs w:val="24"/>
        </w:rPr>
        <w:t>cuand</w:t>
      </w:r>
      <w:r w:rsidR="00522481" w:rsidRPr="00682149">
        <w:rPr>
          <w:rFonts w:ascii="Arial" w:hAnsi="Arial" w:cs="Arial"/>
          <w:color w:val="000000" w:themeColor="text1"/>
          <w:sz w:val="24"/>
          <w:szCs w:val="24"/>
        </w:rPr>
        <w:t xml:space="preserve">o se </w:t>
      </w:r>
      <w:r w:rsidR="00126779" w:rsidRPr="00682149">
        <w:rPr>
          <w:rFonts w:ascii="Arial" w:hAnsi="Arial" w:cs="Arial"/>
          <w:color w:val="000000" w:themeColor="text1"/>
          <w:sz w:val="24"/>
          <w:szCs w:val="24"/>
        </w:rPr>
        <w:t xml:space="preserve">profirió </w:t>
      </w:r>
      <w:r w:rsidR="00522481" w:rsidRPr="00682149">
        <w:rPr>
          <w:rFonts w:ascii="Arial" w:hAnsi="Arial" w:cs="Arial"/>
          <w:color w:val="000000" w:themeColor="text1"/>
          <w:sz w:val="24"/>
          <w:szCs w:val="24"/>
        </w:rPr>
        <w:t xml:space="preserve">la Resolución </w:t>
      </w:r>
      <w:r w:rsidR="00F63FE4" w:rsidRPr="00682149">
        <w:rPr>
          <w:rFonts w:ascii="Arial" w:hAnsi="Arial" w:cs="Arial"/>
          <w:color w:val="000000" w:themeColor="text1"/>
          <w:sz w:val="24"/>
          <w:szCs w:val="24"/>
        </w:rPr>
        <w:t>CREG-1</w:t>
      </w:r>
      <w:r w:rsidR="00522481" w:rsidRPr="00682149">
        <w:rPr>
          <w:rFonts w:ascii="Arial" w:hAnsi="Arial" w:cs="Arial"/>
          <w:color w:val="000000" w:themeColor="text1"/>
          <w:sz w:val="24"/>
          <w:szCs w:val="24"/>
        </w:rPr>
        <w:t>66</w:t>
      </w:r>
      <w:r w:rsidR="00126779" w:rsidRPr="00682149">
        <w:rPr>
          <w:rFonts w:ascii="Arial" w:hAnsi="Arial" w:cs="Arial"/>
          <w:color w:val="000000" w:themeColor="text1"/>
          <w:sz w:val="24"/>
          <w:szCs w:val="24"/>
        </w:rPr>
        <w:t xml:space="preserve">, </w:t>
      </w:r>
      <w:r w:rsidR="00801F23" w:rsidRPr="00682149">
        <w:rPr>
          <w:rFonts w:ascii="Arial" w:hAnsi="Arial" w:cs="Arial"/>
          <w:color w:val="000000" w:themeColor="text1"/>
          <w:sz w:val="24"/>
          <w:szCs w:val="24"/>
        </w:rPr>
        <w:t xml:space="preserve">ya </w:t>
      </w:r>
      <w:r w:rsidR="00522481" w:rsidRPr="00682149">
        <w:rPr>
          <w:rFonts w:ascii="Arial" w:hAnsi="Arial" w:cs="Arial"/>
          <w:color w:val="000000" w:themeColor="text1"/>
          <w:sz w:val="24"/>
          <w:szCs w:val="24"/>
        </w:rPr>
        <w:t>se había iniciado</w:t>
      </w:r>
      <w:r w:rsidR="007677B8" w:rsidRPr="00682149">
        <w:rPr>
          <w:rFonts w:ascii="Arial" w:hAnsi="Arial" w:cs="Arial"/>
          <w:color w:val="000000" w:themeColor="text1"/>
          <w:sz w:val="24"/>
          <w:szCs w:val="24"/>
        </w:rPr>
        <w:t xml:space="preserve"> </w:t>
      </w:r>
      <w:r w:rsidR="00522481" w:rsidRPr="00682149">
        <w:rPr>
          <w:rFonts w:ascii="Arial" w:hAnsi="Arial" w:cs="Arial"/>
          <w:color w:val="000000" w:themeColor="text1"/>
          <w:sz w:val="24"/>
          <w:szCs w:val="24"/>
        </w:rPr>
        <w:t>el</w:t>
      </w:r>
      <w:r w:rsidR="007677B8" w:rsidRPr="00682149">
        <w:rPr>
          <w:rFonts w:ascii="Arial" w:hAnsi="Arial" w:cs="Arial"/>
          <w:color w:val="000000" w:themeColor="text1"/>
          <w:sz w:val="24"/>
          <w:szCs w:val="24"/>
        </w:rPr>
        <w:t xml:space="preserve"> </w:t>
      </w:r>
      <w:r w:rsidR="000F4F98" w:rsidRPr="00682149">
        <w:rPr>
          <w:rFonts w:ascii="Arial" w:hAnsi="Arial" w:cs="Arial"/>
          <w:color w:val="000000" w:themeColor="text1"/>
          <w:sz w:val="24"/>
          <w:szCs w:val="24"/>
        </w:rPr>
        <w:t>trámite</w:t>
      </w:r>
      <w:r w:rsidR="00522481" w:rsidRPr="00682149">
        <w:rPr>
          <w:rFonts w:ascii="Arial" w:hAnsi="Arial" w:cs="Arial"/>
          <w:color w:val="000000" w:themeColor="text1"/>
          <w:sz w:val="24"/>
          <w:szCs w:val="24"/>
        </w:rPr>
        <w:t xml:space="preserve"> para la expedición de las tarifas</w:t>
      </w:r>
      <w:r w:rsidR="00801F23" w:rsidRPr="00682149">
        <w:rPr>
          <w:rFonts w:ascii="Arial" w:hAnsi="Arial" w:cs="Arial"/>
          <w:color w:val="000000" w:themeColor="text1"/>
          <w:sz w:val="24"/>
          <w:szCs w:val="24"/>
        </w:rPr>
        <w:t xml:space="preserve"> generales para</w:t>
      </w:r>
      <w:r w:rsidR="007677B8" w:rsidRPr="00682149">
        <w:rPr>
          <w:rFonts w:ascii="Arial" w:hAnsi="Arial" w:cs="Arial"/>
          <w:color w:val="000000" w:themeColor="text1"/>
          <w:sz w:val="24"/>
          <w:szCs w:val="24"/>
        </w:rPr>
        <w:t xml:space="preserve"> </w:t>
      </w:r>
      <w:r w:rsidR="00522481" w:rsidRPr="00682149">
        <w:rPr>
          <w:rFonts w:ascii="Arial" w:hAnsi="Arial" w:cs="Arial"/>
          <w:color w:val="000000" w:themeColor="text1"/>
          <w:sz w:val="24"/>
          <w:szCs w:val="24"/>
        </w:rPr>
        <w:t>la prestación del servicio de energía eléctrica mediante soluciones individuales solares fotovoltaicas</w:t>
      </w:r>
      <w:r w:rsidR="00717650" w:rsidRPr="00682149">
        <w:rPr>
          <w:rFonts w:ascii="Arial" w:hAnsi="Arial" w:cs="Arial"/>
          <w:color w:val="000000" w:themeColor="text1"/>
          <w:sz w:val="24"/>
          <w:szCs w:val="24"/>
        </w:rPr>
        <w:t xml:space="preserve"> y para el efecto</w:t>
      </w:r>
      <w:r w:rsidR="00D24735" w:rsidRPr="00682149">
        <w:rPr>
          <w:rFonts w:ascii="Arial" w:hAnsi="Arial" w:cs="Arial"/>
          <w:color w:val="000000" w:themeColor="text1"/>
          <w:sz w:val="24"/>
          <w:szCs w:val="24"/>
        </w:rPr>
        <w:t>, la Comisión</w:t>
      </w:r>
      <w:r w:rsidR="00717650" w:rsidRPr="00682149">
        <w:rPr>
          <w:rFonts w:ascii="Arial" w:hAnsi="Arial" w:cs="Arial"/>
          <w:color w:val="000000" w:themeColor="text1"/>
          <w:sz w:val="24"/>
          <w:szCs w:val="24"/>
        </w:rPr>
        <w:t xml:space="preserve"> consultó el procedimiento. </w:t>
      </w:r>
    </w:p>
    <w:p w14:paraId="78DD4612" w14:textId="77777777" w:rsidR="003778E4" w:rsidRPr="00682149" w:rsidRDefault="003778E4" w:rsidP="001C138F">
      <w:pPr>
        <w:spacing w:after="0" w:line="276" w:lineRule="auto"/>
        <w:jc w:val="both"/>
        <w:rPr>
          <w:rFonts w:ascii="Arial" w:hAnsi="Arial" w:cs="Arial"/>
          <w:color w:val="000000" w:themeColor="text1"/>
          <w:sz w:val="24"/>
          <w:szCs w:val="24"/>
        </w:rPr>
      </w:pPr>
    </w:p>
    <w:p w14:paraId="0788664C" w14:textId="4D1C24CB" w:rsidR="00E50687" w:rsidRDefault="00AB3267" w:rsidP="001C138F">
      <w:pPr>
        <w:spacing w:after="0" w:line="276" w:lineRule="auto"/>
        <w:jc w:val="both"/>
        <w:rPr>
          <w:rFonts w:ascii="Arial" w:hAnsi="Arial" w:cs="Arial"/>
          <w:color w:val="000000" w:themeColor="text1"/>
          <w:sz w:val="24"/>
          <w:szCs w:val="24"/>
        </w:rPr>
      </w:pPr>
      <w:r w:rsidRPr="00682149">
        <w:rPr>
          <w:rFonts w:ascii="Arial" w:hAnsi="Arial" w:cs="Arial"/>
          <w:color w:val="000000" w:themeColor="text1"/>
          <w:sz w:val="24"/>
          <w:szCs w:val="24"/>
        </w:rPr>
        <w:t xml:space="preserve">Como a la fecha no ha concluido el procedimiento, </w:t>
      </w:r>
      <w:r w:rsidR="00107A63" w:rsidRPr="00682149">
        <w:rPr>
          <w:rFonts w:ascii="Arial" w:hAnsi="Arial" w:cs="Arial"/>
          <w:color w:val="000000" w:themeColor="text1"/>
          <w:sz w:val="24"/>
          <w:szCs w:val="24"/>
        </w:rPr>
        <w:t xml:space="preserve">dado que </w:t>
      </w:r>
      <w:r w:rsidR="00903D4D" w:rsidRPr="00682149">
        <w:rPr>
          <w:rFonts w:ascii="Arial" w:hAnsi="Arial" w:cs="Arial"/>
          <w:color w:val="000000" w:themeColor="text1"/>
          <w:sz w:val="24"/>
          <w:szCs w:val="24"/>
        </w:rPr>
        <w:t xml:space="preserve">al tiempo de la </w:t>
      </w:r>
      <w:r w:rsidRPr="00682149">
        <w:rPr>
          <w:rFonts w:ascii="Arial" w:hAnsi="Arial" w:cs="Arial"/>
          <w:color w:val="000000" w:themeColor="text1"/>
          <w:sz w:val="24"/>
          <w:szCs w:val="24"/>
        </w:rPr>
        <w:t xml:space="preserve">expedición de la Resolución </w:t>
      </w:r>
      <w:r w:rsidR="00F63FE4" w:rsidRPr="00682149">
        <w:rPr>
          <w:rFonts w:ascii="Arial" w:hAnsi="Arial" w:cs="Arial"/>
          <w:color w:val="000000" w:themeColor="text1"/>
          <w:sz w:val="24"/>
          <w:szCs w:val="24"/>
        </w:rPr>
        <w:t>CREG-</w:t>
      </w:r>
      <w:r w:rsidRPr="00682149">
        <w:rPr>
          <w:rFonts w:ascii="Arial" w:hAnsi="Arial" w:cs="Arial"/>
          <w:color w:val="000000" w:themeColor="text1"/>
          <w:sz w:val="24"/>
          <w:szCs w:val="24"/>
        </w:rPr>
        <w:t xml:space="preserve">166 se encontraba en fase de socialización </w:t>
      </w:r>
      <w:r w:rsidR="00107A63" w:rsidRPr="00682149">
        <w:rPr>
          <w:rFonts w:ascii="Arial" w:hAnsi="Arial" w:cs="Arial"/>
          <w:color w:val="000000" w:themeColor="text1"/>
          <w:sz w:val="24"/>
          <w:szCs w:val="24"/>
        </w:rPr>
        <w:t>la reglamentación general</w:t>
      </w:r>
      <w:r w:rsidR="00F63FE4" w:rsidRPr="00682149">
        <w:rPr>
          <w:rFonts w:ascii="Arial" w:hAnsi="Arial" w:cs="Arial"/>
          <w:color w:val="000000" w:themeColor="text1"/>
          <w:sz w:val="24"/>
          <w:szCs w:val="24"/>
        </w:rPr>
        <w:t>,</w:t>
      </w:r>
      <w:r w:rsidR="00714319" w:rsidRPr="00682149">
        <w:rPr>
          <w:rFonts w:ascii="Arial" w:hAnsi="Arial" w:cs="Arial"/>
          <w:color w:val="000000" w:themeColor="text1"/>
          <w:sz w:val="24"/>
          <w:szCs w:val="24"/>
        </w:rPr>
        <w:t xml:space="preserve"> no se </w:t>
      </w:r>
      <w:r w:rsidR="00903D4D" w:rsidRPr="00682149">
        <w:rPr>
          <w:rFonts w:ascii="Arial" w:hAnsi="Arial" w:cs="Arial"/>
          <w:color w:val="000000" w:themeColor="text1"/>
          <w:sz w:val="24"/>
          <w:szCs w:val="24"/>
        </w:rPr>
        <w:t>pasa inadvertido que la CREG</w:t>
      </w:r>
      <w:r w:rsidR="008B1705" w:rsidRPr="00682149">
        <w:rPr>
          <w:rFonts w:ascii="Arial" w:hAnsi="Arial" w:cs="Arial"/>
          <w:color w:val="000000" w:themeColor="text1"/>
          <w:sz w:val="24"/>
          <w:szCs w:val="24"/>
        </w:rPr>
        <w:t>, previamente a la expedición de la Resolución 166</w:t>
      </w:r>
      <w:r w:rsidR="00903D4D" w:rsidRPr="00682149">
        <w:rPr>
          <w:rFonts w:ascii="Arial" w:hAnsi="Arial" w:cs="Arial"/>
          <w:color w:val="000000" w:themeColor="text1"/>
          <w:sz w:val="24"/>
          <w:szCs w:val="24"/>
        </w:rPr>
        <w:t xml:space="preserve"> expidió </w:t>
      </w:r>
      <w:r w:rsidR="000C0E06" w:rsidRPr="00682149">
        <w:rPr>
          <w:rFonts w:ascii="Arial" w:hAnsi="Arial" w:cs="Arial"/>
          <w:color w:val="000000" w:themeColor="text1"/>
          <w:sz w:val="24"/>
          <w:szCs w:val="24"/>
        </w:rPr>
        <w:t>la Resolución N.º 157 de 14 de agosto de 2020</w:t>
      </w:r>
      <w:r w:rsidRPr="00682149">
        <w:rPr>
          <w:rFonts w:ascii="Arial" w:hAnsi="Arial" w:cs="Arial"/>
          <w:color w:val="000000" w:themeColor="text1"/>
          <w:sz w:val="24"/>
          <w:szCs w:val="24"/>
        </w:rPr>
        <w:t>, para</w:t>
      </w:r>
      <w:r w:rsidR="00F9498D" w:rsidRPr="00682149">
        <w:rPr>
          <w:rFonts w:ascii="Arial" w:hAnsi="Arial" w:cs="Arial"/>
          <w:color w:val="000000" w:themeColor="text1"/>
          <w:sz w:val="24"/>
          <w:szCs w:val="24"/>
        </w:rPr>
        <w:t xml:space="preserve"> poner e</w:t>
      </w:r>
      <w:r w:rsidR="00107A63" w:rsidRPr="00682149">
        <w:rPr>
          <w:rFonts w:ascii="Arial" w:hAnsi="Arial" w:cs="Arial"/>
          <w:color w:val="000000" w:themeColor="text1"/>
          <w:sz w:val="24"/>
          <w:szCs w:val="24"/>
        </w:rPr>
        <w:t>n</w:t>
      </w:r>
      <w:r w:rsidR="00F9498D" w:rsidRPr="00682149">
        <w:rPr>
          <w:rFonts w:ascii="Arial" w:hAnsi="Arial" w:cs="Arial"/>
          <w:color w:val="000000" w:themeColor="text1"/>
          <w:sz w:val="24"/>
          <w:szCs w:val="24"/>
        </w:rPr>
        <w:t xml:space="preserve"> conocimiento del público el </w:t>
      </w:r>
      <w:r w:rsidR="00556C84" w:rsidRPr="00682149">
        <w:rPr>
          <w:rFonts w:ascii="Arial" w:hAnsi="Arial" w:cs="Arial"/>
          <w:color w:val="000000" w:themeColor="text1"/>
          <w:sz w:val="24"/>
          <w:szCs w:val="24"/>
        </w:rPr>
        <w:t xml:space="preserve">proyecto de resolución </w:t>
      </w:r>
      <w:r w:rsidRPr="00682149">
        <w:rPr>
          <w:rFonts w:ascii="Arial" w:hAnsi="Arial" w:cs="Arial"/>
          <w:color w:val="000000" w:themeColor="text1"/>
          <w:sz w:val="24"/>
          <w:szCs w:val="24"/>
        </w:rPr>
        <w:t>de la ta</w:t>
      </w:r>
      <w:r w:rsidR="000C0E06" w:rsidRPr="00682149">
        <w:rPr>
          <w:rFonts w:ascii="Arial" w:hAnsi="Arial" w:cs="Arial"/>
          <w:color w:val="000000" w:themeColor="text1"/>
          <w:sz w:val="24"/>
          <w:szCs w:val="24"/>
        </w:rPr>
        <w:t>rifa transitoria</w:t>
      </w:r>
      <w:r w:rsidR="00E50687" w:rsidRPr="00682149">
        <w:rPr>
          <w:rFonts w:ascii="Arial" w:hAnsi="Arial" w:cs="Arial"/>
          <w:color w:val="000000" w:themeColor="text1"/>
          <w:sz w:val="24"/>
          <w:szCs w:val="24"/>
        </w:rPr>
        <w:t xml:space="preserve">, contenido en el </w:t>
      </w:r>
      <w:r w:rsidR="00556C84" w:rsidRPr="00682149">
        <w:rPr>
          <w:rFonts w:ascii="Arial" w:hAnsi="Arial" w:cs="Arial"/>
          <w:color w:val="000000" w:themeColor="text1"/>
          <w:sz w:val="24"/>
          <w:szCs w:val="24"/>
        </w:rPr>
        <w:t xml:space="preserve">Documento de trabajo </w:t>
      </w:r>
      <w:r w:rsidR="00E50687" w:rsidRPr="00682149">
        <w:rPr>
          <w:rFonts w:ascii="Arial" w:hAnsi="Arial" w:cs="Arial"/>
          <w:color w:val="000000" w:themeColor="text1"/>
          <w:sz w:val="24"/>
          <w:szCs w:val="24"/>
        </w:rPr>
        <w:t>123</w:t>
      </w:r>
      <w:r w:rsidR="00107A63" w:rsidRPr="00682149">
        <w:rPr>
          <w:rFonts w:ascii="Arial" w:hAnsi="Arial" w:cs="Arial"/>
          <w:color w:val="000000" w:themeColor="text1"/>
          <w:sz w:val="24"/>
          <w:szCs w:val="24"/>
        </w:rPr>
        <w:t xml:space="preserve">, aclarado en el </w:t>
      </w:r>
      <w:r w:rsidR="00556C84" w:rsidRPr="00682149">
        <w:rPr>
          <w:rFonts w:ascii="Arial" w:hAnsi="Arial" w:cs="Arial"/>
          <w:color w:val="000000" w:themeColor="text1"/>
          <w:sz w:val="24"/>
          <w:szCs w:val="24"/>
        </w:rPr>
        <w:t>documento 131 de 2020</w:t>
      </w:r>
      <w:r w:rsidR="00107A63" w:rsidRPr="00682149">
        <w:rPr>
          <w:rFonts w:ascii="Arial" w:hAnsi="Arial" w:cs="Arial"/>
          <w:color w:val="000000" w:themeColor="text1"/>
          <w:sz w:val="24"/>
          <w:szCs w:val="24"/>
        </w:rPr>
        <w:t xml:space="preserve">, </w:t>
      </w:r>
      <w:r w:rsidRPr="00682149">
        <w:rPr>
          <w:rFonts w:ascii="Arial" w:hAnsi="Arial" w:cs="Arial"/>
          <w:color w:val="000000" w:themeColor="text1"/>
          <w:sz w:val="24"/>
          <w:szCs w:val="24"/>
        </w:rPr>
        <w:t xml:space="preserve">de modo que </w:t>
      </w:r>
      <w:r w:rsidR="008B1705" w:rsidRPr="00682149">
        <w:rPr>
          <w:rFonts w:ascii="Arial" w:hAnsi="Arial" w:cs="Arial"/>
          <w:color w:val="000000" w:themeColor="text1"/>
          <w:sz w:val="24"/>
          <w:szCs w:val="24"/>
        </w:rPr>
        <w:t xml:space="preserve">dichos </w:t>
      </w:r>
      <w:r w:rsidRPr="00682149">
        <w:rPr>
          <w:rFonts w:ascii="Arial" w:hAnsi="Arial" w:cs="Arial"/>
          <w:color w:val="000000" w:themeColor="text1"/>
          <w:sz w:val="24"/>
          <w:szCs w:val="24"/>
        </w:rPr>
        <w:t xml:space="preserve">antecedentes, incluido </w:t>
      </w:r>
      <w:r w:rsidR="00556C84" w:rsidRPr="00682149">
        <w:rPr>
          <w:rFonts w:ascii="Arial" w:hAnsi="Arial" w:cs="Arial"/>
          <w:color w:val="000000" w:themeColor="text1"/>
          <w:sz w:val="24"/>
          <w:szCs w:val="24"/>
        </w:rPr>
        <w:t xml:space="preserve">el concepto </w:t>
      </w:r>
      <w:r w:rsidR="00903D4D" w:rsidRPr="00682149">
        <w:rPr>
          <w:rFonts w:ascii="Arial" w:hAnsi="Arial" w:cs="Arial"/>
          <w:color w:val="000000" w:themeColor="text1"/>
          <w:sz w:val="24"/>
          <w:szCs w:val="24"/>
        </w:rPr>
        <w:t xml:space="preserve">allegado fundamentan </w:t>
      </w:r>
      <w:r w:rsidR="00E50687" w:rsidRPr="00682149">
        <w:rPr>
          <w:rFonts w:ascii="Arial" w:hAnsi="Arial" w:cs="Arial"/>
          <w:color w:val="000000" w:themeColor="text1"/>
          <w:sz w:val="24"/>
          <w:szCs w:val="24"/>
        </w:rPr>
        <w:t xml:space="preserve">la </w:t>
      </w:r>
      <w:r w:rsidR="00B82120" w:rsidRPr="00682149">
        <w:rPr>
          <w:rFonts w:ascii="Arial" w:hAnsi="Arial" w:cs="Arial"/>
          <w:color w:val="000000" w:themeColor="text1"/>
          <w:sz w:val="24"/>
          <w:szCs w:val="24"/>
        </w:rPr>
        <w:t xml:space="preserve">expedición de </w:t>
      </w:r>
      <w:r w:rsidR="008B1705" w:rsidRPr="00682149">
        <w:rPr>
          <w:rFonts w:ascii="Arial" w:hAnsi="Arial" w:cs="Arial"/>
          <w:color w:val="000000" w:themeColor="text1"/>
          <w:sz w:val="24"/>
          <w:szCs w:val="24"/>
        </w:rPr>
        <w:t>la r</w:t>
      </w:r>
      <w:r w:rsidR="003A3326" w:rsidRPr="00682149">
        <w:rPr>
          <w:rFonts w:ascii="Arial" w:hAnsi="Arial" w:cs="Arial"/>
          <w:color w:val="000000" w:themeColor="text1"/>
          <w:sz w:val="24"/>
          <w:szCs w:val="24"/>
        </w:rPr>
        <w:t>esolución</w:t>
      </w:r>
      <w:r w:rsidR="008B1705" w:rsidRPr="00682149">
        <w:rPr>
          <w:rFonts w:ascii="Arial" w:hAnsi="Arial" w:cs="Arial"/>
          <w:color w:val="000000" w:themeColor="text1"/>
          <w:sz w:val="24"/>
          <w:szCs w:val="24"/>
        </w:rPr>
        <w:t xml:space="preserve"> objeto de control</w:t>
      </w:r>
      <w:r w:rsidR="00714319" w:rsidRPr="00682149">
        <w:rPr>
          <w:rFonts w:ascii="Arial" w:hAnsi="Arial" w:cs="Arial"/>
          <w:color w:val="000000" w:themeColor="text1"/>
          <w:sz w:val="24"/>
          <w:szCs w:val="24"/>
        </w:rPr>
        <w:t>.</w:t>
      </w:r>
      <w:r w:rsidR="008B1705" w:rsidRPr="00682149">
        <w:rPr>
          <w:rFonts w:ascii="Arial" w:hAnsi="Arial" w:cs="Arial"/>
          <w:color w:val="000000" w:themeColor="text1"/>
          <w:sz w:val="24"/>
          <w:szCs w:val="24"/>
        </w:rPr>
        <w:t xml:space="preserve"> </w:t>
      </w:r>
    </w:p>
    <w:p w14:paraId="4BBC5EC1" w14:textId="77777777" w:rsidR="003778E4" w:rsidRPr="00682149" w:rsidRDefault="003778E4" w:rsidP="001C138F">
      <w:pPr>
        <w:spacing w:after="0" w:line="276" w:lineRule="auto"/>
        <w:jc w:val="both"/>
        <w:rPr>
          <w:rFonts w:ascii="Arial" w:hAnsi="Arial" w:cs="Arial"/>
          <w:color w:val="000000" w:themeColor="text1"/>
          <w:sz w:val="24"/>
          <w:szCs w:val="24"/>
        </w:rPr>
      </w:pPr>
    </w:p>
    <w:p w14:paraId="01509529" w14:textId="34A1FA82" w:rsidR="0042584D" w:rsidRPr="00682149" w:rsidRDefault="00903D4D" w:rsidP="001C138F">
      <w:pPr>
        <w:spacing w:after="0" w:line="276" w:lineRule="auto"/>
        <w:jc w:val="both"/>
        <w:rPr>
          <w:rFonts w:ascii="Arial" w:hAnsi="Arial" w:cs="Arial"/>
          <w:color w:val="000000" w:themeColor="text1"/>
          <w:sz w:val="24"/>
          <w:szCs w:val="24"/>
        </w:rPr>
      </w:pPr>
      <w:r w:rsidRPr="00682149">
        <w:rPr>
          <w:rFonts w:ascii="Arial" w:hAnsi="Arial" w:cs="Arial"/>
          <w:color w:val="000000" w:themeColor="text1"/>
          <w:sz w:val="24"/>
          <w:szCs w:val="24"/>
        </w:rPr>
        <w:t xml:space="preserve">Tampoco se soslaya que </w:t>
      </w:r>
      <w:r w:rsidR="00AB3267" w:rsidRPr="00682149">
        <w:rPr>
          <w:rFonts w:ascii="Arial" w:hAnsi="Arial" w:cs="Arial"/>
          <w:color w:val="000000" w:themeColor="text1"/>
          <w:sz w:val="24"/>
          <w:szCs w:val="24"/>
        </w:rPr>
        <w:t xml:space="preserve">el régimen tarifario </w:t>
      </w:r>
      <w:r w:rsidR="00D24735" w:rsidRPr="00682149">
        <w:rPr>
          <w:rFonts w:ascii="Arial" w:hAnsi="Arial" w:cs="Arial"/>
          <w:color w:val="000000" w:themeColor="text1"/>
          <w:sz w:val="24"/>
          <w:szCs w:val="24"/>
        </w:rPr>
        <w:t xml:space="preserve">utilizado en el actual estado </w:t>
      </w:r>
      <w:r w:rsidRPr="00682149">
        <w:rPr>
          <w:rFonts w:ascii="Arial" w:hAnsi="Arial" w:cs="Arial"/>
          <w:color w:val="000000" w:themeColor="text1"/>
          <w:sz w:val="24"/>
          <w:szCs w:val="24"/>
        </w:rPr>
        <w:t xml:space="preserve">de excepción </w:t>
      </w:r>
      <w:r w:rsidR="003A3326" w:rsidRPr="00682149">
        <w:rPr>
          <w:rFonts w:ascii="Arial" w:hAnsi="Arial" w:cs="Arial"/>
          <w:color w:val="000000" w:themeColor="text1"/>
          <w:sz w:val="24"/>
          <w:szCs w:val="24"/>
        </w:rPr>
        <w:t xml:space="preserve">es el </w:t>
      </w:r>
      <w:r w:rsidR="00AB3267" w:rsidRPr="00682149">
        <w:rPr>
          <w:rFonts w:ascii="Arial" w:hAnsi="Arial" w:cs="Arial"/>
          <w:color w:val="000000" w:themeColor="text1"/>
          <w:sz w:val="24"/>
          <w:szCs w:val="24"/>
        </w:rPr>
        <w:t xml:space="preserve">contenido en </w:t>
      </w:r>
      <w:r w:rsidR="00B82120" w:rsidRPr="00682149">
        <w:rPr>
          <w:rFonts w:ascii="Arial" w:hAnsi="Arial" w:cs="Arial"/>
          <w:color w:val="000000" w:themeColor="text1"/>
          <w:sz w:val="24"/>
          <w:szCs w:val="24"/>
        </w:rPr>
        <w:t xml:space="preserve">la Resolución 118 del 12 de junio de 2020, </w:t>
      </w:r>
      <w:r w:rsidR="00AB3267" w:rsidRPr="00682149">
        <w:rPr>
          <w:rFonts w:ascii="Arial" w:hAnsi="Arial" w:cs="Arial"/>
          <w:color w:val="000000" w:themeColor="text1"/>
          <w:sz w:val="24"/>
          <w:szCs w:val="24"/>
        </w:rPr>
        <w:t xml:space="preserve">mediante la cual se </w:t>
      </w:r>
      <w:r w:rsidR="00B82120" w:rsidRPr="00682149">
        <w:rPr>
          <w:rFonts w:ascii="Arial" w:hAnsi="Arial" w:cs="Arial"/>
          <w:color w:val="000000" w:themeColor="text1"/>
          <w:sz w:val="24"/>
          <w:szCs w:val="24"/>
        </w:rPr>
        <w:t>h</w:t>
      </w:r>
      <w:r w:rsidR="00C47E76" w:rsidRPr="00682149">
        <w:rPr>
          <w:rFonts w:ascii="Arial" w:hAnsi="Arial" w:cs="Arial"/>
          <w:color w:val="000000" w:themeColor="text1"/>
          <w:sz w:val="24"/>
          <w:szCs w:val="24"/>
        </w:rPr>
        <w:t>icieron</w:t>
      </w:r>
      <w:r w:rsidR="00B82120" w:rsidRPr="00682149">
        <w:rPr>
          <w:rFonts w:ascii="Arial" w:hAnsi="Arial" w:cs="Arial"/>
          <w:color w:val="000000" w:themeColor="text1"/>
          <w:sz w:val="24"/>
          <w:szCs w:val="24"/>
        </w:rPr>
        <w:t xml:space="preserve"> extensivas las medidas transitorias adoptadas para el pago de las facturas del servicio de energía eléctrica aplicable a los usuarios y empre</w:t>
      </w:r>
      <w:r w:rsidR="00242CB9" w:rsidRPr="00682149">
        <w:rPr>
          <w:rFonts w:ascii="Arial" w:hAnsi="Arial" w:cs="Arial"/>
          <w:color w:val="000000" w:themeColor="text1"/>
          <w:sz w:val="24"/>
          <w:szCs w:val="24"/>
        </w:rPr>
        <w:t>sas prestadoras d</w:t>
      </w:r>
      <w:r w:rsidR="00B82120" w:rsidRPr="00682149">
        <w:rPr>
          <w:rFonts w:ascii="Arial" w:hAnsi="Arial" w:cs="Arial"/>
          <w:color w:val="000000" w:themeColor="text1"/>
          <w:sz w:val="24"/>
          <w:szCs w:val="24"/>
        </w:rPr>
        <w:t>el Sistema Interconectado Nacional, a los usuarios y empresas prestadoras del servicio de energía eléctrica en Zonas No Interconectadas, ZNI</w:t>
      </w:r>
      <w:r w:rsidR="0042584D" w:rsidRPr="00682149">
        <w:rPr>
          <w:rFonts w:ascii="Arial" w:hAnsi="Arial" w:cs="Arial"/>
          <w:color w:val="000000" w:themeColor="text1"/>
          <w:sz w:val="24"/>
          <w:szCs w:val="24"/>
        </w:rPr>
        <w:t xml:space="preserve">, </w:t>
      </w:r>
      <w:r w:rsidR="00B308EB" w:rsidRPr="00682149">
        <w:rPr>
          <w:rFonts w:ascii="Arial" w:hAnsi="Arial" w:cs="Arial"/>
          <w:color w:val="000000" w:themeColor="text1"/>
          <w:sz w:val="24"/>
          <w:szCs w:val="24"/>
        </w:rPr>
        <w:t>pero</w:t>
      </w:r>
      <w:r w:rsidR="00D24735" w:rsidRPr="00682149">
        <w:rPr>
          <w:rFonts w:ascii="Arial" w:hAnsi="Arial" w:cs="Arial"/>
          <w:color w:val="000000" w:themeColor="text1"/>
          <w:sz w:val="24"/>
          <w:szCs w:val="24"/>
        </w:rPr>
        <w:t xml:space="preserve"> </w:t>
      </w:r>
      <w:r w:rsidRPr="00682149">
        <w:rPr>
          <w:rFonts w:ascii="Arial" w:hAnsi="Arial" w:cs="Arial"/>
          <w:color w:val="000000" w:themeColor="text1"/>
          <w:sz w:val="24"/>
          <w:szCs w:val="24"/>
        </w:rPr>
        <w:t>ocurre que</w:t>
      </w:r>
      <w:r w:rsidR="00D24735" w:rsidRPr="00682149">
        <w:rPr>
          <w:rFonts w:ascii="Arial" w:hAnsi="Arial" w:cs="Arial"/>
          <w:color w:val="000000" w:themeColor="text1"/>
          <w:sz w:val="24"/>
          <w:szCs w:val="24"/>
        </w:rPr>
        <w:t>,</w:t>
      </w:r>
      <w:r w:rsidR="00B308EB" w:rsidRPr="00682149">
        <w:rPr>
          <w:rFonts w:ascii="Arial" w:hAnsi="Arial" w:cs="Arial"/>
          <w:color w:val="000000" w:themeColor="text1"/>
          <w:sz w:val="24"/>
          <w:szCs w:val="24"/>
        </w:rPr>
        <w:t xml:space="preserve"> </w:t>
      </w:r>
      <w:r w:rsidR="00CE1E19" w:rsidRPr="00682149">
        <w:rPr>
          <w:rFonts w:ascii="Arial" w:hAnsi="Arial" w:cs="Arial"/>
          <w:color w:val="000000" w:themeColor="text1"/>
          <w:sz w:val="24"/>
          <w:szCs w:val="24"/>
        </w:rPr>
        <w:t xml:space="preserve">la formula tarifaria </w:t>
      </w:r>
      <w:r w:rsidR="00B308EB" w:rsidRPr="00682149">
        <w:rPr>
          <w:rFonts w:ascii="Arial" w:hAnsi="Arial" w:cs="Arial"/>
          <w:color w:val="000000" w:themeColor="text1"/>
          <w:sz w:val="24"/>
          <w:szCs w:val="24"/>
        </w:rPr>
        <w:t xml:space="preserve">no responde a </w:t>
      </w:r>
      <w:r w:rsidR="0042584D" w:rsidRPr="00682149">
        <w:rPr>
          <w:rFonts w:ascii="Arial" w:hAnsi="Arial" w:cs="Arial"/>
          <w:color w:val="000000" w:themeColor="text1"/>
          <w:sz w:val="24"/>
          <w:szCs w:val="24"/>
        </w:rPr>
        <w:t xml:space="preserve">la clase y naturaleza del servicio </w:t>
      </w:r>
      <w:r w:rsidR="003A3326" w:rsidRPr="00682149">
        <w:rPr>
          <w:rFonts w:ascii="Arial" w:hAnsi="Arial" w:cs="Arial"/>
          <w:color w:val="000000" w:themeColor="text1"/>
          <w:sz w:val="24"/>
          <w:szCs w:val="24"/>
        </w:rPr>
        <w:t>de energía</w:t>
      </w:r>
      <w:r w:rsidR="00C47E76" w:rsidRPr="00682149">
        <w:rPr>
          <w:rFonts w:ascii="Arial" w:hAnsi="Arial" w:cs="Arial"/>
          <w:color w:val="000000" w:themeColor="text1"/>
          <w:sz w:val="24"/>
          <w:szCs w:val="24"/>
        </w:rPr>
        <w:t xml:space="preserve"> que se presta </w:t>
      </w:r>
      <w:r w:rsidR="003A3326" w:rsidRPr="00682149">
        <w:rPr>
          <w:rFonts w:ascii="Arial" w:hAnsi="Arial" w:cs="Arial"/>
          <w:color w:val="000000" w:themeColor="text1"/>
          <w:sz w:val="24"/>
          <w:szCs w:val="24"/>
        </w:rPr>
        <w:t xml:space="preserve">a través de los sistemas solares fotovoltaicos individuales comúnmente </w:t>
      </w:r>
      <w:r w:rsidRPr="00682149">
        <w:rPr>
          <w:rFonts w:ascii="Arial" w:hAnsi="Arial" w:cs="Arial"/>
          <w:color w:val="000000" w:themeColor="text1"/>
          <w:sz w:val="24"/>
          <w:szCs w:val="24"/>
        </w:rPr>
        <w:t xml:space="preserve">utilizados a través de los </w:t>
      </w:r>
      <w:r w:rsidR="003A3326" w:rsidRPr="00682149">
        <w:rPr>
          <w:rFonts w:ascii="Arial" w:hAnsi="Arial" w:cs="Arial"/>
          <w:color w:val="000000" w:themeColor="text1"/>
          <w:sz w:val="24"/>
          <w:szCs w:val="24"/>
        </w:rPr>
        <w:t>paneles solares.</w:t>
      </w:r>
    </w:p>
    <w:p w14:paraId="517F4C91" w14:textId="77777777" w:rsidR="008318E0" w:rsidRPr="00682149" w:rsidRDefault="008318E0" w:rsidP="001C138F">
      <w:pPr>
        <w:spacing w:after="0" w:line="276" w:lineRule="auto"/>
        <w:jc w:val="both"/>
        <w:rPr>
          <w:rFonts w:ascii="Arial" w:hAnsi="Arial" w:cs="Arial"/>
          <w:color w:val="000000" w:themeColor="text1"/>
          <w:sz w:val="24"/>
          <w:szCs w:val="24"/>
        </w:rPr>
      </w:pPr>
    </w:p>
    <w:p w14:paraId="5A950CD8" w14:textId="187164BC" w:rsidR="00382217" w:rsidRPr="00682149" w:rsidRDefault="00D24735" w:rsidP="001C138F">
      <w:pPr>
        <w:spacing w:after="0" w:line="276" w:lineRule="auto"/>
        <w:jc w:val="both"/>
        <w:rPr>
          <w:rFonts w:ascii="Arial" w:eastAsiaTheme="minorEastAsia" w:hAnsi="Arial" w:cs="Arial"/>
          <w:color w:val="000000" w:themeColor="text1"/>
          <w:sz w:val="24"/>
          <w:szCs w:val="24"/>
          <w:lang w:val="es-ES" w:eastAsia="es-ES"/>
        </w:rPr>
      </w:pPr>
      <w:r w:rsidRPr="00682149">
        <w:rPr>
          <w:rFonts w:ascii="Arial" w:hAnsi="Arial" w:cs="Arial"/>
          <w:color w:val="000000" w:themeColor="text1"/>
          <w:sz w:val="24"/>
          <w:szCs w:val="24"/>
        </w:rPr>
        <w:t xml:space="preserve">De aquí que, </w:t>
      </w:r>
      <w:r w:rsidR="00F63FE4" w:rsidRPr="00682149">
        <w:rPr>
          <w:rFonts w:ascii="Arial" w:hAnsi="Arial" w:cs="Arial"/>
          <w:color w:val="000000" w:themeColor="text1"/>
          <w:sz w:val="24"/>
          <w:szCs w:val="24"/>
        </w:rPr>
        <w:t xml:space="preserve">las causas que dieron origen al acto son razonables en tanto </w:t>
      </w:r>
      <w:r w:rsidR="00A709C3" w:rsidRPr="00682149">
        <w:rPr>
          <w:rFonts w:ascii="Arial" w:hAnsi="Arial" w:cs="Arial"/>
          <w:color w:val="000000" w:themeColor="text1"/>
          <w:sz w:val="24"/>
          <w:szCs w:val="24"/>
        </w:rPr>
        <w:t xml:space="preserve"> </w:t>
      </w:r>
      <w:r w:rsidR="00801F23" w:rsidRPr="00682149">
        <w:rPr>
          <w:rFonts w:ascii="Arial" w:hAnsi="Arial" w:cs="Arial"/>
          <w:color w:val="000000" w:themeColor="text1"/>
          <w:sz w:val="24"/>
          <w:szCs w:val="24"/>
        </w:rPr>
        <w:t>justific</w:t>
      </w:r>
      <w:r w:rsidRPr="00682149">
        <w:rPr>
          <w:rFonts w:ascii="Arial" w:hAnsi="Arial" w:cs="Arial"/>
          <w:color w:val="000000" w:themeColor="text1"/>
          <w:sz w:val="24"/>
          <w:szCs w:val="24"/>
        </w:rPr>
        <w:t>an</w:t>
      </w:r>
      <w:r w:rsidR="0021183D" w:rsidRPr="00682149">
        <w:rPr>
          <w:rFonts w:ascii="Arial" w:hAnsi="Arial" w:cs="Arial"/>
          <w:color w:val="000000" w:themeColor="text1"/>
          <w:sz w:val="24"/>
          <w:szCs w:val="24"/>
        </w:rPr>
        <w:t xml:space="preserve"> </w:t>
      </w:r>
      <w:r w:rsidR="00A709C3" w:rsidRPr="00682149">
        <w:rPr>
          <w:rFonts w:ascii="Arial" w:hAnsi="Arial" w:cs="Arial"/>
          <w:color w:val="000000" w:themeColor="text1"/>
          <w:sz w:val="24"/>
          <w:szCs w:val="24"/>
        </w:rPr>
        <w:t xml:space="preserve">la tarifa transitoria </w:t>
      </w:r>
      <w:r w:rsidR="008318E0" w:rsidRPr="00682149">
        <w:rPr>
          <w:rFonts w:ascii="Arial" w:hAnsi="Arial" w:cs="Arial"/>
          <w:color w:val="000000" w:themeColor="text1"/>
          <w:sz w:val="24"/>
          <w:szCs w:val="24"/>
        </w:rPr>
        <w:t xml:space="preserve">ante la falta </w:t>
      </w:r>
      <w:r w:rsidR="00A709C3" w:rsidRPr="00682149">
        <w:rPr>
          <w:rFonts w:ascii="Arial" w:hAnsi="Arial" w:cs="Arial"/>
          <w:color w:val="000000" w:themeColor="text1"/>
          <w:sz w:val="24"/>
          <w:szCs w:val="24"/>
        </w:rPr>
        <w:t>de tarifas de energía eléctrica aplicables a los sistemas solares fotovoltaicos individuales</w:t>
      </w:r>
      <w:r w:rsidR="00A36AF4" w:rsidRPr="00682149">
        <w:rPr>
          <w:rFonts w:ascii="Arial" w:hAnsi="Arial" w:cs="Arial"/>
          <w:color w:val="000000" w:themeColor="text1"/>
          <w:sz w:val="24"/>
          <w:szCs w:val="24"/>
        </w:rPr>
        <w:t>, aspecto que se ve refrendado cuando se repara, en lo siguiente</w:t>
      </w:r>
      <w:r w:rsidR="0021183D" w:rsidRPr="00682149">
        <w:rPr>
          <w:rFonts w:ascii="Arial" w:hAnsi="Arial" w:cs="Arial"/>
          <w:color w:val="000000" w:themeColor="text1"/>
          <w:sz w:val="24"/>
          <w:szCs w:val="24"/>
        </w:rPr>
        <w:t>:</w:t>
      </w:r>
    </w:p>
    <w:p w14:paraId="78EECF68" w14:textId="77777777" w:rsidR="00382217" w:rsidRPr="00682149" w:rsidRDefault="00382217" w:rsidP="001C138F">
      <w:pPr>
        <w:spacing w:after="0" w:line="276" w:lineRule="auto"/>
        <w:jc w:val="both"/>
        <w:rPr>
          <w:rFonts w:ascii="Arial" w:hAnsi="Arial" w:cs="Arial"/>
          <w:color w:val="000000" w:themeColor="text1"/>
          <w:sz w:val="24"/>
          <w:szCs w:val="24"/>
        </w:rPr>
      </w:pPr>
    </w:p>
    <w:p w14:paraId="1A0304D4" w14:textId="43935FF2" w:rsidR="00382217" w:rsidRPr="00682149" w:rsidRDefault="00382217" w:rsidP="001C138F">
      <w:pPr>
        <w:spacing w:after="0" w:line="276" w:lineRule="auto"/>
        <w:ind w:left="708"/>
        <w:jc w:val="both"/>
        <w:rPr>
          <w:rFonts w:ascii="Arial" w:hAnsi="Arial" w:cs="Arial"/>
          <w:color w:val="000000" w:themeColor="text1"/>
          <w:sz w:val="24"/>
          <w:szCs w:val="24"/>
        </w:rPr>
      </w:pPr>
      <w:r w:rsidRPr="00682149">
        <w:rPr>
          <w:rFonts w:ascii="Arial" w:hAnsi="Arial" w:cs="Arial"/>
          <w:color w:val="000000" w:themeColor="text1"/>
          <w:sz w:val="24"/>
          <w:szCs w:val="24"/>
        </w:rPr>
        <w:t xml:space="preserve">i) </w:t>
      </w:r>
      <w:r w:rsidR="00A709C3" w:rsidRPr="00682149">
        <w:rPr>
          <w:rFonts w:ascii="Arial" w:hAnsi="Arial" w:cs="Arial"/>
          <w:color w:val="000000" w:themeColor="text1"/>
          <w:sz w:val="24"/>
          <w:szCs w:val="24"/>
        </w:rPr>
        <w:t>Que se</w:t>
      </w:r>
      <w:r w:rsidR="0042584D" w:rsidRPr="00682149">
        <w:rPr>
          <w:rFonts w:ascii="Arial" w:hAnsi="Arial" w:cs="Arial"/>
          <w:color w:val="000000" w:themeColor="text1"/>
          <w:sz w:val="24"/>
          <w:szCs w:val="24"/>
        </w:rPr>
        <w:t xml:space="preserve"> trata de un servicio público domiciliario definido en la Ley </w:t>
      </w:r>
      <w:r w:rsidR="00242CB9" w:rsidRPr="00682149">
        <w:rPr>
          <w:rFonts w:ascii="Arial" w:hAnsi="Arial" w:cs="Arial"/>
          <w:color w:val="000000" w:themeColor="text1"/>
          <w:sz w:val="24"/>
          <w:szCs w:val="24"/>
        </w:rPr>
        <w:t xml:space="preserve">del Plan </w:t>
      </w:r>
      <w:r w:rsidR="00375993" w:rsidRPr="00682149">
        <w:rPr>
          <w:rFonts w:ascii="Arial" w:hAnsi="Arial" w:cs="Arial"/>
          <w:color w:val="000000" w:themeColor="text1"/>
          <w:sz w:val="24"/>
          <w:szCs w:val="24"/>
        </w:rPr>
        <w:t>1955 de 2019</w:t>
      </w:r>
      <w:r w:rsidR="002C179F" w:rsidRPr="00682149">
        <w:rPr>
          <w:rFonts w:ascii="Arial" w:hAnsi="Arial" w:cs="Arial"/>
          <w:color w:val="000000" w:themeColor="text1"/>
          <w:sz w:val="24"/>
          <w:szCs w:val="24"/>
        </w:rPr>
        <w:t>, que hasta entonces no gozaba de esta connotación</w:t>
      </w:r>
      <w:r w:rsidR="00FF3E1E" w:rsidRPr="00682149">
        <w:rPr>
          <w:rFonts w:ascii="Arial" w:hAnsi="Arial" w:cs="Arial"/>
          <w:color w:val="000000" w:themeColor="text1"/>
          <w:sz w:val="24"/>
          <w:szCs w:val="24"/>
        </w:rPr>
        <w:t xml:space="preserve">. </w:t>
      </w:r>
    </w:p>
    <w:p w14:paraId="4E426564" w14:textId="00337E9D" w:rsidR="002C179F" w:rsidRPr="00682149" w:rsidRDefault="00382217" w:rsidP="001C138F">
      <w:pPr>
        <w:spacing w:after="0" w:line="276" w:lineRule="auto"/>
        <w:ind w:left="708"/>
        <w:jc w:val="both"/>
        <w:rPr>
          <w:rFonts w:ascii="Arial" w:hAnsi="Arial" w:cs="Arial"/>
          <w:color w:val="000000" w:themeColor="text1"/>
          <w:sz w:val="24"/>
          <w:szCs w:val="24"/>
        </w:rPr>
      </w:pPr>
      <w:r w:rsidRPr="00682149">
        <w:rPr>
          <w:rFonts w:ascii="Arial" w:hAnsi="Arial" w:cs="Arial"/>
          <w:color w:val="000000" w:themeColor="text1"/>
          <w:sz w:val="24"/>
          <w:szCs w:val="24"/>
        </w:rPr>
        <w:lastRenderedPageBreak/>
        <w:t xml:space="preserve">ii) </w:t>
      </w:r>
      <w:r w:rsidR="00A709C3" w:rsidRPr="00682149">
        <w:rPr>
          <w:rFonts w:ascii="Arial" w:hAnsi="Arial" w:cs="Arial"/>
          <w:color w:val="000000" w:themeColor="text1"/>
          <w:sz w:val="24"/>
          <w:szCs w:val="24"/>
        </w:rPr>
        <w:t xml:space="preserve">Que </w:t>
      </w:r>
      <w:r w:rsidR="00FF3E1E" w:rsidRPr="00682149">
        <w:rPr>
          <w:rFonts w:ascii="Arial" w:eastAsiaTheme="minorEastAsia" w:hAnsi="Arial" w:cs="Arial"/>
          <w:color w:val="000000" w:themeColor="text1"/>
          <w:sz w:val="24"/>
          <w:szCs w:val="24"/>
          <w:lang w:val="es-ES" w:eastAsia="es-ES"/>
        </w:rPr>
        <w:t xml:space="preserve">no existe una regulación previa para las soluciones energéticas fotovoltaicas individuales con una potencia superior a 0,5 </w:t>
      </w:r>
      <w:proofErr w:type="spellStart"/>
      <w:r w:rsidR="00FF3E1E" w:rsidRPr="00682149">
        <w:rPr>
          <w:rFonts w:ascii="Arial" w:eastAsiaTheme="minorEastAsia" w:hAnsi="Arial" w:cs="Arial"/>
          <w:color w:val="000000" w:themeColor="text1"/>
          <w:sz w:val="24"/>
          <w:szCs w:val="24"/>
          <w:lang w:val="es-ES" w:eastAsia="es-ES"/>
        </w:rPr>
        <w:t>Kw</w:t>
      </w:r>
      <w:proofErr w:type="spellEnd"/>
      <w:r w:rsidR="00FF3E1E" w:rsidRPr="00682149">
        <w:rPr>
          <w:rFonts w:ascii="Arial" w:eastAsiaTheme="minorEastAsia" w:hAnsi="Arial" w:cs="Arial"/>
          <w:color w:val="000000" w:themeColor="text1"/>
          <w:sz w:val="24"/>
          <w:szCs w:val="24"/>
          <w:lang w:val="es-ES" w:eastAsia="es-ES"/>
        </w:rPr>
        <w:t xml:space="preserve"> o 500 voltios</w:t>
      </w:r>
      <w:r w:rsidRPr="00682149">
        <w:rPr>
          <w:rFonts w:ascii="Arial" w:eastAsiaTheme="minorEastAsia" w:hAnsi="Arial" w:cs="Arial"/>
          <w:color w:val="000000" w:themeColor="text1"/>
          <w:sz w:val="24"/>
          <w:szCs w:val="24"/>
          <w:lang w:val="es-ES" w:eastAsia="es-ES"/>
        </w:rPr>
        <w:t xml:space="preserve">, por tratarse de </w:t>
      </w:r>
      <w:r w:rsidR="00FF3E1E" w:rsidRPr="00682149">
        <w:rPr>
          <w:rFonts w:ascii="Arial" w:eastAsiaTheme="minorEastAsia" w:hAnsi="Arial" w:cs="Arial"/>
          <w:color w:val="000000" w:themeColor="text1"/>
          <w:sz w:val="24"/>
          <w:szCs w:val="24"/>
          <w:lang w:val="es-ES" w:eastAsia="es-ES"/>
        </w:rPr>
        <w:t>soluciones relativamente nuevas y en expansión.</w:t>
      </w:r>
    </w:p>
    <w:p w14:paraId="37BCED74" w14:textId="77777777" w:rsidR="003778E4" w:rsidRDefault="003778E4" w:rsidP="001C138F">
      <w:pPr>
        <w:spacing w:after="0" w:line="276" w:lineRule="auto"/>
        <w:ind w:left="708"/>
        <w:jc w:val="both"/>
        <w:rPr>
          <w:rFonts w:ascii="Arial" w:hAnsi="Arial" w:cs="Arial"/>
          <w:color w:val="000000" w:themeColor="text1"/>
          <w:sz w:val="24"/>
          <w:szCs w:val="24"/>
        </w:rPr>
      </w:pPr>
    </w:p>
    <w:p w14:paraId="0DC21500" w14:textId="40D7F41E" w:rsidR="00C10B38" w:rsidRPr="00682149" w:rsidRDefault="0042584D" w:rsidP="001C138F">
      <w:pPr>
        <w:spacing w:after="0" w:line="276" w:lineRule="auto"/>
        <w:ind w:left="708"/>
        <w:jc w:val="both"/>
        <w:rPr>
          <w:rFonts w:ascii="Arial" w:eastAsiaTheme="minorEastAsia" w:hAnsi="Arial" w:cs="Arial"/>
          <w:iCs/>
          <w:color w:val="000000" w:themeColor="text1"/>
          <w:sz w:val="24"/>
          <w:szCs w:val="24"/>
          <w:lang w:val="es-ES" w:eastAsia="es-ES"/>
        </w:rPr>
      </w:pPr>
      <w:r w:rsidRPr="00682149">
        <w:rPr>
          <w:rFonts w:ascii="Arial" w:hAnsi="Arial" w:cs="Arial"/>
          <w:color w:val="000000" w:themeColor="text1"/>
          <w:sz w:val="24"/>
          <w:szCs w:val="24"/>
        </w:rPr>
        <w:t xml:space="preserve">iii) </w:t>
      </w:r>
      <w:r w:rsidR="00A709C3" w:rsidRPr="00682149">
        <w:rPr>
          <w:rFonts w:ascii="Arial" w:hAnsi="Arial" w:cs="Arial"/>
          <w:color w:val="000000" w:themeColor="text1"/>
          <w:sz w:val="24"/>
          <w:szCs w:val="24"/>
        </w:rPr>
        <w:t xml:space="preserve">Que </w:t>
      </w:r>
      <w:r w:rsidR="001324A6" w:rsidRPr="00682149">
        <w:rPr>
          <w:rFonts w:ascii="Arial" w:hAnsi="Arial" w:cs="Arial"/>
          <w:color w:val="000000" w:themeColor="text1"/>
          <w:sz w:val="24"/>
          <w:szCs w:val="24"/>
        </w:rPr>
        <w:t>e</w:t>
      </w:r>
      <w:r w:rsidR="00C01480" w:rsidRPr="00682149">
        <w:rPr>
          <w:rFonts w:ascii="Arial" w:hAnsi="Arial" w:cs="Arial"/>
          <w:color w:val="000000" w:themeColor="text1"/>
          <w:sz w:val="24"/>
          <w:szCs w:val="24"/>
        </w:rPr>
        <w:t>l artículo 3º de</w:t>
      </w:r>
      <w:r w:rsidR="001324A6" w:rsidRPr="00682149">
        <w:rPr>
          <w:rFonts w:ascii="Arial" w:hAnsi="Arial" w:cs="Arial"/>
          <w:color w:val="000000" w:themeColor="text1"/>
          <w:sz w:val="24"/>
          <w:szCs w:val="24"/>
        </w:rPr>
        <w:t xml:space="preserve">l Decreto Legislativo </w:t>
      </w:r>
      <w:r w:rsidR="00C10B38" w:rsidRPr="00682149">
        <w:rPr>
          <w:rFonts w:ascii="Arial" w:hAnsi="Arial" w:cs="Arial"/>
          <w:color w:val="000000" w:themeColor="text1"/>
          <w:sz w:val="24"/>
          <w:szCs w:val="24"/>
        </w:rPr>
        <w:t>517 facultó</w:t>
      </w:r>
      <w:r w:rsidR="00C01480" w:rsidRPr="00682149">
        <w:rPr>
          <w:rFonts w:ascii="Arial" w:hAnsi="Arial" w:cs="Arial"/>
          <w:color w:val="000000" w:themeColor="text1"/>
          <w:sz w:val="24"/>
          <w:szCs w:val="24"/>
        </w:rPr>
        <w:t xml:space="preserve"> a la Comisión de Regulación de Energía y Gas </w:t>
      </w:r>
      <w:r w:rsidR="00C01480" w:rsidRPr="00682149">
        <w:rPr>
          <w:rFonts w:ascii="Arial" w:eastAsiaTheme="minorEastAsia" w:hAnsi="Arial" w:cs="Arial"/>
          <w:iCs/>
          <w:color w:val="000000" w:themeColor="text1"/>
          <w:sz w:val="24"/>
          <w:szCs w:val="24"/>
          <w:lang w:val="es-ES" w:eastAsia="es-ES"/>
        </w:rPr>
        <w:t xml:space="preserve">adoptar de manera transitoria </w:t>
      </w:r>
      <w:r w:rsidR="00C10B38" w:rsidRPr="00682149">
        <w:rPr>
          <w:rFonts w:ascii="Arial" w:eastAsiaTheme="minorEastAsia" w:hAnsi="Arial" w:cs="Arial"/>
          <w:iCs/>
          <w:color w:val="000000" w:themeColor="text1"/>
          <w:sz w:val="24"/>
          <w:szCs w:val="24"/>
          <w:lang w:val="es-ES" w:eastAsia="es-ES"/>
        </w:rPr>
        <w:t>los esquemas de pago especial para diferir el pago de facturas emitidas y para adopta</w:t>
      </w:r>
      <w:r w:rsidR="00D24735" w:rsidRPr="00682149">
        <w:rPr>
          <w:rFonts w:ascii="Arial" w:eastAsiaTheme="minorEastAsia" w:hAnsi="Arial" w:cs="Arial"/>
          <w:iCs/>
          <w:color w:val="000000" w:themeColor="text1"/>
          <w:sz w:val="24"/>
          <w:szCs w:val="24"/>
          <w:lang w:val="es-ES" w:eastAsia="es-ES"/>
        </w:rPr>
        <w:t>r</w:t>
      </w:r>
      <w:r w:rsidR="00C10B38" w:rsidRPr="00682149">
        <w:rPr>
          <w:rFonts w:ascii="Arial" w:eastAsiaTheme="minorEastAsia" w:hAnsi="Arial" w:cs="Arial"/>
          <w:iCs/>
          <w:color w:val="000000" w:themeColor="text1"/>
          <w:sz w:val="24"/>
          <w:szCs w:val="24"/>
          <w:lang w:val="es-ES" w:eastAsia="es-ES"/>
        </w:rPr>
        <w:t xml:space="preserve"> </w:t>
      </w:r>
      <w:r w:rsidR="00C01480" w:rsidRPr="00682149">
        <w:rPr>
          <w:rFonts w:ascii="Arial" w:eastAsiaTheme="minorEastAsia" w:hAnsi="Arial" w:cs="Arial"/>
          <w:iCs/>
          <w:color w:val="000000" w:themeColor="text1"/>
          <w:sz w:val="24"/>
          <w:szCs w:val="24"/>
          <w:lang w:val="es-ES" w:eastAsia="es-ES"/>
        </w:rPr>
        <w:t>todas</w:t>
      </w:r>
      <w:r w:rsidR="00C10B38" w:rsidRPr="00682149">
        <w:rPr>
          <w:rFonts w:ascii="Arial" w:eastAsiaTheme="minorEastAsia" w:hAnsi="Arial" w:cs="Arial"/>
          <w:iCs/>
          <w:color w:val="000000" w:themeColor="text1"/>
          <w:sz w:val="24"/>
          <w:szCs w:val="24"/>
          <w:lang w:val="es-ES" w:eastAsia="es-ES"/>
        </w:rPr>
        <w:t xml:space="preserve"> las </w:t>
      </w:r>
      <w:r w:rsidR="00C01480" w:rsidRPr="00682149">
        <w:rPr>
          <w:rFonts w:ascii="Arial" w:eastAsiaTheme="minorEastAsia" w:hAnsi="Arial" w:cs="Arial"/>
          <w:iCs/>
          <w:color w:val="000000" w:themeColor="text1"/>
          <w:sz w:val="24"/>
          <w:szCs w:val="24"/>
          <w:lang w:val="es-ES" w:eastAsia="es-ES"/>
        </w:rPr>
        <w:t>medidas, disposiciones tarifarias y regímenes regulatorios especiales que considere necesarios, mientras permanezca vigente la declaratoria de Emergencia Sanitaria por parte del Ministerio de Salud y Protección Social</w:t>
      </w:r>
      <w:r w:rsidR="00A709C3" w:rsidRPr="00682149">
        <w:rPr>
          <w:rFonts w:ascii="Arial" w:eastAsiaTheme="minorEastAsia" w:hAnsi="Arial" w:cs="Arial"/>
          <w:iCs/>
          <w:color w:val="000000" w:themeColor="text1"/>
          <w:sz w:val="24"/>
          <w:szCs w:val="24"/>
          <w:lang w:val="es-ES" w:eastAsia="es-ES"/>
        </w:rPr>
        <w:t xml:space="preserve">. </w:t>
      </w:r>
    </w:p>
    <w:p w14:paraId="49E6DA98" w14:textId="77777777" w:rsidR="003778E4" w:rsidRDefault="003778E4" w:rsidP="001C138F">
      <w:pPr>
        <w:spacing w:after="0" w:line="276" w:lineRule="auto"/>
        <w:ind w:left="708"/>
        <w:jc w:val="both"/>
        <w:rPr>
          <w:rFonts w:ascii="Arial" w:eastAsiaTheme="minorEastAsia" w:hAnsi="Arial" w:cs="Arial"/>
          <w:iCs/>
          <w:color w:val="000000" w:themeColor="text1"/>
          <w:sz w:val="24"/>
          <w:szCs w:val="24"/>
          <w:lang w:val="es-ES" w:eastAsia="es-ES"/>
        </w:rPr>
      </w:pPr>
    </w:p>
    <w:p w14:paraId="5A6C6E54" w14:textId="59D7D4D7" w:rsidR="0020295A" w:rsidRPr="00682149" w:rsidRDefault="001324A6" w:rsidP="001C138F">
      <w:pPr>
        <w:spacing w:after="0" w:line="276" w:lineRule="auto"/>
        <w:ind w:left="708"/>
        <w:jc w:val="both"/>
        <w:rPr>
          <w:rFonts w:ascii="Arial" w:eastAsia="Arial" w:hAnsi="Arial" w:cs="Arial"/>
          <w:color w:val="000000" w:themeColor="text1"/>
          <w:sz w:val="24"/>
          <w:szCs w:val="24"/>
        </w:rPr>
      </w:pPr>
      <w:r w:rsidRPr="00682149">
        <w:rPr>
          <w:rFonts w:ascii="Arial" w:eastAsiaTheme="minorEastAsia" w:hAnsi="Arial" w:cs="Arial"/>
          <w:iCs/>
          <w:color w:val="000000" w:themeColor="text1"/>
          <w:sz w:val="24"/>
          <w:szCs w:val="24"/>
          <w:lang w:val="es-ES" w:eastAsia="es-ES"/>
        </w:rPr>
        <w:t>iv</w:t>
      </w:r>
      <w:r w:rsidR="00C01480" w:rsidRPr="00682149">
        <w:rPr>
          <w:rFonts w:ascii="Arial" w:eastAsiaTheme="minorEastAsia" w:hAnsi="Arial" w:cs="Arial"/>
          <w:iCs/>
          <w:color w:val="000000" w:themeColor="text1"/>
          <w:sz w:val="24"/>
          <w:szCs w:val="24"/>
          <w:lang w:val="es-ES" w:eastAsia="es-ES"/>
        </w:rPr>
        <w:t xml:space="preserve">) </w:t>
      </w:r>
      <w:r w:rsidR="00A709C3" w:rsidRPr="00682149">
        <w:rPr>
          <w:rFonts w:ascii="Arial" w:eastAsiaTheme="minorEastAsia" w:hAnsi="Arial" w:cs="Arial"/>
          <w:iCs/>
          <w:color w:val="000000" w:themeColor="text1"/>
          <w:sz w:val="24"/>
          <w:szCs w:val="24"/>
          <w:lang w:val="es-ES" w:eastAsia="es-ES"/>
        </w:rPr>
        <w:t>Que e</w:t>
      </w:r>
      <w:r w:rsidR="00C10B38" w:rsidRPr="00682149">
        <w:rPr>
          <w:rFonts w:ascii="Arial" w:eastAsiaTheme="minorEastAsia" w:hAnsi="Arial" w:cs="Arial"/>
          <w:iCs/>
          <w:color w:val="000000" w:themeColor="text1"/>
          <w:sz w:val="24"/>
          <w:szCs w:val="24"/>
          <w:lang w:val="es-ES" w:eastAsia="es-ES"/>
        </w:rPr>
        <w:t>l acto objeto de control</w:t>
      </w:r>
      <w:r w:rsidR="00C04A9C" w:rsidRPr="00682149">
        <w:rPr>
          <w:rFonts w:ascii="Arial" w:eastAsiaTheme="minorEastAsia" w:hAnsi="Arial" w:cs="Arial"/>
          <w:iCs/>
          <w:color w:val="000000" w:themeColor="text1"/>
          <w:sz w:val="24"/>
          <w:szCs w:val="24"/>
          <w:lang w:val="es-ES" w:eastAsia="es-ES"/>
        </w:rPr>
        <w:t xml:space="preserve"> se expidió con fundamento en el marco normativo indicado y también </w:t>
      </w:r>
      <w:r w:rsidR="00D24735" w:rsidRPr="00682149">
        <w:rPr>
          <w:rFonts w:ascii="Arial" w:eastAsiaTheme="minorEastAsia" w:hAnsi="Arial" w:cs="Arial"/>
          <w:iCs/>
          <w:color w:val="000000" w:themeColor="text1"/>
          <w:sz w:val="24"/>
          <w:szCs w:val="24"/>
          <w:lang w:val="es-ES" w:eastAsia="es-ES"/>
        </w:rPr>
        <w:t xml:space="preserve">se fundó </w:t>
      </w:r>
      <w:r w:rsidR="00C04A9C" w:rsidRPr="00682149">
        <w:rPr>
          <w:rFonts w:ascii="Arial" w:eastAsiaTheme="minorEastAsia" w:hAnsi="Arial" w:cs="Arial"/>
          <w:iCs/>
          <w:color w:val="000000" w:themeColor="text1"/>
          <w:sz w:val="24"/>
          <w:szCs w:val="24"/>
          <w:lang w:val="es-ES" w:eastAsia="es-ES"/>
        </w:rPr>
        <w:t xml:space="preserve">en el documento de trabajo </w:t>
      </w:r>
      <w:r w:rsidR="00D24735" w:rsidRPr="00682149">
        <w:rPr>
          <w:rFonts w:ascii="Arial" w:hAnsi="Arial" w:cs="Arial"/>
          <w:color w:val="000000" w:themeColor="text1"/>
          <w:sz w:val="24"/>
          <w:szCs w:val="24"/>
        </w:rPr>
        <w:t>CREG-123 14-08-2020</w:t>
      </w:r>
      <w:r w:rsidR="0020295A" w:rsidRPr="00682149">
        <w:rPr>
          <w:rFonts w:ascii="Arial" w:hAnsi="Arial" w:cs="Arial"/>
          <w:color w:val="000000" w:themeColor="text1"/>
          <w:sz w:val="24"/>
          <w:szCs w:val="24"/>
        </w:rPr>
        <w:t xml:space="preserve">, que contiene las variables sobre </w:t>
      </w:r>
      <w:r w:rsidR="0020295A" w:rsidRPr="00682149">
        <w:rPr>
          <w:rFonts w:ascii="Arial" w:eastAsia="Times New Roman" w:hAnsi="Arial" w:cs="Arial"/>
          <w:i/>
          <w:color w:val="000000" w:themeColor="text1"/>
          <w:sz w:val="24"/>
          <w:szCs w:val="24"/>
          <w:lang w:val="es-ES" w:eastAsia="es-ES"/>
        </w:rPr>
        <w:t>“</w:t>
      </w:r>
      <w:r w:rsidR="0020295A" w:rsidRPr="00682149">
        <w:rPr>
          <w:rFonts w:ascii="Arial" w:hAnsi="Arial" w:cs="Arial"/>
          <w:i/>
          <w:color w:val="000000" w:themeColor="text1"/>
          <w:sz w:val="24"/>
          <w:szCs w:val="24"/>
        </w:rPr>
        <w:t>TARIFA TRANSITORIA PARA EL SERVICIO DE ENERGÍA ELÉCTRICA CON SOLUCIONES INDIVIDUALES SOLARES FOTOVOLTAICAS AC CON POTENCIA MAYOR A 500 W</w:t>
      </w:r>
      <w:r w:rsidR="0020295A" w:rsidRPr="00682149">
        <w:rPr>
          <w:rFonts w:ascii="Arial" w:hAnsi="Arial" w:cs="Arial"/>
          <w:color w:val="000000" w:themeColor="text1"/>
          <w:sz w:val="24"/>
          <w:szCs w:val="24"/>
        </w:rPr>
        <w:t>”</w:t>
      </w:r>
      <w:r w:rsidR="00A36AF4" w:rsidRPr="00682149">
        <w:rPr>
          <w:rFonts w:ascii="Arial" w:hAnsi="Arial" w:cs="Arial"/>
          <w:color w:val="000000" w:themeColor="text1"/>
          <w:sz w:val="24"/>
          <w:szCs w:val="24"/>
        </w:rPr>
        <w:t xml:space="preserve">, así como </w:t>
      </w:r>
      <w:r w:rsidR="0021183D" w:rsidRPr="00682149">
        <w:rPr>
          <w:rFonts w:ascii="Arial" w:hAnsi="Arial" w:cs="Arial"/>
          <w:color w:val="000000" w:themeColor="text1"/>
          <w:sz w:val="24"/>
          <w:szCs w:val="24"/>
        </w:rPr>
        <w:t xml:space="preserve"> </w:t>
      </w:r>
      <w:r w:rsidR="0020295A" w:rsidRPr="00682149">
        <w:rPr>
          <w:rFonts w:ascii="Arial" w:eastAsia="Arial" w:hAnsi="Arial" w:cs="Arial"/>
          <w:color w:val="000000" w:themeColor="text1"/>
          <w:sz w:val="24"/>
          <w:szCs w:val="24"/>
        </w:rPr>
        <w:t>el Documento CREG-131 de 3 de septiembre de 2020, que contiene el análisis de los comentarios presentados por los agentes intervinientes durante el trámite de consulta</w:t>
      </w:r>
      <w:r w:rsidR="00C04A9C" w:rsidRPr="00682149">
        <w:rPr>
          <w:rFonts w:ascii="Arial" w:eastAsia="Arial" w:hAnsi="Arial" w:cs="Arial"/>
          <w:color w:val="000000" w:themeColor="text1"/>
          <w:sz w:val="24"/>
          <w:szCs w:val="24"/>
        </w:rPr>
        <w:t xml:space="preserve">. </w:t>
      </w:r>
    </w:p>
    <w:p w14:paraId="25496031" w14:textId="77777777" w:rsidR="00C04A9C" w:rsidRPr="00682149" w:rsidRDefault="00C04A9C" w:rsidP="001C138F">
      <w:pPr>
        <w:spacing w:after="0" w:line="276" w:lineRule="auto"/>
        <w:ind w:left="708"/>
        <w:jc w:val="both"/>
        <w:rPr>
          <w:rFonts w:ascii="Arial" w:hAnsi="Arial" w:cs="Arial"/>
          <w:color w:val="000000" w:themeColor="text1"/>
          <w:sz w:val="24"/>
          <w:szCs w:val="24"/>
        </w:rPr>
      </w:pPr>
    </w:p>
    <w:p w14:paraId="40ECA8DA" w14:textId="65A4F643" w:rsidR="001324A6" w:rsidRPr="00682149" w:rsidRDefault="00C04A9C" w:rsidP="001C138F">
      <w:pPr>
        <w:spacing w:after="0" w:line="276" w:lineRule="auto"/>
        <w:ind w:left="708"/>
        <w:jc w:val="both"/>
        <w:rPr>
          <w:rFonts w:ascii="Arial" w:hAnsi="Arial" w:cs="Arial"/>
          <w:color w:val="000000" w:themeColor="text1"/>
          <w:sz w:val="24"/>
          <w:szCs w:val="24"/>
        </w:rPr>
      </w:pPr>
      <w:r w:rsidRPr="00682149">
        <w:rPr>
          <w:rFonts w:ascii="Arial" w:hAnsi="Arial" w:cs="Arial"/>
          <w:color w:val="000000" w:themeColor="text1"/>
          <w:sz w:val="24"/>
          <w:szCs w:val="24"/>
        </w:rPr>
        <w:t xml:space="preserve">v) </w:t>
      </w:r>
      <w:r w:rsidR="00A709C3" w:rsidRPr="00682149">
        <w:rPr>
          <w:rFonts w:ascii="Arial" w:hAnsi="Arial" w:cs="Arial"/>
          <w:color w:val="000000" w:themeColor="text1"/>
          <w:sz w:val="24"/>
          <w:szCs w:val="24"/>
        </w:rPr>
        <w:t>Que</w:t>
      </w:r>
      <w:r w:rsidR="00D24735" w:rsidRPr="00682149">
        <w:rPr>
          <w:rFonts w:ascii="Arial" w:hAnsi="Arial" w:cs="Arial"/>
          <w:color w:val="000000" w:themeColor="text1"/>
          <w:sz w:val="24"/>
          <w:szCs w:val="24"/>
        </w:rPr>
        <w:t>,</w:t>
      </w:r>
      <w:r w:rsidR="00A709C3" w:rsidRPr="00682149">
        <w:rPr>
          <w:rFonts w:ascii="Arial" w:hAnsi="Arial" w:cs="Arial"/>
          <w:color w:val="000000" w:themeColor="text1"/>
          <w:sz w:val="24"/>
          <w:szCs w:val="24"/>
        </w:rPr>
        <w:t xml:space="preserve"> c</w:t>
      </w:r>
      <w:r w:rsidR="0042584D" w:rsidRPr="00682149">
        <w:rPr>
          <w:rFonts w:ascii="Arial" w:hAnsi="Arial" w:cs="Arial"/>
          <w:color w:val="000000" w:themeColor="text1"/>
          <w:sz w:val="24"/>
          <w:szCs w:val="24"/>
        </w:rPr>
        <w:t>uando se expidió el acto objeto de control</w:t>
      </w:r>
      <w:r w:rsidR="00A36AF4" w:rsidRPr="00682149">
        <w:rPr>
          <w:rFonts w:ascii="Arial" w:hAnsi="Arial" w:cs="Arial"/>
          <w:color w:val="000000" w:themeColor="text1"/>
          <w:sz w:val="24"/>
          <w:szCs w:val="24"/>
        </w:rPr>
        <w:t>,</w:t>
      </w:r>
      <w:r w:rsidR="0042584D" w:rsidRPr="00682149">
        <w:rPr>
          <w:rFonts w:ascii="Arial" w:hAnsi="Arial" w:cs="Arial"/>
          <w:color w:val="000000" w:themeColor="text1"/>
          <w:sz w:val="24"/>
          <w:szCs w:val="24"/>
        </w:rPr>
        <w:t xml:space="preserve"> ya se había </w:t>
      </w:r>
      <w:r w:rsidR="0025287F" w:rsidRPr="00682149">
        <w:rPr>
          <w:rFonts w:ascii="Arial" w:hAnsi="Arial" w:cs="Arial"/>
          <w:color w:val="000000" w:themeColor="text1"/>
          <w:sz w:val="24"/>
          <w:szCs w:val="24"/>
        </w:rPr>
        <w:t xml:space="preserve">iniciado el procedimiento </w:t>
      </w:r>
      <w:r w:rsidR="003A3326" w:rsidRPr="00682149">
        <w:rPr>
          <w:rFonts w:ascii="Arial" w:hAnsi="Arial" w:cs="Arial"/>
          <w:color w:val="000000" w:themeColor="text1"/>
          <w:sz w:val="24"/>
          <w:szCs w:val="24"/>
        </w:rPr>
        <w:t xml:space="preserve">ordinario </w:t>
      </w:r>
      <w:r w:rsidR="0025287F" w:rsidRPr="00682149">
        <w:rPr>
          <w:rFonts w:ascii="Arial" w:hAnsi="Arial" w:cs="Arial"/>
          <w:color w:val="000000" w:themeColor="text1"/>
          <w:sz w:val="24"/>
          <w:szCs w:val="24"/>
        </w:rPr>
        <w:t>para d</w:t>
      </w:r>
      <w:r w:rsidR="00B900A9" w:rsidRPr="00682149">
        <w:rPr>
          <w:rFonts w:ascii="Arial" w:hAnsi="Arial" w:cs="Arial"/>
          <w:color w:val="000000" w:themeColor="text1"/>
          <w:sz w:val="24"/>
          <w:szCs w:val="24"/>
        </w:rPr>
        <w:t>efinir las tarifas generales para</w:t>
      </w:r>
      <w:r w:rsidR="00242CB9" w:rsidRPr="00682149">
        <w:rPr>
          <w:rFonts w:ascii="Arial" w:hAnsi="Arial" w:cs="Arial"/>
          <w:color w:val="000000" w:themeColor="text1"/>
          <w:sz w:val="24"/>
          <w:szCs w:val="24"/>
        </w:rPr>
        <w:t xml:space="preserve"> la prestación del servicio </w:t>
      </w:r>
      <w:r w:rsidR="00C47E76" w:rsidRPr="00682149">
        <w:rPr>
          <w:rFonts w:ascii="Arial" w:hAnsi="Arial" w:cs="Arial"/>
          <w:color w:val="000000" w:themeColor="text1"/>
          <w:sz w:val="24"/>
          <w:szCs w:val="24"/>
        </w:rPr>
        <w:t xml:space="preserve">en </w:t>
      </w:r>
      <w:r w:rsidR="003A3326" w:rsidRPr="00682149">
        <w:rPr>
          <w:rFonts w:ascii="Arial" w:hAnsi="Arial" w:cs="Arial"/>
          <w:color w:val="000000" w:themeColor="text1"/>
          <w:sz w:val="24"/>
          <w:szCs w:val="24"/>
        </w:rPr>
        <w:t>soluciones individuales</w:t>
      </w:r>
      <w:r w:rsidR="00C47E76" w:rsidRPr="00682149">
        <w:rPr>
          <w:rFonts w:ascii="Arial" w:hAnsi="Arial" w:cs="Arial"/>
          <w:color w:val="000000" w:themeColor="text1"/>
          <w:sz w:val="24"/>
          <w:szCs w:val="24"/>
        </w:rPr>
        <w:t xml:space="preserve"> fotovoltaicas</w:t>
      </w:r>
      <w:r w:rsidR="003A3326" w:rsidRPr="00682149">
        <w:rPr>
          <w:rFonts w:ascii="Arial" w:eastAsiaTheme="minorEastAsia" w:hAnsi="Arial" w:cs="Arial"/>
          <w:b/>
          <w:color w:val="000000" w:themeColor="text1"/>
          <w:sz w:val="24"/>
          <w:szCs w:val="24"/>
          <w:lang w:val="es-ES" w:eastAsia="es-ES"/>
        </w:rPr>
        <w:t xml:space="preserve"> </w:t>
      </w:r>
      <w:r w:rsidR="00903D4D" w:rsidRPr="00682149">
        <w:rPr>
          <w:rFonts w:ascii="Arial" w:eastAsiaTheme="minorEastAsia" w:hAnsi="Arial" w:cs="Arial"/>
          <w:color w:val="000000" w:themeColor="text1"/>
          <w:sz w:val="24"/>
          <w:szCs w:val="24"/>
          <w:lang w:val="es-ES" w:eastAsia="es-ES"/>
        </w:rPr>
        <w:t xml:space="preserve">con potencia superior a 0.5 KW </w:t>
      </w:r>
      <w:r w:rsidR="003A3326" w:rsidRPr="00682149">
        <w:rPr>
          <w:rFonts w:ascii="Arial" w:eastAsiaTheme="minorEastAsia" w:hAnsi="Arial" w:cs="Arial"/>
          <w:color w:val="000000" w:themeColor="text1"/>
          <w:sz w:val="24"/>
          <w:szCs w:val="24"/>
          <w:lang w:val="es-ES" w:eastAsia="es-ES"/>
        </w:rPr>
        <w:t>en zonas no interconectadas ZNI</w:t>
      </w:r>
      <w:r w:rsidR="0025287F" w:rsidRPr="00682149">
        <w:rPr>
          <w:rFonts w:ascii="Arial" w:hAnsi="Arial" w:cs="Arial"/>
          <w:color w:val="000000" w:themeColor="text1"/>
          <w:sz w:val="24"/>
          <w:szCs w:val="24"/>
        </w:rPr>
        <w:t xml:space="preserve">, conforme da cuenta </w:t>
      </w:r>
      <w:r w:rsidR="0042584D" w:rsidRPr="00682149">
        <w:rPr>
          <w:rFonts w:ascii="Arial" w:hAnsi="Arial" w:cs="Arial"/>
          <w:color w:val="000000" w:themeColor="text1"/>
          <w:sz w:val="24"/>
          <w:szCs w:val="24"/>
        </w:rPr>
        <w:t>la Resolución 137 de 14 de julio de 2020</w:t>
      </w:r>
      <w:r w:rsidR="0021183D" w:rsidRPr="00682149">
        <w:rPr>
          <w:rFonts w:ascii="Arial" w:hAnsi="Arial" w:cs="Arial"/>
          <w:color w:val="000000" w:themeColor="text1"/>
          <w:sz w:val="24"/>
          <w:szCs w:val="24"/>
        </w:rPr>
        <w:t>.</w:t>
      </w:r>
      <w:r w:rsidR="0025287F" w:rsidRPr="00682149">
        <w:rPr>
          <w:rFonts w:ascii="Arial" w:hAnsi="Arial" w:cs="Arial"/>
          <w:color w:val="000000" w:themeColor="text1"/>
          <w:sz w:val="24"/>
          <w:szCs w:val="24"/>
        </w:rPr>
        <w:t xml:space="preserve"> </w:t>
      </w:r>
    </w:p>
    <w:p w14:paraId="455B8D62" w14:textId="77777777" w:rsidR="001324A6" w:rsidRPr="00682149" w:rsidRDefault="001324A6" w:rsidP="001C138F">
      <w:pPr>
        <w:spacing w:after="0" w:line="276" w:lineRule="auto"/>
        <w:jc w:val="both"/>
        <w:rPr>
          <w:rFonts w:ascii="Arial" w:hAnsi="Arial" w:cs="Arial"/>
          <w:color w:val="000000" w:themeColor="text1"/>
          <w:sz w:val="24"/>
          <w:szCs w:val="24"/>
          <w:highlight w:val="cyan"/>
        </w:rPr>
      </w:pPr>
    </w:p>
    <w:p w14:paraId="0CF04B90" w14:textId="01835F06" w:rsidR="0021183D" w:rsidRPr="00682149" w:rsidRDefault="00A709C3" w:rsidP="001C138F">
      <w:pPr>
        <w:spacing w:after="0" w:line="276" w:lineRule="auto"/>
        <w:jc w:val="both"/>
        <w:rPr>
          <w:rFonts w:ascii="Arial" w:eastAsia="Times New Roman" w:hAnsi="Arial" w:cs="Arial"/>
          <w:color w:val="000000" w:themeColor="text1"/>
          <w:sz w:val="24"/>
          <w:szCs w:val="24"/>
          <w:lang w:val="es-CO" w:eastAsia="es-ES_tradnl"/>
        </w:rPr>
      </w:pPr>
      <w:r w:rsidRPr="00682149">
        <w:rPr>
          <w:rFonts w:ascii="Arial" w:eastAsia="Times New Roman" w:hAnsi="Arial" w:cs="Arial"/>
          <w:color w:val="000000" w:themeColor="text1"/>
          <w:sz w:val="24"/>
          <w:szCs w:val="24"/>
          <w:lang w:val="es-CO" w:eastAsia="es-ES_tradnl"/>
        </w:rPr>
        <w:t>En consecuencia, los fundamentos</w:t>
      </w:r>
      <w:r w:rsidR="00C04A9C" w:rsidRPr="00682149">
        <w:rPr>
          <w:rFonts w:ascii="Arial" w:eastAsia="Times New Roman" w:hAnsi="Arial" w:cs="Arial"/>
          <w:color w:val="000000" w:themeColor="text1"/>
          <w:sz w:val="24"/>
          <w:szCs w:val="24"/>
          <w:lang w:val="es-CO" w:eastAsia="es-ES_tradnl"/>
        </w:rPr>
        <w:t xml:space="preserve"> puestos de presente, </w:t>
      </w:r>
      <w:r w:rsidR="00873919" w:rsidRPr="00682149">
        <w:rPr>
          <w:rFonts w:ascii="Arial" w:eastAsia="Times New Roman" w:hAnsi="Arial" w:cs="Arial"/>
          <w:color w:val="000000" w:themeColor="text1"/>
          <w:sz w:val="24"/>
          <w:szCs w:val="24"/>
          <w:lang w:val="es-CO" w:eastAsia="es-ES_tradnl"/>
        </w:rPr>
        <w:t xml:space="preserve">permiten inferir que </w:t>
      </w:r>
      <w:r w:rsidR="0021183D" w:rsidRPr="00682149">
        <w:rPr>
          <w:rFonts w:ascii="Arial" w:eastAsia="Times New Roman" w:hAnsi="Arial" w:cs="Arial"/>
          <w:color w:val="000000" w:themeColor="text1"/>
          <w:sz w:val="24"/>
          <w:szCs w:val="24"/>
          <w:lang w:val="es-CO" w:eastAsia="es-ES_tradnl"/>
        </w:rPr>
        <w:t xml:space="preserve">de cara a un </w:t>
      </w:r>
      <w:r w:rsidR="00C04A9C" w:rsidRPr="00682149">
        <w:rPr>
          <w:rFonts w:ascii="Arial" w:eastAsia="Times New Roman" w:hAnsi="Arial" w:cs="Arial"/>
          <w:color w:val="000000" w:themeColor="text1"/>
          <w:sz w:val="24"/>
          <w:szCs w:val="24"/>
          <w:lang w:val="es-CO" w:eastAsia="es-ES_tradnl"/>
        </w:rPr>
        <w:t>escrutinio sustancial del acto con miras a establecer si se ajusta al ordenamiento jurídico</w:t>
      </w:r>
      <w:r w:rsidR="00873919" w:rsidRPr="00682149">
        <w:rPr>
          <w:rFonts w:ascii="Arial" w:eastAsia="Times New Roman" w:hAnsi="Arial" w:cs="Arial"/>
          <w:color w:val="000000" w:themeColor="text1"/>
          <w:sz w:val="24"/>
          <w:szCs w:val="24"/>
          <w:lang w:val="es-CO" w:eastAsia="es-ES_tradnl"/>
        </w:rPr>
        <w:t xml:space="preserve">, </w:t>
      </w:r>
      <w:r w:rsidR="0021183D" w:rsidRPr="00682149">
        <w:rPr>
          <w:rFonts w:ascii="Arial" w:eastAsia="Times New Roman" w:hAnsi="Arial" w:cs="Arial"/>
          <w:color w:val="000000" w:themeColor="text1"/>
          <w:sz w:val="24"/>
          <w:szCs w:val="24"/>
          <w:lang w:val="es-CO" w:eastAsia="es-ES_tradnl"/>
        </w:rPr>
        <w:t xml:space="preserve">apunta a </w:t>
      </w:r>
      <w:r w:rsidR="00CD4EA8" w:rsidRPr="00682149">
        <w:rPr>
          <w:rFonts w:ascii="Arial" w:eastAsia="Times New Roman" w:hAnsi="Arial" w:cs="Arial"/>
          <w:color w:val="000000" w:themeColor="text1"/>
          <w:sz w:val="24"/>
          <w:szCs w:val="24"/>
          <w:lang w:val="es-CO" w:eastAsia="es-ES_tradnl"/>
        </w:rPr>
        <w:t>deducir</w:t>
      </w:r>
      <w:r w:rsidR="0021183D" w:rsidRPr="00682149">
        <w:rPr>
          <w:rFonts w:ascii="Arial" w:eastAsia="Times New Roman" w:hAnsi="Arial" w:cs="Arial"/>
          <w:color w:val="000000" w:themeColor="text1"/>
          <w:sz w:val="24"/>
          <w:szCs w:val="24"/>
          <w:lang w:val="es-CO" w:eastAsia="es-ES_tradnl"/>
        </w:rPr>
        <w:t xml:space="preserve"> que </w:t>
      </w:r>
      <w:r w:rsidR="00873919" w:rsidRPr="00682149">
        <w:rPr>
          <w:rFonts w:ascii="Arial" w:eastAsia="Times New Roman" w:hAnsi="Arial" w:cs="Arial"/>
          <w:color w:val="000000" w:themeColor="text1"/>
          <w:sz w:val="24"/>
          <w:szCs w:val="24"/>
          <w:lang w:val="es-CO" w:eastAsia="es-ES_tradnl"/>
        </w:rPr>
        <w:t xml:space="preserve">las medidas adoptadas en la Resolución 166 </w:t>
      </w:r>
      <w:r w:rsidR="0021183D" w:rsidRPr="00682149">
        <w:rPr>
          <w:rFonts w:ascii="Arial" w:eastAsia="Times New Roman" w:hAnsi="Arial" w:cs="Arial"/>
          <w:color w:val="000000" w:themeColor="text1"/>
          <w:sz w:val="24"/>
          <w:szCs w:val="24"/>
          <w:lang w:val="es-CO" w:eastAsia="es-ES_tradnl"/>
        </w:rPr>
        <w:t xml:space="preserve">de 2020 </w:t>
      </w:r>
      <w:r w:rsidR="00873919" w:rsidRPr="00682149">
        <w:rPr>
          <w:rFonts w:ascii="Arial" w:eastAsia="Times New Roman" w:hAnsi="Arial" w:cs="Arial"/>
          <w:color w:val="000000" w:themeColor="text1"/>
          <w:sz w:val="24"/>
          <w:szCs w:val="24"/>
          <w:lang w:val="es-CO" w:eastAsia="es-ES_tradnl"/>
        </w:rPr>
        <w:t xml:space="preserve">superan el juicio de </w:t>
      </w:r>
      <w:r w:rsidR="0021183D" w:rsidRPr="00682149">
        <w:rPr>
          <w:rFonts w:ascii="Arial" w:eastAsia="Times New Roman" w:hAnsi="Arial" w:cs="Arial"/>
          <w:color w:val="000000" w:themeColor="text1"/>
          <w:sz w:val="24"/>
          <w:szCs w:val="24"/>
          <w:lang w:val="es-CO" w:eastAsia="es-ES_tradnl"/>
        </w:rPr>
        <w:t xml:space="preserve">legalidad por </w:t>
      </w:r>
      <w:r w:rsidR="000C3A4E">
        <w:rPr>
          <w:rFonts w:ascii="Arial" w:eastAsia="Times New Roman" w:hAnsi="Arial" w:cs="Arial"/>
          <w:color w:val="000000" w:themeColor="text1"/>
          <w:sz w:val="24"/>
          <w:szCs w:val="24"/>
          <w:lang w:val="es-CO" w:eastAsia="es-ES_tradnl"/>
        </w:rPr>
        <w:t xml:space="preserve">cuanto </w:t>
      </w:r>
      <w:r w:rsidR="0021183D" w:rsidRPr="00682149">
        <w:rPr>
          <w:rFonts w:ascii="Arial" w:eastAsia="Times New Roman" w:hAnsi="Arial" w:cs="Arial"/>
          <w:color w:val="000000" w:themeColor="text1"/>
          <w:sz w:val="24"/>
          <w:szCs w:val="24"/>
          <w:lang w:val="es-CO" w:eastAsia="es-ES_tradnl"/>
        </w:rPr>
        <w:t xml:space="preserve">no </w:t>
      </w:r>
      <w:r w:rsidR="00CD4EA8" w:rsidRPr="00682149">
        <w:rPr>
          <w:rFonts w:ascii="Arial" w:eastAsia="Times New Roman" w:hAnsi="Arial" w:cs="Arial"/>
          <w:color w:val="000000" w:themeColor="text1"/>
          <w:sz w:val="24"/>
          <w:szCs w:val="24"/>
          <w:lang w:val="es-CO" w:eastAsia="es-ES_tradnl"/>
        </w:rPr>
        <w:t>contrarían</w:t>
      </w:r>
      <w:r w:rsidR="0021183D" w:rsidRPr="00682149">
        <w:rPr>
          <w:rFonts w:ascii="Arial" w:eastAsia="Times New Roman" w:hAnsi="Arial" w:cs="Arial"/>
          <w:color w:val="000000" w:themeColor="text1"/>
          <w:sz w:val="24"/>
          <w:szCs w:val="24"/>
          <w:lang w:val="es-CO" w:eastAsia="es-ES_tradnl"/>
        </w:rPr>
        <w:t xml:space="preserve"> el marco </w:t>
      </w:r>
      <w:r w:rsidR="00CD4EA8" w:rsidRPr="00682149">
        <w:rPr>
          <w:rFonts w:ascii="Arial" w:eastAsia="Times New Roman" w:hAnsi="Arial" w:cs="Arial"/>
          <w:color w:val="000000" w:themeColor="text1"/>
          <w:sz w:val="24"/>
          <w:szCs w:val="24"/>
          <w:lang w:val="es-CO" w:eastAsia="es-ES_tradnl"/>
        </w:rPr>
        <w:t>jurídico</w:t>
      </w:r>
      <w:r w:rsidR="0021183D" w:rsidRPr="00682149">
        <w:rPr>
          <w:rFonts w:ascii="Arial" w:eastAsia="Times New Roman" w:hAnsi="Arial" w:cs="Arial"/>
          <w:color w:val="000000" w:themeColor="text1"/>
          <w:sz w:val="24"/>
          <w:szCs w:val="24"/>
          <w:lang w:val="es-CO" w:eastAsia="es-ES_tradnl"/>
        </w:rPr>
        <w:t xml:space="preserve"> que le</w:t>
      </w:r>
      <w:r w:rsidR="000C3A4E">
        <w:rPr>
          <w:rFonts w:ascii="Arial" w:eastAsia="Times New Roman" w:hAnsi="Arial" w:cs="Arial"/>
          <w:color w:val="000000" w:themeColor="text1"/>
          <w:sz w:val="24"/>
          <w:szCs w:val="24"/>
          <w:lang w:val="es-CO" w:eastAsia="es-ES_tradnl"/>
        </w:rPr>
        <w:t>s</w:t>
      </w:r>
      <w:r w:rsidR="0021183D" w:rsidRPr="00682149">
        <w:rPr>
          <w:rFonts w:ascii="Arial" w:eastAsia="Times New Roman" w:hAnsi="Arial" w:cs="Arial"/>
          <w:color w:val="000000" w:themeColor="text1"/>
          <w:sz w:val="24"/>
          <w:szCs w:val="24"/>
          <w:lang w:val="es-CO" w:eastAsia="es-ES_tradnl"/>
        </w:rPr>
        <w:t xml:space="preserve"> da sustento. </w:t>
      </w:r>
    </w:p>
    <w:p w14:paraId="123B64AB" w14:textId="77777777" w:rsidR="0021183D" w:rsidRPr="00682149" w:rsidRDefault="0021183D" w:rsidP="001C138F">
      <w:pPr>
        <w:spacing w:after="0" w:line="276" w:lineRule="auto"/>
        <w:jc w:val="both"/>
        <w:rPr>
          <w:rFonts w:ascii="Arial" w:eastAsia="Times New Roman" w:hAnsi="Arial" w:cs="Arial"/>
          <w:color w:val="000000" w:themeColor="text1"/>
          <w:sz w:val="24"/>
          <w:szCs w:val="24"/>
          <w:lang w:val="es-CO" w:eastAsia="es-ES_tradnl"/>
        </w:rPr>
      </w:pPr>
    </w:p>
    <w:p w14:paraId="7E3CE82C" w14:textId="77777777" w:rsidR="00B41E04" w:rsidRPr="00682149" w:rsidRDefault="00D24735" w:rsidP="001C138F">
      <w:pPr>
        <w:spacing w:after="0" w:line="276" w:lineRule="auto"/>
        <w:jc w:val="both"/>
        <w:rPr>
          <w:rFonts w:ascii="Arial" w:eastAsia="Times New Roman" w:hAnsi="Arial" w:cs="Arial"/>
          <w:color w:val="000000" w:themeColor="text1"/>
          <w:sz w:val="24"/>
          <w:szCs w:val="24"/>
          <w:lang w:val="es-CO" w:eastAsia="es-ES_tradnl"/>
        </w:rPr>
      </w:pPr>
      <w:r w:rsidRPr="00682149">
        <w:rPr>
          <w:rFonts w:ascii="Arial" w:eastAsia="Times New Roman" w:hAnsi="Arial" w:cs="Arial"/>
          <w:color w:val="000000" w:themeColor="text1"/>
          <w:sz w:val="24"/>
          <w:szCs w:val="24"/>
          <w:lang w:val="es-CO" w:eastAsia="es-ES_tradnl"/>
        </w:rPr>
        <w:t>En ese orden, la medida es</w:t>
      </w:r>
      <w:r w:rsidR="00B41E04" w:rsidRPr="00682149">
        <w:rPr>
          <w:rFonts w:ascii="Arial" w:eastAsia="Times New Roman" w:hAnsi="Arial" w:cs="Arial"/>
          <w:color w:val="000000" w:themeColor="text1"/>
          <w:sz w:val="24"/>
          <w:szCs w:val="24"/>
          <w:lang w:val="es-CO" w:eastAsia="es-ES_tradnl"/>
        </w:rPr>
        <w:t xml:space="preserve">: </w:t>
      </w:r>
    </w:p>
    <w:p w14:paraId="04D13ABA" w14:textId="77777777" w:rsidR="00B41E04" w:rsidRPr="00682149" w:rsidRDefault="00B41E04" w:rsidP="001C138F">
      <w:pPr>
        <w:spacing w:after="0" w:line="276" w:lineRule="auto"/>
        <w:jc w:val="both"/>
        <w:rPr>
          <w:rFonts w:ascii="Arial" w:eastAsia="Times New Roman" w:hAnsi="Arial" w:cs="Arial"/>
          <w:color w:val="000000" w:themeColor="text1"/>
          <w:sz w:val="24"/>
          <w:szCs w:val="24"/>
          <w:lang w:val="es-CO" w:eastAsia="es-ES_tradnl"/>
        </w:rPr>
      </w:pPr>
    </w:p>
    <w:p w14:paraId="30F1A27A" w14:textId="29A47CC4" w:rsidR="00873919" w:rsidRPr="00682149" w:rsidRDefault="00B41E04" w:rsidP="001C138F">
      <w:pPr>
        <w:spacing w:after="0" w:line="276" w:lineRule="auto"/>
        <w:ind w:firstLine="708"/>
        <w:jc w:val="both"/>
        <w:rPr>
          <w:rFonts w:ascii="Arial" w:eastAsiaTheme="minorEastAsia" w:hAnsi="Arial" w:cs="Arial"/>
          <w:color w:val="000000" w:themeColor="text1"/>
          <w:sz w:val="24"/>
          <w:szCs w:val="24"/>
          <w:lang w:val="es-ES" w:eastAsia="es-ES"/>
        </w:rPr>
      </w:pPr>
      <w:r w:rsidRPr="00682149">
        <w:rPr>
          <w:rFonts w:ascii="Arial" w:eastAsia="Times New Roman" w:hAnsi="Arial" w:cs="Arial"/>
          <w:color w:val="000000" w:themeColor="text1"/>
          <w:sz w:val="24"/>
          <w:szCs w:val="24"/>
          <w:lang w:val="es-CO" w:eastAsia="es-ES_tradnl"/>
        </w:rPr>
        <w:t>-</w:t>
      </w:r>
      <w:r w:rsidR="00D24735" w:rsidRPr="00682149">
        <w:rPr>
          <w:rFonts w:ascii="Arial" w:eastAsia="Times New Roman" w:hAnsi="Arial" w:cs="Arial"/>
          <w:color w:val="000000" w:themeColor="text1"/>
          <w:sz w:val="24"/>
          <w:szCs w:val="24"/>
          <w:lang w:val="es-CO" w:eastAsia="es-ES_tradnl"/>
        </w:rPr>
        <w:t xml:space="preserve"> </w:t>
      </w:r>
      <w:r w:rsidRPr="00682149">
        <w:rPr>
          <w:rFonts w:ascii="Arial" w:eastAsia="Times New Roman" w:hAnsi="Arial" w:cs="Arial"/>
          <w:color w:val="000000" w:themeColor="text1"/>
          <w:sz w:val="24"/>
          <w:szCs w:val="24"/>
          <w:lang w:val="es-CO" w:eastAsia="es-ES_tradnl"/>
        </w:rPr>
        <w:t>N</w:t>
      </w:r>
      <w:r w:rsidR="00D24735" w:rsidRPr="00682149">
        <w:rPr>
          <w:rFonts w:ascii="Arial" w:eastAsia="Times New Roman" w:hAnsi="Arial" w:cs="Arial"/>
          <w:color w:val="000000" w:themeColor="text1"/>
          <w:sz w:val="24"/>
          <w:szCs w:val="24"/>
          <w:lang w:val="es-CO" w:eastAsia="es-ES_tradnl"/>
        </w:rPr>
        <w:t>ecesaria</w:t>
      </w:r>
      <w:r w:rsidR="000C3A4E">
        <w:rPr>
          <w:rFonts w:ascii="Arial" w:eastAsia="Times New Roman" w:hAnsi="Arial" w:cs="Arial"/>
          <w:color w:val="000000" w:themeColor="text1"/>
          <w:sz w:val="24"/>
          <w:szCs w:val="24"/>
          <w:lang w:val="es-CO" w:eastAsia="es-ES_tradnl"/>
        </w:rPr>
        <w:t>,</w:t>
      </w:r>
      <w:r w:rsidR="00873919" w:rsidRPr="00682149">
        <w:rPr>
          <w:rFonts w:ascii="Arial" w:eastAsia="Times New Roman" w:hAnsi="Arial" w:cs="Arial"/>
          <w:color w:val="000000" w:themeColor="text1"/>
          <w:sz w:val="24"/>
          <w:szCs w:val="24"/>
          <w:lang w:val="es-CO" w:eastAsia="es-ES_tradnl"/>
        </w:rPr>
        <w:t xml:space="preserve"> dado que </w:t>
      </w:r>
      <w:r w:rsidR="00C01480" w:rsidRPr="00682149">
        <w:rPr>
          <w:rFonts w:ascii="Arial" w:hAnsi="Arial" w:cs="Arial"/>
          <w:color w:val="000000" w:themeColor="text1"/>
          <w:sz w:val="24"/>
          <w:szCs w:val="24"/>
        </w:rPr>
        <w:t xml:space="preserve">busca </w:t>
      </w:r>
      <w:r w:rsidR="0025287F" w:rsidRPr="00682149">
        <w:rPr>
          <w:rFonts w:ascii="Arial" w:hAnsi="Arial" w:cs="Arial"/>
          <w:color w:val="000000" w:themeColor="text1"/>
          <w:sz w:val="24"/>
          <w:szCs w:val="24"/>
        </w:rPr>
        <w:t>protege</w:t>
      </w:r>
      <w:r w:rsidR="00C01480" w:rsidRPr="00682149">
        <w:rPr>
          <w:rFonts w:ascii="Arial" w:hAnsi="Arial" w:cs="Arial"/>
          <w:color w:val="000000" w:themeColor="text1"/>
          <w:sz w:val="24"/>
          <w:szCs w:val="24"/>
        </w:rPr>
        <w:t>r</w:t>
      </w:r>
      <w:r w:rsidR="0025287F" w:rsidRPr="00682149">
        <w:rPr>
          <w:rFonts w:ascii="Arial" w:hAnsi="Arial" w:cs="Arial"/>
          <w:color w:val="000000" w:themeColor="text1"/>
          <w:sz w:val="24"/>
          <w:szCs w:val="24"/>
        </w:rPr>
        <w:t xml:space="preserve"> a los usuarios de manera transitoria</w:t>
      </w:r>
      <w:r w:rsidR="005C00EC" w:rsidRPr="00682149">
        <w:rPr>
          <w:rFonts w:ascii="Arial" w:hAnsi="Arial" w:cs="Arial"/>
          <w:color w:val="000000" w:themeColor="text1"/>
          <w:sz w:val="24"/>
          <w:szCs w:val="24"/>
        </w:rPr>
        <w:t>, par</w:t>
      </w:r>
      <w:r w:rsidR="00A97CB1" w:rsidRPr="00682149">
        <w:rPr>
          <w:rFonts w:ascii="Arial" w:hAnsi="Arial" w:cs="Arial"/>
          <w:color w:val="000000" w:themeColor="text1"/>
          <w:sz w:val="24"/>
          <w:szCs w:val="24"/>
        </w:rPr>
        <w:t xml:space="preserve">a que estos </w:t>
      </w:r>
      <w:r w:rsidR="0021183D" w:rsidRPr="00682149">
        <w:rPr>
          <w:rFonts w:ascii="Arial" w:hAnsi="Arial" w:cs="Arial"/>
          <w:color w:val="000000" w:themeColor="text1"/>
          <w:sz w:val="24"/>
          <w:szCs w:val="24"/>
        </w:rPr>
        <w:t xml:space="preserve">paguen </w:t>
      </w:r>
      <w:r w:rsidR="005C00EC" w:rsidRPr="00682149">
        <w:rPr>
          <w:rFonts w:ascii="Arial" w:hAnsi="Arial" w:cs="Arial"/>
          <w:color w:val="000000" w:themeColor="text1"/>
          <w:sz w:val="24"/>
          <w:szCs w:val="24"/>
        </w:rPr>
        <w:t>los costos aplicables a este tipo de soluciones energéticas de a</w:t>
      </w:r>
      <w:r w:rsidR="0021183D" w:rsidRPr="00682149">
        <w:rPr>
          <w:rFonts w:ascii="Arial" w:hAnsi="Arial" w:cs="Arial"/>
          <w:color w:val="000000" w:themeColor="text1"/>
          <w:sz w:val="24"/>
          <w:szCs w:val="24"/>
        </w:rPr>
        <w:t>cuerdo con las tarifas regulada</w:t>
      </w:r>
      <w:r w:rsidR="00A97CB1" w:rsidRPr="00682149">
        <w:rPr>
          <w:rFonts w:ascii="Arial" w:hAnsi="Arial" w:cs="Arial"/>
          <w:color w:val="000000" w:themeColor="text1"/>
          <w:sz w:val="24"/>
          <w:szCs w:val="24"/>
        </w:rPr>
        <w:t>s</w:t>
      </w:r>
      <w:r w:rsidR="0021183D" w:rsidRPr="00682149">
        <w:rPr>
          <w:rFonts w:ascii="Arial" w:hAnsi="Arial" w:cs="Arial"/>
          <w:color w:val="000000" w:themeColor="text1"/>
          <w:sz w:val="24"/>
          <w:szCs w:val="24"/>
        </w:rPr>
        <w:t xml:space="preserve">, </w:t>
      </w:r>
      <w:r w:rsidR="00A97CB1" w:rsidRPr="00682149">
        <w:rPr>
          <w:rFonts w:ascii="Arial" w:hAnsi="Arial" w:cs="Arial"/>
          <w:color w:val="000000" w:themeColor="text1"/>
          <w:sz w:val="24"/>
          <w:szCs w:val="24"/>
        </w:rPr>
        <w:t xml:space="preserve">pues </w:t>
      </w:r>
      <w:r w:rsidR="0021183D" w:rsidRPr="00682149">
        <w:rPr>
          <w:rFonts w:ascii="Arial" w:hAnsi="Arial" w:cs="Arial"/>
          <w:color w:val="000000" w:themeColor="text1"/>
          <w:sz w:val="24"/>
          <w:szCs w:val="24"/>
        </w:rPr>
        <w:t xml:space="preserve">las </w:t>
      </w:r>
      <w:r w:rsidR="001324A6" w:rsidRPr="00682149">
        <w:rPr>
          <w:rFonts w:ascii="Arial" w:hAnsi="Arial" w:cs="Arial"/>
          <w:color w:val="000000" w:themeColor="text1"/>
          <w:sz w:val="24"/>
          <w:szCs w:val="24"/>
        </w:rPr>
        <w:t xml:space="preserve">contenidas en la Resolución 118 de 2 de junio de 2020, que se hicieron extensivas a las zonas no interconectadas, </w:t>
      </w:r>
      <w:r w:rsidR="0025287F" w:rsidRPr="00682149">
        <w:rPr>
          <w:rFonts w:ascii="Arial" w:hAnsi="Arial" w:cs="Arial"/>
          <w:color w:val="000000" w:themeColor="text1"/>
          <w:sz w:val="24"/>
          <w:szCs w:val="24"/>
        </w:rPr>
        <w:t>no responden a la especificidad del servicio</w:t>
      </w:r>
      <w:r w:rsidR="00903D4D" w:rsidRPr="00682149">
        <w:rPr>
          <w:rFonts w:ascii="Arial" w:hAnsi="Arial" w:cs="Arial"/>
          <w:color w:val="000000" w:themeColor="text1"/>
          <w:sz w:val="24"/>
          <w:szCs w:val="24"/>
        </w:rPr>
        <w:t xml:space="preserve">, </w:t>
      </w:r>
      <w:r w:rsidR="00FD38E9" w:rsidRPr="00682149">
        <w:rPr>
          <w:rFonts w:ascii="Arial" w:hAnsi="Arial" w:cs="Arial"/>
          <w:color w:val="000000" w:themeColor="text1"/>
          <w:sz w:val="24"/>
          <w:szCs w:val="24"/>
        </w:rPr>
        <w:t xml:space="preserve">pues </w:t>
      </w:r>
      <w:r w:rsidR="005C00EC" w:rsidRPr="00682149">
        <w:rPr>
          <w:rFonts w:ascii="Arial" w:hAnsi="Arial" w:cs="Arial"/>
          <w:color w:val="000000" w:themeColor="text1"/>
          <w:sz w:val="24"/>
          <w:szCs w:val="24"/>
        </w:rPr>
        <w:t>fueron expedidas</w:t>
      </w:r>
      <w:r w:rsidR="002446DD" w:rsidRPr="00682149">
        <w:rPr>
          <w:rFonts w:ascii="Arial" w:hAnsi="Arial" w:cs="Arial"/>
          <w:color w:val="000000" w:themeColor="text1"/>
          <w:sz w:val="24"/>
          <w:szCs w:val="24"/>
        </w:rPr>
        <w:t xml:space="preserve"> para</w:t>
      </w:r>
      <w:r w:rsidR="005C00EC" w:rsidRPr="00682149">
        <w:rPr>
          <w:rFonts w:ascii="Arial" w:hAnsi="Arial" w:cs="Arial"/>
          <w:color w:val="000000" w:themeColor="text1"/>
          <w:sz w:val="24"/>
          <w:szCs w:val="24"/>
        </w:rPr>
        <w:t xml:space="preserve"> </w:t>
      </w:r>
      <w:r w:rsidR="00903D4D" w:rsidRPr="00682149">
        <w:rPr>
          <w:rFonts w:ascii="Arial" w:hAnsi="Arial" w:cs="Arial"/>
          <w:color w:val="000000" w:themeColor="text1"/>
          <w:sz w:val="24"/>
          <w:szCs w:val="24"/>
        </w:rPr>
        <w:t>el sistema interconectado nacional</w:t>
      </w:r>
      <w:r w:rsidR="001324A6" w:rsidRPr="00682149">
        <w:rPr>
          <w:rFonts w:ascii="Arial" w:hAnsi="Arial" w:cs="Arial"/>
          <w:color w:val="000000" w:themeColor="text1"/>
          <w:sz w:val="24"/>
          <w:szCs w:val="24"/>
        </w:rPr>
        <w:t xml:space="preserve">, </w:t>
      </w:r>
      <w:r w:rsidR="00B900A9" w:rsidRPr="00682149">
        <w:rPr>
          <w:rFonts w:ascii="Arial" w:hAnsi="Arial" w:cs="Arial"/>
          <w:color w:val="000000" w:themeColor="text1"/>
          <w:sz w:val="24"/>
          <w:szCs w:val="24"/>
        </w:rPr>
        <w:t>cuyas variables difieren</w:t>
      </w:r>
      <w:r w:rsidR="005C00EC" w:rsidRPr="00682149">
        <w:rPr>
          <w:rFonts w:ascii="Arial" w:hAnsi="Arial" w:cs="Arial"/>
          <w:color w:val="000000" w:themeColor="text1"/>
          <w:sz w:val="24"/>
          <w:szCs w:val="24"/>
        </w:rPr>
        <w:t xml:space="preserve"> en</w:t>
      </w:r>
      <w:r w:rsidR="00A97CB1" w:rsidRPr="00682149">
        <w:rPr>
          <w:rFonts w:ascii="Arial" w:hAnsi="Arial" w:cs="Arial"/>
          <w:color w:val="000000" w:themeColor="text1"/>
          <w:sz w:val="24"/>
          <w:szCs w:val="24"/>
        </w:rPr>
        <w:t xml:space="preserve"> uno y otro caso. </w:t>
      </w:r>
    </w:p>
    <w:p w14:paraId="6FF0F952" w14:textId="77777777" w:rsidR="00A97CB1" w:rsidRPr="00682149" w:rsidRDefault="00A97CB1" w:rsidP="001C138F">
      <w:pPr>
        <w:spacing w:after="0" w:line="276" w:lineRule="auto"/>
        <w:jc w:val="both"/>
        <w:rPr>
          <w:rFonts w:ascii="Arial" w:eastAsia="Times New Roman" w:hAnsi="Arial" w:cs="Arial"/>
          <w:color w:val="000000" w:themeColor="text1"/>
          <w:sz w:val="24"/>
          <w:szCs w:val="24"/>
          <w:lang w:val="es-CO" w:eastAsia="es-ES_tradnl"/>
        </w:rPr>
      </w:pPr>
    </w:p>
    <w:p w14:paraId="61062992" w14:textId="26532E6A" w:rsidR="001324A6" w:rsidRPr="00682149" w:rsidRDefault="00B41E04" w:rsidP="001C138F">
      <w:pPr>
        <w:spacing w:after="0" w:line="276" w:lineRule="auto"/>
        <w:ind w:firstLine="708"/>
        <w:jc w:val="both"/>
        <w:rPr>
          <w:rFonts w:ascii="Arial" w:eastAsia="Times New Roman" w:hAnsi="Arial" w:cs="Arial"/>
          <w:color w:val="000000" w:themeColor="text1"/>
          <w:sz w:val="24"/>
          <w:szCs w:val="24"/>
          <w:lang w:val="es-CO" w:eastAsia="es-ES_tradnl"/>
        </w:rPr>
      </w:pPr>
      <w:r w:rsidRPr="00682149">
        <w:rPr>
          <w:rFonts w:ascii="Arial" w:eastAsia="Times New Roman" w:hAnsi="Arial" w:cs="Arial"/>
          <w:color w:val="000000" w:themeColor="text1"/>
          <w:sz w:val="24"/>
          <w:szCs w:val="24"/>
          <w:lang w:val="es-CO" w:eastAsia="es-ES_tradnl"/>
        </w:rPr>
        <w:t>-</w:t>
      </w:r>
      <w:r w:rsidR="000C3A4E">
        <w:rPr>
          <w:rFonts w:ascii="Arial" w:eastAsia="Times New Roman" w:hAnsi="Arial" w:cs="Arial"/>
          <w:color w:val="000000" w:themeColor="text1"/>
          <w:sz w:val="24"/>
          <w:szCs w:val="24"/>
          <w:lang w:val="es-CO" w:eastAsia="es-ES_tradnl"/>
        </w:rPr>
        <w:t xml:space="preserve"> </w:t>
      </w:r>
      <w:r w:rsidR="00873919" w:rsidRPr="00682149">
        <w:rPr>
          <w:rFonts w:ascii="Arial" w:eastAsia="Times New Roman" w:hAnsi="Arial" w:cs="Arial"/>
          <w:color w:val="000000" w:themeColor="text1"/>
          <w:sz w:val="24"/>
          <w:szCs w:val="24"/>
          <w:lang w:val="es-CO" w:eastAsia="es-ES_tradnl"/>
        </w:rPr>
        <w:t>E</w:t>
      </w:r>
      <w:r w:rsidR="001324A6" w:rsidRPr="00682149">
        <w:rPr>
          <w:rFonts w:ascii="Arial" w:eastAsia="Times New Roman" w:hAnsi="Arial" w:cs="Arial"/>
          <w:color w:val="000000" w:themeColor="text1"/>
          <w:sz w:val="24"/>
          <w:szCs w:val="24"/>
          <w:lang w:val="es-CO" w:eastAsia="es-ES_tradnl"/>
        </w:rPr>
        <w:t xml:space="preserve">s </w:t>
      </w:r>
      <w:r w:rsidR="00DE337F" w:rsidRPr="00682149">
        <w:rPr>
          <w:rFonts w:ascii="Arial" w:eastAsia="Times New Roman" w:hAnsi="Arial" w:cs="Arial"/>
          <w:color w:val="000000" w:themeColor="text1"/>
          <w:sz w:val="24"/>
          <w:szCs w:val="24"/>
          <w:lang w:val="es-CO" w:eastAsia="es-ES_tradnl"/>
        </w:rPr>
        <w:t>equilibrada y proporcional frente a la gravedad de los hechos, pues responde a la actual coyuntura económica, en cuanto</w:t>
      </w:r>
      <w:r w:rsidR="007645F2" w:rsidRPr="00682149">
        <w:rPr>
          <w:rFonts w:ascii="Arial" w:eastAsia="Times New Roman" w:hAnsi="Arial" w:cs="Arial"/>
          <w:color w:val="000000" w:themeColor="text1"/>
          <w:sz w:val="24"/>
          <w:szCs w:val="24"/>
          <w:lang w:val="es-CO" w:eastAsia="es-ES_tradnl"/>
        </w:rPr>
        <w:t xml:space="preserve"> a través de las fó</w:t>
      </w:r>
      <w:r w:rsidR="00DE337F" w:rsidRPr="00682149">
        <w:rPr>
          <w:rFonts w:ascii="Arial" w:eastAsia="Times New Roman" w:hAnsi="Arial" w:cs="Arial"/>
          <w:color w:val="000000" w:themeColor="text1"/>
          <w:sz w:val="24"/>
          <w:szCs w:val="24"/>
          <w:lang w:val="es-CO" w:eastAsia="es-ES_tradnl"/>
        </w:rPr>
        <w:t>rmulas ta</w:t>
      </w:r>
      <w:r w:rsidR="0021183D" w:rsidRPr="00682149">
        <w:rPr>
          <w:rFonts w:ascii="Arial" w:eastAsia="Times New Roman" w:hAnsi="Arial" w:cs="Arial"/>
          <w:color w:val="000000" w:themeColor="text1"/>
          <w:sz w:val="24"/>
          <w:szCs w:val="24"/>
          <w:lang w:val="es-CO" w:eastAsia="es-ES_tradnl"/>
        </w:rPr>
        <w:t>rifarias transitorias se regula</w:t>
      </w:r>
      <w:r w:rsidR="00DE337F" w:rsidRPr="00682149">
        <w:rPr>
          <w:rFonts w:ascii="Arial" w:eastAsia="Times New Roman" w:hAnsi="Arial" w:cs="Arial"/>
          <w:color w:val="000000" w:themeColor="text1"/>
          <w:sz w:val="24"/>
          <w:szCs w:val="24"/>
          <w:lang w:val="es-CO" w:eastAsia="es-ES_tradnl"/>
        </w:rPr>
        <w:t xml:space="preserve"> el cobro del servicio mientras se concluye el procedimiento general</w:t>
      </w:r>
      <w:r w:rsidR="0021183D" w:rsidRPr="00682149">
        <w:rPr>
          <w:rFonts w:ascii="Arial" w:eastAsia="Times New Roman" w:hAnsi="Arial" w:cs="Arial"/>
          <w:color w:val="000000" w:themeColor="text1"/>
          <w:sz w:val="24"/>
          <w:szCs w:val="24"/>
          <w:lang w:val="es-CO" w:eastAsia="es-ES_tradnl"/>
        </w:rPr>
        <w:t>, sin superar el término de la emergencia sanitaria.</w:t>
      </w:r>
    </w:p>
    <w:p w14:paraId="770F9D20" w14:textId="77777777" w:rsidR="00FD38E9" w:rsidRPr="00682149" w:rsidRDefault="00FD38E9" w:rsidP="001C138F">
      <w:pPr>
        <w:spacing w:after="0" w:line="276" w:lineRule="auto"/>
        <w:jc w:val="both"/>
        <w:rPr>
          <w:rFonts w:ascii="Arial" w:eastAsiaTheme="minorEastAsia" w:hAnsi="Arial" w:cs="Arial"/>
          <w:color w:val="000000" w:themeColor="text1"/>
          <w:sz w:val="24"/>
          <w:szCs w:val="24"/>
          <w:lang w:val="es-ES" w:eastAsia="es-ES"/>
        </w:rPr>
      </w:pPr>
    </w:p>
    <w:p w14:paraId="079A916A" w14:textId="377D94C1" w:rsidR="00DE337F" w:rsidRDefault="00B41E04" w:rsidP="001C138F">
      <w:pPr>
        <w:spacing w:after="0" w:line="276" w:lineRule="auto"/>
        <w:ind w:firstLine="708"/>
        <w:jc w:val="both"/>
        <w:rPr>
          <w:rFonts w:ascii="Arial" w:hAnsi="Arial" w:cs="Arial"/>
          <w:color w:val="000000" w:themeColor="text1"/>
          <w:sz w:val="24"/>
          <w:szCs w:val="24"/>
        </w:rPr>
      </w:pPr>
      <w:r w:rsidRPr="00682149">
        <w:rPr>
          <w:rFonts w:ascii="Arial" w:eastAsiaTheme="minorEastAsia" w:hAnsi="Arial" w:cs="Arial"/>
          <w:color w:val="000000" w:themeColor="text1"/>
          <w:sz w:val="24"/>
          <w:szCs w:val="24"/>
          <w:lang w:val="es-ES" w:eastAsia="es-ES"/>
        </w:rPr>
        <w:lastRenderedPageBreak/>
        <w:t>-</w:t>
      </w:r>
      <w:r w:rsidR="00FF3E1E" w:rsidRPr="00682149">
        <w:rPr>
          <w:rFonts w:ascii="Arial" w:eastAsiaTheme="minorEastAsia" w:hAnsi="Arial" w:cs="Arial"/>
          <w:color w:val="000000" w:themeColor="text1"/>
          <w:sz w:val="24"/>
          <w:szCs w:val="24"/>
          <w:lang w:val="es-ES" w:eastAsia="es-ES"/>
        </w:rPr>
        <w:t>Evita la suspensión del servicio y no pone en riesgo la prestación, dado que los prestadores no podrán excusar la falta de regulación tarifaria para no prestarlo</w:t>
      </w:r>
      <w:r w:rsidR="0021183D" w:rsidRPr="00682149">
        <w:rPr>
          <w:rFonts w:ascii="Arial" w:eastAsiaTheme="minorEastAsia" w:hAnsi="Arial" w:cs="Arial"/>
          <w:color w:val="000000" w:themeColor="text1"/>
          <w:sz w:val="24"/>
          <w:szCs w:val="24"/>
          <w:lang w:val="es-ES" w:eastAsia="es-ES"/>
        </w:rPr>
        <w:t xml:space="preserve">, comoquiera </w:t>
      </w:r>
      <w:r w:rsidR="00DE337F" w:rsidRPr="00682149">
        <w:rPr>
          <w:rFonts w:ascii="Arial" w:eastAsia="Times New Roman" w:hAnsi="Arial" w:cs="Arial"/>
          <w:color w:val="000000" w:themeColor="text1"/>
          <w:sz w:val="24"/>
          <w:szCs w:val="24"/>
          <w:lang w:val="es-CO" w:eastAsia="es-ES_tradnl"/>
        </w:rPr>
        <w:t xml:space="preserve">que no existe una regulación previa para las soluciones energéticas fotovoltaicas individuales con una potencia superior a 0,5 </w:t>
      </w:r>
      <w:r w:rsidRPr="00682149">
        <w:rPr>
          <w:rFonts w:ascii="Arial" w:eastAsia="Times New Roman" w:hAnsi="Arial" w:cs="Arial"/>
          <w:color w:val="000000" w:themeColor="text1"/>
          <w:sz w:val="24"/>
          <w:szCs w:val="24"/>
          <w:lang w:val="es-CO" w:eastAsia="es-ES_tradnl"/>
        </w:rPr>
        <w:t>KW</w:t>
      </w:r>
      <w:r w:rsidR="00DE337F" w:rsidRPr="00682149">
        <w:rPr>
          <w:rFonts w:ascii="Arial" w:eastAsia="Times New Roman" w:hAnsi="Arial" w:cs="Arial"/>
          <w:color w:val="000000" w:themeColor="text1"/>
          <w:sz w:val="24"/>
          <w:szCs w:val="24"/>
          <w:lang w:val="es-CO" w:eastAsia="es-ES_tradnl"/>
        </w:rPr>
        <w:t xml:space="preserve"> o 500 </w:t>
      </w:r>
      <w:r w:rsidRPr="00682149">
        <w:rPr>
          <w:rFonts w:ascii="Arial" w:eastAsia="Times New Roman" w:hAnsi="Arial" w:cs="Arial"/>
          <w:color w:val="000000" w:themeColor="text1"/>
          <w:sz w:val="24"/>
          <w:szCs w:val="24"/>
          <w:lang w:val="es-CO" w:eastAsia="es-ES_tradnl"/>
        </w:rPr>
        <w:t>voltios</w:t>
      </w:r>
      <w:r w:rsidR="007D6963" w:rsidRPr="00682149">
        <w:rPr>
          <w:rFonts w:ascii="Arial" w:hAnsi="Arial" w:cs="Arial"/>
          <w:color w:val="000000" w:themeColor="text1"/>
          <w:sz w:val="24"/>
          <w:szCs w:val="24"/>
        </w:rPr>
        <w:t>, por lo que la medida transitoria en un régimen de liber</w:t>
      </w:r>
      <w:r w:rsidR="007645F2" w:rsidRPr="00682149">
        <w:rPr>
          <w:rFonts w:ascii="Arial" w:hAnsi="Arial" w:cs="Arial"/>
          <w:color w:val="000000" w:themeColor="text1"/>
          <w:sz w:val="24"/>
          <w:szCs w:val="24"/>
        </w:rPr>
        <w:t>tad regulada era</w:t>
      </w:r>
      <w:r w:rsidR="007D6963" w:rsidRPr="00682149">
        <w:rPr>
          <w:rFonts w:ascii="Arial" w:hAnsi="Arial" w:cs="Arial"/>
          <w:color w:val="000000" w:themeColor="text1"/>
          <w:sz w:val="24"/>
          <w:szCs w:val="24"/>
        </w:rPr>
        <w:t xml:space="preserve"> necesaria. </w:t>
      </w:r>
    </w:p>
    <w:p w14:paraId="67C091BE" w14:textId="77777777" w:rsidR="003778E4" w:rsidRPr="00682149" w:rsidRDefault="003778E4" w:rsidP="001C138F">
      <w:pPr>
        <w:spacing w:after="0" w:line="276" w:lineRule="auto"/>
        <w:ind w:firstLine="708"/>
        <w:jc w:val="both"/>
        <w:rPr>
          <w:rFonts w:ascii="Arial" w:hAnsi="Arial" w:cs="Arial"/>
          <w:color w:val="000000" w:themeColor="text1"/>
          <w:sz w:val="24"/>
          <w:szCs w:val="24"/>
        </w:rPr>
      </w:pPr>
    </w:p>
    <w:p w14:paraId="4FC94083" w14:textId="4A01989C" w:rsidR="00DE337F" w:rsidRPr="00682149" w:rsidRDefault="00B41E04" w:rsidP="001C138F">
      <w:pPr>
        <w:spacing w:after="0" w:line="276" w:lineRule="auto"/>
        <w:ind w:firstLine="708"/>
        <w:jc w:val="both"/>
        <w:rPr>
          <w:rFonts w:ascii="Arial" w:hAnsi="Arial" w:cs="Arial"/>
          <w:color w:val="000000" w:themeColor="text1"/>
          <w:sz w:val="24"/>
          <w:szCs w:val="24"/>
        </w:rPr>
      </w:pPr>
      <w:r w:rsidRPr="00682149">
        <w:rPr>
          <w:rFonts w:ascii="Arial" w:hAnsi="Arial" w:cs="Arial"/>
          <w:color w:val="000000" w:themeColor="text1"/>
          <w:sz w:val="24"/>
          <w:szCs w:val="24"/>
        </w:rPr>
        <w:t>-</w:t>
      </w:r>
      <w:r w:rsidR="00873919" w:rsidRPr="00682149">
        <w:rPr>
          <w:rFonts w:ascii="Arial" w:hAnsi="Arial" w:cs="Arial"/>
          <w:color w:val="000000" w:themeColor="text1"/>
          <w:sz w:val="24"/>
          <w:szCs w:val="24"/>
        </w:rPr>
        <w:t>Su</w:t>
      </w:r>
      <w:r w:rsidR="0042584D" w:rsidRPr="00682149">
        <w:rPr>
          <w:rFonts w:ascii="Arial" w:hAnsi="Arial" w:cs="Arial"/>
          <w:color w:val="000000" w:themeColor="text1"/>
          <w:sz w:val="24"/>
          <w:szCs w:val="24"/>
        </w:rPr>
        <w:t xml:space="preserve">pera el juicio de conexidad, en tanto </w:t>
      </w:r>
      <w:r w:rsidR="0042584D" w:rsidRPr="00682149">
        <w:rPr>
          <w:rFonts w:ascii="Arial" w:eastAsia="Times New Roman" w:hAnsi="Arial" w:cs="Arial"/>
          <w:color w:val="000000" w:themeColor="text1"/>
          <w:sz w:val="24"/>
          <w:szCs w:val="24"/>
          <w:lang w:val="es-CO" w:eastAsia="es-ES_tradnl"/>
        </w:rPr>
        <w:t xml:space="preserve">guarda relación de causa a afecto con aquellas que dieron lugar a la declaratoria del estado </w:t>
      </w:r>
      <w:r w:rsidR="008A18A9" w:rsidRPr="00682149">
        <w:rPr>
          <w:rFonts w:ascii="Arial" w:eastAsia="Times New Roman" w:hAnsi="Arial" w:cs="Arial"/>
          <w:color w:val="000000" w:themeColor="text1"/>
          <w:sz w:val="24"/>
          <w:szCs w:val="24"/>
          <w:lang w:val="es-CO" w:eastAsia="es-ES_tradnl"/>
        </w:rPr>
        <w:t xml:space="preserve">de excepción contenido en el </w:t>
      </w:r>
      <w:r w:rsidR="008A18A9" w:rsidRPr="00682149">
        <w:rPr>
          <w:rFonts w:ascii="Arial" w:hAnsi="Arial" w:cs="Arial"/>
          <w:color w:val="000000" w:themeColor="text1"/>
          <w:sz w:val="24"/>
          <w:szCs w:val="24"/>
        </w:rPr>
        <w:t>D</w:t>
      </w:r>
      <w:r w:rsidR="003A3326" w:rsidRPr="00682149">
        <w:rPr>
          <w:rFonts w:ascii="Arial" w:hAnsi="Arial" w:cs="Arial"/>
          <w:color w:val="000000" w:themeColor="text1"/>
          <w:sz w:val="24"/>
          <w:szCs w:val="24"/>
        </w:rPr>
        <w:t>ecreto 417 de 2020, que involucran</w:t>
      </w:r>
      <w:r w:rsidR="008A18A9" w:rsidRPr="00682149">
        <w:rPr>
          <w:rFonts w:ascii="Arial" w:hAnsi="Arial" w:cs="Arial"/>
          <w:color w:val="000000" w:themeColor="text1"/>
          <w:sz w:val="24"/>
          <w:szCs w:val="24"/>
        </w:rPr>
        <w:t xml:space="preserve"> razones de orden económico, social </w:t>
      </w:r>
      <w:r w:rsidR="00375993" w:rsidRPr="00682149">
        <w:rPr>
          <w:rFonts w:ascii="Arial" w:hAnsi="Arial" w:cs="Arial"/>
          <w:color w:val="000000" w:themeColor="text1"/>
          <w:sz w:val="24"/>
          <w:szCs w:val="24"/>
        </w:rPr>
        <w:t>y ecológico</w:t>
      </w:r>
      <w:r w:rsidR="00242CB9" w:rsidRPr="00682149">
        <w:rPr>
          <w:rFonts w:ascii="Arial" w:hAnsi="Arial" w:cs="Arial"/>
          <w:color w:val="000000" w:themeColor="text1"/>
          <w:sz w:val="24"/>
          <w:szCs w:val="24"/>
        </w:rPr>
        <w:t xml:space="preserve">, </w:t>
      </w:r>
      <w:r w:rsidR="00375993" w:rsidRPr="00682149">
        <w:rPr>
          <w:rFonts w:ascii="Arial" w:hAnsi="Arial" w:cs="Arial"/>
          <w:color w:val="000000" w:themeColor="text1"/>
          <w:sz w:val="24"/>
          <w:szCs w:val="24"/>
        </w:rPr>
        <w:t>par</w:t>
      </w:r>
      <w:r w:rsidR="008A18A9" w:rsidRPr="00682149">
        <w:rPr>
          <w:rFonts w:ascii="Arial" w:hAnsi="Arial" w:cs="Arial"/>
          <w:color w:val="000000" w:themeColor="text1"/>
          <w:sz w:val="24"/>
          <w:szCs w:val="24"/>
        </w:rPr>
        <w:t xml:space="preserve">a enfrentar las </w:t>
      </w:r>
      <w:r w:rsidR="00242CB9" w:rsidRPr="00682149">
        <w:rPr>
          <w:rFonts w:ascii="Arial" w:hAnsi="Arial" w:cs="Arial"/>
          <w:color w:val="000000" w:themeColor="text1"/>
          <w:sz w:val="24"/>
          <w:szCs w:val="24"/>
        </w:rPr>
        <w:t xml:space="preserve">distintas necesidades </w:t>
      </w:r>
      <w:r w:rsidR="00B900A9" w:rsidRPr="00682149">
        <w:rPr>
          <w:rFonts w:ascii="Arial" w:hAnsi="Arial" w:cs="Arial"/>
          <w:color w:val="000000" w:themeColor="text1"/>
          <w:sz w:val="24"/>
          <w:szCs w:val="24"/>
        </w:rPr>
        <w:t xml:space="preserve">mediante </w:t>
      </w:r>
      <w:r w:rsidR="003A3326" w:rsidRPr="00682149">
        <w:rPr>
          <w:rFonts w:ascii="Arial" w:hAnsi="Arial" w:cs="Arial"/>
          <w:color w:val="000000" w:themeColor="text1"/>
          <w:sz w:val="24"/>
          <w:szCs w:val="24"/>
        </w:rPr>
        <w:t xml:space="preserve">la definición de las tarifas </w:t>
      </w:r>
      <w:r w:rsidR="008A18A9" w:rsidRPr="00682149">
        <w:rPr>
          <w:rFonts w:ascii="Arial" w:hAnsi="Arial" w:cs="Arial"/>
          <w:color w:val="000000" w:themeColor="text1"/>
          <w:sz w:val="24"/>
          <w:szCs w:val="24"/>
        </w:rPr>
        <w:t xml:space="preserve">del servicio de energía eléctrica en las soluciones </w:t>
      </w:r>
      <w:r w:rsidR="009545A3" w:rsidRPr="00682149">
        <w:rPr>
          <w:rFonts w:ascii="Arial" w:hAnsi="Arial" w:cs="Arial"/>
          <w:color w:val="000000" w:themeColor="text1"/>
          <w:sz w:val="24"/>
          <w:szCs w:val="24"/>
        </w:rPr>
        <w:t xml:space="preserve">solares </w:t>
      </w:r>
      <w:r w:rsidR="00952B6E" w:rsidRPr="00682149">
        <w:rPr>
          <w:rFonts w:ascii="Arial" w:hAnsi="Arial" w:cs="Arial"/>
          <w:color w:val="000000" w:themeColor="text1"/>
          <w:sz w:val="24"/>
          <w:szCs w:val="24"/>
        </w:rPr>
        <w:t xml:space="preserve">fotovoltaicas </w:t>
      </w:r>
      <w:r w:rsidR="009545A3" w:rsidRPr="00682149">
        <w:rPr>
          <w:rFonts w:ascii="Arial" w:hAnsi="Arial" w:cs="Arial"/>
          <w:color w:val="000000" w:themeColor="text1"/>
          <w:sz w:val="24"/>
          <w:szCs w:val="24"/>
        </w:rPr>
        <w:t>individuales</w:t>
      </w:r>
      <w:r w:rsidR="008A18A9" w:rsidRPr="00682149">
        <w:rPr>
          <w:rFonts w:ascii="Arial" w:hAnsi="Arial" w:cs="Arial"/>
          <w:color w:val="000000" w:themeColor="text1"/>
          <w:sz w:val="24"/>
          <w:szCs w:val="24"/>
        </w:rPr>
        <w:t xml:space="preserve">. </w:t>
      </w:r>
    </w:p>
    <w:p w14:paraId="403E8A57" w14:textId="77777777" w:rsidR="00DE337F" w:rsidRPr="00682149" w:rsidRDefault="00DE337F" w:rsidP="001C138F">
      <w:pPr>
        <w:spacing w:after="0" w:line="276" w:lineRule="auto"/>
        <w:jc w:val="both"/>
        <w:rPr>
          <w:rFonts w:ascii="Arial" w:hAnsi="Arial" w:cs="Arial"/>
          <w:color w:val="000000" w:themeColor="text1"/>
          <w:sz w:val="24"/>
          <w:szCs w:val="24"/>
        </w:rPr>
      </w:pPr>
    </w:p>
    <w:p w14:paraId="11B208B2" w14:textId="47826E60" w:rsidR="00DE337F" w:rsidRPr="00682149" w:rsidRDefault="00B41E04" w:rsidP="001C138F">
      <w:pPr>
        <w:spacing w:after="0" w:line="276" w:lineRule="auto"/>
        <w:ind w:firstLine="708"/>
        <w:jc w:val="both"/>
        <w:rPr>
          <w:rFonts w:ascii="Arial" w:eastAsiaTheme="minorEastAsia" w:hAnsi="Arial" w:cs="Arial"/>
          <w:color w:val="000000" w:themeColor="text1"/>
          <w:sz w:val="24"/>
          <w:szCs w:val="24"/>
          <w:lang w:val="es-ES" w:eastAsia="es-ES"/>
        </w:rPr>
      </w:pPr>
      <w:r w:rsidRPr="00682149">
        <w:rPr>
          <w:rFonts w:ascii="Arial" w:eastAsiaTheme="minorEastAsia" w:hAnsi="Arial" w:cs="Arial"/>
          <w:color w:val="000000" w:themeColor="text1"/>
          <w:sz w:val="24"/>
          <w:szCs w:val="24"/>
          <w:lang w:val="es-ES" w:eastAsia="es-ES"/>
        </w:rPr>
        <w:t>-Al lado de lo anterior, e</w:t>
      </w:r>
      <w:r w:rsidR="0042584D" w:rsidRPr="00682149">
        <w:rPr>
          <w:rFonts w:ascii="Arial" w:eastAsiaTheme="minorEastAsia" w:hAnsi="Arial" w:cs="Arial"/>
          <w:color w:val="000000" w:themeColor="text1"/>
          <w:sz w:val="24"/>
          <w:szCs w:val="24"/>
          <w:lang w:val="es-ES" w:eastAsia="es-ES"/>
        </w:rPr>
        <w:t>l acto está suficientemente motivado, dado que pone de presente los fundamentos facticos y jurídicos que dan sustento a la decisión</w:t>
      </w:r>
      <w:r w:rsidRPr="00682149">
        <w:rPr>
          <w:rFonts w:ascii="Arial" w:eastAsiaTheme="minorEastAsia" w:hAnsi="Arial" w:cs="Arial"/>
          <w:color w:val="000000" w:themeColor="text1"/>
          <w:sz w:val="24"/>
          <w:szCs w:val="24"/>
          <w:lang w:val="es-ES" w:eastAsia="es-ES"/>
        </w:rPr>
        <w:t>, como se ha repasado en extenso.</w:t>
      </w:r>
      <w:r w:rsidR="00DE337F" w:rsidRPr="00682149">
        <w:rPr>
          <w:rFonts w:ascii="Arial" w:eastAsiaTheme="minorEastAsia" w:hAnsi="Arial" w:cs="Arial"/>
          <w:color w:val="000000" w:themeColor="text1"/>
          <w:sz w:val="24"/>
          <w:szCs w:val="24"/>
          <w:lang w:val="es-ES" w:eastAsia="es-ES"/>
        </w:rPr>
        <w:t xml:space="preserve"> </w:t>
      </w:r>
    </w:p>
    <w:p w14:paraId="1EB680B0" w14:textId="77777777" w:rsidR="00DE337F" w:rsidRPr="00682149" w:rsidRDefault="00DE337F" w:rsidP="001C138F">
      <w:pPr>
        <w:spacing w:after="0" w:line="276" w:lineRule="auto"/>
        <w:jc w:val="both"/>
        <w:rPr>
          <w:rFonts w:ascii="Arial" w:eastAsiaTheme="minorEastAsia" w:hAnsi="Arial" w:cs="Arial"/>
          <w:color w:val="000000" w:themeColor="text1"/>
          <w:sz w:val="24"/>
          <w:szCs w:val="24"/>
          <w:lang w:eastAsia="es-ES"/>
        </w:rPr>
      </w:pPr>
    </w:p>
    <w:p w14:paraId="22D5FAA9" w14:textId="2E2888D5" w:rsidR="00C16597" w:rsidRDefault="00B41E04" w:rsidP="001C138F">
      <w:pPr>
        <w:spacing w:after="0" w:line="276" w:lineRule="auto"/>
        <w:ind w:firstLine="708"/>
        <w:jc w:val="both"/>
        <w:rPr>
          <w:rFonts w:ascii="Arial" w:hAnsi="Arial" w:cs="Arial"/>
          <w:color w:val="000000" w:themeColor="text1"/>
          <w:sz w:val="24"/>
          <w:szCs w:val="24"/>
        </w:rPr>
      </w:pPr>
      <w:r w:rsidRPr="00682149">
        <w:rPr>
          <w:rFonts w:ascii="Arial" w:hAnsi="Arial" w:cs="Arial"/>
          <w:color w:val="000000" w:themeColor="text1"/>
          <w:sz w:val="24"/>
          <w:szCs w:val="24"/>
        </w:rPr>
        <w:t>-</w:t>
      </w:r>
      <w:r w:rsidR="0026402F" w:rsidRPr="00682149">
        <w:rPr>
          <w:rFonts w:ascii="Arial" w:hAnsi="Arial" w:cs="Arial"/>
          <w:color w:val="000000" w:themeColor="text1"/>
          <w:sz w:val="24"/>
          <w:szCs w:val="24"/>
        </w:rPr>
        <w:t xml:space="preserve">Paralelo a ello, </w:t>
      </w:r>
      <w:r w:rsidR="00660DC1" w:rsidRPr="00682149">
        <w:rPr>
          <w:rFonts w:ascii="Arial" w:hAnsi="Arial" w:cs="Arial"/>
          <w:color w:val="000000" w:themeColor="text1"/>
          <w:sz w:val="24"/>
          <w:szCs w:val="24"/>
        </w:rPr>
        <w:t>las r</w:t>
      </w:r>
      <w:r w:rsidR="00C16597" w:rsidRPr="00682149">
        <w:rPr>
          <w:rFonts w:ascii="Arial" w:hAnsi="Arial" w:cs="Arial"/>
          <w:color w:val="000000" w:themeColor="text1"/>
          <w:sz w:val="24"/>
          <w:szCs w:val="24"/>
        </w:rPr>
        <w:t xml:space="preserve">azones que condujeron a </w:t>
      </w:r>
      <w:r w:rsidR="00B82120" w:rsidRPr="00682149">
        <w:rPr>
          <w:rFonts w:ascii="Arial" w:hAnsi="Arial" w:cs="Arial"/>
          <w:color w:val="000000" w:themeColor="text1"/>
          <w:sz w:val="24"/>
          <w:szCs w:val="24"/>
        </w:rPr>
        <w:t xml:space="preserve">definir una tarifa provisional para el servicio de energía eléctrica en </w:t>
      </w:r>
      <w:r w:rsidR="00660DC1" w:rsidRPr="00682149">
        <w:rPr>
          <w:rFonts w:ascii="Arial" w:hAnsi="Arial" w:cs="Arial"/>
          <w:color w:val="000000" w:themeColor="text1"/>
          <w:sz w:val="24"/>
          <w:szCs w:val="24"/>
        </w:rPr>
        <w:t xml:space="preserve">las </w:t>
      </w:r>
      <w:r w:rsidR="00B82120" w:rsidRPr="00682149">
        <w:rPr>
          <w:rFonts w:ascii="Arial" w:hAnsi="Arial" w:cs="Arial"/>
          <w:color w:val="000000" w:themeColor="text1"/>
          <w:sz w:val="24"/>
          <w:szCs w:val="24"/>
        </w:rPr>
        <w:t>zonas no interconectadas</w:t>
      </w:r>
      <w:r w:rsidR="00660DC1" w:rsidRPr="00682149">
        <w:rPr>
          <w:rFonts w:ascii="Arial" w:hAnsi="Arial" w:cs="Arial"/>
          <w:color w:val="000000" w:themeColor="text1"/>
          <w:sz w:val="24"/>
          <w:szCs w:val="24"/>
        </w:rPr>
        <w:t>, bajo el sistema indicado, evita</w:t>
      </w:r>
      <w:r w:rsidR="00B82120" w:rsidRPr="00682149">
        <w:rPr>
          <w:rFonts w:ascii="Arial" w:hAnsi="Arial" w:cs="Arial"/>
          <w:color w:val="000000" w:themeColor="text1"/>
          <w:sz w:val="24"/>
          <w:szCs w:val="24"/>
        </w:rPr>
        <w:t xml:space="preserve"> la suspensión de</w:t>
      </w:r>
      <w:r w:rsidR="00660DC1" w:rsidRPr="00682149">
        <w:rPr>
          <w:rFonts w:ascii="Arial" w:hAnsi="Arial" w:cs="Arial"/>
          <w:color w:val="000000" w:themeColor="text1"/>
          <w:sz w:val="24"/>
          <w:szCs w:val="24"/>
        </w:rPr>
        <w:t xml:space="preserve">l </w:t>
      </w:r>
      <w:r w:rsidR="00B82120" w:rsidRPr="00682149">
        <w:rPr>
          <w:rFonts w:ascii="Arial" w:hAnsi="Arial" w:cs="Arial"/>
          <w:color w:val="000000" w:themeColor="text1"/>
          <w:sz w:val="24"/>
          <w:szCs w:val="24"/>
        </w:rPr>
        <w:t>servicio</w:t>
      </w:r>
      <w:r w:rsidR="0026402F" w:rsidRPr="00682149">
        <w:rPr>
          <w:rFonts w:ascii="Arial" w:hAnsi="Arial" w:cs="Arial"/>
          <w:color w:val="000000" w:themeColor="text1"/>
          <w:sz w:val="24"/>
          <w:szCs w:val="24"/>
        </w:rPr>
        <w:t>,</w:t>
      </w:r>
      <w:r w:rsidR="00660DC1" w:rsidRPr="00682149">
        <w:rPr>
          <w:rFonts w:ascii="Arial" w:hAnsi="Arial" w:cs="Arial"/>
          <w:color w:val="000000" w:themeColor="text1"/>
          <w:sz w:val="24"/>
          <w:szCs w:val="24"/>
        </w:rPr>
        <w:t xml:space="preserve"> </w:t>
      </w:r>
      <w:r w:rsidRPr="00682149">
        <w:rPr>
          <w:rFonts w:ascii="Arial" w:hAnsi="Arial" w:cs="Arial"/>
          <w:color w:val="000000" w:themeColor="text1"/>
          <w:sz w:val="24"/>
          <w:szCs w:val="24"/>
        </w:rPr>
        <w:t xml:space="preserve">y </w:t>
      </w:r>
      <w:r w:rsidR="000C3A4E">
        <w:rPr>
          <w:rFonts w:ascii="Arial" w:hAnsi="Arial" w:cs="Arial"/>
          <w:color w:val="000000" w:themeColor="text1"/>
          <w:sz w:val="24"/>
          <w:szCs w:val="24"/>
        </w:rPr>
        <w:t>d</w:t>
      </w:r>
      <w:r w:rsidR="00660DC1" w:rsidRPr="00682149">
        <w:rPr>
          <w:rFonts w:ascii="Arial" w:hAnsi="Arial" w:cs="Arial"/>
          <w:color w:val="000000" w:themeColor="text1"/>
          <w:sz w:val="24"/>
          <w:szCs w:val="24"/>
        </w:rPr>
        <w:t xml:space="preserve">a </w:t>
      </w:r>
      <w:r w:rsidR="00B82120" w:rsidRPr="00682149">
        <w:rPr>
          <w:rFonts w:ascii="Arial" w:hAnsi="Arial" w:cs="Arial"/>
          <w:color w:val="000000" w:themeColor="text1"/>
          <w:sz w:val="24"/>
          <w:szCs w:val="24"/>
        </w:rPr>
        <w:t>cumplimiento a los lineamientos impartidos por el Gobierno Nacional</w:t>
      </w:r>
      <w:r w:rsidR="0026402F" w:rsidRPr="00682149">
        <w:rPr>
          <w:rFonts w:ascii="Arial" w:hAnsi="Arial" w:cs="Arial"/>
          <w:color w:val="000000" w:themeColor="text1"/>
          <w:sz w:val="24"/>
          <w:szCs w:val="24"/>
        </w:rPr>
        <w:t xml:space="preserve"> en el ámbito de la emergencia decretada y en la coyuntura del Estado de Excepción</w:t>
      </w:r>
      <w:r w:rsidR="00660DC1" w:rsidRPr="00682149">
        <w:rPr>
          <w:rFonts w:ascii="Arial" w:hAnsi="Arial" w:cs="Arial"/>
          <w:color w:val="000000" w:themeColor="text1"/>
          <w:sz w:val="24"/>
          <w:szCs w:val="24"/>
        </w:rPr>
        <w:t xml:space="preserve">. </w:t>
      </w:r>
    </w:p>
    <w:p w14:paraId="73D39F94" w14:textId="77777777" w:rsidR="003778E4" w:rsidRPr="00682149" w:rsidRDefault="003778E4" w:rsidP="001C138F">
      <w:pPr>
        <w:spacing w:after="0" w:line="276" w:lineRule="auto"/>
        <w:ind w:firstLine="708"/>
        <w:jc w:val="both"/>
        <w:rPr>
          <w:rFonts w:ascii="Arial" w:hAnsi="Arial" w:cs="Arial"/>
          <w:color w:val="000000" w:themeColor="text1"/>
          <w:sz w:val="24"/>
          <w:szCs w:val="24"/>
        </w:rPr>
      </w:pPr>
    </w:p>
    <w:p w14:paraId="0FA9C436" w14:textId="4CA2E790" w:rsidR="00126779" w:rsidRPr="00682149" w:rsidRDefault="00873919" w:rsidP="001C138F">
      <w:pPr>
        <w:spacing w:after="0" w:line="276" w:lineRule="auto"/>
        <w:jc w:val="both"/>
        <w:rPr>
          <w:rFonts w:ascii="Arial" w:hAnsi="Arial" w:cs="Arial"/>
          <w:color w:val="000000" w:themeColor="text1"/>
          <w:sz w:val="24"/>
          <w:szCs w:val="24"/>
        </w:rPr>
      </w:pPr>
      <w:r w:rsidRPr="00682149">
        <w:rPr>
          <w:rFonts w:ascii="Arial" w:hAnsi="Arial" w:cs="Arial"/>
          <w:color w:val="000000" w:themeColor="text1"/>
          <w:sz w:val="24"/>
          <w:szCs w:val="24"/>
        </w:rPr>
        <w:t>En conclusión</w:t>
      </w:r>
      <w:r w:rsidR="008A18A9" w:rsidRPr="00682149">
        <w:rPr>
          <w:rFonts w:ascii="Arial" w:hAnsi="Arial" w:cs="Arial"/>
          <w:color w:val="000000" w:themeColor="text1"/>
          <w:sz w:val="24"/>
          <w:szCs w:val="24"/>
        </w:rPr>
        <w:t xml:space="preserve">, </w:t>
      </w:r>
      <w:r w:rsidRPr="00682149">
        <w:rPr>
          <w:rFonts w:ascii="Arial" w:hAnsi="Arial" w:cs="Arial"/>
          <w:color w:val="000000" w:themeColor="text1"/>
          <w:sz w:val="24"/>
          <w:szCs w:val="24"/>
        </w:rPr>
        <w:t xml:space="preserve">la medida </w:t>
      </w:r>
      <w:r w:rsidRPr="00682149">
        <w:rPr>
          <w:rFonts w:ascii="Arial" w:eastAsiaTheme="minorEastAsia" w:hAnsi="Arial" w:cs="Arial"/>
          <w:color w:val="000000" w:themeColor="text1"/>
          <w:sz w:val="24"/>
          <w:szCs w:val="24"/>
          <w:lang w:val="es-ES" w:eastAsia="es-ES"/>
        </w:rPr>
        <w:t>protege</w:t>
      </w:r>
      <w:r w:rsidR="00D867CF" w:rsidRPr="00682149">
        <w:rPr>
          <w:rFonts w:ascii="Arial" w:eastAsiaTheme="minorEastAsia" w:hAnsi="Arial" w:cs="Arial"/>
          <w:color w:val="000000" w:themeColor="text1"/>
          <w:sz w:val="24"/>
          <w:szCs w:val="24"/>
          <w:lang w:val="es-ES" w:eastAsia="es-ES"/>
        </w:rPr>
        <w:t xml:space="preserve"> a los usuarios </w:t>
      </w:r>
      <w:r w:rsidR="004F7C0E">
        <w:rPr>
          <w:rFonts w:ascii="Arial" w:hAnsi="Arial" w:cs="Arial"/>
          <w:color w:val="000000" w:themeColor="text1"/>
          <w:sz w:val="24"/>
          <w:szCs w:val="24"/>
        </w:rPr>
        <w:t>y</w:t>
      </w:r>
      <w:r w:rsidR="00CB1D6F" w:rsidRPr="00682149">
        <w:rPr>
          <w:rFonts w:ascii="Arial" w:hAnsi="Arial" w:cs="Arial"/>
          <w:color w:val="000000" w:themeColor="text1"/>
          <w:sz w:val="24"/>
          <w:szCs w:val="24"/>
        </w:rPr>
        <w:t xml:space="preserve"> </w:t>
      </w:r>
      <w:r w:rsidR="00126779" w:rsidRPr="00682149">
        <w:rPr>
          <w:rFonts w:ascii="Arial" w:hAnsi="Arial" w:cs="Arial"/>
          <w:color w:val="000000" w:themeColor="text1"/>
          <w:sz w:val="24"/>
          <w:szCs w:val="24"/>
        </w:rPr>
        <w:t xml:space="preserve">garantiza la continuidad del servicio, </w:t>
      </w:r>
      <w:r w:rsidR="00B41E04" w:rsidRPr="00682149">
        <w:rPr>
          <w:rFonts w:ascii="Arial" w:hAnsi="Arial" w:cs="Arial"/>
          <w:color w:val="000000" w:themeColor="text1"/>
          <w:sz w:val="24"/>
          <w:szCs w:val="24"/>
        </w:rPr>
        <w:t xml:space="preserve">a la vez que </w:t>
      </w:r>
      <w:r w:rsidR="00267B99" w:rsidRPr="00682149">
        <w:rPr>
          <w:rFonts w:ascii="Arial" w:hAnsi="Arial" w:cs="Arial"/>
          <w:color w:val="000000" w:themeColor="text1"/>
          <w:sz w:val="24"/>
          <w:szCs w:val="24"/>
        </w:rPr>
        <w:t xml:space="preserve">controla </w:t>
      </w:r>
      <w:r w:rsidR="00126779" w:rsidRPr="00682149">
        <w:rPr>
          <w:rFonts w:ascii="Arial" w:hAnsi="Arial" w:cs="Arial"/>
          <w:color w:val="000000" w:themeColor="text1"/>
          <w:sz w:val="24"/>
          <w:szCs w:val="24"/>
        </w:rPr>
        <w:t xml:space="preserve">la especulación </w:t>
      </w:r>
      <w:r w:rsidR="00E76498" w:rsidRPr="00682149">
        <w:rPr>
          <w:rFonts w:ascii="Arial" w:hAnsi="Arial" w:cs="Arial"/>
          <w:color w:val="000000" w:themeColor="text1"/>
          <w:sz w:val="24"/>
          <w:szCs w:val="24"/>
        </w:rPr>
        <w:t>e</w:t>
      </w:r>
      <w:r w:rsidR="00126779" w:rsidRPr="00682149">
        <w:rPr>
          <w:rFonts w:ascii="Arial" w:hAnsi="Arial" w:cs="Arial"/>
          <w:color w:val="000000" w:themeColor="text1"/>
          <w:sz w:val="24"/>
          <w:szCs w:val="24"/>
        </w:rPr>
        <w:t xml:space="preserve"> </w:t>
      </w:r>
      <w:r w:rsidR="00267B99" w:rsidRPr="00682149">
        <w:rPr>
          <w:rFonts w:ascii="Arial" w:hAnsi="Arial" w:cs="Arial"/>
          <w:color w:val="000000" w:themeColor="text1"/>
          <w:sz w:val="24"/>
          <w:szCs w:val="24"/>
        </w:rPr>
        <w:t>impi</w:t>
      </w:r>
      <w:r w:rsidR="00126779" w:rsidRPr="00682149">
        <w:rPr>
          <w:rFonts w:ascii="Arial" w:hAnsi="Arial" w:cs="Arial"/>
          <w:color w:val="000000" w:themeColor="text1"/>
          <w:sz w:val="24"/>
          <w:szCs w:val="24"/>
        </w:rPr>
        <w:t>d</w:t>
      </w:r>
      <w:r w:rsidR="00267B99" w:rsidRPr="00682149">
        <w:rPr>
          <w:rFonts w:ascii="Arial" w:hAnsi="Arial" w:cs="Arial"/>
          <w:color w:val="000000" w:themeColor="text1"/>
          <w:sz w:val="24"/>
          <w:szCs w:val="24"/>
        </w:rPr>
        <w:t>e</w:t>
      </w:r>
      <w:r w:rsidR="00126779" w:rsidRPr="00682149">
        <w:rPr>
          <w:rFonts w:ascii="Arial" w:hAnsi="Arial" w:cs="Arial"/>
          <w:color w:val="000000" w:themeColor="text1"/>
          <w:sz w:val="24"/>
          <w:szCs w:val="24"/>
        </w:rPr>
        <w:t xml:space="preserve"> el abuso de la posición dominante en el mercado. </w:t>
      </w:r>
    </w:p>
    <w:p w14:paraId="0172B183" w14:textId="77777777" w:rsidR="00595AF7" w:rsidRPr="00682149" w:rsidRDefault="00595AF7" w:rsidP="001C138F">
      <w:pPr>
        <w:spacing w:after="0" w:line="276" w:lineRule="auto"/>
        <w:jc w:val="both"/>
        <w:rPr>
          <w:rFonts w:ascii="Arial" w:eastAsia="Arial" w:hAnsi="Arial" w:cs="Arial"/>
          <w:color w:val="000000" w:themeColor="text1"/>
          <w:sz w:val="24"/>
          <w:szCs w:val="24"/>
          <w:lang w:val="es-CO"/>
        </w:rPr>
      </w:pPr>
    </w:p>
    <w:p w14:paraId="3EA6767D" w14:textId="71B1A976" w:rsidR="00555F7E" w:rsidRPr="00682149" w:rsidRDefault="00555F7E" w:rsidP="001C138F">
      <w:pPr>
        <w:spacing w:after="0" w:line="276" w:lineRule="auto"/>
        <w:jc w:val="both"/>
        <w:rPr>
          <w:rFonts w:ascii="Arial" w:hAnsi="Arial" w:cs="Arial"/>
          <w:b/>
          <w:i/>
          <w:color w:val="000000" w:themeColor="text1"/>
        </w:rPr>
      </w:pPr>
      <w:r w:rsidRPr="00682149">
        <w:rPr>
          <w:rFonts w:ascii="Arial" w:eastAsia="Arial" w:hAnsi="Arial" w:cs="Arial"/>
          <w:color w:val="000000" w:themeColor="text1"/>
          <w:sz w:val="24"/>
          <w:szCs w:val="24"/>
          <w:lang w:val="es-CO"/>
        </w:rPr>
        <w:t>Visto lo anterior, la Sala declarará ajustado a derecho el artículo 1º de la Resolución 1</w:t>
      </w:r>
      <w:r w:rsidR="00CB4867" w:rsidRPr="00682149">
        <w:rPr>
          <w:rFonts w:ascii="Arial" w:eastAsia="Arial" w:hAnsi="Arial" w:cs="Arial"/>
          <w:color w:val="000000" w:themeColor="text1"/>
          <w:sz w:val="24"/>
          <w:szCs w:val="24"/>
          <w:lang w:val="es-CO"/>
        </w:rPr>
        <w:t>66</w:t>
      </w:r>
      <w:r w:rsidRPr="00682149">
        <w:rPr>
          <w:rFonts w:ascii="Arial" w:eastAsia="Arial" w:hAnsi="Arial" w:cs="Arial"/>
          <w:color w:val="000000" w:themeColor="text1"/>
          <w:sz w:val="24"/>
          <w:szCs w:val="24"/>
          <w:lang w:val="es-CO"/>
        </w:rPr>
        <w:t xml:space="preserve">, por encontrar que válidamente fue expedido en el marco de los decretos legislativo </w:t>
      </w:r>
      <w:r w:rsidR="00CB4867" w:rsidRPr="00682149">
        <w:rPr>
          <w:rFonts w:ascii="Arial" w:eastAsia="Arial" w:hAnsi="Arial" w:cs="Arial"/>
          <w:color w:val="000000" w:themeColor="text1"/>
          <w:sz w:val="24"/>
          <w:szCs w:val="24"/>
          <w:lang w:val="es-CO"/>
        </w:rPr>
        <w:t xml:space="preserve">517 </w:t>
      </w:r>
      <w:r w:rsidRPr="00682149">
        <w:rPr>
          <w:rFonts w:ascii="Arial" w:eastAsia="Arial" w:hAnsi="Arial" w:cs="Arial"/>
          <w:color w:val="000000" w:themeColor="text1"/>
          <w:sz w:val="24"/>
          <w:szCs w:val="24"/>
          <w:lang w:val="es-CO"/>
        </w:rPr>
        <w:t>de 2020</w:t>
      </w:r>
      <w:r w:rsidR="00CB4867" w:rsidRPr="00682149">
        <w:rPr>
          <w:rFonts w:ascii="Arial" w:eastAsia="Arial" w:hAnsi="Arial" w:cs="Arial"/>
          <w:color w:val="000000" w:themeColor="text1"/>
          <w:sz w:val="24"/>
          <w:szCs w:val="24"/>
          <w:lang w:val="es-CO"/>
        </w:rPr>
        <w:t xml:space="preserve">. </w:t>
      </w:r>
    </w:p>
    <w:p w14:paraId="1461B193" w14:textId="7C7F4B9F" w:rsidR="00B82120" w:rsidRPr="00682149" w:rsidRDefault="00B82120" w:rsidP="001C138F">
      <w:pPr>
        <w:spacing w:after="0" w:line="276" w:lineRule="auto"/>
        <w:jc w:val="both"/>
        <w:rPr>
          <w:rFonts w:ascii="Arial" w:hAnsi="Arial" w:cs="Arial"/>
          <w:color w:val="000000" w:themeColor="text1"/>
          <w:sz w:val="24"/>
          <w:szCs w:val="24"/>
        </w:rPr>
      </w:pPr>
      <w:r w:rsidRPr="00682149">
        <w:rPr>
          <w:rFonts w:ascii="Arial" w:hAnsi="Arial" w:cs="Arial"/>
          <w:color w:val="000000" w:themeColor="text1"/>
          <w:sz w:val="24"/>
          <w:szCs w:val="24"/>
        </w:rPr>
        <w:t xml:space="preserve"> </w:t>
      </w:r>
    </w:p>
    <w:p w14:paraId="09F0D3E0" w14:textId="21279B45" w:rsidR="00997EB5" w:rsidRPr="00682149" w:rsidRDefault="001D37B6" w:rsidP="001C138F">
      <w:pPr>
        <w:spacing w:after="0" w:line="276" w:lineRule="auto"/>
        <w:jc w:val="both"/>
        <w:rPr>
          <w:rFonts w:ascii="Arial" w:hAnsi="Arial" w:cs="Arial"/>
          <w:b/>
          <w:color w:val="000000" w:themeColor="text1"/>
          <w:sz w:val="24"/>
          <w:szCs w:val="24"/>
        </w:rPr>
      </w:pPr>
      <w:r w:rsidRPr="00682149">
        <w:rPr>
          <w:rFonts w:ascii="Arial" w:hAnsi="Arial" w:cs="Arial"/>
          <w:b/>
          <w:color w:val="000000" w:themeColor="text1"/>
          <w:sz w:val="24"/>
          <w:szCs w:val="24"/>
        </w:rPr>
        <w:t>2.5.2.</w:t>
      </w:r>
      <w:r w:rsidRPr="00682149">
        <w:rPr>
          <w:rFonts w:ascii="Arial" w:hAnsi="Arial" w:cs="Arial"/>
          <w:b/>
          <w:color w:val="000000" w:themeColor="text1"/>
          <w:sz w:val="24"/>
          <w:szCs w:val="24"/>
        </w:rPr>
        <w:tab/>
      </w:r>
      <w:r w:rsidR="00DB72CE" w:rsidRPr="00682149">
        <w:rPr>
          <w:rFonts w:ascii="Arial" w:hAnsi="Arial" w:cs="Arial"/>
          <w:b/>
          <w:color w:val="000000" w:themeColor="text1"/>
          <w:sz w:val="24"/>
          <w:szCs w:val="24"/>
        </w:rPr>
        <w:t xml:space="preserve"> Artículo 2º</w:t>
      </w:r>
    </w:p>
    <w:p w14:paraId="606C764E" w14:textId="77777777" w:rsidR="00997EB5" w:rsidRPr="00682149" w:rsidRDefault="00997EB5" w:rsidP="001C138F">
      <w:pPr>
        <w:spacing w:after="0" w:line="276" w:lineRule="auto"/>
        <w:ind w:left="567"/>
        <w:jc w:val="both"/>
        <w:rPr>
          <w:rFonts w:ascii="Arial" w:hAnsi="Arial" w:cs="Arial"/>
          <w:b/>
          <w:i/>
          <w:color w:val="000000" w:themeColor="text1"/>
        </w:rPr>
      </w:pPr>
    </w:p>
    <w:p w14:paraId="3865DE3D" w14:textId="3417B704" w:rsidR="00310C06" w:rsidRPr="00682149" w:rsidRDefault="00310C06" w:rsidP="001C138F">
      <w:pPr>
        <w:spacing w:after="0" w:line="276" w:lineRule="auto"/>
        <w:ind w:left="567"/>
        <w:jc w:val="both"/>
        <w:rPr>
          <w:rFonts w:ascii="Arial" w:hAnsi="Arial" w:cs="Arial"/>
          <w:color w:val="000000" w:themeColor="text1"/>
        </w:rPr>
      </w:pPr>
      <w:r w:rsidRPr="00682149">
        <w:rPr>
          <w:rFonts w:ascii="Arial" w:hAnsi="Arial" w:cs="Arial"/>
          <w:b/>
          <w:i/>
          <w:color w:val="000000" w:themeColor="text1"/>
        </w:rPr>
        <w:t xml:space="preserve">Ámbito de aplicación. </w:t>
      </w:r>
      <w:r w:rsidRPr="00682149">
        <w:rPr>
          <w:rFonts w:ascii="Arial" w:hAnsi="Arial" w:cs="Arial"/>
          <w:i/>
          <w:color w:val="000000" w:themeColor="text1"/>
        </w:rPr>
        <w:t xml:space="preserve">Esta resolución se aplica a todas las personas que, estando organizadas en alguna de las formas dispuestas por el Título I de la Ley 142 de 1994, desarrollan las actividades relacionadas con el suministro de energía eléctrica a un domicilio mediante sistemas solares fotovoltaicos individuales AC con potencia mayor a 0.5 kW. </w:t>
      </w:r>
    </w:p>
    <w:p w14:paraId="0CD4D532" w14:textId="77777777" w:rsidR="00DB72CE" w:rsidRPr="00682149" w:rsidRDefault="00DB72CE" w:rsidP="001C138F">
      <w:pPr>
        <w:spacing w:after="0" w:line="276" w:lineRule="auto"/>
        <w:jc w:val="both"/>
        <w:rPr>
          <w:rFonts w:ascii="Arial" w:hAnsi="Arial" w:cs="Arial"/>
          <w:i/>
          <w:color w:val="000000" w:themeColor="text1"/>
        </w:rPr>
      </w:pPr>
    </w:p>
    <w:p w14:paraId="1590AAF4" w14:textId="641631A3" w:rsidR="00984EBA" w:rsidRPr="00682149" w:rsidRDefault="001E3167" w:rsidP="001C138F">
      <w:pPr>
        <w:spacing w:after="0" w:line="276" w:lineRule="auto"/>
        <w:jc w:val="both"/>
        <w:rPr>
          <w:rFonts w:ascii="Arial" w:hAnsi="Arial" w:cs="Arial"/>
          <w:color w:val="000000" w:themeColor="text1"/>
          <w:sz w:val="24"/>
          <w:szCs w:val="24"/>
        </w:rPr>
      </w:pPr>
      <w:r w:rsidRPr="00682149">
        <w:rPr>
          <w:rFonts w:ascii="Arial" w:hAnsi="Arial" w:cs="Arial"/>
          <w:color w:val="000000" w:themeColor="text1"/>
          <w:sz w:val="24"/>
          <w:szCs w:val="24"/>
        </w:rPr>
        <w:t xml:space="preserve">En estrecha relación con la disposición anterior, la norma desarrolla el artículo 3º del Decreto </w:t>
      </w:r>
      <w:r w:rsidR="00106F6D" w:rsidRPr="00682149">
        <w:rPr>
          <w:rFonts w:ascii="Arial" w:hAnsi="Arial" w:cs="Arial"/>
          <w:color w:val="000000" w:themeColor="text1"/>
          <w:sz w:val="24"/>
          <w:szCs w:val="24"/>
        </w:rPr>
        <w:t xml:space="preserve">Legislativo </w:t>
      </w:r>
      <w:r w:rsidRPr="00682149">
        <w:rPr>
          <w:rFonts w:ascii="Arial" w:hAnsi="Arial" w:cs="Arial"/>
          <w:color w:val="000000" w:themeColor="text1"/>
          <w:sz w:val="24"/>
          <w:szCs w:val="24"/>
        </w:rPr>
        <w:t>517 de 2020. Señala los destinatarios que deberá</w:t>
      </w:r>
      <w:r w:rsidR="00F16EDA" w:rsidRPr="00682149">
        <w:rPr>
          <w:rFonts w:ascii="Arial" w:hAnsi="Arial" w:cs="Arial"/>
          <w:color w:val="000000" w:themeColor="text1"/>
          <w:sz w:val="24"/>
          <w:szCs w:val="24"/>
        </w:rPr>
        <w:t xml:space="preserve">n </w:t>
      </w:r>
      <w:r w:rsidRPr="00682149">
        <w:rPr>
          <w:rFonts w:ascii="Arial" w:hAnsi="Arial" w:cs="Arial"/>
          <w:color w:val="000000" w:themeColor="text1"/>
          <w:sz w:val="24"/>
          <w:szCs w:val="24"/>
        </w:rPr>
        <w:t>cumplir con la aplicación de las tarifas,</w:t>
      </w:r>
      <w:r w:rsidR="00AB59B0" w:rsidRPr="00682149">
        <w:rPr>
          <w:rFonts w:ascii="Arial" w:hAnsi="Arial" w:cs="Arial"/>
          <w:color w:val="000000" w:themeColor="text1"/>
          <w:sz w:val="24"/>
          <w:szCs w:val="24"/>
        </w:rPr>
        <w:t xml:space="preserve"> cuya carga le corresponde a los </w:t>
      </w:r>
      <w:r w:rsidRPr="00682149">
        <w:rPr>
          <w:rFonts w:ascii="Arial" w:hAnsi="Arial" w:cs="Arial"/>
          <w:color w:val="000000" w:themeColor="text1"/>
          <w:sz w:val="24"/>
          <w:szCs w:val="24"/>
        </w:rPr>
        <w:t xml:space="preserve">prestadores </w:t>
      </w:r>
      <w:r w:rsidR="007B0991" w:rsidRPr="00682149">
        <w:rPr>
          <w:rFonts w:ascii="Arial" w:hAnsi="Arial" w:cs="Arial"/>
          <w:color w:val="000000" w:themeColor="text1"/>
          <w:sz w:val="24"/>
          <w:szCs w:val="24"/>
        </w:rPr>
        <w:t xml:space="preserve">u operadores </w:t>
      </w:r>
      <w:r w:rsidRPr="00682149">
        <w:rPr>
          <w:rFonts w:ascii="Arial" w:hAnsi="Arial" w:cs="Arial"/>
          <w:color w:val="000000" w:themeColor="text1"/>
          <w:sz w:val="24"/>
          <w:szCs w:val="24"/>
        </w:rPr>
        <w:t xml:space="preserve">del servicio, lo que </w:t>
      </w:r>
      <w:r w:rsidR="00F16EDA" w:rsidRPr="00682149">
        <w:rPr>
          <w:rFonts w:ascii="Arial" w:hAnsi="Arial" w:cs="Arial"/>
          <w:color w:val="000000" w:themeColor="text1"/>
          <w:sz w:val="24"/>
          <w:szCs w:val="24"/>
        </w:rPr>
        <w:t xml:space="preserve">comporta </w:t>
      </w:r>
      <w:r w:rsidRPr="00682149">
        <w:rPr>
          <w:rFonts w:ascii="Arial" w:hAnsi="Arial" w:cs="Arial"/>
          <w:color w:val="000000" w:themeColor="text1"/>
          <w:sz w:val="24"/>
          <w:szCs w:val="24"/>
        </w:rPr>
        <w:t xml:space="preserve">que desde el otro espectro, las zonas no interconectadas ZNI, entiéndase por tales, los municipios, corregimientos, localidades y caseríos </w:t>
      </w:r>
      <w:r w:rsidR="00F16EDA" w:rsidRPr="00682149">
        <w:rPr>
          <w:rFonts w:ascii="Arial" w:hAnsi="Arial" w:cs="Arial"/>
          <w:color w:val="000000" w:themeColor="text1"/>
          <w:sz w:val="24"/>
          <w:szCs w:val="24"/>
        </w:rPr>
        <w:t>no conectado</w:t>
      </w:r>
      <w:r w:rsidR="007B0991" w:rsidRPr="00682149">
        <w:rPr>
          <w:rFonts w:ascii="Arial" w:hAnsi="Arial" w:cs="Arial"/>
          <w:color w:val="000000" w:themeColor="text1"/>
          <w:sz w:val="24"/>
          <w:szCs w:val="24"/>
        </w:rPr>
        <w:t>s</w:t>
      </w:r>
      <w:r w:rsidR="00F16EDA" w:rsidRPr="00682149">
        <w:rPr>
          <w:rFonts w:ascii="Arial" w:hAnsi="Arial" w:cs="Arial"/>
          <w:color w:val="000000" w:themeColor="text1"/>
          <w:sz w:val="24"/>
          <w:szCs w:val="24"/>
        </w:rPr>
        <w:t xml:space="preserve"> al Sistema Interconectado Nacional SIN</w:t>
      </w:r>
      <w:r w:rsidR="00CB1D6F" w:rsidRPr="00682149">
        <w:rPr>
          <w:rFonts w:ascii="Arial" w:hAnsi="Arial" w:cs="Arial"/>
          <w:color w:val="000000" w:themeColor="text1"/>
          <w:sz w:val="24"/>
          <w:szCs w:val="24"/>
        </w:rPr>
        <w:t>, donde se presten soluciones del servicio de energía a través de sistemas solares fotovoltaicos individuales con una potencia mayor a 0.5 kW,</w:t>
      </w:r>
      <w:r w:rsidR="00F16EDA" w:rsidRPr="00682149">
        <w:rPr>
          <w:rFonts w:ascii="Arial" w:hAnsi="Arial" w:cs="Arial"/>
          <w:color w:val="000000" w:themeColor="text1"/>
          <w:sz w:val="24"/>
          <w:szCs w:val="24"/>
        </w:rPr>
        <w:t xml:space="preserve"> quedarían cubiertos </w:t>
      </w:r>
      <w:r w:rsidR="00F16EDA" w:rsidRPr="00682149">
        <w:rPr>
          <w:rFonts w:ascii="Arial" w:hAnsi="Arial" w:cs="Arial"/>
          <w:color w:val="000000" w:themeColor="text1"/>
          <w:sz w:val="24"/>
          <w:szCs w:val="24"/>
        </w:rPr>
        <w:lastRenderedPageBreak/>
        <w:t>por la</w:t>
      </w:r>
      <w:r w:rsidR="000C3A4E">
        <w:rPr>
          <w:rFonts w:ascii="Arial" w:hAnsi="Arial" w:cs="Arial"/>
          <w:color w:val="000000" w:themeColor="text1"/>
          <w:sz w:val="24"/>
          <w:szCs w:val="24"/>
        </w:rPr>
        <w:t>s</w:t>
      </w:r>
      <w:r w:rsidR="00F16EDA" w:rsidRPr="00682149">
        <w:rPr>
          <w:rFonts w:ascii="Arial" w:hAnsi="Arial" w:cs="Arial"/>
          <w:color w:val="000000" w:themeColor="text1"/>
          <w:sz w:val="24"/>
          <w:szCs w:val="24"/>
        </w:rPr>
        <w:t xml:space="preserve"> tarifas transitorias, </w:t>
      </w:r>
      <w:r w:rsidR="00245C21" w:rsidRPr="00682149">
        <w:rPr>
          <w:rFonts w:ascii="Arial" w:hAnsi="Arial" w:cs="Arial"/>
          <w:color w:val="000000" w:themeColor="text1"/>
          <w:sz w:val="24"/>
          <w:szCs w:val="24"/>
        </w:rPr>
        <w:t xml:space="preserve">definidas en la reglamentación de excepción </w:t>
      </w:r>
      <w:r w:rsidR="00AB59B0" w:rsidRPr="00682149">
        <w:rPr>
          <w:rFonts w:ascii="Arial" w:hAnsi="Arial" w:cs="Arial"/>
          <w:color w:val="000000" w:themeColor="text1"/>
          <w:sz w:val="24"/>
          <w:szCs w:val="24"/>
        </w:rPr>
        <w:t xml:space="preserve">dada </w:t>
      </w:r>
      <w:r w:rsidR="00245C21" w:rsidRPr="00682149">
        <w:rPr>
          <w:rFonts w:ascii="Arial" w:hAnsi="Arial" w:cs="Arial"/>
          <w:color w:val="000000" w:themeColor="text1"/>
          <w:sz w:val="24"/>
          <w:szCs w:val="24"/>
        </w:rPr>
        <w:t xml:space="preserve">la falta de una norma previa que </w:t>
      </w:r>
      <w:r w:rsidR="007B0991" w:rsidRPr="00682149">
        <w:rPr>
          <w:rFonts w:ascii="Arial" w:hAnsi="Arial" w:cs="Arial"/>
          <w:color w:val="000000" w:themeColor="text1"/>
          <w:sz w:val="24"/>
          <w:szCs w:val="24"/>
        </w:rPr>
        <w:t xml:space="preserve">establezca la metodología y defina las tarifas </w:t>
      </w:r>
      <w:r w:rsidR="00267B99" w:rsidRPr="00682149">
        <w:rPr>
          <w:rFonts w:ascii="Arial" w:hAnsi="Arial" w:cs="Arial"/>
          <w:color w:val="000000" w:themeColor="text1"/>
          <w:sz w:val="24"/>
          <w:szCs w:val="24"/>
        </w:rPr>
        <w:t xml:space="preserve">generales </w:t>
      </w:r>
      <w:r w:rsidR="007B0991" w:rsidRPr="00682149">
        <w:rPr>
          <w:rFonts w:ascii="Arial" w:hAnsi="Arial" w:cs="Arial"/>
          <w:color w:val="000000" w:themeColor="text1"/>
          <w:sz w:val="24"/>
          <w:szCs w:val="24"/>
        </w:rPr>
        <w:t>en las mentadas ZIN</w:t>
      </w:r>
      <w:r w:rsidR="00B900A9" w:rsidRPr="00682149">
        <w:rPr>
          <w:rFonts w:ascii="Arial" w:hAnsi="Arial" w:cs="Arial"/>
          <w:color w:val="000000" w:themeColor="text1"/>
          <w:sz w:val="24"/>
          <w:szCs w:val="24"/>
        </w:rPr>
        <w:t xml:space="preserve"> para soluciones individuales fotovoltaicas.</w:t>
      </w:r>
      <w:r w:rsidR="007B0991" w:rsidRPr="00682149">
        <w:rPr>
          <w:rFonts w:ascii="Arial" w:hAnsi="Arial" w:cs="Arial"/>
          <w:color w:val="000000" w:themeColor="text1"/>
          <w:sz w:val="24"/>
          <w:szCs w:val="24"/>
        </w:rPr>
        <w:t xml:space="preserve"> </w:t>
      </w:r>
    </w:p>
    <w:p w14:paraId="5FE12AA7" w14:textId="77777777" w:rsidR="00984EBA" w:rsidRPr="00682149" w:rsidRDefault="00984EBA" w:rsidP="001C138F">
      <w:pPr>
        <w:spacing w:after="0" w:line="276" w:lineRule="auto"/>
        <w:jc w:val="both"/>
        <w:rPr>
          <w:rFonts w:ascii="Arial" w:hAnsi="Arial" w:cs="Arial"/>
          <w:color w:val="000000" w:themeColor="text1"/>
          <w:sz w:val="24"/>
          <w:szCs w:val="24"/>
        </w:rPr>
      </w:pPr>
    </w:p>
    <w:p w14:paraId="05D8F4BA" w14:textId="59D5C74D" w:rsidR="001E3167" w:rsidRPr="00682149" w:rsidRDefault="00A0204A" w:rsidP="001C138F">
      <w:pPr>
        <w:spacing w:after="0" w:line="276" w:lineRule="auto"/>
        <w:jc w:val="both"/>
        <w:rPr>
          <w:rFonts w:ascii="Arial" w:hAnsi="Arial" w:cs="Arial"/>
          <w:color w:val="000000" w:themeColor="text1"/>
          <w:sz w:val="24"/>
          <w:szCs w:val="24"/>
        </w:rPr>
      </w:pPr>
      <w:r w:rsidRPr="00682149">
        <w:rPr>
          <w:rFonts w:ascii="Arial" w:hAnsi="Arial" w:cs="Arial"/>
          <w:color w:val="000000" w:themeColor="text1"/>
          <w:sz w:val="24"/>
          <w:szCs w:val="24"/>
        </w:rPr>
        <w:t>Así, la</w:t>
      </w:r>
      <w:r w:rsidR="009545A3" w:rsidRPr="00682149">
        <w:rPr>
          <w:rFonts w:ascii="Arial" w:hAnsi="Arial" w:cs="Arial"/>
          <w:color w:val="000000" w:themeColor="text1"/>
          <w:sz w:val="24"/>
          <w:szCs w:val="24"/>
        </w:rPr>
        <w:t xml:space="preserve"> disposición consulta </w:t>
      </w:r>
      <w:r w:rsidR="00984EBA" w:rsidRPr="00682149">
        <w:rPr>
          <w:rFonts w:ascii="Arial" w:hAnsi="Arial" w:cs="Arial"/>
          <w:color w:val="000000" w:themeColor="text1"/>
          <w:sz w:val="24"/>
          <w:szCs w:val="24"/>
        </w:rPr>
        <w:t xml:space="preserve">el régimen general del servicio, en tanto somete a los prestadores a sus regulaciones, tal como se enuncia en la ley de servicios públicos domiciliarios.  </w:t>
      </w:r>
    </w:p>
    <w:p w14:paraId="76BB8B58" w14:textId="77777777" w:rsidR="00245C21" w:rsidRPr="00682149" w:rsidRDefault="00245C21" w:rsidP="001C138F">
      <w:pPr>
        <w:spacing w:after="0" w:line="276" w:lineRule="auto"/>
        <w:jc w:val="both"/>
        <w:rPr>
          <w:rFonts w:ascii="Arial" w:hAnsi="Arial" w:cs="Arial"/>
          <w:color w:val="000000" w:themeColor="text1"/>
          <w:sz w:val="24"/>
          <w:szCs w:val="24"/>
        </w:rPr>
      </w:pPr>
    </w:p>
    <w:p w14:paraId="370B8DE5" w14:textId="136F271E" w:rsidR="00310C06" w:rsidRPr="00682149" w:rsidRDefault="001D37B6" w:rsidP="001C138F">
      <w:pPr>
        <w:spacing w:after="0" w:line="276" w:lineRule="auto"/>
        <w:jc w:val="both"/>
        <w:rPr>
          <w:rFonts w:ascii="Arial" w:hAnsi="Arial" w:cs="Arial"/>
          <w:b/>
          <w:color w:val="000000" w:themeColor="text1"/>
          <w:sz w:val="24"/>
          <w:szCs w:val="24"/>
        </w:rPr>
      </w:pPr>
      <w:r w:rsidRPr="00682149">
        <w:rPr>
          <w:rFonts w:ascii="Arial" w:hAnsi="Arial" w:cs="Arial"/>
          <w:b/>
          <w:color w:val="000000" w:themeColor="text1"/>
          <w:sz w:val="24"/>
          <w:szCs w:val="24"/>
        </w:rPr>
        <w:t>2.5.3.</w:t>
      </w:r>
      <w:r w:rsidRPr="00682149">
        <w:rPr>
          <w:rFonts w:ascii="Arial" w:hAnsi="Arial" w:cs="Arial"/>
          <w:b/>
          <w:color w:val="000000" w:themeColor="text1"/>
          <w:sz w:val="24"/>
          <w:szCs w:val="24"/>
        </w:rPr>
        <w:tab/>
      </w:r>
      <w:r w:rsidR="00310C06" w:rsidRPr="00682149">
        <w:rPr>
          <w:rFonts w:ascii="Arial" w:hAnsi="Arial" w:cs="Arial"/>
          <w:b/>
          <w:i/>
          <w:color w:val="000000" w:themeColor="text1"/>
          <w:sz w:val="24"/>
          <w:szCs w:val="24"/>
        </w:rPr>
        <w:t xml:space="preserve"> </w:t>
      </w:r>
      <w:r w:rsidR="00DB72CE" w:rsidRPr="00682149">
        <w:rPr>
          <w:rFonts w:ascii="Arial" w:hAnsi="Arial" w:cs="Arial"/>
          <w:b/>
          <w:color w:val="000000" w:themeColor="text1"/>
          <w:sz w:val="24"/>
          <w:szCs w:val="24"/>
        </w:rPr>
        <w:t>Artículo 3</w:t>
      </w:r>
      <w:r w:rsidR="000450E4" w:rsidRPr="00682149">
        <w:rPr>
          <w:rFonts w:ascii="Arial" w:hAnsi="Arial" w:cs="Arial"/>
          <w:b/>
          <w:color w:val="000000" w:themeColor="text1"/>
          <w:sz w:val="24"/>
          <w:szCs w:val="24"/>
        </w:rPr>
        <w:t xml:space="preserve">º. </w:t>
      </w:r>
    </w:p>
    <w:p w14:paraId="6F0AC9D3" w14:textId="77777777" w:rsidR="00DB72CE" w:rsidRPr="00682149" w:rsidRDefault="00DB72CE" w:rsidP="001C138F">
      <w:pPr>
        <w:spacing w:after="0" w:line="276" w:lineRule="auto"/>
        <w:ind w:left="567"/>
        <w:jc w:val="both"/>
        <w:rPr>
          <w:rFonts w:ascii="Arial" w:hAnsi="Arial" w:cs="Arial"/>
          <w:b/>
          <w:i/>
          <w:color w:val="000000" w:themeColor="text1"/>
        </w:rPr>
      </w:pPr>
    </w:p>
    <w:p w14:paraId="514F6BD2" w14:textId="61A416C7" w:rsidR="00310C06" w:rsidRPr="00682149" w:rsidRDefault="00310C06" w:rsidP="001C138F">
      <w:pPr>
        <w:spacing w:after="0" w:line="276" w:lineRule="auto"/>
        <w:ind w:left="567"/>
        <w:jc w:val="both"/>
        <w:rPr>
          <w:rFonts w:ascii="Arial" w:hAnsi="Arial" w:cs="Arial"/>
          <w:color w:val="000000" w:themeColor="text1"/>
        </w:rPr>
      </w:pPr>
      <w:r w:rsidRPr="00682149">
        <w:rPr>
          <w:rFonts w:ascii="Arial" w:hAnsi="Arial" w:cs="Arial"/>
          <w:b/>
          <w:i/>
          <w:color w:val="000000" w:themeColor="text1"/>
        </w:rPr>
        <w:t xml:space="preserve">Definiciones. </w:t>
      </w:r>
      <w:r w:rsidRPr="00682149">
        <w:rPr>
          <w:rFonts w:ascii="Arial" w:hAnsi="Arial" w:cs="Arial"/>
          <w:i/>
          <w:color w:val="000000" w:themeColor="text1"/>
        </w:rPr>
        <w:t xml:space="preserve">Para la interpretación y aplicación de esta resolución se tendrán en cuenta, además de las definiciones contenidas en las Leyes 142 y 143 de 1994, y en las resoluciones vigentes de la CREG, las siguientes:  </w:t>
      </w:r>
    </w:p>
    <w:p w14:paraId="6EE84B20" w14:textId="77777777" w:rsidR="00310C06" w:rsidRPr="00682149" w:rsidRDefault="00310C06"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 </w:t>
      </w:r>
    </w:p>
    <w:p w14:paraId="609703C8" w14:textId="2A5FAA12" w:rsidR="00310C06" w:rsidRPr="00682149" w:rsidRDefault="00310C06" w:rsidP="001C138F">
      <w:pPr>
        <w:spacing w:after="0" w:line="276" w:lineRule="auto"/>
        <w:ind w:left="567"/>
        <w:jc w:val="both"/>
        <w:rPr>
          <w:rFonts w:ascii="Arial" w:hAnsi="Arial" w:cs="Arial"/>
          <w:i/>
          <w:color w:val="000000" w:themeColor="text1"/>
        </w:rPr>
      </w:pPr>
      <w:r w:rsidRPr="00682149">
        <w:rPr>
          <w:rFonts w:ascii="Arial" w:hAnsi="Arial" w:cs="Arial"/>
          <w:b/>
          <w:i/>
          <w:color w:val="000000" w:themeColor="text1"/>
        </w:rPr>
        <w:t xml:space="preserve">Fecha Base: </w:t>
      </w:r>
      <w:r w:rsidRPr="00682149">
        <w:rPr>
          <w:rFonts w:ascii="Arial" w:hAnsi="Arial" w:cs="Arial"/>
          <w:i/>
          <w:color w:val="000000" w:themeColor="text1"/>
        </w:rPr>
        <w:t xml:space="preserve">Corresponderá al mes de junio de 2020. </w:t>
      </w:r>
    </w:p>
    <w:p w14:paraId="330C386D" w14:textId="76DD76CD" w:rsidR="00984EBA" w:rsidRPr="00682149" w:rsidRDefault="00984EBA" w:rsidP="001C138F">
      <w:pPr>
        <w:spacing w:after="0" w:line="276" w:lineRule="auto"/>
        <w:ind w:left="567"/>
        <w:jc w:val="both"/>
        <w:rPr>
          <w:rFonts w:ascii="Arial" w:hAnsi="Arial" w:cs="Arial"/>
          <w:i/>
          <w:color w:val="000000" w:themeColor="text1"/>
        </w:rPr>
      </w:pPr>
    </w:p>
    <w:p w14:paraId="29238212" w14:textId="7DE8A4D2" w:rsidR="00984EBA" w:rsidRPr="00682149" w:rsidRDefault="00984EBA"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 </w:t>
      </w:r>
    </w:p>
    <w:p w14:paraId="1C7904EC" w14:textId="77777777" w:rsidR="00310C06" w:rsidRPr="00682149" w:rsidRDefault="00310C06"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 </w:t>
      </w:r>
    </w:p>
    <w:p w14:paraId="5B60FE34" w14:textId="427B2763" w:rsidR="00245C21" w:rsidRPr="00682149" w:rsidRDefault="006D22AA" w:rsidP="001C138F">
      <w:pPr>
        <w:spacing w:after="0" w:line="276" w:lineRule="auto"/>
        <w:jc w:val="both"/>
        <w:rPr>
          <w:rFonts w:ascii="Arial" w:hAnsi="Arial" w:cs="Arial"/>
          <w:color w:val="000000" w:themeColor="text1"/>
          <w:sz w:val="24"/>
          <w:szCs w:val="24"/>
        </w:rPr>
      </w:pPr>
      <w:r w:rsidRPr="00682149">
        <w:rPr>
          <w:rFonts w:ascii="Arial" w:hAnsi="Arial" w:cs="Arial"/>
          <w:color w:val="000000" w:themeColor="text1"/>
          <w:sz w:val="24"/>
          <w:szCs w:val="24"/>
        </w:rPr>
        <w:t xml:space="preserve">Con independencia de la indeterminación de la redacción del artículo, </w:t>
      </w:r>
      <w:r w:rsidR="00245C21" w:rsidRPr="00682149">
        <w:rPr>
          <w:rFonts w:ascii="Arial" w:hAnsi="Arial" w:cs="Arial"/>
          <w:color w:val="000000" w:themeColor="text1"/>
          <w:sz w:val="24"/>
          <w:szCs w:val="24"/>
        </w:rPr>
        <w:t xml:space="preserve">la fecha </w:t>
      </w:r>
      <w:r w:rsidRPr="00682149">
        <w:rPr>
          <w:rFonts w:ascii="Arial" w:hAnsi="Arial" w:cs="Arial"/>
          <w:color w:val="000000" w:themeColor="text1"/>
          <w:sz w:val="24"/>
          <w:szCs w:val="24"/>
        </w:rPr>
        <w:t>base prevista en función de la</w:t>
      </w:r>
      <w:r w:rsidR="000C3A4E">
        <w:rPr>
          <w:rFonts w:ascii="Arial" w:hAnsi="Arial" w:cs="Arial"/>
          <w:color w:val="000000" w:themeColor="text1"/>
          <w:sz w:val="24"/>
          <w:szCs w:val="24"/>
        </w:rPr>
        <w:t>s</w:t>
      </w:r>
      <w:r w:rsidRPr="00682149">
        <w:rPr>
          <w:rFonts w:ascii="Arial" w:hAnsi="Arial" w:cs="Arial"/>
          <w:color w:val="000000" w:themeColor="text1"/>
          <w:sz w:val="24"/>
          <w:szCs w:val="24"/>
        </w:rPr>
        <w:t xml:space="preserve"> formulas tarifarias establecidas a continuación, </w:t>
      </w:r>
      <w:r w:rsidR="00245C21" w:rsidRPr="00682149">
        <w:rPr>
          <w:rFonts w:ascii="Arial" w:hAnsi="Arial" w:cs="Arial"/>
          <w:color w:val="000000" w:themeColor="text1"/>
          <w:sz w:val="24"/>
          <w:szCs w:val="24"/>
        </w:rPr>
        <w:t>correspondería al mes de junio de 2020</w:t>
      </w:r>
      <w:r w:rsidR="00F1507C" w:rsidRPr="00682149">
        <w:rPr>
          <w:rFonts w:ascii="Arial" w:hAnsi="Arial" w:cs="Arial"/>
          <w:color w:val="000000" w:themeColor="text1"/>
          <w:sz w:val="24"/>
          <w:szCs w:val="24"/>
        </w:rPr>
        <w:t>.</w:t>
      </w:r>
    </w:p>
    <w:p w14:paraId="5A297B4B" w14:textId="77777777" w:rsidR="00245C21" w:rsidRPr="00682149" w:rsidRDefault="00245C21" w:rsidP="001C138F">
      <w:pPr>
        <w:spacing w:after="0" w:line="276" w:lineRule="auto"/>
        <w:jc w:val="both"/>
        <w:rPr>
          <w:rFonts w:ascii="Arial" w:hAnsi="Arial" w:cs="Arial"/>
          <w:color w:val="000000" w:themeColor="text1"/>
          <w:sz w:val="24"/>
          <w:szCs w:val="24"/>
        </w:rPr>
      </w:pPr>
    </w:p>
    <w:p w14:paraId="7F755672" w14:textId="0EA23BEC" w:rsidR="00C3642E" w:rsidRDefault="00CB1D6F" w:rsidP="001C138F">
      <w:pPr>
        <w:spacing w:after="0" w:line="276" w:lineRule="auto"/>
        <w:jc w:val="both"/>
        <w:rPr>
          <w:rFonts w:ascii="Arial" w:hAnsi="Arial" w:cs="Arial"/>
          <w:color w:val="000000" w:themeColor="text1"/>
          <w:sz w:val="24"/>
          <w:szCs w:val="24"/>
        </w:rPr>
      </w:pPr>
      <w:r w:rsidRPr="00682149">
        <w:rPr>
          <w:rFonts w:ascii="Arial" w:hAnsi="Arial" w:cs="Arial"/>
          <w:color w:val="000000" w:themeColor="text1"/>
          <w:sz w:val="24"/>
          <w:szCs w:val="24"/>
        </w:rPr>
        <w:t>Ahora, al</w:t>
      </w:r>
      <w:r w:rsidR="00AB59B0" w:rsidRPr="00682149">
        <w:rPr>
          <w:rFonts w:ascii="Arial" w:hAnsi="Arial" w:cs="Arial"/>
          <w:color w:val="000000" w:themeColor="text1"/>
          <w:sz w:val="24"/>
          <w:szCs w:val="24"/>
        </w:rPr>
        <w:t xml:space="preserve"> margen de la técnica especial contenida en </w:t>
      </w:r>
      <w:r w:rsidR="00245C21" w:rsidRPr="00682149">
        <w:rPr>
          <w:rFonts w:ascii="Arial" w:hAnsi="Arial" w:cs="Arial"/>
          <w:color w:val="000000" w:themeColor="text1"/>
          <w:sz w:val="24"/>
          <w:szCs w:val="24"/>
        </w:rPr>
        <w:t>lo</w:t>
      </w:r>
      <w:r w:rsidR="002645A9" w:rsidRPr="00682149">
        <w:rPr>
          <w:rFonts w:ascii="Arial" w:hAnsi="Arial" w:cs="Arial"/>
          <w:color w:val="000000" w:themeColor="text1"/>
          <w:sz w:val="24"/>
          <w:szCs w:val="24"/>
        </w:rPr>
        <w:t>s artículos 4º, 5º, 6º, 7º, 8º,</w:t>
      </w:r>
      <w:r w:rsidR="00245C21" w:rsidRPr="00682149">
        <w:rPr>
          <w:rFonts w:ascii="Arial" w:hAnsi="Arial" w:cs="Arial"/>
          <w:color w:val="000000" w:themeColor="text1"/>
          <w:sz w:val="24"/>
          <w:szCs w:val="24"/>
        </w:rPr>
        <w:t xml:space="preserve"> 9º</w:t>
      </w:r>
      <w:r w:rsidR="002645A9" w:rsidRPr="00682149">
        <w:rPr>
          <w:rFonts w:ascii="Arial" w:hAnsi="Arial" w:cs="Arial"/>
          <w:color w:val="000000" w:themeColor="text1"/>
          <w:sz w:val="24"/>
          <w:szCs w:val="24"/>
        </w:rPr>
        <w:t xml:space="preserve"> y 10</w:t>
      </w:r>
      <w:r w:rsidR="00AB59B0" w:rsidRPr="00682149">
        <w:rPr>
          <w:rFonts w:ascii="Arial" w:hAnsi="Arial" w:cs="Arial"/>
          <w:color w:val="000000" w:themeColor="text1"/>
          <w:sz w:val="24"/>
          <w:szCs w:val="24"/>
        </w:rPr>
        <w:t xml:space="preserve"> de la Resolución 166, todos los artículos </w:t>
      </w:r>
      <w:r w:rsidR="00245C21" w:rsidRPr="00682149">
        <w:rPr>
          <w:rFonts w:ascii="Arial" w:hAnsi="Arial" w:cs="Arial"/>
          <w:color w:val="000000" w:themeColor="text1"/>
          <w:sz w:val="24"/>
          <w:szCs w:val="24"/>
        </w:rPr>
        <w:t>establece</w:t>
      </w:r>
      <w:r w:rsidR="00EE16E5" w:rsidRPr="00682149">
        <w:rPr>
          <w:rFonts w:ascii="Arial" w:hAnsi="Arial" w:cs="Arial"/>
          <w:color w:val="000000" w:themeColor="text1"/>
          <w:sz w:val="24"/>
          <w:szCs w:val="24"/>
        </w:rPr>
        <w:t xml:space="preserve">n la regulación </w:t>
      </w:r>
      <w:r w:rsidR="004A0E4B" w:rsidRPr="00682149">
        <w:rPr>
          <w:rFonts w:ascii="Arial" w:hAnsi="Arial" w:cs="Arial"/>
          <w:color w:val="000000" w:themeColor="text1"/>
          <w:sz w:val="24"/>
          <w:szCs w:val="24"/>
        </w:rPr>
        <w:t>específica</w:t>
      </w:r>
      <w:r w:rsidR="007B0991" w:rsidRPr="00682149">
        <w:rPr>
          <w:rFonts w:ascii="Arial" w:hAnsi="Arial" w:cs="Arial"/>
          <w:color w:val="000000" w:themeColor="text1"/>
          <w:sz w:val="24"/>
          <w:szCs w:val="24"/>
        </w:rPr>
        <w:t xml:space="preserve"> y particularmente técnica</w:t>
      </w:r>
      <w:r w:rsidR="00EE16E5" w:rsidRPr="00682149">
        <w:rPr>
          <w:rFonts w:ascii="Arial" w:hAnsi="Arial" w:cs="Arial"/>
          <w:color w:val="000000" w:themeColor="text1"/>
          <w:sz w:val="24"/>
          <w:szCs w:val="24"/>
        </w:rPr>
        <w:t xml:space="preserve">, en cuanto </w:t>
      </w:r>
      <w:r w:rsidR="004723EC" w:rsidRPr="00682149">
        <w:rPr>
          <w:rFonts w:ascii="Arial" w:hAnsi="Arial" w:cs="Arial"/>
          <w:color w:val="000000" w:themeColor="text1"/>
          <w:sz w:val="24"/>
          <w:szCs w:val="24"/>
        </w:rPr>
        <w:t xml:space="preserve">i) </w:t>
      </w:r>
      <w:r w:rsidR="00245C21" w:rsidRPr="00682149">
        <w:rPr>
          <w:rFonts w:ascii="Arial" w:hAnsi="Arial" w:cs="Arial"/>
          <w:color w:val="000000" w:themeColor="text1"/>
          <w:sz w:val="24"/>
          <w:szCs w:val="24"/>
        </w:rPr>
        <w:t>define</w:t>
      </w:r>
      <w:r w:rsidR="00EE16E5" w:rsidRPr="00682149">
        <w:rPr>
          <w:rFonts w:ascii="Arial" w:hAnsi="Arial" w:cs="Arial"/>
          <w:color w:val="000000" w:themeColor="text1"/>
          <w:sz w:val="24"/>
          <w:szCs w:val="24"/>
        </w:rPr>
        <w:t xml:space="preserve">n los cargos máximos de generación de energía, </w:t>
      </w:r>
      <w:r w:rsidR="004723EC" w:rsidRPr="00682149">
        <w:rPr>
          <w:rFonts w:ascii="Arial" w:hAnsi="Arial" w:cs="Arial"/>
          <w:color w:val="000000" w:themeColor="text1"/>
          <w:sz w:val="24"/>
          <w:szCs w:val="24"/>
        </w:rPr>
        <w:t xml:space="preserve">ii) </w:t>
      </w:r>
      <w:r w:rsidR="00EE16E5" w:rsidRPr="00682149">
        <w:rPr>
          <w:rFonts w:ascii="Arial" w:hAnsi="Arial" w:cs="Arial"/>
          <w:color w:val="000000" w:themeColor="text1"/>
          <w:sz w:val="24"/>
          <w:szCs w:val="24"/>
        </w:rPr>
        <w:t xml:space="preserve">fijan la remuneración del componente de inversión, </w:t>
      </w:r>
      <w:r w:rsidR="00AB59B0" w:rsidRPr="00682149">
        <w:rPr>
          <w:rFonts w:ascii="Arial" w:hAnsi="Arial" w:cs="Arial"/>
          <w:color w:val="000000" w:themeColor="text1"/>
          <w:sz w:val="24"/>
          <w:szCs w:val="24"/>
        </w:rPr>
        <w:t xml:space="preserve">el cual </w:t>
      </w:r>
      <w:r w:rsidR="00EE16E5" w:rsidRPr="00682149">
        <w:rPr>
          <w:rFonts w:ascii="Arial" w:hAnsi="Arial" w:cs="Arial"/>
          <w:color w:val="000000" w:themeColor="text1"/>
          <w:sz w:val="24"/>
          <w:szCs w:val="24"/>
        </w:rPr>
        <w:t>incluye los costos de administración operación y mantenimiento,</w:t>
      </w:r>
      <w:r w:rsidR="002645A9" w:rsidRPr="00682149">
        <w:rPr>
          <w:rFonts w:ascii="Arial" w:hAnsi="Arial" w:cs="Arial"/>
          <w:color w:val="000000" w:themeColor="text1"/>
          <w:sz w:val="24"/>
          <w:szCs w:val="24"/>
        </w:rPr>
        <w:t xml:space="preserve"> </w:t>
      </w:r>
      <w:r w:rsidR="00AB59B0" w:rsidRPr="00682149">
        <w:rPr>
          <w:rFonts w:ascii="Arial" w:hAnsi="Arial" w:cs="Arial"/>
          <w:color w:val="000000" w:themeColor="text1"/>
          <w:sz w:val="24"/>
          <w:szCs w:val="24"/>
        </w:rPr>
        <w:t xml:space="preserve">respecto de los </w:t>
      </w:r>
      <w:r w:rsidR="002645A9" w:rsidRPr="00682149">
        <w:rPr>
          <w:rFonts w:ascii="Arial" w:hAnsi="Arial" w:cs="Arial"/>
          <w:color w:val="000000" w:themeColor="text1"/>
          <w:sz w:val="24"/>
          <w:szCs w:val="24"/>
        </w:rPr>
        <w:t>sistemas solares fotovoltaicos individuales AC con potencia instalada mayor a 0.5 kW</w:t>
      </w:r>
      <w:r w:rsidR="00AB59B0" w:rsidRPr="00682149">
        <w:rPr>
          <w:rFonts w:ascii="Arial" w:hAnsi="Arial" w:cs="Arial"/>
          <w:color w:val="000000" w:themeColor="text1"/>
          <w:sz w:val="24"/>
          <w:szCs w:val="24"/>
        </w:rPr>
        <w:t xml:space="preserve">, </w:t>
      </w:r>
      <w:r w:rsidR="004723EC" w:rsidRPr="00682149">
        <w:rPr>
          <w:rFonts w:ascii="Arial" w:hAnsi="Arial" w:cs="Arial"/>
          <w:color w:val="000000" w:themeColor="text1"/>
          <w:sz w:val="24"/>
          <w:szCs w:val="24"/>
        </w:rPr>
        <w:t xml:space="preserve">iii) </w:t>
      </w:r>
      <w:r w:rsidR="00AB59B0" w:rsidRPr="00682149">
        <w:rPr>
          <w:rFonts w:ascii="Arial" w:hAnsi="Arial" w:cs="Arial"/>
          <w:color w:val="000000" w:themeColor="text1"/>
          <w:sz w:val="24"/>
          <w:szCs w:val="24"/>
        </w:rPr>
        <w:t>define</w:t>
      </w:r>
      <w:r w:rsidR="007B0991" w:rsidRPr="00682149">
        <w:rPr>
          <w:rFonts w:ascii="Arial" w:hAnsi="Arial" w:cs="Arial"/>
          <w:color w:val="000000" w:themeColor="text1"/>
          <w:sz w:val="24"/>
          <w:szCs w:val="24"/>
        </w:rPr>
        <w:t>n</w:t>
      </w:r>
      <w:r w:rsidR="00AB59B0" w:rsidRPr="00682149">
        <w:rPr>
          <w:rFonts w:ascii="Arial" w:hAnsi="Arial" w:cs="Arial"/>
          <w:color w:val="000000" w:themeColor="text1"/>
          <w:sz w:val="24"/>
          <w:szCs w:val="24"/>
        </w:rPr>
        <w:t xml:space="preserve"> la tarifa </w:t>
      </w:r>
      <w:r w:rsidR="002645A9" w:rsidRPr="00682149">
        <w:rPr>
          <w:rFonts w:ascii="Arial" w:hAnsi="Arial" w:cs="Arial"/>
          <w:color w:val="000000" w:themeColor="text1"/>
          <w:sz w:val="24"/>
          <w:szCs w:val="24"/>
        </w:rPr>
        <w:t>mes por usuario, expresada en pesos de la fecha base</w:t>
      </w:r>
      <w:r w:rsidR="00071401" w:rsidRPr="00682149">
        <w:rPr>
          <w:rFonts w:ascii="Arial" w:hAnsi="Arial" w:cs="Arial"/>
          <w:color w:val="000000" w:themeColor="text1"/>
          <w:sz w:val="24"/>
          <w:szCs w:val="24"/>
        </w:rPr>
        <w:t>, entre otros factores, en el marco de las tarifas reguladas conforme al status de público domiciliario atribuido por la Ley</w:t>
      </w:r>
      <w:r w:rsidR="00F1507C" w:rsidRPr="00682149">
        <w:rPr>
          <w:rFonts w:ascii="Arial" w:hAnsi="Arial" w:cs="Arial"/>
          <w:color w:val="000000" w:themeColor="text1"/>
          <w:sz w:val="24"/>
          <w:szCs w:val="24"/>
        </w:rPr>
        <w:t xml:space="preserve"> </w:t>
      </w:r>
      <w:r w:rsidR="00071401" w:rsidRPr="00682149">
        <w:rPr>
          <w:rFonts w:ascii="Arial" w:hAnsi="Arial" w:cs="Arial"/>
          <w:color w:val="000000" w:themeColor="text1"/>
          <w:sz w:val="24"/>
          <w:szCs w:val="24"/>
        </w:rPr>
        <w:t>1955 de 2019.</w:t>
      </w:r>
    </w:p>
    <w:p w14:paraId="00E17CB1" w14:textId="77777777" w:rsidR="003778E4" w:rsidRPr="00682149" w:rsidRDefault="003778E4" w:rsidP="001C138F">
      <w:pPr>
        <w:spacing w:after="0" w:line="276" w:lineRule="auto"/>
        <w:jc w:val="both"/>
        <w:rPr>
          <w:rFonts w:ascii="Arial" w:hAnsi="Arial" w:cs="Arial"/>
          <w:color w:val="000000" w:themeColor="text1"/>
          <w:sz w:val="24"/>
          <w:szCs w:val="24"/>
        </w:rPr>
      </w:pPr>
    </w:p>
    <w:p w14:paraId="7F8FC72C" w14:textId="7F71A918" w:rsidR="009B1803" w:rsidRDefault="00944E6B" w:rsidP="001C138F">
      <w:pPr>
        <w:spacing w:after="0" w:line="276" w:lineRule="auto"/>
        <w:jc w:val="both"/>
        <w:rPr>
          <w:rFonts w:ascii="Arial" w:hAnsi="Arial" w:cs="Arial"/>
          <w:color w:val="000000" w:themeColor="text1"/>
          <w:sz w:val="24"/>
          <w:szCs w:val="24"/>
          <w:lang w:val="es-ES"/>
        </w:rPr>
      </w:pPr>
      <w:r w:rsidRPr="00682149">
        <w:rPr>
          <w:rFonts w:ascii="Arial" w:hAnsi="Arial" w:cs="Arial"/>
          <w:color w:val="000000" w:themeColor="text1"/>
          <w:sz w:val="24"/>
          <w:szCs w:val="24"/>
          <w:lang w:val="es-ES"/>
        </w:rPr>
        <w:t xml:space="preserve">Esto </w:t>
      </w:r>
      <w:r w:rsidR="00C361BC" w:rsidRPr="00682149">
        <w:rPr>
          <w:rFonts w:ascii="Arial" w:hAnsi="Arial" w:cs="Arial"/>
          <w:color w:val="000000" w:themeColor="text1"/>
          <w:sz w:val="24"/>
          <w:szCs w:val="24"/>
          <w:lang w:val="es-ES"/>
        </w:rPr>
        <w:t xml:space="preserve">es así, </w:t>
      </w:r>
      <w:r w:rsidRPr="00682149">
        <w:rPr>
          <w:rFonts w:ascii="Arial" w:hAnsi="Arial" w:cs="Arial"/>
          <w:color w:val="000000" w:themeColor="text1"/>
          <w:sz w:val="24"/>
          <w:szCs w:val="24"/>
          <w:lang w:val="es-ES"/>
        </w:rPr>
        <w:t>porque, el artículo 45 de la Ley 143 de 1994</w:t>
      </w:r>
      <w:r w:rsidRPr="00682149">
        <w:rPr>
          <w:rStyle w:val="Refdenotaalpie"/>
          <w:rFonts w:ascii="Arial" w:hAnsi="Arial" w:cs="Arial"/>
          <w:color w:val="000000" w:themeColor="text1"/>
          <w:sz w:val="24"/>
          <w:szCs w:val="24"/>
          <w:lang w:val="es-ES"/>
        </w:rPr>
        <w:footnoteReference w:id="57"/>
      </w:r>
      <w:r w:rsidRPr="00682149">
        <w:rPr>
          <w:rFonts w:ascii="Arial" w:hAnsi="Arial" w:cs="Arial"/>
          <w:color w:val="000000" w:themeColor="text1"/>
          <w:sz w:val="24"/>
          <w:szCs w:val="24"/>
          <w:lang w:val="es-ES"/>
        </w:rPr>
        <w:t xml:space="preserve"> ordena a la CREG que</w:t>
      </w:r>
      <w:r w:rsidR="00984EBA" w:rsidRPr="00682149">
        <w:rPr>
          <w:rFonts w:ascii="Arial" w:hAnsi="Arial" w:cs="Arial"/>
          <w:color w:val="000000" w:themeColor="text1"/>
          <w:sz w:val="24"/>
          <w:szCs w:val="24"/>
          <w:lang w:val="es-ES"/>
        </w:rPr>
        <w:t>,</w:t>
      </w:r>
      <w:r w:rsidRPr="00682149">
        <w:rPr>
          <w:rFonts w:ascii="Arial" w:hAnsi="Arial" w:cs="Arial"/>
          <w:color w:val="000000" w:themeColor="text1"/>
          <w:sz w:val="24"/>
          <w:szCs w:val="24"/>
          <w:lang w:val="es-ES"/>
        </w:rPr>
        <w:t xml:space="preserve"> para la definición de las tarifas tome en</w:t>
      </w:r>
      <w:r w:rsidR="000C3A4E">
        <w:rPr>
          <w:rFonts w:ascii="Arial" w:hAnsi="Arial" w:cs="Arial"/>
          <w:color w:val="000000" w:themeColor="text1"/>
          <w:sz w:val="24"/>
          <w:szCs w:val="24"/>
          <w:lang w:val="es-ES"/>
        </w:rPr>
        <w:t xml:space="preserve"> </w:t>
      </w:r>
      <w:r w:rsidRPr="00682149">
        <w:rPr>
          <w:rFonts w:ascii="Arial" w:hAnsi="Arial" w:cs="Arial"/>
          <w:color w:val="000000" w:themeColor="text1"/>
          <w:sz w:val="24"/>
          <w:szCs w:val="24"/>
          <w:lang w:val="es-ES"/>
        </w:rPr>
        <w:t>cuenta los costos de inversión, el costo de oportunidad de capital, la administración</w:t>
      </w:r>
      <w:r w:rsidR="000C3A4E">
        <w:rPr>
          <w:rFonts w:ascii="Arial" w:hAnsi="Arial" w:cs="Arial"/>
          <w:color w:val="000000" w:themeColor="text1"/>
          <w:sz w:val="24"/>
          <w:szCs w:val="24"/>
          <w:lang w:val="es-ES"/>
        </w:rPr>
        <w:t>,</w:t>
      </w:r>
      <w:r w:rsidRPr="00682149">
        <w:rPr>
          <w:rFonts w:ascii="Arial" w:hAnsi="Arial" w:cs="Arial"/>
          <w:color w:val="000000" w:themeColor="text1"/>
          <w:sz w:val="24"/>
          <w:szCs w:val="24"/>
          <w:lang w:val="es-ES"/>
        </w:rPr>
        <w:t xml:space="preserve"> operación y mantenimiento por unidad de potencia máxima suministrada</w:t>
      </w:r>
      <w:r w:rsidR="009B1803" w:rsidRPr="00682149">
        <w:rPr>
          <w:rFonts w:ascii="Arial" w:hAnsi="Arial" w:cs="Arial"/>
          <w:bCs/>
          <w:color w:val="000000" w:themeColor="text1"/>
          <w:sz w:val="24"/>
          <w:szCs w:val="24"/>
          <w:lang w:val="es-ES"/>
        </w:rPr>
        <w:t>, a</w:t>
      </w:r>
      <w:r w:rsidRPr="00682149">
        <w:rPr>
          <w:rFonts w:ascii="Arial" w:hAnsi="Arial" w:cs="Arial"/>
          <w:bCs/>
          <w:color w:val="000000" w:themeColor="text1"/>
          <w:sz w:val="24"/>
          <w:szCs w:val="24"/>
          <w:lang w:val="es-ES"/>
        </w:rPr>
        <w:t>demás de los siguientes componentes</w:t>
      </w:r>
      <w:r w:rsidRPr="00682149">
        <w:rPr>
          <w:rStyle w:val="Refdenotaalpie"/>
          <w:rFonts w:ascii="Arial" w:hAnsi="Arial" w:cs="Arial"/>
          <w:bCs/>
          <w:color w:val="000000" w:themeColor="text1"/>
          <w:sz w:val="24"/>
          <w:szCs w:val="24"/>
          <w:lang w:val="es-ES"/>
        </w:rPr>
        <w:footnoteReference w:id="58"/>
      </w:r>
      <w:r w:rsidRPr="00682149">
        <w:rPr>
          <w:rFonts w:ascii="Arial" w:hAnsi="Arial" w:cs="Arial"/>
          <w:bCs/>
          <w:color w:val="000000" w:themeColor="text1"/>
          <w:sz w:val="24"/>
          <w:szCs w:val="24"/>
          <w:lang w:val="es-ES"/>
        </w:rPr>
        <w:t xml:space="preserve">: </w:t>
      </w:r>
      <w:r w:rsidRPr="00682149">
        <w:rPr>
          <w:rFonts w:ascii="Arial" w:hAnsi="Arial" w:cs="Arial"/>
          <w:color w:val="000000" w:themeColor="text1"/>
          <w:sz w:val="24"/>
          <w:szCs w:val="24"/>
          <w:lang w:val="es-ES"/>
        </w:rPr>
        <w:t xml:space="preserve">i) una </w:t>
      </w:r>
      <w:r w:rsidRPr="00682149">
        <w:rPr>
          <w:rFonts w:ascii="Arial" w:hAnsi="Arial" w:cs="Arial"/>
          <w:color w:val="000000" w:themeColor="text1"/>
          <w:sz w:val="24"/>
          <w:szCs w:val="24"/>
          <w:lang w:val="es-ES"/>
        </w:rPr>
        <w:lastRenderedPageBreak/>
        <w:t>tarifa por unidad de consumo de energía; ii) una tarifa por unidad de potencia, utilizada en las horas de máxima demanda; iii) un cargo fijo que refleje los costos económicos involucrados en garantizar la disponibilidad del servicio para el usuario, independientemente del nivel de consumo</w:t>
      </w:r>
      <w:r w:rsidR="00AC7D42" w:rsidRPr="00682149">
        <w:rPr>
          <w:rFonts w:ascii="Arial" w:hAnsi="Arial" w:cs="Arial"/>
          <w:color w:val="000000" w:themeColor="text1"/>
          <w:sz w:val="24"/>
          <w:szCs w:val="24"/>
          <w:lang w:val="es-ES"/>
        </w:rPr>
        <w:t>;</w:t>
      </w:r>
      <w:r w:rsidRPr="00682149">
        <w:rPr>
          <w:rFonts w:ascii="Arial" w:hAnsi="Arial" w:cs="Arial"/>
          <w:color w:val="000000" w:themeColor="text1"/>
          <w:sz w:val="24"/>
          <w:szCs w:val="24"/>
          <w:lang w:val="es-ES"/>
        </w:rPr>
        <w:t xml:space="preserve"> y</w:t>
      </w:r>
      <w:r w:rsidR="00AC7D42" w:rsidRPr="00682149">
        <w:rPr>
          <w:rFonts w:ascii="Arial" w:hAnsi="Arial" w:cs="Arial"/>
          <w:color w:val="000000" w:themeColor="text1"/>
          <w:sz w:val="24"/>
          <w:szCs w:val="24"/>
          <w:lang w:val="es-ES"/>
        </w:rPr>
        <w:t>,</w:t>
      </w:r>
      <w:r w:rsidRPr="00682149">
        <w:rPr>
          <w:rFonts w:ascii="Arial" w:hAnsi="Arial" w:cs="Arial"/>
          <w:color w:val="000000" w:themeColor="text1"/>
          <w:sz w:val="24"/>
          <w:szCs w:val="24"/>
          <w:lang w:val="es-ES"/>
        </w:rPr>
        <w:t xml:space="preserve"> iv) un cargo de conexión que cubrirá los costos de la conexión cada vez que el usuario se conecte al servicio de electricidad.</w:t>
      </w:r>
      <w:r w:rsidR="00A74C8B" w:rsidRPr="00682149">
        <w:rPr>
          <w:rFonts w:ascii="Arial" w:hAnsi="Arial" w:cs="Arial"/>
          <w:color w:val="000000" w:themeColor="text1"/>
          <w:sz w:val="24"/>
          <w:szCs w:val="24"/>
          <w:lang w:val="es-ES"/>
        </w:rPr>
        <w:t xml:space="preserve"> </w:t>
      </w:r>
    </w:p>
    <w:p w14:paraId="49F5B3EC" w14:textId="77777777" w:rsidR="003778E4" w:rsidRPr="00682149" w:rsidRDefault="003778E4" w:rsidP="001C138F">
      <w:pPr>
        <w:spacing w:after="0" w:line="276" w:lineRule="auto"/>
        <w:jc w:val="both"/>
        <w:rPr>
          <w:rFonts w:ascii="Arial" w:hAnsi="Arial" w:cs="Arial"/>
          <w:color w:val="000000" w:themeColor="text1"/>
          <w:sz w:val="24"/>
          <w:szCs w:val="24"/>
          <w:lang w:val="es-ES"/>
        </w:rPr>
      </w:pPr>
    </w:p>
    <w:p w14:paraId="60D30056" w14:textId="07BF5DAE" w:rsidR="00944E6B" w:rsidRDefault="00A74C8B" w:rsidP="001C138F">
      <w:pPr>
        <w:spacing w:after="0" w:line="276" w:lineRule="auto"/>
        <w:jc w:val="both"/>
        <w:rPr>
          <w:rFonts w:ascii="Arial" w:hAnsi="Arial" w:cs="Arial"/>
          <w:color w:val="000000" w:themeColor="text1"/>
          <w:sz w:val="24"/>
          <w:szCs w:val="24"/>
        </w:rPr>
      </w:pPr>
      <w:r w:rsidRPr="00682149">
        <w:rPr>
          <w:rFonts w:ascii="Arial" w:hAnsi="Arial" w:cs="Arial"/>
          <w:color w:val="000000" w:themeColor="text1"/>
          <w:sz w:val="24"/>
          <w:szCs w:val="24"/>
          <w:lang w:val="es-ES"/>
        </w:rPr>
        <w:t xml:space="preserve">En este punto, tampoco se pasa por alto que mediante </w:t>
      </w:r>
      <w:r w:rsidRPr="00682149">
        <w:rPr>
          <w:rFonts w:ascii="Arial" w:hAnsi="Arial" w:cs="Arial"/>
          <w:color w:val="000000" w:themeColor="text1"/>
          <w:sz w:val="24"/>
          <w:szCs w:val="24"/>
        </w:rPr>
        <w:t>la Resolución 091 de 26 de octubre de 2007, la Comisión de Regulación de Energía y Gas estableció la metodología general para remunerar las actividades de generación, distribución y comercialización de energía eléctrica y las fórmulas tarifarias generales para establecer el costo unitario de prestación del servicio público de energía eléctrica en zonas no interconectadas</w:t>
      </w:r>
      <w:r w:rsidR="00952B6E" w:rsidRPr="00682149">
        <w:rPr>
          <w:rFonts w:ascii="Arial" w:hAnsi="Arial" w:cs="Arial"/>
          <w:color w:val="000000" w:themeColor="text1"/>
          <w:sz w:val="24"/>
          <w:szCs w:val="24"/>
        </w:rPr>
        <w:t xml:space="preserve">. Sin embargo, se reitera que dicha resolución </w:t>
      </w:r>
      <w:r w:rsidR="00C361BC" w:rsidRPr="00682149">
        <w:rPr>
          <w:rFonts w:ascii="Arial" w:hAnsi="Arial" w:cs="Arial"/>
          <w:color w:val="000000" w:themeColor="text1"/>
          <w:sz w:val="24"/>
          <w:szCs w:val="24"/>
        </w:rPr>
        <w:t>no se ocupó de las soluciones energéticas mediante sistemas solares fotovoltaicos individuales</w:t>
      </w:r>
      <w:r w:rsidR="00F1507C" w:rsidRPr="00682149">
        <w:rPr>
          <w:rFonts w:ascii="Arial" w:hAnsi="Arial" w:cs="Arial"/>
          <w:color w:val="000000" w:themeColor="text1"/>
          <w:sz w:val="24"/>
          <w:szCs w:val="24"/>
        </w:rPr>
        <w:t>.</w:t>
      </w:r>
      <w:r w:rsidRPr="00682149">
        <w:rPr>
          <w:rFonts w:ascii="Arial" w:hAnsi="Arial" w:cs="Arial"/>
          <w:color w:val="000000" w:themeColor="text1"/>
          <w:sz w:val="24"/>
          <w:szCs w:val="24"/>
        </w:rPr>
        <w:t xml:space="preserve"> </w:t>
      </w:r>
    </w:p>
    <w:p w14:paraId="53798DBD" w14:textId="77777777" w:rsidR="003778E4" w:rsidRPr="00682149" w:rsidRDefault="003778E4" w:rsidP="001C138F">
      <w:pPr>
        <w:spacing w:after="0" w:line="276" w:lineRule="auto"/>
        <w:jc w:val="both"/>
        <w:rPr>
          <w:rFonts w:ascii="Arial" w:hAnsi="Arial" w:cs="Arial"/>
          <w:color w:val="000000" w:themeColor="text1"/>
          <w:sz w:val="24"/>
          <w:szCs w:val="24"/>
        </w:rPr>
      </w:pPr>
    </w:p>
    <w:p w14:paraId="14483621" w14:textId="5232DA18" w:rsidR="009545A3" w:rsidRPr="00682149" w:rsidRDefault="00C3642E" w:rsidP="001C138F">
      <w:pPr>
        <w:spacing w:after="0" w:line="276" w:lineRule="auto"/>
        <w:jc w:val="both"/>
        <w:rPr>
          <w:rFonts w:ascii="Arial" w:hAnsi="Arial" w:cs="Arial"/>
          <w:color w:val="000000" w:themeColor="text1"/>
          <w:sz w:val="24"/>
          <w:szCs w:val="24"/>
        </w:rPr>
      </w:pPr>
      <w:r w:rsidRPr="00682149">
        <w:rPr>
          <w:rFonts w:ascii="Arial" w:hAnsi="Arial" w:cs="Arial"/>
          <w:color w:val="000000" w:themeColor="text1"/>
          <w:sz w:val="24"/>
          <w:szCs w:val="24"/>
        </w:rPr>
        <w:t xml:space="preserve">En </w:t>
      </w:r>
      <w:r w:rsidR="00944E6B" w:rsidRPr="00682149">
        <w:rPr>
          <w:rFonts w:ascii="Arial" w:hAnsi="Arial" w:cs="Arial"/>
          <w:color w:val="000000" w:themeColor="text1"/>
          <w:sz w:val="24"/>
          <w:szCs w:val="24"/>
        </w:rPr>
        <w:t xml:space="preserve">el caso de la Resolución </w:t>
      </w:r>
      <w:r w:rsidR="00984EBA" w:rsidRPr="00682149">
        <w:rPr>
          <w:rFonts w:ascii="Arial" w:hAnsi="Arial" w:cs="Arial"/>
          <w:color w:val="000000" w:themeColor="text1"/>
          <w:sz w:val="24"/>
          <w:szCs w:val="24"/>
        </w:rPr>
        <w:t>CREG-</w:t>
      </w:r>
      <w:r w:rsidR="00944E6B" w:rsidRPr="00682149">
        <w:rPr>
          <w:rFonts w:ascii="Arial" w:hAnsi="Arial" w:cs="Arial"/>
          <w:color w:val="000000" w:themeColor="text1"/>
          <w:sz w:val="24"/>
          <w:szCs w:val="24"/>
        </w:rPr>
        <w:t xml:space="preserve">166, </w:t>
      </w:r>
      <w:r w:rsidR="00782265" w:rsidRPr="00682149">
        <w:rPr>
          <w:rFonts w:ascii="Arial" w:hAnsi="Arial" w:cs="Arial"/>
          <w:color w:val="000000" w:themeColor="text1"/>
          <w:sz w:val="24"/>
          <w:szCs w:val="24"/>
        </w:rPr>
        <w:t>las distintas variables muestran las especificidades de la metodología para lograr una tarifa</w:t>
      </w:r>
      <w:r w:rsidR="00071401" w:rsidRPr="00682149">
        <w:rPr>
          <w:rFonts w:ascii="Arial" w:hAnsi="Arial" w:cs="Arial"/>
          <w:color w:val="000000" w:themeColor="text1"/>
          <w:sz w:val="24"/>
          <w:szCs w:val="24"/>
        </w:rPr>
        <w:t xml:space="preserve"> específica </w:t>
      </w:r>
      <w:r w:rsidR="00D60F35" w:rsidRPr="00682149">
        <w:rPr>
          <w:rFonts w:ascii="Arial" w:hAnsi="Arial" w:cs="Arial"/>
          <w:color w:val="000000" w:themeColor="text1"/>
          <w:sz w:val="24"/>
          <w:szCs w:val="24"/>
        </w:rPr>
        <w:t>en función de los car</w:t>
      </w:r>
      <w:r w:rsidR="009A4800" w:rsidRPr="00682149">
        <w:rPr>
          <w:rFonts w:ascii="Arial" w:hAnsi="Arial" w:cs="Arial"/>
          <w:color w:val="000000" w:themeColor="text1"/>
          <w:sz w:val="24"/>
          <w:szCs w:val="24"/>
        </w:rPr>
        <w:t>g</w:t>
      </w:r>
      <w:r w:rsidR="00D60F35" w:rsidRPr="00682149">
        <w:rPr>
          <w:rFonts w:ascii="Arial" w:hAnsi="Arial" w:cs="Arial"/>
          <w:color w:val="000000" w:themeColor="text1"/>
          <w:sz w:val="24"/>
          <w:szCs w:val="24"/>
        </w:rPr>
        <w:t>os aplicables relacionados con los c</w:t>
      </w:r>
      <w:r w:rsidR="009A4800" w:rsidRPr="00682149">
        <w:rPr>
          <w:rFonts w:ascii="Arial" w:hAnsi="Arial" w:cs="Arial"/>
          <w:color w:val="000000" w:themeColor="text1"/>
          <w:sz w:val="24"/>
          <w:szCs w:val="24"/>
        </w:rPr>
        <w:t xml:space="preserve">ostos </w:t>
      </w:r>
      <w:r w:rsidR="00D60F35" w:rsidRPr="00682149">
        <w:rPr>
          <w:rFonts w:ascii="Arial" w:hAnsi="Arial" w:cs="Arial"/>
          <w:color w:val="000000" w:themeColor="text1"/>
          <w:sz w:val="24"/>
          <w:szCs w:val="24"/>
        </w:rPr>
        <w:t>propios de generación, administración, operación, mantenimiento y comercialización aplicables a este tipo de servicio, dejando por fuera otros ajenos al servicio (transporte o distribución</w:t>
      </w:r>
      <w:r w:rsidR="009545A3" w:rsidRPr="00682149">
        <w:rPr>
          <w:rFonts w:ascii="Arial" w:hAnsi="Arial" w:cs="Arial"/>
          <w:color w:val="000000" w:themeColor="text1"/>
          <w:sz w:val="24"/>
          <w:szCs w:val="24"/>
        </w:rPr>
        <w:t xml:space="preserve"> aplicables al sistema interconectado nacional</w:t>
      </w:r>
      <w:r w:rsidR="00D60F35" w:rsidRPr="00682149">
        <w:rPr>
          <w:rFonts w:ascii="Arial" w:hAnsi="Arial" w:cs="Arial"/>
          <w:color w:val="000000" w:themeColor="text1"/>
          <w:sz w:val="24"/>
          <w:szCs w:val="24"/>
        </w:rPr>
        <w:t>), topes que en todo caso deberá</w:t>
      </w:r>
      <w:r w:rsidR="009545A3" w:rsidRPr="00682149">
        <w:rPr>
          <w:rFonts w:ascii="Arial" w:hAnsi="Arial" w:cs="Arial"/>
          <w:color w:val="000000" w:themeColor="text1"/>
          <w:sz w:val="24"/>
          <w:szCs w:val="24"/>
        </w:rPr>
        <w:t>n</w:t>
      </w:r>
      <w:r w:rsidR="00D60F35" w:rsidRPr="00682149">
        <w:rPr>
          <w:rFonts w:ascii="Arial" w:hAnsi="Arial" w:cs="Arial"/>
          <w:color w:val="000000" w:themeColor="text1"/>
          <w:sz w:val="24"/>
          <w:szCs w:val="24"/>
        </w:rPr>
        <w:t xml:space="preserve"> ser cumplidos por los operadores. </w:t>
      </w:r>
    </w:p>
    <w:p w14:paraId="15ACFCDF" w14:textId="77777777" w:rsidR="009545A3" w:rsidRPr="00682149" w:rsidRDefault="009545A3" w:rsidP="001C138F">
      <w:pPr>
        <w:spacing w:after="0" w:line="276" w:lineRule="auto"/>
        <w:jc w:val="both"/>
        <w:rPr>
          <w:rFonts w:ascii="Arial" w:hAnsi="Arial" w:cs="Arial"/>
          <w:color w:val="000000" w:themeColor="text1"/>
          <w:sz w:val="24"/>
          <w:szCs w:val="24"/>
        </w:rPr>
      </w:pPr>
    </w:p>
    <w:p w14:paraId="75DBA3E0" w14:textId="58800BF3" w:rsidR="002245D6" w:rsidRPr="00682149" w:rsidRDefault="00C361BC" w:rsidP="001C138F">
      <w:pPr>
        <w:spacing w:after="0" w:line="276" w:lineRule="auto"/>
        <w:jc w:val="both"/>
        <w:rPr>
          <w:rFonts w:ascii="Arial" w:hAnsi="Arial" w:cs="Arial"/>
          <w:color w:val="000000" w:themeColor="text1"/>
          <w:sz w:val="24"/>
          <w:szCs w:val="24"/>
        </w:rPr>
      </w:pPr>
      <w:r w:rsidRPr="00682149">
        <w:rPr>
          <w:rFonts w:ascii="Arial" w:hAnsi="Arial" w:cs="Arial"/>
          <w:color w:val="000000" w:themeColor="text1"/>
          <w:sz w:val="24"/>
          <w:szCs w:val="24"/>
        </w:rPr>
        <w:t xml:space="preserve">Además, </w:t>
      </w:r>
      <w:r w:rsidR="009545A3" w:rsidRPr="00682149">
        <w:rPr>
          <w:rFonts w:ascii="Arial" w:hAnsi="Arial" w:cs="Arial"/>
          <w:color w:val="000000" w:themeColor="text1"/>
          <w:sz w:val="24"/>
          <w:szCs w:val="24"/>
        </w:rPr>
        <w:t>el</w:t>
      </w:r>
      <w:r w:rsidR="00D60F35" w:rsidRPr="00682149">
        <w:rPr>
          <w:rFonts w:ascii="Arial" w:hAnsi="Arial" w:cs="Arial"/>
          <w:color w:val="000000" w:themeColor="text1"/>
          <w:sz w:val="24"/>
          <w:szCs w:val="24"/>
        </w:rPr>
        <w:t xml:space="preserve"> límite máximo </w:t>
      </w:r>
      <w:r w:rsidR="009A4800" w:rsidRPr="00682149">
        <w:rPr>
          <w:rFonts w:ascii="Arial" w:hAnsi="Arial" w:cs="Arial"/>
          <w:color w:val="000000" w:themeColor="text1"/>
          <w:sz w:val="24"/>
          <w:szCs w:val="24"/>
        </w:rPr>
        <w:t>fijado por cada cargo</w:t>
      </w:r>
      <w:r w:rsidR="00D60F35" w:rsidRPr="00682149">
        <w:rPr>
          <w:rFonts w:ascii="Arial" w:hAnsi="Arial" w:cs="Arial"/>
          <w:color w:val="000000" w:themeColor="text1"/>
          <w:sz w:val="24"/>
          <w:szCs w:val="24"/>
        </w:rPr>
        <w:t xml:space="preserve"> redunda en beneficio de </w:t>
      </w:r>
      <w:r w:rsidR="00D60F35" w:rsidRPr="00976D77">
        <w:rPr>
          <w:rFonts w:ascii="Arial" w:hAnsi="Arial" w:cs="Arial"/>
          <w:color w:val="000000" w:themeColor="text1"/>
          <w:sz w:val="24"/>
          <w:szCs w:val="24"/>
        </w:rPr>
        <w:t xml:space="preserve">los usuarios y </w:t>
      </w:r>
      <w:r w:rsidR="009A4800" w:rsidRPr="00976D77">
        <w:rPr>
          <w:rFonts w:ascii="Arial" w:hAnsi="Arial" w:cs="Arial"/>
          <w:color w:val="000000" w:themeColor="text1"/>
          <w:sz w:val="24"/>
          <w:szCs w:val="24"/>
        </w:rPr>
        <w:t xml:space="preserve">permite que las </w:t>
      </w:r>
      <w:r w:rsidR="00D60F35" w:rsidRPr="00976D77">
        <w:rPr>
          <w:rFonts w:ascii="Arial" w:hAnsi="Arial" w:cs="Arial"/>
          <w:color w:val="000000" w:themeColor="text1"/>
          <w:sz w:val="24"/>
          <w:szCs w:val="24"/>
        </w:rPr>
        <w:t>tarifa</w:t>
      </w:r>
      <w:r w:rsidR="009A4800" w:rsidRPr="00976D77">
        <w:rPr>
          <w:rFonts w:ascii="Arial" w:hAnsi="Arial" w:cs="Arial"/>
          <w:color w:val="000000" w:themeColor="text1"/>
          <w:sz w:val="24"/>
          <w:szCs w:val="24"/>
        </w:rPr>
        <w:t>s</w:t>
      </w:r>
      <w:r w:rsidR="00D60F35" w:rsidRPr="00976D77">
        <w:rPr>
          <w:rFonts w:ascii="Arial" w:hAnsi="Arial" w:cs="Arial"/>
          <w:color w:val="000000" w:themeColor="text1"/>
          <w:sz w:val="24"/>
          <w:szCs w:val="24"/>
        </w:rPr>
        <w:t xml:space="preserve"> </w:t>
      </w:r>
      <w:r w:rsidR="009A4800" w:rsidRPr="00976D77">
        <w:rPr>
          <w:rFonts w:ascii="Arial" w:hAnsi="Arial" w:cs="Arial"/>
          <w:color w:val="000000" w:themeColor="text1"/>
          <w:sz w:val="24"/>
          <w:szCs w:val="24"/>
        </w:rPr>
        <w:t xml:space="preserve">aplicadas a </w:t>
      </w:r>
      <w:r w:rsidR="00976D77" w:rsidRPr="00976D77">
        <w:rPr>
          <w:rFonts w:ascii="Arial" w:hAnsi="Arial" w:cs="Arial"/>
          <w:color w:val="000000" w:themeColor="text1"/>
          <w:sz w:val="24"/>
          <w:szCs w:val="24"/>
        </w:rPr>
        <w:t>sus destinatarios</w:t>
      </w:r>
      <w:r w:rsidR="009A4800" w:rsidRPr="00976D77">
        <w:rPr>
          <w:rFonts w:ascii="Arial" w:hAnsi="Arial" w:cs="Arial"/>
          <w:color w:val="000000" w:themeColor="text1"/>
          <w:sz w:val="24"/>
          <w:szCs w:val="24"/>
        </w:rPr>
        <w:t xml:space="preserve"> finales sean</w:t>
      </w:r>
      <w:r w:rsidR="009A4800" w:rsidRPr="00682149">
        <w:rPr>
          <w:rFonts w:ascii="Arial" w:hAnsi="Arial" w:cs="Arial"/>
          <w:color w:val="000000" w:themeColor="text1"/>
          <w:sz w:val="24"/>
          <w:szCs w:val="24"/>
        </w:rPr>
        <w:t xml:space="preserve"> más </w:t>
      </w:r>
      <w:r w:rsidR="00782265" w:rsidRPr="00682149">
        <w:rPr>
          <w:rFonts w:ascii="Arial" w:hAnsi="Arial" w:cs="Arial"/>
          <w:color w:val="000000" w:themeColor="text1"/>
          <w:sz w:val="24"/>
          <w:szCs w:val="24"/>
        </w:rPr>
        <w:t>estable</w:t>
      </w:r>
      <w:r w:rsidR="009A4800" w:rsidRPr="00682149">
        <w:rPr>
          <w:rFonts w:ascii="Arial" w:hAnsi="Arial" w:cs="Arial"/>
          <w:color w:val="000000" w:themeColor="text1"/>
          <w:sz w:val="24"/>
          <w:szCs w:val="24"/>
        </w:rPr>
        <w:t>s</w:t>
      </w:r>
      <w:r w:rsidR="00952B6E" w:rsidRPr="00682149">
        <w:rPr>
          <w:rFonts w:ascii="Arial" w:hAnsi="Arial" w:cs="Arial"/>
          <w:color w:val="000000" w:themeColor="text1"/>
          <w:sz w:val="24"/>
          <w:szCs w:val="24"/>
        </w:rPr>
        <w:t xml:space="preserve"> y</w:t>
      </w:r>
      <w:r w:rsidR="00782265" w:rsidRPr="00682149">
        <w:rPr>
          <w:rFonts w:ascii="Arial" w:hAnsi="Arial" w:cs="Arial"/>
          <w:color w:val="000000" w:themeColor="text1"/>
          <w:sz w:val="24"/>
          <w:szCs w:val="24"/>
        </w:rPr>
        <w:t xml:space="preserve"> clara</w:t>
      </w:r>
      <w:r w:rsidR="009A4800" w:rsidRPr="00682149">
        <w:rPr>
          <w:rFonts w:ascii="Arial" w:hAnsi="Arial" w:cs="Arial"/>
          <w:color w:val="000000" w:themeColor="text1"/>
          <w:sz w:val="24"/>
          <w:szCs w:val="24"/>
        </w:rPr>
        <w:t>s</w:t>
      </w:r>
      <w:r w:rsidR="00782265" w:rsidRPr="00682149">
        <w:rPr>
          <w:rFonts w:ascii="Arial" w:hAnsi="Arial" w:cs="Arial"/>
          <w:color w:val="000000" w:themeColor="text1"/>
          <w:sz w:val="24"/>
          <w:szCs w:val="24"/>
        </w:rPr>
        <w:t xml:space="preserve"> para las poblaciones ubicadas en zonas no interconectadas</w:t>
      </w:r>
      <w:r w:rsidR="009A4800" w:rsidRPr="00682149">
        <w:rPr>
          <w:rFonts w:ascii="Arial" w:hAnsi="Arial" w:cs="Arial"/>
          <w:color w:val="000000" w:themeColor="text1"/>
          <w:sz w:val="24"/>
          <w:szCs w:val="24"/>
        </w:rPr>
        <w:t xml:space="preserve">, quienes son las que se </w:t>
      </w:r>
      <w:r w:rsidR="00782265" w:rsidRPr="00682149">
        <w:rPr>
          <w:rFonts w:ascii="Arial" w:hAnsi="Arial" w:cs="Arial"/>
          <w:color w:val="000000" w:themeColor="text1"/>
          <w:sz w:val="24"/>
          <w:szCs w:val="24"/>
        </w:rPr>
        <w:t>benefici</w:t>
      </w:r>
      <w:r w:rsidR="009A4800" w:rsidRPr="00682149">
        <w:rPr>
          <w:rFonts w:ascii="Arial" w:hAnsi="Arial" w:cs="Arial"/>
          <w:color w:val="000000" w:themeColor="text1"/>
          <w:sz w:val="24"/>
          <w:szCs w:val="24"/>
        </w:rPr>
        <w:t xml:space="preserve">an </w:t>
      </w:r>
      <w:r w:rsidR="00782265" w:rsidRPr="00682149">
        <w:rPr>
          <w:rFonts w:ascii="Arial" w:hAnsi="Arial" w:cs="Arial"/>
          <w:color w:val="000000" w:themeColor="text1"/>
          <w:sz w:val="24"/>
          <w:szCs w:val="24"/>
        </w:rPr>
        <w:t>del servicio de energía eléctrica mediante sistemas sola</w:t>
      </w:r>
      <w:r w:rsidR="0057656C" w:rsidRPr="00682149">
        <w:rPr>
          <w:rFonts w:ascii="Arial" w:hAnsi="Arial" w:cs="Arial"/>
          <w:color w:val="000000" w:themeColor="text1"/>
          <w:sz w:val="24"/>
          <w:szCs w:val="24"/>
        </w:rPr>
        <w:t>res fotovoltaicos individuales</w:t>
      </w:r>
      <w:r w:rsidR="009545A3" w:rsidRPr="00682149">
        <w:rPr>
          <w:rFonts w:ascii="Arial" w:hAnsi="Arial" w:cs="Arial"/>
          <w:color w:val="000000" w:themeColor="text1"/>
          <w:sz w:val="24"/>
          <w:szCs w:val="24"/>
        </w:rPr>
        <w:t xml:space="preserve"> AC con potencia mayor a 0,5 kW, tal y como lo describen los artículos objeto de revisión, así:</w:t>
      </w:r>
    </w:p>
    <w:p w14:paraId="34863365" w14:textId="086EB242" w:rsidR="00DB72CE" w:rsidRPr="00682149" w:rsidRDefault="00AB1F18" w:rsidP="001C138F">
      <w:pPr>
        <w:spacing w:after="0" w:line="276" w:lineRule="auto"/>
        <w:jc w:val="both"/>
        <w:rPr>
          <w:rFonts w:ascii="Arial" w:hAnsi="Arial" w:cs="Arial"/>
          <w:color w:val="000000" w:themeColor="text1"/>
        </w:rPr>
      </w:pPr>
      <w:r w:rsidRPr="00682149">
        <w:rPr>
          <w:rFonts w:ascii="Arial" w:hAnsi="Arial" w:cs="Arial"/>
          <w:color w:val="000000" w:themeColor="text1"/>
        </w:rPr>
        <w:t xml:space="preserve"> </w:t>
      </w:r>
    </w:p>
    <w:p w14:paraId="679C1030" w14:textId="5EBA1AF7" w:rsidR="00DB72CE" w:rsidRPr="00682149" w:rsidRDefault="001D37B6" w:rsidP="001C138F">
      <w:pPr>
        <w:spacing w:after="0" w:line="276" w:lineRule="auto"/>
        <w:jc w:val="both"/>
        <w:rPr>
          <w:rFonts w:ascii="Arial" w:hAnsi="Arial" w:cs="Arial"/>
          <w:b/>
          <w:color w:val="000000" w:themeColor="text1"/>
          <w:sz w:val="24"/>
          <w:szCs w:val="24"/>
        </w:rPr>
      </w:pPr>
      <w:r w:rsidRPr="00682149">
        <w:rPr>
          <w:rFonts w:ascii="Arial" w:hAnsi="Arial" w:cs="Arial"/>
          <w:b/>
          <w:color w:val="000000" w:themeColor="text1"/>
          <w:sz w:val="24"/>
          <w:szCs w:val="24"/>
        </w:rPr>
        <w:t>2.5.4.</w:t>
      </w:r>
      <w:r w:rsidR="00DB72CE" w:rsidRPr="00682149">
        <w:rPr>
          <w:rFonts w:ascii="Arial" w:hAnsi="Arial" w:cs="Arial"/>
          <w:b/>
          <w:color w:val="000000" w:themeColor="text1"/>
          <w:sz w:val="24"/>
          <w:szCs w:val="24"/>
        </w:rPr>
        <w:t xml:space="preserve"> Artículo 4º.</w:t>
      </w:r>
    </w:p>
    <w:p w14:paraId="5D3017F7" w14:textId="77777777" w:rsidR="008F2560" w:rsidRPr="00682149" w:rsidRDefault="008F2560" w:rsidP="001C138F">
      <w:pPr>
        <w:spacing w:after="0" w:line="276" w:lineRule="auto"/>
        <w:jc w:val="both"/>
        <w:rPr>
          <w:rFonts w:ascii="Arial" w:hAnsi="Arial" w:cs="Arial"/>
          <w:b/>
          <w:color w:val="000000" w:themeColor="text1"/>
        </w:rPr>
      </w:pPr>
    </w:p>
    <w:p w14:paraId="69BE8F79" w14:textId="61D97C2C" w:rsidR="00310C06" w:rsidRPr="00682149" w:rsidRDefault="00310C06" w:rsidP="001C138F">
      <w:pPr>
        <w:spacing w:after="0" w:line="276" w:lineRule="auto"/>
        <w:ind w:left="567"/>
        <w:jc w:val="both"/>
        <w:rPr>
          <w:rFonts w:ascii="Arial" w:hAnsi="Arial" w:cs="Arial"/>
          <w:b/>
          <w:color w:val="000000" w:themeColor="text1"/>
        </w:rPr>
      </w:pPr>
      <w:r w:rsidRPr="00682149">
        <w:rPr>
          <w:rFonts w:ascii="Arial" w:hAnsi="Arial" w:cs="Arial"/>
          <w:b/>
          <w:i/>
          <w:color w:val="000000" w:themeColor="text1"/>
        </w:rPr>
        <w:t xml:space="preserve">Cargo máximo de generación de energía eléctrica de sistemas solares fotovoltaicos individuales AC con potencia mayor a 0.5 kW, </w:t>
      </w:r>
      <w:r w:rsidRPr="00682149">
        <w:rPr>
          <w:rFonts w:ascii="Cambria Math" w:eastAsia="Cambria Math" w:hAnsi="Cambria Math" w:cs="Cambria Math"/>
          <w:color w:val="000000" w:themeColor="text1"/>
        </w:rPr>
        <w:t>𝑮</w:t>
      </w:r>
      <w:r w:rsidRPr="00682149">
        <w:rPr>
          <w:rFonts w:ascii="Cambria Math" w:eastAsia="Cambria Math" w:hAnsi="Cambria Math" w:cs="Cambria Math"/>
          <w:color w:val="000000" w:themeColor="text1"/>
          <w:vertAlign w:val="subscript"/>
        </w:rPr>
        <w:t>𝟎</w:t>
      </w:r>
      <w:r w:rsidRPr="00682149">
        <w:rPr>
          <w:rFonts w:ascii="Arial" w:hAnsi="Arial" w:cs="Arial"/>
          <w:b/>
          <w:i/>
          <w:color w:val="000000" w:themeColor="text1"/>
        </w:rPr>
        <w:t xml:space="preserve">. </w:t>
      </w:r>
      <w:r w:rsidRPr="00682149">
        <w:rPr>
          <w:rFonts w:ascii="Arial" w:hAnsi="Arial" w:cs="Arial"/>
          <w:i/>
          <w:color w:val="000000" w:themeColor="text1"/>
        </w:rPr>
        <w:t xml:space="preserve">La fórmula para determinar el cargo máximo de generación es la siguiente: </w:t>
      </w:r>
    </w:p>
    <w:p w14:paraId="4E930892" w14:textId="77777777" w:rsidR="00310C06" w:rsidRPr="00682149" w:rsidRDefault="00310C06"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 </w:t>
      </w:r>
    </w:p>
    <w:p w14:paraId="79BCAD4A" w14:textId="77777777" w:rsidR="00310C06" w:rsidRPr="00682149" w:rsidRDefault="00310C06" w:rsidP="001C138F">
      <w:pPr>
        <w:spacing w:after="0" w:line="276" w:lineRule="auto"/>
        <w:ind w:left="567"/>
        <w:jc w:val="both"/>
        <w:rPr>
          <w:rFonts w:ascii="Arial" w:hAnsi="Arial" w:cs="Arial"/>
          <w:color w:val="000000" w:themeColor="text1"/>
        </w:rPr>
      </w:pPr>
      <w:r w:rsidRPr="00682149">
        <w:rPr>
          <w:rFonts w:ascii="Cambria Math" w:eastAsia="Cambria Math" w:hAnsi="Cambria Math" w:cs="Cambria Math"/>
          <w:color w:val="000000" w:themeColor="text1"/>
        </w:rPr>
        <w:t>𝐺</w:t>
      </w:r>
      <w:r w:rsidRPr="00682149">
        <w:rPr>
          <w:rFonts w:ascii="Arial" w:hAnsi="Arial" w:cs="Arial"/>
          <w:i/>
          <w:color w:val="000000" w:themeColor="text1"/>
        </w:rPr>
        <w:t xml:space="preserve">0 = </w:t>
      </w:r>
      <w:r w:rsidRPr="00682149">
        <w:rPr>
          <w:rFonts w:ascii="Cambria Math" w:eastAsia="Cambria Math" w:hAnsi="Cambria Math" w:cs="Cambria Math"/>
          <w:color w:val="000000" w:themeColor="text1"/>
        </w:rPr>
        <w:t>𝐺</w:t>
      </w:r>
      <w:r w:rsidRPr="00682149">
        <w:rPr>
          <w:rFonts w:ascii="Arial" w:hAnsi="Arial" w:cs="Arial"/>
          <w:i/>
          <w:color w:val="000000" w:themeColor="text1"/>
        </w:rPr>
        <w:t xml:space="preserve">10 + </w:t>
      </w:r>
      <w:r w:rsidRPr="00682149">
        <w:rPr>
          <w:rFonts w:ascii="Cambria Math" w:eastAsia="Cambria Math" w:hAnsi="Cambria Math" w:cs="Cambria Math"/>
          <w:color w:val="000000" w:themeColor="text1"/>
        </w:rPr>
        <w:t>𝐺</w:t>
      </w:r>
      <w:r w:rsidRPr="00682149">
        <w:rPr>
          <w:rFonts w:ascii="Arial" w:hAnsi="Arial" w:cs="Arial"/>
          <w:i/>
          <w:color w:val="000000" w:themeColor="text1"/>
        </w:rPr>
        <w:t xml:space="preserve">A0M0 </w:t>
      </w:r>
    </w:p>
    <w:tbl>
      <w:tblPr>
        <w:tblW w:w="8894" w:type="dxa"/>
        <w:tblCellMar>
          <w:left w:w="0" w:type="dxa"/>
          <w:right w:w="0" w:type="dxa"/>
        </w:tblCellMar>
        <w:tblLook w:val="04A0" w:firstRow="1" w:lastRow="0" w:firstColumn="1" w:lastColumn="0" w:noHBand="0" w:noVBand="1"/>
      </w:tblPr>
      <w:tblGrid>
        <w:gridCol w:w="2125"/>
        <w:gridCol w:w="6769"/>
      </w:tblGrid>
      <w:tr w:rsidR="000B3E8E" w:rsidRPr="00682149" w14:paraId="415C9F81" w14:textId="77777777" w:rsidTr="00310C06">
        <w:trPr>
          <w:trHeight w:val="781"/>
        </w:trPr>
        <w:tc>
          <w:tcPr>
            <w:tcW w:w="2125" w:type="dxa"/>
            <w:tcBorders>
              <w:top w:val="nil"/>
              <w:left w:val="nil"/>
              <w:bottom w:val="nil"/>
              <w:right w:val="nil"/>
            </w:tcBorders>
            <w:shd w:val="clear" w:color="auto" w:fill="auto"/>
          </w:tcPr>
          <w:p w14:paraId="5650F16F" w14:textId="77777777" w:rsidR="00310C06" w:rsidRPr="00682149" w:rsidRDefault="00310C06"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 </w:t>
            </w:r>
          </w:p>
          <w:p w14:paraId="7A4B0B68" w14:textId="77777777" w:rsidR="00310C06" w:rsidRPr="00682149" w:rsidRDefault="00310C06"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En donde, </w:t>
            </w:r>
          </w:p>
          <w:p w14:paraId="2C019E0D" w14:textId="77777777" w:rsidR="00310C06" w:rsidRPr="00682149" w:rsidRDefault="00310C06"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 </w:t>
            </w:r>
          </w:p>
        </w:tc>
        <w:tc>
          <w:tcPr>
            <w:tcW w:w="6769" w:type="dxa"/>
            <w:tcBorders>
              <w:top w:val="nil"/>
              <w:left w:val="nil"/>
              <w:bottom w:val="nil"/>
              <w:right w:val="nil"/>
            </w:tcBorders>
            <w:shd w:val="clear" w:color="auto" w:fill="auto"/>
          </w:tcPr>
          <w:p w14:paraId="55192992" w14:textId="77777777" w:rsidR="00310C06" w:rsidRPr="00682149" w:rsidRDefault="00310C06" w:rsidP="001C138F">
            <w:pPr>
              <w:spacing w:after="0" w:line="276" w:lineRule="auto"/>
              <w:ind w:left="567"/>
              <w:jc w:val="both"/>
              <w:rPr>
                <w:rFonts w:ascii="Arial" w:hAnsi="Arial" w:cs="Arial"/>
                <w:color w:val="000000" w:themeColor="text1"/>
              </w:rPr>
            </w:pPr>
          </w:p>
        </w:tc>
      </w:tr>
      <w:tr w:rsidR="000B3E8E" w:rsidRPr="00682149" w14:paraId="24C2278C" w14:textId="77777777" w:rsidTr="00310C06">
        <w:trPr>
          <w:trHeight w:val="925"/>
        </w:trPr>
        <w:tc>
          <w:tcPr>
            <w:tcW w:w="2125" w:type="dxa"/>
            <w:tcBorders>
              <w:top w:val="nil"/>
              <w:left w:val="nil"/>
              <w:bottom w:val="nil"/>
              <w:right w:val="nil"/>
            </w:tcBorders>
            <w:shd w:val="clear" w:color="auto" w:fill="auto"/>
          </w:tcPr>
          <w:p w14:paraId="195FED0F" w14:textId="77777777" w:rsidR="00310C06" w:rsidRPr="00682149" w:rsidRDefault="00310C06" w:rsidP="001C138F">
            <w:pPr>
              <w:spacing w:after="0" w:line="276" w:lineRule="auto"/>
              <w:ind w:left="567"/>
              <w:jc w:val="both"/>
              <w:rPr>
                <w:rFonts w:ascii="Arial" w:hAnsi="Arial" w:cs="Arial"/>
                <w:color w:val="000000" w:themeColor="text1"/>
              </w:rPr>
            </w:pPr>
            <w:r w:rsidRPr="00682149">
              <w:rPr>
                <w:rFonts w:ascii="Cambria Math" w:eastAsia="Cambria Math" w:hAnsi="Cambria Math" w:cs="Cambria Math"/>
                <w:color w:val="000000" w:themeColor="text1"/>
              </w:rPr>
              <w:t>𝐺</w:t>
            </w:r>
            <w:r w:rsidRPr="00682149">
              <w:rPr>
                <w:rFonts w:ascii="Arial" w:hAnsi="Arial" w:cs="Arial"/>
                <w:i/>
                <w:color w:val="000000" w:themeColor="text1"/>
                <w:vertAlign w:val="subscript"/>
              </w:rPr>
              <w:t>10</w:t>
            </w:r>
            <w:r w:rsidRPr="00682149">
              <w:rPr>
                <w:rFonts w:ascii="Arial" w:hAnsi="Arial" w:cs="Arial"/>
                <w:i/>
                <w:color w:val="000000" w:themeColor="text1"/>
              </w:rPr>
              <w:t xml:space="preserve">            : </w:t>
            </w:r>
          </w:p>
          <w:p w14:paraId="10162015" w14:textId="77777777" w:rsidR="00310C06" w:rsidRPr="00682149" w:rsidRDefault="00310C06"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 </w:t>
            </w:r>
          </w:p>
        </w:tc>
        <w:tc>
          <w:tcPr>
            <w:tcW w:w="6769" w:type="dxa"/>
            <w:tcBorders>
              <w:top w:val="nil"/>
              <w:left w:val="nil"/>
              <w:bottom w:val="nil"/>
              <w:right w:val="nil"/>
            </w:tcBorders>
            <w:shd w:val="clear" w:color="auto" w:fill="auto"/>
          </w:tcPr>
          <w:p w14:paraId="3BD991FB" w14:textId="77777777" w:rsidR="00310C06" w:rsidRPr="00682149" w:rsidRDefault="00310C06"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Componente que remunera los costos de inversión de sistemas solares fotovoltaicos individuales AC con potencia mayor a 0.5 kW, expresado en pesos por usuario al mes ($/mes), en pesos de la fecha base. </w:t>
            </w:r>
          </w:p>
        </w:tc>
      </w:tr>
      <w:tr w:rsidR="000B3E8E" w:rsidRPr="00682149" w14:paraId="4E11593F" w14:textId="77777777" w:rsidTr="00310C06">
        <w:trPr>
          <w:trHeight w:val="929"/>
        </w:trPr>
        <w:tc>
          <w:tcPr>
            <w:tcW w:w="2125" w:type="dxa"/>
            <w:tcBorders>
              <w:top w:val="nil"/>
              <w:left w:val="nil"/>
              <w:bottom w:val="nil"/>
              <w:right w:val="nil"/>
            </w:tcBorders>
            <w:shd w:val="clear" w:color="auto" w:fill="auto"/>
          </w:tcPr>
          <w:p w14:paraId="4773E5C6" w14:textId="77777777" w:rsidR="00310C06" w:rsidRPr="00682149" w:rsidRDefault="00310C06" w:rsidP="001C138F">
            <w:pPr>
              <w:spacing w:after="0" w:line="276" w:lineRule="auto"/>
              <w:ind w:left="567"/>
              <w:jc w:val="both"/>
              <w:rPr>
                <w:rFonts w:ascii="Arial" w:hAnsi="Arial" w:cs="Arial"/>
                <w:color w:val="000000" w:themeColor="text1"/>
              </w:rPr>
            </w:pPr>
            <w:r w:rsidRPr="00682149">
              <w:rPr>
                <w:rFonts w:ascii="Cambria Math" w:eastAsia="Cambria Math" w:hAnsi="Cambria Math" w:cs="Cambria Math"/>
                <w:color w:val="000000" w:themeColor="text1"/>
              </w:rPr>
              <w:lastRenderedPageBreak/>
              <w:t>𝐺</w:t>
            </w:r>
            <w:r w:rsidRPr="00682149">
              <w:rPr>
                <w:rFonts w:ascii="Arial" w:hAnsi="Arial" w:cs="Arial"/>
                <w:i/>
                <w:color w:val="000000" w:themeColor="text1"/>
                <w:vertAlign w:val="subscript"/>
              </w:rPr>
              <w:t>A0M0</w:t>
            </w:r>
            <w:r w:rsidRPr="00682149">
              <w:rPr>
                <w:rFonts w:ascii="Arial" w:hAnsi="Arial" w:cs="Arial"/>
                <w:i/>
                <w:color w:val="000000" w:themeColor="text1"/>
              </w:rPr>
              <w:t xml:space="preserve">     : </w:t>
            </w:r>
          </w:p>
        </w:tc>
        <w:tc>
          <w:tcPr>
            <w:tcW w:w="6769" w:type="dxa"/>
            <w:tcBorders>
              <w:top w:val="nil"/>
              <w:left w:val="nil"/>
              <w:bottom w:val="nil"/>
              <w:right w:val="nil"/>
            </w:tcBorders>
            <w:shd w:val="clear" w:color="auto" w:fill="auto"/>
          </w:tcPr>
          <w:p w14:paraId="4442B472" w14:textId="77777777" w:rsidR="00310C06" w:rsidRPr="00682149" w:rsidRDefault="00310C06"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Componente que remunera los costos de administración, operación y mantenimiento, AOM, de sistemas solares fotovoltaicos individuales AC con potencia mayor a 0.5 kW, expresado en pesos por usuario al mes ($/mes), en pesos de la fecha base. </w:t>
            </w:r>
          </w:p>
        </w:tc>
      </w:tr>
    </w:tbl>
    <w:p w14:paraId="0A99ABF1" w14:textId="77777777" w:rsidR="00310C06" w:rsidRPr="00682149" w:rsidRDefault="00310C06"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 </w:t>
      </w:r>
    </w:p>
    <w:p w14:paraId="5C3637C8" w14:textId="384094AF" w:rsidR="00DB72CE" w:rsidRPr="00682149" w:rsidRDefault="001D37B6" w:rsidP="001C138F">
      <w:pPr>
        <w:spacing w:after="0" w:line="276" w:lineRule="auto"/>
        <w:jc w:val="both"/>
        <w:rPr>
          <w:rFonts w:ascii="Arial" w:hAnsi="Arial" w:cs="Arial"/>
          <w:b/>
          <w:color w:val="000000" w:themeColor="text1"/>
          <w:sz w:val="24"/>
          <w:szCs w:val="24"/>
        </w:rPr>
      </w:pPr>
      <w:r w:rsidRPr="00682149">
        <w:rPr>
          <w:rFonts w:ascii="Arial" w:hAnsi="Arial" w:cs="Arial"/>
          <w:b/>
          <w:color w:val="000000" w:themeColor="text1"/>
          <w:sz w:val="24"/>
          <w:szCs w:val="24"/>
        </w:rPr>
        <w:t>2.5.5.</w:t>
      </w:r>
      <w:r w:rsidRPr="00682149">
        <w:rPr>
          <w:rFonts w:ascii="Arial" w:hAnsi="Arial" w:cs="Arial"/>
          <w:b/>
          <w:color w:val="000000" w:themeColor="text1"/>
          <w:sz w:val="24"/>
          <w:szCs w:val="24"/>
        </w:rPr>
        <w:tab/>
      </w:r>
      <w:r w:rsidR="00DB72CE" w:rsidRPr="00682149">
        <w:rPr>
          <w:rFonts w:ascii="Arial" w:hAnsi="Arial" w:cs="Arial"/>
          <w:b/>
          <w:color w:val="000000" w:themeColor="text1"/>
          <w:sz w:val="24"/>
          <w:szCs w:val="24"/>
        </w:rPr>
        <w:t xml:space="preserve"> Artículo 5o</w:t>
      </w:r>
    </w:p>
    <w:p w14:paraId="1370FBC6" w14:textId="77777777" w:rsidR="00DB72CE" w:rsidRPr="00682149" w:rsidRDefault="00DB72CE" w:rsidP="001C138F">
      <w:pPr>
        <w:spacing w:after="0" w:line="276" w:lineRule="auto"/>
        <w:ind w:left="567"/>
        <w:jc w:val="both"/>
        <w:rPr>
          <w:rFonts w:ascii="Arial" w:hAnsi="Arial" w:cs="Arial"/>
          <w:b/>
          <w:i/>
          <w:color w:val="000000" w:themeColor="text1"/>
        </w:rPr>
      </w:pPr>
    </w:p>
    <w:p w14:paraId="4465FF29" w14:textId="20A72651" w:rsidR="00310C06" w:rsidRPr="00682149" w:rsidRDefault="00DB72CE" w:rsidP="001C138F">
      <w:pPr>
        <w:spacing w:after="0" w:line="276" w:lineRule="auto"/>
        <w:ind w:left="567"/>
        <w:jc w:val="both"/>
        <w:rPr>
          <w:rFonts w:ascii="Arial" w:hAnsi="Arial" w:cs="Arial"/>
          <w:color w:val="000000" w:themeColor="text1"/>
        </w:rPr>
      </w:pPr>
      <w:r w:rsidRPr="00682149">
        <w:rPr>
          <w:rFonts w:ascii="Arial" w:hAnsi="Arial" w:cs="Arial"/>
          <w:b/>
          <w:i/>
          <w:color w:val="000000" w:themeColor="text1"/>
        </w:rPr>
        <w:t>“</w:t>
      </w:r>
      <w:r w:rsidR="00EE16E5" w:rsidRPr="00682149">
        <w:rPr>
          <w:rFonts w:ascii="Arial" w:hAnsi="Arial" w:cs="Arial"/>
          <w:b/>
          <w:i/>
          <w:color w:val="000000" w:themeColor="text1"/>
        </w:rPr>
        <w:t>Remuneración del</w:t>
      </w:r>
      <w:r w:rsidR="00310C06" w:rsidRPr="00682149">
        <w:rPr>
          <w:rFonts w:ascii="Arial" w:hAnsi="Arial" w:cs="Arial"/>
          <w:b/>
          <w:i/>
          <w:color w:val="000000" w:themeColor="text1"/>
        </w:rPr>
        <w:t xml:space="preserve"> componente de inversión, </w:t>
      </w:r>
      <w:r w:rsidR="00310C06" w:rsidRPr="00682149">
        <w:rPr>
          <w:rFonts w:ascii="Cambria Math" w:eastAsia="Cambria Math" w:hAnsi="Cambria Math" w:cs="Cambria Math"/>
          <w:color w:val="000000" w:themeColor="text1"/>
        </w:rPr>
        <w:t>𝑮</w:t>
      </w:r>
      <w:r w:rsidR="00310C06" w:rsidRPr="00682149">
        <w:rPr>
          <w:rFonts w:ascii="Cambria Math" w:eastAsia="Cambria Math" w:hAnsi="Cambria Math" w:cs="Cambria Math"/>
          <w:color w:val="000000" w:themeColor="text1"/>
          <w:vertAlign w:val="subscript"/>
        </w:rPr>
        <w:t>𝑰𝟎</w:t>
      </w:r>
      <w:r w:rsidR="00310C06" w:rsidRPr="00682149">
        <w:rPr>
          <w:rFonts w:ascii="Arial" w:hAnsi="Arial" w:cs="Arial"/>
          <w:b/>
          <w:i/>
          <w:color w:val="000000" w:themeColor="text1"/>
        </w:rPr>
        <w:t xml:space="preserve">. </w:t>
      </w:r>
      <w:r w:rsidR="00310C06" w:rsidRPr="00682149">
        <w:rPr>
          <w:rFonts w:ascii="Arial" w:hAnsi="Arial" w:cs="Arial"/>
          <w:i/>
          <w:color w:val="000000" w:themeColor="text1"/>
        </w:rPr>
        <w:t xml:space="preserve">La componente que remunera los costos de inversión de sistemas solares fotovoltaicos individuales AC con potencia mayor a 0.5 kW, será:  </w:t>
      </w:r>
    </w:p>
    <w:p w14:paraId="17FAB418" w14:textId="77777777" w:rsidR="00310C06" w:rsidRPr="00682149" w:rsidRDefault="00310C06"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 </w:t>
      </w:r>
    </w:p>
    <w:p w14:paraId="07DBBB4A" w14:textId="77777777" w:rsidR="00310C06" w:rsidRPr="00682149" w:rsidRDefault="00310C06" w:rsidP="001C138F">
      <w:pPr>
        <w:spacing w:after="0" w:line="276" w:lineRule="auto"/>
        <w:ind w:left="567"/>
        <w:jc w:val="both"/>
        <w:rPr>
          <w:rFonts w:ascii="Arial" w:hAnsi="Arial" w:cs="Arial"/>
          <w:color w:val="000000" w:themeColor="text1"/>
        </w:rPr>
      </w:pPr>
      <w:r w:rsidRPr="00682149">
        <w:rPr>
          <w:rFonts w:ascii="Arial" w:hAnsi="Arial" w:cs="Arial"/>
          <w:b/>
          <w:i/>
          <w:color w:val="000000" w:themeColor="text1"/>
        </w:rPr>
        <w:t xml:space="preserve">TABLA 1. Componente de remuneración de inversiones </w:t>
      </w:r>
    </w:p>
    <w:p w14:paraId="13ACACB3" w14:textId="77777777" w:rsidR="00310C06" w:rsidRPr="00682149" w:rsidRDefault="00310C06" w:rsidP="001C138F">
      <w:pPr>
        <w:spacing w:after="0" w:line="276" w:lineRule="auto"/>
        <w:ind w:left="567"/>
        <w:jc w:val="both"/>
        <w:rPr>
          <w:rFonts w:ascii="Arial" w:hAnsi="Arial" w:cs="Arial"/>
          <w:color w:val="000000" w:themeColor="text1"/>
        </w:rPr>
      </w:pPr>
      <w:r w:rsidRPr="00682149">
        <w:rPr>
          <w:rFonts w:ascii="Arial" w:hAnsi="Arial" w:cs="Arial"/>
          <w:b/>
          <w:i/>
          <w:color w:val="000000" w:themeColor="text1"/>
        </w:rPr>
        <w:t xml:space="preserve">    ($ de la fecha base).</w:t>
      </w:r>
      <w:r w:rsidRPr="00682149">
        <w:rPr>
          <w:rFonts w:ascii="Arial" w:hAnsi="Arial" w:cs="Arial"/>
          <w:i/>
          <w:color w:val="000000" w:themeColor="text1"/>
        </w:rPr>
        <w:t xml:space="preserve"> </w:t>
      </w:r>
    </w:p>
    <w:p w14:paraId="626A05F3" w14:textId="77777777" w:rsidR="00310C06" w:rsidRPr="00682149" w:rsidRDefault="00310C06" w:rsidP="001C138F">
      <w:pPr>
        <w:spacing w:after="0" w:line="276" w:lineRule="auto"/>
        <w:ind w:left="567"/>
        <w:jc w:val="both"/>
        <w:rPr>
          <w:rFonts w:ascii="Arial" w:hAnsi="Arial" w:cs="Arial"/>
          <w:i/>
          <w:color w:val="000000" w:themeColor="text1"/>
        </w:rPr>
      </w:pPr>
      <w:r w:rsidRPr="00682149">
        <w:rPr>
          <w:rFonts w:ascii="Arial" w:hAnsi="Arial" w:cs="Arial"/>
          <w:i/>
          <w:color w:val="000000" w:themeColor="text1"/>
        </w:rPr>
        <w:t xml:space="preserve"> </w:t>
      </w:r>
    </w:p>
    <w:p w14:paraId="3C32BC68" w14:textId="77777777" w:rsidR="00595AF7" w:rsidRPr="00682149" w:rsidRDefault="00595AF7" w:rsidP="001C138F">
      <w:pPr>
        <w:spacing w:after="0" w:line="276" w:lineRule="auto"/>
        <w:ind w:left="567"/>
        <w:jc w:val="both"/>
        <w:rPr>
          <w:rFonts w:ascii="Arial" w:hAnsi="Arial" w:cs="Arial"/>
          <w:color w:val="000000" w:themeColor="text1"/>
        </w:rPr>
      </w:pPr>
    </w:p>
    <w:tbl>
      <w:tblPr>
        <w:tblW w:w="6522" w:type="dxa"/>
        <w:tblInd w:w="1560" w:type="dxa"/>
        <w:tblCellMar>
          <w:top w:w="7" w:type="dxa"/>
          <w:right w:w="7" w:type="dxa"/>
        </w:tblCellMar>
        <w:tblLook w:val="04A0" w:firstRow="1" w:lastRow="0" w:firstColumn="1" w:lastColumn="0" w:noHBand="0" w:noVBand="1"/>
      </w:tblPr>
      <w:tblGrid>
        <w:gridCol w:w="4395"/>
        <w:gridCol w:w="2127"/>
      </w:tblGrid>
      <w:tr w:rsidR="000B3E8E" w:rsidRPr="00682149" w14:paraId="4A650820" w14:textId="77777777" w:rsidTr="00310C06">
        <w:trPr>
          <w:trHeight w:val="701"/>
        </w:trPr>
        <w:tc>
          <w:tcPr>
            <w:tcW w:w="4395" w:type="dxa"/>
            <w:tcBorders>
              <w:top w:val="single" w:sz="4" w:space="0" w:color="000000"/>
              <w:left w:val="single" w:sz="4" w:space="0" w:color="000000"/>
              <w:bottom w:val="single" w:sz="4" w:space="0" w:color="000000"/>
              <w:right w:val="single" w:sz="4" w:space="0" w:color="000000"/>
            </w:tcBorders>
            <w:shd w:val="clear" w:color="auto" w:fill="auto"/>
          </w:tcPr>
          <w:p w14:paraId="18731A97" w14:textId="77777777" w:rsidR="00310C06" w:rsidRPr="00682149" w:rsidRDefault="00310C06" w:rsidP="001C138F">
            <w:pPr>
              <w:spacing w:after="0" w:line="276" w:lineRule="auto"/>
              <w:ind w:left="567"/>
              <w:jc w:val="both"/>
              <w:rPr>
                <w:rFonts w:ascii="Arial" w:hAnsi="Arial" w:cs="Arial"/>
                <w:color w:val="000000" w:themeColor="text1"/>
              </w:rPr>
            </w:pPr>
            <w:r w:rsidRPr="00682149">
              <w:rPr>
                <w:rFonts w:ascii="Arial" w:hAnsi="Arial" w:cs="Arial"/>
                <w:b/>
                <w:i/>
                <w:color w:val="000000" w:themeColor="text1"/>
              </w:rPr>
              <w:t xml:space="preserve"> </w:t>
            </w:r>
          </w:p>
          <w:p w14:paraId="12CFC822" w14:textId="77777777" w:rsidR="00310C06" w:rsidRPr="00682149" w:rsidRDefault="00310C06" w:rsidP="001C138F">
            <w:pPr>
              <w:spacing w:after="0" w:line="276" w:lineRule="auto"/>
              <w:ind w:left="567"/>
              <w:jc w:val="both"/>
              <w:rPr>
                <w:rFonts w:ascii="Arial" w:hAnsi="Arial" w:cs="Arial"/>
                <w:color w:val="000000" w:themeColor="text1"/>
              </w:rPr>
            </w:pPr>
            <w:r w:rsidRPr="00682149">
              <w:rPr>
                <w:rFonts w:ascii="Arial" w:hAnsi="Arial" w:cs="Arial"/>
                <w:b/>
                <w:i/>
                <w:color w:val="000000" w:themeColor="text1"/>
              </w:rPr>
              <w:t xml:space="preserve">Componente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83D7972" w14:textId="77777777" w:rsidR="00310C06" w:rsidRPr="00682149" w:rsidRDefault="00310C06" w:rsidP="001C138F">
            <w:pPr>
              <w:spacing w:after="0" w:line="276" w:lineRule="auto"/>
              <w:ind w:left="567"/>
              <w:jc w:val="both"/>
              <w:rPr>
                <w:rFonts w:ascii="Arial" w:hAnsi="Arial" w:cs="Arial"/>
                <w:color w:val="000000" w:themeColor="text1"/>
              </w:rPr>
            </w:pPr>
            <w:r w:rsidRPr="00682149">
              <w:rPr>
                <w:rFonts w:ascii="Arial" w:hAnsi="Arial" w:cs="Arial"/>
                <w:b/>
                <w:i/>
                <w:color w:val="000000" w:themeColor="text1"/>
              </w:rPr>
              <w:t xml:space="preserve">Pesos por usuario al mes </w:t>
            </w:r>
          </w:p>
          <w:p w14:paraId="7968F3FC" w14:textId="77777777" w:rsidR="00310C06" w:rsidRPr="00682149" w:rsidRDefault="00310C06" w:rsidP="001C138F">
            <w:pPr>
              <w:spacing w:after="0" w:line="276" w:lineRule="auto"/>
              <w:ind w:left="567"/>
              <w:jc w:val="both"/>
              <w:rPr>
                <w:rFonts w:ascii="Arial" w:hAnsi="Arial" w:cs="Arial"/>
                <w:color w:val="000000" w:themeColor="text1"/>
              </w:rPr>
            </w:pPr>
            <w:r w:rsidRPr="00682149">
              <w:rPr>
                <w:rFonts w:ascii="Arial" w:hAnsi="Arial" w:cs="Arial"/>
                <w:b/>
                <w:i/>
                <w:color w:val="000000" w:themeColor="text1"/>
              </w:rPr>
              <w:t>($/mes)</w:t>
            </w:r>
            <w:r w:rsidRPr="00682149">
              <w:rPr>
                <w:rFonts w:ascii="Arial" w:hAnsi="Arial" w:cs="Arial"/>
                <w:i/>
                <w:color w:val="000000" w:themeColor="text1"/>
              </w:rPr>
              <w:t xml:space="preserve"> </w:t>
            </w:r>
          </w:p>
        </w:tc>
      </w:tr>
      <w:tr w:rsidR="000B3E8E" w:rsidRPr="00682149" w14:paraId="235D7A41" w14:textId="77777777" w:rsidTr="00310C06">
        <w:trPr>
          <w:trHeight w:val="240"/>
        </w:trPr>
        <w:tc>
          <w:tcPr>
            <w:tcW w:w="4395" w:type="dxa"/>
            <w:tcBorders>
              <w:top w:val="single" w:sz="4" w:space="0" w:color="000000"/>
              <w:left w:val="single" w:sz="4" w:space="0" w:color="000000"/>
              <w:bottom w:val="single" w:sz="4" w:space="0" w:color="000000"/>
              <w:right w:val="single" w:sz="4" w:space="0" w:color="000000"/>
            </w:tcBorders>
            <w:shd w:val="clear" w:color="auto" w:fill="auto"/>
          </w:tcPr>
          <w:p w14:paraId="20F59DF3" w14:textId="77777777" w:rsidR="00310C06" w:rsidRPr="00682149" w:rsidRDefault="00310C06"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Módulos, estructuras, obra eléctrica y obra civil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9B94374" w14:textId="77777777" w:rsidR="00310C06" w:rsidRPr="00682149" w:rsidRDefault="00310C06"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83,151 </w:t>
            </w:r>
          </w:p>
        </w:tc>
      </w:tr>
      <w:tr w:rsidR="000B3E8E" w:rsidRPr="00682149" w14:paraId="4A56CF97" w14:textId="77777777" w:rsidTr="00310C06">
        <w:trPr>
          <w:trHeight w:val="240"/>
        </w:trPr>
        <w:tc>
          <w:tcPr>
            <w:tcW w:w="4395" w:type="dxa"/>
            <w:tcBorders>
              <w:top w:val="single" w:sz="4" w:space="0" w:color="000000"/>
              <w:left w:val="single" w:sz="4" w:space="0" w:color="000000"/>
              <w:bottom w:val="single" w:sz="4" w:space="0" w:color="000000"/>
              <w:right w:val="single" w:sz="4" w:space="0" w:color="000000"/>
            </w:tcBorders>
            <w:shd w:val="clear" w:color="auto" w:fill="auto"/>
          </w:tcPr>
          <w:p w14:paraId="5427E388" w14:textId="77777777" w:rsidR="00310C06" w:rsidRPr="00682149" w:rsidRDefault="00310C06"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Controlador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1950C308" w14:textId="77777777" w:rsidR="00310C06" w:rsidRPr="00682149" w:rsidRDefault="00310C06"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15,986 </w:t>
            </w:r>
          </w:p>
        </w:tc>
      </w:tr>
      <w:tr w:rsidR="000B3E8E" w:rsidRPr="00682149" w14:paraId="5F099FC9" w14:textId="77777777" w:rsidTr="00310C06">
        <w:trPr>
          <w:trHeight w:val="240"/>
        </w:trPr>
        <w:tc>
          <w:tcPr>
            <w:tcW w:w="4395" w:type="dxa"/>
            <w:tcBorders>
              <w:top w:val="single" w:sz="4" w:space="0" w:color="000000"/>
              <w:left w:val="single" w:sz="4" w:space="0" w:color="000000"/>
              <w:bottom w:val="single" w:sz="4" w:space="0" w:color="000000"/>
              <w:right w:val="single" w:sz="4" w:space="0" w:color="000000"/>
            </w:tcBorders>
            <w:shd w:val="clear" w:color="auto" w:fill="auto"/>
          </w:tcPr>
          <w:p w14:paraId="7F66AAD8" w14:textId="77777777" w:rsidR="00310C06" w:rsidRPr="00682149" w:rsidRDefault="00310C06"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Inversor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0B51C41" w14:textId="77777777" w:rsidR="00310C06" w:rsidRPr="00682149" w:rsidRDefault="00310C06"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25,617 </w:t>
            </w:r>
          </w:p>
        </w:tc>
      </w:tr>
      <w:tr w:rsidR="000B3E8E" w:rsidRPr="00682149" w14:paraId="38C78C5A" w14:textId="77777777" w:rsidTr="00310C06">
        <w:trPr>
          <w:trHeight w:val="241"/>
        </w:trPr>
        <w:tc>
          <w:tcPr>
            <w:tcW w:w="4395" w:type="dxa"/>
            <w:tcBorders>
              <w:top w:val="single" w:sz="4" w:space="0" w:color="000000"/>
              <w:left w:val="single" w:sz="4" w:space="0" w:color="000000"/>
              <w:bottom w:val="single" w:sz="4" w:space="0" w:color="000000"/>
              <w:right w:val="single" w:sz="4" w:space="0" w:color="000000"/>
            </w:tcBorders>
            <w:shd w:val="clear" w:color="auto" w:fill="auto"/>
          </w:tcPr>
          <w:p w14:paraId="0F43C860" w14:textId="77777777" w:rsidR="00310C06" w:rsidRPr="00682149" w:rsidRDefault="00310C06"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Batería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66AC2FF" w14:textId="77777777" w:rsidR="00310C06" w:rsidRPr="00682149" w:rsidRDefault="00310C06"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15,986 </w:t>
            </w:r>
          </w:p>
        </w:tc>
      </w:tr>
      <w:tr w:rsidR="000B3E8E" w:rsidRPr="00682149" w14:paraId="0344150E" w14:textId="77777777" w:rsidTr="00310C06">
        <w:trPr>
          <w:trHeight w:val="240"/>
        </w:trPr>
        <w:tc>
          <w:tcPr>
            <w:tcW w:w="4395" w:type="dxa"/>
            <w:tcBorders>
              <w:top w:val="single" w:sz="4" w:space="0" w:color="000000"/>
              <w:left w:val="single" w:sz="4" w:space="0" w:color="000000"/>
              <w:bottom w:val="single" w:sz="4" w:space="0" w:color="000000"/>
              <w:right w:val="single" w:sz="4" w:space="0" w:color="000000"/>
            </w:tcBorders>
            <w:shd w:val="clear" w:color="auto" w:fill="auto"/>
          </w:tcPr>
          <w:p w14:paraId="5A6018C2" w14:textId="77777777" w:rsidR="00310C06" w:rsidRPr="00682149" w:rsidRDefault="00310C06"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TOTAL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3A2AFEE" w14:textId="77777777" w:rsidR="00310C06" w:rsidRPr="00682149" w:rsidRDefault="00310C06"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229,293 </w:t>
            </w:r>
          </w:p>
        </w:tc>
      </w:tr>
    </w:tbl>
    <w:p w14:paraId="65E87A86" w14:textId="77777777" w:rsidR="00310C06" w:rsidRPr="00682149" w:rsidRDefault="00310C06"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 </w:t>
      </w:r>
    </w:p>
    <w:p w14:paraId="063B8907" w14:textId="5CF0C6A5" w:rsidR="00310C06" w:rsidRPr="00682149" w:rsidRDefault="00310C06"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 </w:t>
      </w:r>
      <w:r w:rsidRPr="00682149">
        <w:rPr>
          <w:rFonts w:ascii="Arial" w:hAnsi="Arial" w:cs="Arial"/>
          <w:b/>
          <w:i/>
          <w:color w:val="000000" w:themeColor="text1"/>
        </w:rPr>
        <w:t xml:space="preserve">Parágrafo. </w:t>
      </w:r>
      <w:r w:rsidRPr="00682149">
        <w:rPr>
          <w:rFonts w:ascii="Arial" w:hAnsi="Arial" w:cs="Arial"/>
          <w:i/>
          <w:color w:val="000000" w:themeColor="text1"/>
        </w:rPr>
        <w:t xml:space="preserve">No deberán incluirse en el cálculo de las tarifas aquellas inversiones a las que se hace referencia en el numeral 87.9, del artículo 87 de la Ley 142 de 1994, modificado por el artículo 99 de la Ley 1450 de 2011 o aquella norma que la modifique o sustituya. </w:t>
      </w:r>
    </w:p>
    <w:p w14:paraId="3F032B69" w14:textId="7E6751FE" w:rsidR="00DB72CE" w:rsidRPr="00682149" w:rsidRDefault="00310C06"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 </w:t>
      </w:r>
    </w:p>
    <w:p w14:paraId="77A53A3A" w14:textId="44C44CB7" w:rsidR="00DB72CE" w:rsidRPr="00682149" w:rsidRDefault="001D37B6" w:rsidP="001C138F">
      <w:pPr>
        <w:spacing w:after="0" w:line="276" w:lineRule="auto"/>
        <w:jc w:val="both"/>
        <w:rPr>
          <w:rFonts w:ascii="Arial" w:hAnsi="Arial" w:cs="Arial"/>
          <w:b/>
          <w:color w:val="000000" w:themeColor="text1"/>
          <w:sz w:val="24"/>
          <w:szCs w:val="24"/>
        </w:rPr>
      </w:pPr>
      <w:r w:rsidRPr="00682149">
        <w:rPr>
          <w:rFonts w:ascii="Arial" w:hAnsi="Arial" w:cs="Arial"/>
          <w:b/>
          <w:color w:val="000000" w:themeColor="text1"/>
          <w:sz w:val="24"/>
          <w:szCs w:val="24"/>
        </w:rPr>
        <w:t>2.5.6.</w:t>
      </w:r>
      <w:r w:rsidR="00DB72CE" w:rsidRPr="00682149">
        <w:rPr>
          <w:rFonts w:ascii="Arial" w:hAnsi="Arial" w:cs="Arial"/>
          <w:b/>
          <w:color w:val="000000" w:themeColor="text1"/>
          <w:sz w:val="24"/>
          <w:szCs w:val="24"/>
        </w:rPr>
        <w:t xml:space="preserve"> Artículo 6º. </w:t>
      </w:r>
    </w:p>
    <w:p w14:paraId="125B90A1" w14:textId="77777777" w:rsidR="00202AA8" w:rsidRPr="00682149" w:rsidRDefault="00202AA8" w:rsidP="001C138F">
      <w:pPr>
        <w:spacing w:after="0" w:line="276" w:lineRule="auto"/>
        <w:ind w:left="567"/>
        <w:jc w:val="both"/>
        <w:rPr>
          <w:rFonts w:ascii="Arial" w:hAnsi="Arial" w:cs="Arial"/>
          <w:b/>
          <w:i/>
          <w:color w:val="000000" w:themeColor="text1"/>
        </w:rPr>
      </w:pPr>
    </w:p>
    <w:p w14:paraId="0A4D3889" w14:textId="7A3D671B" w:rsidR="00310C06" w:rsidRPr="00682149" w:rsidRDefault="00202AA8" w:rsidP="001C138F">
      <w:pPr>
        <w:spacing w:after="0" w:line="276" w:lineRule="auto"/>
        <w:ind w:left="567"/>
        <w:jc w:val="both"/>
        <w:rPr>
          <w:rFonts w:ascii="Arial" w:hAnsi="Arial" w:cs="Arial"/>
          <w:color w:val="000000" w:themeColor="text1"/>
        </w:rPr>
      </w:pPr>
      <w:r w:rsidRPr="00682149">
        <w:rPr>
          <w:rFonts w:ascii="Arial" w:hAnsi="Arial" w:cs="Arial"/>
          <w:b/>
          <w:i/>
          <w:color w:val="000000" w:themeColor="text1"/>
        </w:rPr>
        <w:t>“</w:t>
      </w:r>
      <w:r w:rsidR="00310C06" w:rsidRPr="00682149">
        <w:rPr>
          <w:rFonts w:ascii="Arial" w:hAnsi="Arial" w:cs="Arial"/>
          <w:b/>
          <w:i/>
          <w:color w:val="000000" w:themeColor="text1"/>
        </w:rPr>
        <w:t xml:space="preserve">Remuneración de la componente de administración, operación y mantenimiento, </w:t>
      </w:r>
      <w:r w:rsidR="00310C06" w:rsidRPr="00682149">
        <w:rPr>
          <w:rFonts w:ascii="Cambria Math" w:eastAsia="Cambria Math" w:hAnsi="Cambria Math" w:cs="Cambria Math"/>
          <w:color w:val="000000" w:themeColor="text1"/>
        </w:rPr>
        <w:t>𝑮</w:t>
      </w:r>
      <w:r w:rsidR="00310C06" w:rsidRPr="00682149">
        <w:rPr>
          <w:rFonts w:ascii="Cambria Math" w:eastAsia="Cambria Math" w:hAnsi="Cambria Math" w:cs="Cambria Math"/>
          <w:color w:val="000000" w:themeColor="text1"/>
          <w:vertAlign w:val="subscript"/>
        </w:rPr>
        <w:t>𝑨𝑶𝑴𝟎</w:t>
      </w:r>
      <w:r w:rsidR="00310C06" w:rsidRPr="00682149">
        <w:rPr>
          <w:rFonts w:ascii="Arial" w:hAnsi="Arial" w:cs="Arial"/>
          <w:b/>
          <w:i/>
          <w:color w:val="000000" w:themeColor="text1"/>
        </w:rPr>
        <w:t xml:space="preserve">. </w:t>
      </w:r>
      <w:r w:rsidR="00310C06" w:rsidRPr="00682149">
        <w:rPr>
          <w:rFonts w:ascii="Arial" w:hAnsi="Arial" w:cs="Arial"/>
          <w:i/>
          <w:color w:val="000000" w:themeColor="text1"/>
        </w:rPr>
        <w:t xml:space="preserve">La componente que remunera los costos de administración, operación y mantenimiento, AOM, de sistemas solares fotovoltaicos individuales AC con potencia instalada mayor a 0.5 kW será de $86,525 / mes por usuario, expresada en pesos de la fecha base. </w:t>
      </w:r>
    </w:p>
    <w:p w14:paraId="4F7E8861" w14:textId="77777777" w:rsidR="00310C06" w:rsidRPr="00682149" w:rsidRDefault="00310C06"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 </w:t>
      </w:r>
    </w:p>
    <w:p w14:paraId="1ECC10E9" w14:textId="1AC43DFD" w:rsidR="00202AA8" w:rsidRPr="00682149" w:rsidRDefault="001D37B6" w:rsidP="001C138F">
      <w:pPr>
        <w:spacing w:after="0" w:line="276" w:lineRule="auto"/>
        <w:jc w:val="both"/>
        <w:rPr>
          <w:rFonts w:ascii="Arial" w:hAnsi="Arial" w:cs="Arial"/>
          <w:b/>
          <w:color w:val="000000" w:themeColor="text1"/>
          <w:sz w:val="24"/>
          <w:szCs w:val="24"/>
        </w:rPr>
      </w:pPr>
      <w:r w:rsidRPr="00682149">
        <w:rPr>
          <w:rFonts w:ascii="Arial" w:hAnsi="Arial" w:cs="Arial"/>
          <w:b/>
          <w:color w:val="000000" w:themeColor="text1"/>
          <w:sz w:val="24"/>
          <w:szCs w:val="24"/>
        </w:rPr>
        <w:t>2.5.7.</w:t>
      </w:r>
      <w:r w:rsidRPr="00682149">
        <w:rPr>
          <w:rFonts w:ascii="Arial" w:hAnsi="Arial" w:cs="Arial"/>
          <w:b/>
          <w:color w:val="000000" w:themeColor="text1"/>
          <w:sz w:val="24"/>
          <w:szCs w:val="24"/>
        </w:rPr>
        <w:tab/>
      </w:r>
      <w:r w:rsidR="00202AA8" w:rsidRPr="00682149">
        <w:rPr>
          <w:rFonts w:ascii="Arial" w:hAnsi="Arial" w:cs="Arial"/>
          <w:b/>
          <w:color w:val="000000" w:themeColor="text1"/>
          <w:sz w:val="24"/>
          <w:szCs w:val="24"/>
        </w:rPr>
        <w:t xml:space="preserve"> Artículo 7º.</w:t>
      </w:r>
    </w:p>
    <w:p w14:paraId="76D159CE" w14:textId="77777777" w:rsidR="000450E4" w:rsidRPr="00682149" w:rsidRDefault="000450E4" w:rsidP="001C138F">
      <w:pPr>
        <w:spacing w:after="0" w:line="276" w:lineRule="auto"/>
        <w:ind w:left="567"/>
        <w:jc w:val="both"/>
        <w:rPr>
          <w:rFonts w:ascii="Arial" w:hAnsi="Arial" w:cs="Arial"/>
          <w:b/>
          <w:i/>
          <w:color w:val="000000" w:themeColor="text1"/>
        </w:rPr>
      </w:pPr>
    </w:p>
    <w:p w14:paraId="4442DC50" w14:textId="1754460F" w:rsidR="00310C06" w:rsidRPr="00682149" w:rsidRDefault="00202AA8" w:rsidP="001C138F">
      <w:pPr>
        <w:spacing w:after="0" w:line="276" w:lineRule="auto"/>
        <w:ind w:left="567"/>
        <w:jc w:val="both"/>
        <w:rPr>
          <w:rFonts w:ascii="Arial" w:hAnsi="Arial" w:cs="Arial"/>
          <w:color w:val="000000" w:themeColor="text1"/>
        </w:rPr>
      </w:pPr>
      <w:r w:rsidRPr="00682149">
        <w:rPr>
          <w:rFonts w:ascii="Arial" w:hAnsi="Arial" w:cs="Arial"/>
          <w:b/>
          <w:i/>
          <w:color w:val="000000" w:themeColor="text1"/>
        </w:rPr>
        <w:t>“</w:t>
      </w:r>
      <w:r w:rsidR="00310C06" w:rsidRPr="00682149">
        <w:rPr>
          <w:rFonts w:ascii="Arial" w:hAnsi="Arial" w:cs="Arial"/>
          <w:b/>
          <w:i/>
          <w:color w:val="000000" w:themeColor="text1"/>
        </w:rPr>
        <w:t xml:space="preserve">Fórmula de actualización del cargo máximo de generación de energía eléctrica de sistemas solares fotovoltaicos individuales AC con potencia mayor a 0.5 kW. </w:t>
      </w:r>
      <w:r w:rsidR="00310C06" w:rsidRPr="00682149">
        <w:rPr>
          <w:rFonts w:ascii="Arial" w:hAnsi="Arial" w:cs="Arial"/>
          <w:i/>
          <w:color w:val="000000" w:themeColor="text1"/>
        </w:rPr>
        <w:t xml:space="preserve">El cargo máximo de generación se actualizará utilizando la siguiente fórmula: </w:t>
      </w:r>
    </w:p>
    <w:p w14:paraId="540AB231" w14:textId="77777777" w:rsidR="00310C06" w:rsidRPr="00682149" w:rsidRDefault="00310C06" w:rsidP="001C138F">
      <w:pPr>
        <w:spacing w:after="0" w:line="276" w:lineRule="auto"/>
        <w:ind w:left="567" w:hanging="4561"/>
        <w:jc w:val="both"/>
        <w:rPr>
          <w:rFonts w:ascii="Arial" w:hAnsi="Arial" w:cs="Arial"/>
          <w:color w:val="000000" w:themeColor="text1"/>
        </w:rPr>
      </w:pPr>
      <w:r w:rsidRPr="00682149">
        <w:rPr>
          <w:rFonts w:ascii="Arial" w:hAnsi="Arial" w:cs="Arial"/>
          <w:i/>
          <w:color w:val="000000" w:themeColor="text1"/>
        </w:rPr>
        <w:t xml:space="preserve"> </w:t>
      </w:r>
      <w:r w:rsidRPr="00682149">
        <w:rPr>
          <w:rFonts w:ascii="Cambria Math" w:eastAsia="Cambria Math" w:hAnsi="Cambria Math" w:cs="Cambria Math"/>
          <w:color w:val="000000" w:themeColor="text1"/>
        </w:rPr>
        <w:t>𝐼𝑃𝑃</w:t>
      </w:r>
      <w:r w:rsidRPr="00682149">
        <w:rPr>
          <w:rFonts w:ascii="Cambria Math" w:eastAsia="Cambria Math" w:hAnsi="Cambria Math" w:cs="Cambria Math"/>
          <w:color w:val="000000" w:themeColor="text1"/>
          <w:vertAlign w:val="subscript"/>
        </w:rPr>
        <w:t>𝑚</w:t>
      </w:r>
      <w:r w:rsidRPr="00682149">
        <w:rPr>
          <w:rFonts w:ascii="Arial" w:eastAsia="Cambria Math" w:hAnsi="Arial" w:cs="Arial"/>
          <w:color w:val="000000" w:themeColor="text1"/>
        </w:rPr>
        <w:t>−1</w:t>
      </w:r>
    </w:p>
    <w:p w14:paraId="3962E66E" w14:textId="77777777" w:rsidR="00310C06" w:rsidRPr="00682149" w:rsidRDefault="00310C06" w:rsidP="001C138F">
      <w:pPr>
        <w:spacing w:after="0" w:line="276" w:lineRule="auto"/>
        <w:ind w:left="4561" w:right="5354" w:hanging="1729"/>
        <w:rPr>
          <w:color w:val="000000" w:themeColor="text1"/>
        </w:rPr>
      </w:pPr>
      <w:r w:rsidRPr="00682149">
        <w:rPr>
          <w:rFonts w:ascii="Cambria Math" w:eastAsia="Cambria Math" w:hAnsi="Cambria Math" w:cs="Cambria Math"/>
          <w:color w:val="000000" w:themeColor="text1"/>
          <w:sz w:val="20"/>
        </w:rPr>
        <w:t>𝐼𝑃𝑃</w:t>
      </w:r>
      <w:r w:rsidRPr="00682149">
        <w:rPr>
          <w:rFonts w:ascii="Cambria Math" w:eastAsia="Cambria Math" w:hAnsi="Cambria Math" w:cs="Cambria Math"/>
          <w:color w:val="000000" w:themeColor="text1"/>
          <w:sz w:val="20"/>
          <w:vertAlign w:val="subscript"/>
        </w:rPr>
        <w:t>𝑚</w:t>
      </w:r>
      <w:r w:rsidRPr="00682149">
        <w:rPr>
          <w:rFonts w:ascii="Cambria Math" w:eastAsia="Cambria Math" w:hAnsi="Cambria Math" w:cs="Cambria Math"/>
          <w:color w:val="000000" w:themeColor="text1"/>
          <w:sz w:val="14"/>
        </w:rPr>
        <w:t>−1</w:t>
      </w:r>
    </w:p>
    <w:p w14:paraId="222EE1A1" w14:textId="77777777" w:rsidR="00310C06" w:rsidRPr="00682149" w:rsidRDefault="00310C06" w:rsidP="001C138F">
      <w:pPr>
        <w:spacing w:after="0" w:line="276" w:lineRule="auto"/>
        <w:ind w:right="1642"/>
        <w:rPr>
          <w:color w:val="000000" w:themeColor="text1"/>
        </w:rPr>
      </w:pPr>
      <w:r w:rsidRPr="00682149">
        <w:rPr>
          <w:rFonts w:ascii="Cambria Math" w:eastAsia="Cambria Math" w:hAnsi="Cambria Math" w:cs="Cambria Math"/>
          <w:color w:val="000000" w:themeColor="text1"/>
          <w:sz w:val="20"/>
        </w:rPr>
        <w:t xml:space="preserve">                                             𝐺</w:t>
      </w:r>
      <w:r w:rsidRPr="00682149">
        <w:rPr>
          <w:rFonts w:ascii="Cambria Math" w:eastAsia="Cambria Math" w:hAnsi="Cambria Math" w:cs="Cambria Math"/>
          <w:color w:val="000000" w:themeColor="text1"/>
          <w:sz w:val="20"/>
          <w:vertAlign w:val="subscript"/>
        </w:rPr>
        <w:t xml:space="preserve">𝑚 </w:t>
      </w:r>
      <w:r w:rsidRPr="00682149">
        <w:rPr>
          <w:rFonts w:ascii="Cambria Math" w:eastAsia="Cambria Math" w:hAnsi="Cambria Math" w:cs="Cambria Math"/>
          <w:color w:val="000000" w:themeColor="text1"/>
          <w:sz w:val="20"/>
        </w:rPr>
        <w:t>= 𝐺</w:t>
      </w:r>
      <w:r w:rsidRPr="00682149">
        <w:rPr>
          <w:rFonts w:ascii="Cambria Math" w:eastAsia="Cambria Math" w:hAnsi="Cambria Math" w:cs="Cambria Math"/>
          <w:color w:val="000000" w:themeColor="text1"/>
          <w:sz w:val="20"/>
          <w:vertAlign w:val="subscript"/>
        </w:rPr>
        <w:t>0</w:t>
      </w:r>
      <w:r w:rsidRPr="00682149">
        <w:rPr>
          <w:rFonts w:ascii="Cambria Math" w:eastAsia="Cambria Math" w:hAnsi="Cambria Math" w:cs="Cambria Math"/>
          <w:color w:val="000000" w:themeColor="text1"/>
          <w:sz w:val="20"/>
        </w:rPr>
        <w:t xml:space="preserve"> 𝑥 </w:t>
      </w:r>
      <w:r w:rsidRPr="00682149">
        <w:rPr>
          <w:noProof/>
          <w:color w:val="000000" w:themeColor="text1"/>
          <w:lang w:val="es-CO" w:eastAsia="es-CO"/>
        </w:rPr>
        <mc:AlternateContent>
          <mc:Choice Requires="wpg">
            <w:drawing>
              <wp:inline distT="0" distB="0" distL="0" distR="0" wp14:anchorId="3E79DEDA" wp14:editId="64672EA1">
                <wp:extent cx="400685" cy="7620"/>
                <wp:effectExtent l="0" t="0" r="0" b="0"/>
                <wp:docPr id="6" name="Group 555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685" cy="7620"/>
                          <a:chOff x="0" y="0"/>
                          <a:chExt cx="400812" cy="7620"/>
                        </a:xfrm>
                      </wpg:grpSpPr>
                      <wps:wsp>
                        <wps:cNvPr id="7" name="Shape 68444"/>
                        <wps:cNvSpPr/>
                        <wps:spPr>
                          <a:xfrm>
                            <a:off x="0" y="0"/>
                            <a:ext cx="400812" cy="9144"/>
                          </a:xfrm>
                          <a:custGeom>
                            <a:avLst/>
                            <a:gdLst/>
                            <a:ahLst/>
                            <a:cxnLst/>
                            <a:rect l="0" t="0" r="0" b="0"/>
                            <a:pathLst>
                              <a:path w="400812" h="9144">
                                <a:moveTo>
                                  <a:pt x="0" y="0"/>
                                </a:moveTo>
                                <a:lnTo>
                                  <a:pt x="400812" y="0"/>
                                </a:lnTo>
                                <a:lnTo>
                                  <a:pt x="400812"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5A335012" id="Group 55591" o:spid="_x0000_s1026" style="width:31.55pt;height:.6pt;mso-position-horizontal-relative:char;mso-position-vertical-relative:line" coordsize="400812,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">
                <v:shape id="Shape 68444" o:spid="_x0000_s1027" style="position:absolute;width:400812;height:9144;visibility:visible;mso-wrap-style:square;v-text-anchor:top" coordsize="4008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" path="m,l400812,r,9144l,9144,,e" fillcolor="black" stroked="f" strokeweight="0">
                  <v:stroke miterlimit="83231f" joinstyle="miter"/>
                  <v:path arrowok="t" textboxrect="0,0,400812,9144"/>
                </v:shape>
                <w10:anchorlock/>
              </v:group>
            </w:pict>
          </mc:Fallback>
        </mc:AlternateContent>
      </w:r>
      <w:r w:rsidRPr="00682149">
        <w:rPr>
          <w:i/>
          <w:color w:val="000000" w:themeColor="text1"/>
          <w:sz w:val="20"/>
        </w:rPr>
        <w:t xml:space="preserve"> </w:t>
      </w:r>
    </w:p>
    <w:p w14:paraId="7B92A4E4" w14:textId="77777777" w:rsidR="00310C06" w:rsidRPr="00682149" w:rsidRDefault="00310C06" w:rsidP="001C138F">
      <w:pPr>
        <w:spacing w:after="0" w:line="276" w:lineRule="auto"/>
        <w:ind w:right="793"/>
        <w:rPr>
          <w:color w:val="000000" w:themeColor="text1"/>
        </w:rPr>
      </w:pPr>
      <w:r w:rsidRPr="00682149">
        <w:rPr>
          <w:rFonts w:ascii="Cambria Math" w:eastAsia="Cambria Math" w:hAnsi="Cambria Math" w:cs="Cambria Math"/>
          <w:color w:val="000000" w:themeColor="text1"/>
          <w:sz w:val="20"/>
        </w:rPr>
        <w:t xml:space="preserve">                                                                𝐼𝑃𝑃</w:t>
      </w:r>
      <w:r w:rsidRPr="00682149">
        <w:rPr>
          <w:rFonts w:ascii="Cambria Math" w:eastAsia="Cambria Math" w:hAnsi="Cambria Math" w:cs="Cambria Math"/>
          <w:color w:val="000000" w:themeColor="text1"/>
          <w:sz w:val="20"/>
          <w:vertAlign w:val="subscript"/>
        </w:rPr>
        <w:t>0</w:t>
      </w:r>
    </w:p>
    <w:p w14:paraId="2161C0BA" w14:textId="77777777" w:rsidR="00310C06" w:rsidRPr="00682149" w:rsidRDefault="00310C06" w:rsidP="001C138F">
      <w:pPr>
        <w:spacing w:after="0" w:line="276" w:lineRule="auto"/>
        <w:jc w:val="both"/>
        <w:rPr>
          <w:rFonts w:ascii="Arial" w:hAnsi="Arial" w:cs="Arial"/>
          <w:color w:val="000000" w:themeColor="text1"/>
        </w:rPr>
      </w:pPr>
    </w:p>
    <w:tbl>
      <w:tblPr>
        <w:tblW w:w="8747" w:type="dxa"/>
        <w:tblCellMar>
          <w:left w:w="0" w:type="dxa"/>
          <w:right w:w="0" w:type="dxa"/>
        </w:tblCellMar>
        <w:tblLook w:val="04A0" w:firstRow="1" w:lastRow="0" w:firstColumn="1" w:lastColumn="0" w:noHBand="0" w:noVBand="1"/>
      </w:tblPr>
      <w:tblGrid>
        <w:gridCol w:w="2125"/>
        <w:gridCol w:w="6622"/>
      </w:tblGrid>
      <w:tr w:rsidR="000B3E8E" w:rsidRPr="00682149" w14:paraId="5ACE8973" w14:textId="77777777" w:rsidTr="00310C06">
        <w:trPr>
          <w:trHeight w:val="779"/>
        </w:trPr>
        <w:tc>
          <w:tcPr>
            <w:tcW w:w="2125" w:type="dxa"/>
            <w:tcBorders>
              <w:top w:val="nil"/>
              <w:left w:val="nil"/>
              <w:bottom w:val="nil"/>
              <w:right w:val="nil"/>
            </w:tcBorders>
            <w:shd w:val="clear" w:color="auto" w:fill="auto"/>
          </w:tcPr>
          <w:p w14:paraId="3E2B5E5C" w14:textId="77777777" w:rsidR="00310C06" w:rsidRPr="00682149" w:rsidRDefault="00310C06"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lastRenderedPageBreak/>
              <w:t xml:space="preserve">En donde: </w:t>
            </w:r>
          </w:p>
          <w:p w14:paraId="20CFD181" w14:textId="77777777" w:rsidR="00310C06" w:rsidRPr="00682149" w:rsidRDefault="00310C06"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 </w:t>
            </w:r>
          </w:p>
        </w:tc>
        <w:tc>
          <w:tcPr>
            <w:tcW w:w="6623" w:type="dxa"/>
            <w:tcBorders>
              <w:top w:val="nil"/>
              <w:left w:val="nil"/>
              <w:bottom w:val="nil"/>
              <w:right w:val="nil"/>
            </w:tcBorders>
            <w:shd w:val="clear" w:color="auto" w:fill="auto"/>
          </w:tcPr>
          <w:p w14:paraId="5FA512C9" w14:textId="77777777" w:rsidR="00310C06" w:rsidRPr="00682149" w:rsidRDefault="00310C06" w:rsidP="001C138F">
            <w:pPr>
              <w:spacing w:after="0" w:line="276" w:lineRule="auto"/>
              <w:ind w:left="567"/>
              <w:jc w:val="both"/>
              <w:rPr>
                <w:rFonts w:ascii="Arial" w:hAnsi="Arial" w:cs="Arial"/>
                <w:color w:val="000000" w:themeColor="text1"/>
              </w:rPr>
            </w:pPr>
          </w:p>
        </w:tc>
      </w:tr>
      <w:tr w:rsidR="000B3E8E" w:rsidRPr="00682149" w14:paraId="0A5DB0C8" w14:textId="77777777" w:rsidTr="00310C06">
        <w:trPr>
          <w:trHeight w:val="695"/>
        </w:trPr>
        <w:tc>
          <w:tcPr>
            <w:tcW w:w="2125" w:type="dxa"/>
            <w:tcBorders>
              <w:top w:val="nil"/>
              <w:left w:val="nil"/>
              <w:bottom w:val="nil"/>
              <w:right w:val="nil"/>
            </w:tcBorders>
            <w:shd w:val="clear" w:color="auto" w:fill="auto"/>
          </w:tcPr>
          <w:p w14:paraId="407BF837" w14:textId="77777777" w:rsidR="00310C06" w:rsidRPr="00682149" w:rsidRDefault="00310C06" w:rsidP="001C138F">
            <w:pPr>
              <w:spacing w:after="0" w:line="276" w:lineRule="auto"/>
              <w:ind w:left="567"/>
              <w:jc w:val="both"/>
              <w:rPr>
                <w:rFonts w:ascii="Arial" w:hAnsi="Arial" w:cs="Arial"/>
                <w:color w:val="000000" w:themeColor="text1"/>
              </w:rPr>
            </w:pPr>
            <w:r w:rsidRPr="00682149">
              <w:rPr>
                <w:rFonts w:ascii="Cambria Math" w:eastAsia="Cambria Math" w:hAnsi="Cambria Math" w:cs="Cambria Math"/>
                <w:color w:val="000000" w:themeColor="text1"/>
              </w:rPr>
              <w:t>𝐺</w:t>
            </w:r>
            <w:r w:rsidRPr="00682149">
              <w:rPr>
                <w:rFonts w:ascii="Arial" w:hAnsi="Arial" w:cs="Arial"/>
                <w:i/>
                <w:color w:val="000000" w:themeColor="text1"/>
              </w:rPr>
              <w:t xml:space="preserve">m                  : </w:t>
            </w:r>
          </w:p>
          <w:p w14:paraId="6EEE1DFC" w14:textId="77777777" w:rsidR="00310C06" w:rsidRPr="00682149" w:rsidRDefault="00310C06"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 </w:t>
            </w:r>
          </w:p>
        </w:tc>
        <w:tc>
          <w:tcPr>
            <w:tcW w:w="6623" w:type="dxa"/>
            <w:tcBorders>
              <w:top w:val="nil"/>
              <w:left w:val="nil"/>
              <w:bottom w:val="nil"/>
              <w:right w:val="nil"/>
            </w:tcBorders>
            <w:shd w:val="clear" w:color="auto" w:fill="auto"/>
          </w:tcPr>
          <w:p w14:paraId="40013BBE" w14:textId="77777777" w:rsidR="00310C06" w:rsidRPr="00682149" w:rsidRDefault="00310C06"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Cargo máximo de generación del mes m, expresado en pesos por usuario al mes ($/mes). </w:t>
            </w:r>
          </w:p>
        </w:tc>
      </w:tr>
      <w:tr w:rsidR="000B3E8E" w:rsidRPr="00682149" w14:paraId="4ABFAEFE" w14:textId="77777777" w:rsidTr="00310C06">
        <w:trPr>
          <w:trHeight w:val="925"/>
        </w:trPr>
        <w:tc>
          <w:tcPr>
            <w:tcW w:w="2125" w:type="dxa"/>
            <w:tcBorders>
              <w:top w:val="nil"/>
              <w:left w:val="nil"/>
              <w:bottom w:val="nil"/>
              <w:right w:val="nil"/>
            </w:tcBorders>
            <w:shd w:val="clear" w:color="auto" w:fill="auto"/>
          </w:tcPr>
          <w:p w14:paraId="4753AA71" w14:textId="77777777" w:rsidR="00310C06" w:rsidRPr="00682149" w:rsidRDefault="00310C06" w:rsidP="001C138F">
            <w:pPr>
              <w:spacing w:after="0" w:line="276" w:lineRule="auto"/>
              <w:ind w:left="567"/>
              <w:jc w:val="both"/>
              <w:rPr>
                <w:rFonts w:ascii="Arial" w:hAnsi="Arial" w:cs="Arial"/>
                <w:color w:val="000000" w:themeColor="text1"/>
              </w:rPr>
            </w:pPr>
            <w:r w:rsidRPr="00682149">
              <w:rPr>
                <w:rFonts w:ascii="Cambria Math" w:eastAsia="Cambria Math" w:hAnsi="Cambria Math" w:cs="Cambria Math"/>
                <w:color w:val="000000" w:themeColor="text1"/>
              </w:rPr>
              <w:t>𝐺</w:t>
            </w:r>
            <w:r w:rsidRPr="00682149">
              <w:rPr>
                <w:rFonts w:ascii="Arial" w:hAnsi="Arial" w:cs="Arial"/>
                <w:i/>
                <w:color w:val="000000" w:themeColor="text1"/>
                <w:vertAlign w:val="subscript"/>
              </w:rPr>
              <w:t>0</w:t>
            </w:r>
            <w:r w:rsidRPr="00682149">
              <w:rPr>
                <w:rFonts w:ascii="Arial" w:hAnsi="Arial" w:cs="Arial"/>
                <w:i/>
                <w:color w:val="000000" w:themeColor="text1"/>
              </w:rPr>
              <w:t xml:space="preserve">            : </w:t>
            </w:r>
          </w:p>
          <w:p w14:paraId="6FBE9D52" w14:textId="77777777" w:rsidR="00310C06" w:rsidRPr="00682149" w:rsidRDefault="00310C06"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 </w:t>
            </w:r>
          </w:p>
        </w:tc>
        <w:tc>
          <w:tcPr>
            <w:tcW w:w="6623" w:type="dxa"/>
            <w:tcBorders>
              <w:top w:val="nil"/>
              <w:left w:val="nil"/>
              <w:bottom w:val="nil"/>
              <w:right w:val="nil"/>
            </w:tcBorders>
            <w:shd w:val="clear" w:color="auto" w:fill="auto"/>
          </w:tcPr>
          <w:p w14:paraId="7EA63EAF" w14:textId="77777777" w:rsidR="00310C06" w:rsidRPr="00682149" w:rsidRDefault="00310C06"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Cargo máximo de generación de energía eléctrica de sistemas solares fotovoltaicos individuales AC con potencia mayor a 0.5 kW, expresado en pesos por usuario al mes ($/mes), en pesos de la fecha base. </w:t>
            </w:r>
          </w:p>
        </w:tc>
      </w:tr>
      <w:tr w:rsidR="000B3E8E" w:rsidRPr="00682149" w14:paraId="0A44AEF6" w14:textId="77777777" w:rsidTr="00310C06">
        <w:trPr>
          <w:trHeight w:val="463"/>
        </w:trPr>
        <w:tc>
          <w:tcPr>
            <w:tcW w:w="2125" w:type="dxa"/>
            <w:tcBorders>
              <w:top w:val="nil"/>
              <w:left w:val="nil"/>
              <w:bottom w:val="nil"/>
              <w:right w:val="nil"/>
            </w:tcBorders>
            <w:shd w:val="clear" w:color="auto" w:fill="auto"/>
          </w:tcPr>
          <w:p w14:paraId="36A92402" w14:textId="77777777" w:rsidR="00310C06" w:rsidRPr="00682149" w:rsidRDefault="00310C06" w:rsidP="001C138F">
            <w:pPr>
              <w:spacing w:after="0" w:line="276" w:lineRule="auto"/>
              <w:ind w:left="567" w:hanging="15"/>
              <w:jc w:val="both"/>
              <w:rPr>
                <w:rFonts w:ascii="Arial" w:hAnsi="Arial" w:cs="Arial"/>
                <w:color w:val="000000" w:themeColor="text1"/>
              </w:rPr>
            </w:pPr>
            <w:r w:rsidRPr="00682149">
              <w:rPr>
                <w:rFonts w:ascii="Cambria Math" w:eastAsia="Cambria Math" w:hAnsi="Cambria Math" w:cs="Cambria Math"/>
                <w:color w:val="000000" w:themeColor="text1"/>
              </w:rPr>
              <w:t>𝐼𝑃𝑃</w:t>
            </w:r>
            <w:r w:rsidRPr="00682149">
              <w:rPr>
                <w:rFonts w:ascii="Arial" w:hAnsi="Arial" w:cs="Arial"/>
                <w:i/>
                <w:color w:val="000000" w:themeColor="text1"/>
              </w:rPr>
              <w:t xml:space="preserve">m-1         :  </w:t>
            </w:r>
          </w:p>
        </w:tc>
        <w:tc>
          <w:tcPr>
            <w:tcW w:w="6623" w:type="dxa"/>
            <w:tcBorders>
              <w:top w:val="nil"/>
              <w:left w:val="nil"/>
              <w:bottom w:val="nil"/>
              <w:right w:val="nil"/>
            </w:tcBorders>
            <w:shd w:val="clear" w:color="auto" w:fill="auto"/>
          </w:tcPr>
          <w:p w14:paraId="11D7437C" w14:textId="77777777" w:rsidR="00310C06" w:rsidRPr="00682149" w:rsidRDefault="00310C06"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Índice de precios al productor, Oferta Interna, del mes m-1. </w:t>
            </w:r>
          </w:p>
        </w:tc>
      </w:tr>
      <w:tr w:rsidR="000B3E8E" w:rsidRPr="00682149" w14:paraId="10FF92FE" w14:textId="77777777" w:rsidTr="00310C06">
        <w:trPr>
          <w:trHeight w:val="466"/>
        </w:trPr>
        <w:tc>
          <w:tcPr>
            <w:tcW w:w="2125" w:type="dxa"/>
            <w:tcBorders>
              <w:top w:val="nil"/>
              <w:left w:val="nil"/>
              <w:bottom w:val="nil"/>
              <w:right w:val="nil"/>
            </w:tcBorders>
            <w:shd w:val="clear" w:color="auto" w:fill="auto"/>
          </w:tcPr>
          <w:p w14:paraId="07F8CEB7" w14:textId="77777777" w:rsidR="00310C06" w:rsidRPr="00682149" w:rsidRDefault="00310C06" w:rsidP="001C138F">
            <w:pPr>
              <w:spacing w:after="0" w:line="276" w:lineRule="auto"/>
              <w:ind w:left="567" w:hanging="15"/>
              <w:jc w:val="both"/>
              <w:rPr>
                <w:rFonts w:ascii="Arial" w:hAnsi="Arial" w:cs="Arial"/>
                <w:color w:val="000000" w:themeColor="text1"/>
              </w:rPr>
            </w:pPr>
            <w:r w:rsidRPr="00682149">
              <w:rPr>
                <w:rFonts w:ascii="Cambria Math" w:eastAsia="Cambria Math" w:hAnsi="Cambria Math" w:cs="Cambria Math"/>
                <w:color w:val="000000" w:themeColor="text1"/>
              </w:rPr>
              <w:t>𝐼𝑃𝑃</w:t>
            </w:r>
            <w:r w:rsidRPr="00682149">
              <w:rPr>
                <w:rFonts w:ascii="Arial" w:hAnsi="Arial" w:cs="Arial"/>
                <w:i/>
                <w:color w:val="000000" w:themeColor="text1"/>
              </w:rPr>
              <w:t xml:space="preserve">0             :  </w:t>
            </w:r>
          </w:p>
        </w:tc>
        <w:tc>
          <w:tcPr>
            <w:tcW w:w="6623" w:type="dxa"/>
            <w:tcBorders>
              <w:top w:val="nil"/>
              <w:left w:val="nil"/>
              <w:bottom w:val="nil"/>
              <w:right w:val="nil"/>
            </w:tcBorders>
            <w:shd w:val="clear" w:color="auto" w:fill="auto"/>
          </w:tcPr>
          <w:p w14:paraId="6F1EF08F" w14:textId="77777777" w:rsidR="00310C06" w:rsidRPr="00682149" w:rsidRDefault="00310C06"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Índice de precios al productor, Oferta Interna, de la fecha base. </w:t>
            </w:r>
          </w:p>
        </w:tc>
      </w:tr>
      <w:tr w:rsidR="000B3E8E" w:rsidRPr="00682149" w14:paraId="7E00EFED" w14:textId="77777777" w:rsidTr="00310C06">
        <w:trPr>
          <w:trHeight w:val="231"/>
        </w:trPr>
        <w:tc>
          <w:tcPr>
            <w:tcW w:w="2125" w:type="dxa"/>
            <w:tcBorders>
              <w:top w:val="nil"/>
              <w:left w:val="nil"/>
              <w:bottom w:val="nil"/>
              <w:right w:val="nil"/>
            </w:tcBorders>
            <w:shd w:val="clear" w:color="auto" w:fill="auto"/>
          </w:tcPr>
          <w:p w14:paraId="37B6C343" w14:textId="77777777" w:rsidR="00310C06" w:rsidRPr="00682149" w:rsidRDefault="00310C06" w:rsidP="001C138F">
            <w:pPr>
              <w:spacing w:after="0" w:line="276" w:lineRule="auto"/>
              <w:ind w:left="567"/>
              <w:jc w:val="both"/>
              <w:rPr>
                <w:rFonts w:ascii="Arial" w:hAnsi="Arial" w:cs="Arial"/>
                <w:color w:val="000000" w:themeColor="text1"/>
              </w:rPr>
            </w:pPr>
            <w:r w:rsidRPr="00682149">
              <w:rPr>
                <w:rFonts w:ascii="Cambria Math" w:eastAsia="Cambria Math" w:hAnsi="Cambria Math" w:cs="Cambria Math"/>
                <w:color w:val="000000" w:themeColor="text1"/>
              </w:rPr>
              <w:t>𝑚</w:t>
            </w:r>
            <w:r w:rsidRPr="00682149">
              <w:rPr>
                <w:rFonts w:ascii="Arial" w:eastAsia="Cambria Math" w:hAnsi="Arial" w:cs="Arial"/>
                <w:color w:val="000000" w:themeColor="text1"/>
              </w:rPr>
              <w:t xml:space="preserve">               </w:t>
            </w:r>
            <w:r w:rsidRPr="00682149">
              <w:rPr>
                <w:rFonts w:ascii="Arial" w:hAnsi="Arial" w:cs="Arial"/>
                <w:i/>
                <w:color w:val="000000" w:themeColor="text1"/>
              </w:rPr>
              <w:t xml:space="preserve"> : </w:t>
            </w:r>
          </w:p>
        </w:tc>
        <w:tc>
          <w:tcPr>
            <w:tcW w:w="6623" w:type="dxa"/>
            <w:tcBorders>
              <w:top w:val="nil"/>
              <w:left w:val="nil"/>
              <w:bottom w:val="nil"/>
              <w:right w:val="nil"/>
            </w:tcBorders>
            <w:shd w:val="clear" w:color="auto" w:fill="auto"/>
          </w:tcPr>
          <w:p w14:paraId="796DA286" w14:textId="77777777" w:rsidR="00310C06" w:rsidRPr="00682149" w:rsidRDefault="00310C06"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Mes de cálculo del costo de prestación del servicio. </w:t>
            </w:r>
          </w:p>
        </w:tc>
      </w:tr>
    </w:tbl>
    <w:p w14:paraId="0501640B" w14:textId="77777777" w:rsidR="00310C06" w:rsidRPr="00682149" w:rsidRDefault="00310C06"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 </w:t>
      </w:r>
    </w:p>
    <w:p w14:paraId="1086888B" w14:textId="77777777" w:rsidR="00202AA8" w:rsidRPr="00682149" w:rsidRDefault="00202AA8" w:rsidP="001C138F">
      <w:pPr>
        <w:spacing w:after="0" w:line="276" w:lineRule="auto"/>
        <w:ind w:left="567"/>
        <w:jc w:val="both"/>
        <w:rPr>
          <w:rFonts w:ascii="Arial" w:hAnsi="Arial" w:cs="Arial"/>
          <w:b/>
          <w:i/>
          <w:color w:val="000000" w:themeColor="text1"/>
        </w:rPr>
      </w:pPr>
    </w:p>
    <w:p w14:paraId="143106E7" w14:textId="20B4336F" w:rsidR="00202AA8" w:rsidRPr="00682149" w:rsidRDefault="001D37B6" w:rsidP="001C138F">
      <w:pPr>
        <w:spacing w:after="0" w:line="276" w:lineRule="auto"/>
        <w:jc w:val="both"/>
        <w:rPr>
          <w:rFonts w:ascii="Arial" w:hAnsi="Arial" w:cs="Arial"/>
          <w:b/>
          <w:i/>
          <w:color w:val="000000" w:themeColor="text1"/>
          <w:sz w:val="24"/>
          <w:szCs w:val="24"/>
        </w:rPr>
      </w:pPr>
      <w:r w:rsidRPr="00682149">
        <w:rPr>
          <w:rFonts w:ascii="Arial" w:hAnsi="Arial" w:cs="Arial"/>
          <w:b/>
          <w:i/>
          <w:color w:val="000000" w:themeColor="text1"/>
          <w:sz w:val="24"/>
          <w:szCs w:val="24"/>
        </w:rPr>
        <w:t>2.5.8.</w:t>
      </w:r>
      <w:r w:rsidRPr="00682149">
        <w:rPr>
          <w:rFonts w:ascii="Arial" w:hAnsi="Arial" w:cs="Arial"/>
          <w:b/>
          <w:i/>
          <w:color w:val="000000" w:themeColor="text1"/>
          <w:sz w:val="24"/>
          <w:szCs w:val="24"/>
        </w:rPr>
        <w:tab/>
      </w:r>
      <w:r w:rsidR="00202AA8" w:rsidRPr="00682149">
        <w:rPr>
          <w:rFonts w:ascii="Arial" w:hAnsi="Arial" w:cs="Arial"/>
          <w:b/>
          <w:i/>
          <w:color w:val="000000" w:themeColor="text1"/>
          <w:sz w:val="24"/>
          <w:szCs w:val="24"/>
        </w:rPr>
        <w:t xml:space="preserve"> Artículo 8º </w:t>
      </w:r>
    </w:p>
    <w:p w14:paraId="1C83B510" w14:textId="77777777" w:rsidR="00202AA8" w:rsidRPr="00682149" w:rsidRDefault="00202AA8" w:rsidP="001C138F">
      <w:pPr>
        <w:spacing w:after="0" w:line="276" w:lineRule="auto"/>
        <w:ind w:left="567"/>
        <w:jc w:val="both"/>
        <w:rPr>
          <w:rFonts w:ascii="Arial" w:hAnsi="Arial" w:cs="Arial"/>
          <w:b/>
          <w:i/>
          <w:color w:val="000000" w:themeColor="text1"/>
        </w:rPr>
      </w:pPr>
    </w:p>
    <w:p w14:paraId="2167A0BC" w14:textId="0F31816B" w:rsidR="00310C06" w:rsidRPr="00682149" w:rsidRDefault="00202AA8" w:rsidP="001C138F">
      <w:pPr>
        <w:spacing w:after="0" w:line="276" w:lineRule="auto"/>
        <w:ind w:left="567"/>
        <w:jc w:val="both"/>
        <w:rPr>
          <w:rFonts w:ascii="Arial" w:hAnsi="Arial" w:cs="Arial"/>
          <w:color w:val="000000" w:themeColor="text1"/>
        </w:rPr>
      </w:pPr>
      <w:r w:rsidRPr="00682149">
        <w:rPr>
          <w:rFonts w:ascii="Arial" w:hAnsi="Arial" w:cs="Arial"/>
          <w:b/>
          <w:i/>
          <w:color w:val="000000" w:themeColor="text1"/>
        </w:rPr>
        <w:t>“</w:t>
      </w:r>
      <w:r w:rsidR="00310C06" w:rsidRPr="00682149">
        <w:rPr>
          <w:rFonts w:ascii="Arial" w:hAnsi="Arial" w:cs="Arial"/>
          <w:b/>
          <w:i/>
          <w:color w:val="000000" w:themeColor="text1"/>
        </w:rPr>
        <w:t xml:space="preserve">Cargo máximo de comercialización de energía eléctrica de sistemas solares fotovoltaicos individuales AC con potencia mayor a 0.5 kW, </w:t>
      </w:r>
      <w:r w:rsidR="00310C06" w:rsidRPr="00682149">
        <w:rPr>
          <w:rFonts w:ascii="Cambria Math" w:eastAsia="Cambria Math" w:hAnsi="Cambria Math" w:cs="Cambria Math"/>
          <w:color w:val="000000" w:themeColor="text1"/>
        </w:rPr>
        <w:t>𝑪</w:t>
      </w:r>
      <w:r w:rsidR="00310C06" w:rsidRPr="00682149">
        <w:rPr>
          <w:rFonts w:ascii="Cambria Math" w:eastAsia="Cambria Math" w:hAnsi="Cambria Math" w:cs="Cambria Math"/>
          <w:color w:val="000000" w:themeColor="text1"/>
          <w:vertAlign w:val="subscript"/>
        </w:rPr>
        <w:t>𝟎</w:t>
      </w:r>
      <w:r w:rsidR="00310C06" w:rsidRPr="00682149">
        <w:rPr>
          <w:rFonts w:ascii="Arial" w:hAnsi="Arial" w:cs="Arial"/>
          <w:b/>
          <w:i/>
          <w:color w:val="000000" w:themeColor="text1"/>
        </w:rPr>
        <w:t xml:space="preserve">. </w:t>
      </w:r>
      <w:r w:rsidR="00310C06" w:rsidRPr="00682149">
        <w:rPr>
          <w:rFonts w:ascii="Arial" w:hAnsi="Arial" w:cs="Arial"/>
          <w:i/>
          <w:color w:val="000000" w:themeColor="text1"/>
        </w:rPr>
        <w:t xml:space="preserve">El cargo máximo de comercialización de energía eléctrica será de $23,181 / es por usuario, expresado en pesos de la fecha base. </w:t>
      </w:r>
    </w:p>
    <w:p w14:paraId="1F8E229E" w14:textId="77777777" w:rsidR="00310C06" w:rsidRPr="00682149" w:rsidRDefault="00310C06"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 </w:t>
      </w:r>
    </w:p>
    <w:p w14:paraId="2AD2C477" w14:textId="77777777" w:rsidR="00310C06" w:rsidRPr="00682149" w:rsidRDefault="00310C06" w:rsidP="001C138F">
      <w:pPr>
        <w:spacing w:after="0" w:line="276" w:lineRule="auto"/>
        <w:ind w:left="567"/>
        <w:jc w:val="both"/>
        <w:rPr>
          <w:rFonts w:ascii="Arial" w:hAnsi="Arial" w:cs="Arial"/>
          <w:color w:val="000000" w:themeColor="text1"/>
        </w:rPr>
      </w:pPr>
      <w:r w:rsidRPr="00682149">
        <w:rPr>
          <w:rFonts w:ascii="Arial" w:hAnsi="Arial" w:cs="Arial"/>
          <w:b/>
          <w:i/>
          <w:color w:val="000000" w:themeColor="text1"/>
        </w:rPr>
        <w:t>Parágrafo.</w:t>
      </w:r>
      <w:r w:rsidRPr="00682149">
        <w:rPr>
          <w:rFonts w:ascii="Arial" w:hAnsi="Arial" w:cs="Arial"/>
          <w:i/>
          <w:color w:val="000000" w:themeColor="text1"/>
        </w:rPr>
        <w:t xml:space="preserve"> Cuando el prestador del servicio, con recursos propios, le instale medidor al usuario podrá adicionarle al cargo máximo de comercialización, </w:t>
      </w:r>
      <w:r w:rsidRPr="00682149">
        <w:rPr>
          <w:rFonts w:ascii="Cambria Math" w:eastAsia="Cambria Math" w:hAnsi="Cambria Math" w:cs="Cambria Math"/>
          <w:color w:val="000000" w:themeColor="text1"/>
        </w:rPr>
        <w:t>𝐶</w:t>
      </w:r>
      <w:r w:rsidRPr="00682149">
        <w:rPr>
          <w:rFonts w:ascii="Arial" w:eastAsia="Cambria Math" w:hAnsi="Arial" w:cs="Arial"/>
          <w:color w:val="000000" w:themeColor="text1"/>
          <w:vertAlign w:val="subscript"/>
        </w:rPr>
        <w:t>0</w:t>
      </w:r>
      <w:r w:rsidRPr="00682149">
        <w:rPr>
          <w:rFonts w:ascii="Arial" w:hAnsi="Arial" w:cs="Arial"/>
          <w:i/>
          <w:color w:val="000000" w:themeColor="text1"/>
        </w:rPr>
        <w:t xml:space="preserve">, un cargo de $6,938 / mes por usuario. </w:t>
      </w:r>
    </w:p>
    <w:p w14:paraId="72C7E47E" w14:textId="77777777" w:rsidR="00310C06" w:rsidRPr="00682149" w:rsidRDefault="00310C06"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 </w:t>
      </w:r>
    </w:p>
    <w:p w14:paraId="713D409F" w14:textId="250B801F" w:rsidR="00202AA8" w:rsidRPr="00682149" w:rsidRDefault="001D37B6" w:rsidP="001C138F">
      <w:pPr>
        <w:spacing w:after="0" w:line="276" w:lineRule="auto"/>
        <w:jc w:val="both"/>
        <w:rPr>
          <w:rFonts w:ascii="Arial" w:hAnsi="Arial" w:cs="Arial"/>
          <w:b/>
          <w:color w:val="000000" w:themeColor="text1"/>
          <w:sz w:val="24"/>
          <w:szCs w:val="24"/>
        </w:rPr>
      </w:pPr>
      <w:r w:rsidRPr="00682149">
        <w:rPr>
          <w:rFonts w:ascii="Arial" w:hAnsi="Arial" w:cs="Arial"/>
          <w:b/>
          <w:color w:val="000000" w:themeColor="text1"/>
          <w:sz w:val="24"/>
          <w:szCs w:val="24"/>
        </w:rPr>
        <w:t>2.5.9.</w:t>
      </w:r>
      <w:r w:rsidRPr="00682149">
        <w:rPr>
          <w:rFonts w:ascii="Arial" w:hAnsi="Arial" w:cs="Arial"/>
          <w:b/>
          <w:color w:val="000000" w:themeColor="text1"/>
          <w:sz w:val="24"/>
          <w:szCs w:val="24"/>
        </w:rPr>
        <w:tab/>
      </w:r>
      <w:r w:rsidR="00202AA8" w:rsidRPr="00682149">
        <w:rPr>
          <w:rFonts w:ascii="Arial" w:hAnsi="Arial" w:cs="Arial"/>
          <w:b/>
          <w:color w:val="000000" w:themeColor="text1"/>
          <w:sz w:val="24"/>
          <w:szCs w:val="24"/>
        </w:rPr>
        <w:t xml:space="preserve"> Artículo 9º. </w:t>
      </w:r>
    </w:p>
    <w:p w14:paraId="55E513F7" w14:textId="77777777" w:rsidR="00202AA8" w:rsidRPr="00682149" w:rsidRDefault="00202AA8" w:rsidP="001C138F">
      <w:pPr>
        <w:spacing w:after="0" w:line="276" w:lineRule="auto"/>
        <w:ind w:left="567"/>
        <w:jc w:val="both"/>
        <w:rPr>
          <w:rFonts w:ascii="Arial" w:hAnsi="Arial" w:cs="Arial"/>
          <w:b/>
          <w:i/>
          <w:color w:val="000000" w:themeColor="text1"/>
        </w:rPr>
      </w:pPr>
    </w:p>
    <w:p w14:paraId="799598C0" w14:textId="1FA85D07" w:rsidR="00310C06" w:rsidRPr="00682149" w:rsidRDefault="00202AA8" w:rsidP="001C138F">
      <w:pPr>
        <w:spacing w:after="0" w:line="276" w:lineRule="auto"/>
        <w:ind w:left="567"/>
        <w:jc w:val="both"/>
        <w:rPr>
          <w:rFonts w:ascii="Arial" w:hAnsi="Arial" w:cs="Arial"/>
          <w:color w:val="000000" w:themeColor="text1"/>
        </w:rPr>
      </w:pPr>
      <w:r w:rsidRPr="00682149">
        <w:rPr>
          <w:rFonts w:ascii="Arial" w:hAnsi="Arial" w:cs="Arial"/>
          <w:b/>
          <w:i/>
          <w:color w:val="000000" w:themeColor="text1"/>
        </w:rPr>
        <w:t>“</w:t>
      </w:r>
      <w:r w:rsidR="00310C06" w:rsidRPr="00682149">
        <w:rPr>
          <w:rFonts w:ascii="Arial" w:hAnsi="Arial" w:cs="Arial"/>
          <w:b/>
          <w:i/>
          <w:color w:val="000000" w:themeColor="text1"/>
        </w:rPr>
        <w:t>Fórmula de actualización del cargo máximo de comercialización de energía eléctrica de sistemas solares fotovoltaicos individuales AC con potencia mayor a 0.5 kW.</w:t>
      </w:r>
      <w:r w:rsidR="00310C06" w:rsidRPr="00682149">
        <w:rPr>
          <w:rFonts w:ascii="Arial" w:hAnsi="Arial" w:cs="Arial"/>
          <w:i/>
          <w:color w:val="000000" w:themeColor="text1"/>
        </w:rPr>
        <w:t xml:space="preserve"> El cargo máximo de comercialización se actualizará utilizando la siguiente fórmula: </w:t>
      </w:r>
    </w:p>
    <w:p w14:paraId="7BFD8EBF" w14:textId="1905A2CC" w:rsidR="00310C06" w:rsidRPr="00682149" w:rsidRDefault="00310C06" w:rsidP="001C138F">
      <w:pPr>
        <w:spacing w:after="0" w:line="276" w:lineRule="auto"/>
        <w:ind w:left="567"/>
        <w:jc w:val="both"/>
        <w:rPr>
          <w:rFonts w:ascii="Arial" w:hAnsi="Arial" w:cs="Arial"/>
          <w:color w:val="000000" w:themeColor="text1"/>
        </w:rPr>
      </w:pPr>
      <w:r w:rsidRPr="00682149">
        <w:rPr>
          <w:rFonts w:ascii="Arial" w:eastAsia="Cambria Math" w:hAnsi="Arial" w:cs="Arial"/>
          <w:color w:val="000000" w:themeColor="text1"/>
        </w:rPr>
        <w:t xml:space="preserve"> </w:t>
      </w:r>
    </w:p>
    <w:p w14:paraId="495A343D" w14:textId="77777777" w:rsidR="00310C06" w:rsidRPr="00682149" w:rsidRDefault="00310C06" w:rsidP="001C138F">
      <w:pPr>
        <w:spacing w:after="0" w:line="276" w:lineRule="auto"/>
        <w:ind w:right="116"/>
        <w:jc w:val="center"/>
        <w:rPr>
          <w:color w:val="000000" w:themeColor="text1"/>
        </w:rPr>
      </w:pPr>
      <w:r w:rsidRPr="00682149">
        <w:rPr>
          <w:rFonts w:ascii="Cambria Math" w:eastAsia="Cambria Math" w:hAnsi="Cambria Math" w:cs="Cambria Math"/>
          <w:color w:val="000000" w:themeColor="text1"/>
          <w:sz w:val="20"/>
        </w:rPr>
        <w:t>𝐼𝑃𝐶</w:t>
      </w:r>
      <w:r w:rsidRPr="00682149">
        <w:rPr>
          <w:rFonts w:ascii="Cambria Math" w:eastAsia="Cambria Math" w:hAnsi="Cambria Math" w:cs="Cambria Math"/>
          <w:color w:val="000000" w:themeColor="text1"/>
          <w:sz w:val="20"/>
          <w:vertAlign w:val="subscript"/>
        </w:rPr>
        <w:t>𝑚</w:t>
      </w:r>
      <w:r w:rsidRPr="00682149">
        <w:rPr>
          <w:rFonts w:ascii="Cambria Math" w:eastAsia="Cambria Math" w:hAnsi="Cambria Math" w:cs="Cambria Math"/>
          <w:color w:val="000000" w:themeColor="text1"/>
          <w:sz w:val="14"/>
        </w:rPr>
        <w:t>−1</w:t>
      </w:r>
    </w:p>
    <w:p w14:paraId="2492F5EF" w14:textId="77777777" w:rsidR="00310C06" w:rsidRPr="00682149" w:rsidRDefault="00310C06" w:rsidP="001C138F">
      <w:pPr>
        <w:spacing w:after="0" w:line="276" w:lineRule="auto"/>
        <w:ind w:right="896"/>
        <w:jc w:val="center"/>
        <w:rPr>
          <w:color w:val="000000" w:themeColor="text1"/>
        </w:rPr>
      </w:pPr>
      <w:r w:rsidRPr="00682149">
        <w:rPr>
          <w:rFonts w:ascii="Cambria Math" w:eastAsia="Cambria Math" w:hAnsi="Cambria Math" w:cs="Cambria Math"/>
          <w:color w:val="000000" w:themeColor="text1"/>
          <w:sz w:val="20"/>
        </w:rPr>
        <w:t>𝐶</w:t>
      </w:r>
      <w:r w:rsidRPr="00682149">
        <w:rPr>
          <w:rFonts w:ascii="Cambria Math" w:eastAsia="Cambria Math" w:hAnsi="Cambria Math" w:cs="Cambria Math"/>
          <w:color w:val="000000" w:themeColor="text1"/>
          <w:sz w:val="14"/>
        </w:rPr>
        <w:t xml:space="preserve">𝑚 </w:t>
      </w:r>
      <w:r w:rsidRPr="00682149">
        <w:rPr>
          <w:rFonts w:ascii="Cambria Math" w:eastAsia="Cambria Math" w:hAnsi="Cambria Math" w:cs="Cambria Math"/>
          <w:color w:val="000000" w:themeColor="text1"/>
          <w:sz w:val="20"/>
        </w:rPr>
        <w:t>= 𝐶</w:t>
      </w:r>
      <w:r w:rsidRPr="00682149">
        <w:rPr>
          <w:rFonts w:ascii="Cambria Math" w:eastAsia="Cambria Math" w:hAnsi="Cambria Math" w:cs="Cambria Math"/>
          <w:color w:val="000000" w:themeColor="text1"/>
          <w:sz w:val="14"/>
        </w:rPr>
        <w:t xml:space="preserve">0 </w:t>
      </w:r>
      <w:r w:rsidRPr="00682149">
        <w:rPr>
          <w:rFonts w:ascii="Cambria Math" w:eastAsia="Cambria Math" w:hAnsi="Cambria Math" w:cs="Cambria Math"/>
          <w:color w:val="000000" w:themeColor="text1"/>
          <w:sz w:val="20"/>
        </w:rPr>
        <w:t xml:space="preserve">𝑥 </w:t>
      </w:r>
      <w:r w:rsidRPr="00682149">
        <w:rPr>
          <w:noProof/>
          <w:color w:val="000000" w:themeColor="text1"/>
          <w:lang w:val="es-CO" w:eastAsia="es-CO"/>
        </w:rPr>
        <mc:AlternateContent>
          <mc:Choice Requires="wpg">
            <w:drawing>
              <wp:inline distT="0" distB="0" distL="0" distR="0" wp14:anchorId="6574C3BB" wp14:editId="4B85D6B1">
                <wp:extent cx="403860" cy="7620"/>
                <wp:effectExtent l="0" t="0" r="0" b="0"/>
                <wp:docPr id="8" name="Group 555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3860" cy="7620"/>
                          <a:chOff x="0" y="0"/>
                          <a:chExt cx="403860" cy="7620"/>
                        </a:xfrm>
                      </wpg:grpSpPr>
                      <wps:wsp>
                        <wps:cNvPr id="9" name="Shape 68446"/>
                        <wps:cNvSpPr/>
                        <wps:spPr>
                          <a:xfrm>
                            <a:off x="0" y="0"/>
                            <a:ext cx="403860" cy="9144"/>
                          </a:xfrm>
                          <a:custGeom>
                            <a:avLst/>
                            <a:gdLst/>
                            <a:ahLst/>
                            <a:cxnLst/>
                            <a:rect l="0" t="0" r="0" b="0"/>
                            <a:pathLst>
                              <a:path w="403860" h="9144">
                                <a:moveTo>
                                  <a:pt x="0" y="0"/>
                                </a:moveTo>
                                <a:lnTo>
                                  <a:pt x="403860" y="0"/>
                                </a:lnTo>
                                <a:lnTo>
                                  <a:pt x="40386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41B825AF" id="Group 55592" o:spid="_x0000_s1026" style="width:31.8pt;height:.6pt;mso-position-horizontal-relative:char;mso-position-vertical-relative:line" coordsize="4038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">
                <v:shape id="Shape 68446" o:spid="_x0000_s1027" style="position:absolute;width:403860;height:9144;visibility:visible;mso-wrap-style:square;v-text-anchor:top" coordsize="4038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" path="m,l403860,r,9144l,9144,,e" fillcolor="black" stroked="f" strokeweight="0">
                  <v:stroke miterlimit="83231f" joinstyle="miter"/>
                  <v:path arrowok="t" textboxrect="0,0,403860,9144"/>
                </v:shape>
                <w10:anchorlock/>
              </v:group>
            </w:pict>
          </mc:Fallback>
        </mc:AlternateContent>
      </w:r>
      <w:r w:rsidRPr="00682149">
        <w:rPr>
          <w:rFonts w:ascii="Cambria Math" w:eastAsia="Cambria Math" w:hAnsi="Cambria Math" w:cs="Cambria Math"/>
          <w:color w:val="000000" w:themeColor="text1"/>
          <w:sz w:val="21"/>
        </w:rPr>
        <w:t xml:space="preserve"> </w:t>
      </w:r>
    </w:p>
    <w:p w14:paraId="34F18946" w14:textId="77777777" w:rsidR="00310C06" w:rsidRPr="00682149" w:rsidRDefault="00310C06" w:rsidP="001C138F">
      <w:pPr>
        <w:spacing w:after="0" w:line="276" w:lineRule="auto"/>
        <w:ind w:right="116"/>
        <w:jc w:val="center"/>
        <w:rPr>
          <w:color w:val="000000" w:themeColor="text1"/>
        </w:rPr>
      </w:pPr>
      <w:r w:rsidRPr="00682149">
        <w:rPr>
          <w:rFonts w:ascii="Cambria Math" w:eastAsia="Cambria Math" w:hAnsi="Cambria Math" w:cs="Cambria Math"/>
          <w:color w:val="000000" w:themeColor="text1"/>
          <w:sz w:val="20"/>
        </w:rPr>
        <w:t>𝐼𝑃𝐶</w:t>
      </w:r>
      <w:r w:rsidRPr="00682149">
        <w:rPr>
          <w:rFonts w:ascii="Cambria Math" w:eastAsia="Cambria Math" w:hAnsi="Cambria Math" w:cs="Cambria Math"/>
          <w:color w:val="000000" w:themeColor="text1"/>
          <w:sz w:val="20"/>
          <w:vertAlign w:val="subscript"/>
        </w:rPr>
        <w:t>0</w:t>
      </w:r>
    </w:p>
    <w:tbl>
      <w:tblPr>
        <w:tblW w:w="8893" w:type="dxa"/>
        <w:tblCellMar>
          <w:left w:w="0" w:type="dxa"/>
          <w:right w:w="0" w:type="dxa"/>
        </w:tblCellMar>
        <w:tblLook w:val="04A0" w:firstRow="1" w:lastRow="0" w:firstColumn="1" w:lastColumn="0" w:noHBand="0" w:noVBand="1"/>
      </w:tblPr>
      <w:tblGrid>
        <w:gridCol w:w="2125"/>
        <w:gridCol w:w="6768"/>
      </w:tblGrid>
      <w:tr w:rsidR="000B3E8E" w:rsidRPr="00682149" w14:paraId="2DBC312A" w14:textId="77777777" w:rsidTr="00310C06">
        <w:trPr>
          <w:trHeight w:val="765"/>
        </w:trPr>
        <w:tc>
          <w:tcPr>
            <w:tcW w:w="2125" w:type="dxa"/>
            <w:tcBorders>
              <w:top w:val="nil"/>
              <w:left w:val="nil"/>
              <w:bottom w:val="nil"/>
              <w:right w:val="nil"/>
            </w:tcBorders>
            <w:shd w:val="clear" w:color="auto" w:fill="auto"/>
          </w:tcPr>
          <w:p w14:paraId="384C98DA" w14:textId="77777777" w:rsidR="00310C06" w:rsidRPr="00682149" w:rsidRDefault="00310C06"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En donde: </w:t>
            </w:r>
          </w:p>
          <w:p w14:paraId="6D90B41E" w14:textId="77777777" w:rsidR="00310C06" w:rsidRPr="00682149" w:rsidRDefault="00310C06"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 </w:t>
            </w:r>
          </w:p>
        </w:tc>
        <w:tc>
          <w:tcPr>
            <w:tcW w:w="6769" w:type="dxa"/>
            <w:tcBorders>
              <w:top w:val="nil"/>
              <w:left w:val="nil"/>
              <w:bottom w:val="nil"/>
              <w:right w:val="nil"/>
            </w:tcBorders>
            <w:shd w:val="clear" w:color="auto" w:fill="auto"/>
          </w:tcPr>
          <w:p w14:paraId="635ACECB" w14:textId="77777777" w:rsidR="00310C06" w:rsidRPr="00682149" w:rsidRDefault="00310C06" w:rsidP="001C138F">
            <w:pPr>
              <w:spacing w:after="0" w:line="276" w:lineRule="auto"/>
              <w:ind w:left="567"/>
              <w:jc w:val="both"/>
              <w:rPr>
                <w:rFonts w:ascii="Arial" w:hAnsi="Arial" w:cs="Arial"/>
                <w:color w:val="000000" w:themeColor="text1"/>
              </w:rPr>
            </w:pPr>
          </w:p>
        </w:tc>
      </w:tr>
      <w:tr w:rsidR="000B3E8E" w:rsidRPr="00682149" w14:paraId="68B2786D" w14:textId="77777777" w:rsidTr="00310C06">
        <w:trPr>
          <w:trHeight w:val="695"/>
        </w:trPr>
        <w:tc>
          <w:tcPr>
            <w:tcW w:w="2125" w:type="dxa"/>
            <w:tcBorders>
              <w:top w:val="nil"/>
              <w:left w:val="nil"/>
              <w:bottom w:val="nil"/>
              <w:right w:val="nil"/>
            </w:tcBorders>
            <w:shd w:val="clear" w:color="auto" w:fill="auto"/>
          </w:tcPr>
          <w:p w14:paraId="27B6F5EC" w14:textId="77777777" w:rsidR="00310C06" w:rsidRPr="00682149" w:rsidRDefault="00310C06" w:rsidP="001C138F">
            <w:pPr>
              <w:spacing w:after="0" w:line="276" w:lineRule="auto"/>
              <w:ind w:left="567"/>
              <w:jc w:val="both"/>
              <w:rPr>
                <w:rFonts w:ascii="Arial" w:hAnsi="Arial" w:cs="Arial"/>
                <w:color w:val="000000" w:themeColor="text1"/>
              </w:rPr>
            </w:pPr>
            <w:r w:rsidRPr="00682149">
              <w:rPr>
                <w:rFonts w:ascii="Cambria Math" w:eastAsia="Cambria Math" w:hAnsi="Cambria Math" w:cs="Cambria Math"/>
                <w:color w:val="000000" w:themeColor="text1"/>
              </w:rPr>
              <w:t>𝐶</w:t>
            </w:r>
            <w:r w:rsidRPr="00682149">
              <w:rPr>
                <w:rFonts w:ascii="Arial" w:hAnsi="Arial" w:cs="Arial"/>
                <w:i/>
                <w:color w:val="000000" w:themeColor="text1"/>
                <w:vertAlign w:val="subscript"/>
              </w:rPr>
              <w:t>m</w:t>
            </w:r>
            <w:r w:rsidRPr="00682149">
              <w:rPr>
                <w:rFonts w:ascii="Arial" w:hAnsi="Arial" w:cs="Arial"/>
                <w:i/>
                <w:color w:val="000000" w:themeColor="text1"/>
              </w:rPr>
              <w:t xml:space="preserve">            : </w:t>
            </w:r>
          </w:p>
          <w:p w14:paraId="31051429" w14:textId="77777777" w:rsidR="00310C06" w:rsidRPr="00682149" w:rsidRDefault="00310C06"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 </w:t>
            </w:r>
          </w:p>
        </w:tc>
        <w:tc>
          <w:tcPr>
            <w:tcW w:w="6769" w:type="dxa"/>
            <w:tcBorders>
              <w:top w:val="nil"/>
              <w:left w:val="nil"/>
              <w:bottom w:val="nil"/>
              <w:right w:val="nil"/>
            </w:tcBorders>
            <w:shd w:val="clear" w:color="auto" w:fill="auto"/>
          </w:tcPr>
          <w:p w14:paraId="2AE32FEE" w14:textId="77777777" w:rsidR="00310C06" w:rsidRPr="00682149" w:rsidRDefault="00310C06"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Cargo máximo de comercialización del mes m, expresado en pesos por usuario al mes ($/mes). </w:t>
            </w:r>
          </w:p>
        </w:tc>
      </w:tr>
      <w:tr w:rsidR="000B3E8E" w:rsidRPr="00682149" w14:paraId="1247338A" w14:textId="77777777" w:rsidTr="00310C06">
        <w:trPr>
          <w:trHeight w:val="925"/>
        </w:trPr>
        <w:tc>
          <w:tcPr>
            <w:tcW w:w="2125" w:type="dxa"/>
            <w:tcBorders>
              <w:top w:val="nil"/>
              <w:left w:val="nil"/>
              <w:bottom w:val="nil"/>
              <w:right w:val="nil"/>
            </w:tcBorders>
            <w:shd w:val="clear" w:color="auto" w:fill="auto"/>
          </w:tcPr>
          <w:p w14:paraId="21C2EBEE" w14:textId="77777777" w:rsidR="00310C06" w:rsidRPr="00682149" w:rsidRDefault="00310C06" w:rsidP="001C138F">
            <w:pPr>
              <w:spacing w:after="0" w:line="276" w:lineRule="auto"/>
              <w:ind w:left="567"/>
              <w:jc w:val="both"/>
              <w:rPr>
                <w:rFonts w:ascii="Arial" w:hAnsi="Arial" w:cs="Arial"/>
                <w:color w:val="000000" w:themeColor="text1"/>
              </w:rPr>
            </w:pPr>
            <w:r w:rsidRPr="00682149">
              <w:rPr>
                <w:rFonts w:ascii="Cambria Math" w:eastAsia="Cambria Math" w:hAnsi="Cambria Math" w:cs="Cambria Math"/>
                <w:color w:val="000000" w:themeColor="text1"/>
              </w:rPr>
              <w:t>𝐶</w:t>
            </w:r>
            <w:r w:rsidRPr="00682149">
              <w:rPr>
                <w:rFonts w:ascii="Arial" w:hAnsi="Arial" w:cs="Arial"/>
                <w:i/>
                <w:color w:val="000000" w:themeColor="text1"/>
              </w:rPr>
              <w:t xml:space="preserve">0                   :  </w:t>
            </w:r>
          </w:p>
          <w:p w14:paraId="4DE1C661" w14:textId="77777777" w:rsidR="00310C06" w:rsidRPr="00682149" w:rsidRDefault="00310C06"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 </w:t>
            </w:r>
          </w:p>
        </w:tc>
        <w:tc>
          <w:tcPr>
            <w:tcW w:w="6769" w:type="dxa"/>
            <w:tcBorders>
              <w:top w:val="nil"/>
              <w:left w:val="nil"/>
              <w:bottom w:val="nil"/>
              <w:right w:val="nil"/>
            </w:tcBorders>
            <w:shd w:val="clear" w:color="auto" w:fill="auto"/>
          </w:tcPr>
          <w:p w14:paraId="69844490" w14:textId="77777777" w:rsidR="00310C06" w:rsidRPr="00682149" w:rsidRDefault="00310C06"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Cargo máximo de comercialización de energía eléctrica de sistemas solares fotovoltaicos individuales AC con potencia mayor a 0.5 kW, expresado en pesos por usuario al mes ($/mes), en pesos de la fecha base. </w:t>
            </w:r>
          </w:p>
        </w:tc>
      </w:tr>
      <w:tr w:rsidR="000B3E8E" w:rsidRPr="00682149" w14:paraId="3B8D0D67" w14:textId="77777777" w:rsidTr="00310C06">
        <w:trPr>
          <w:trHeight w:val="466"/>
        </w:trPr>
        <w:tc>
          <w:tcPr>
            <w:tcW w:w="2125" w:type="dxa"/>
            <w:tcBorders>
              <w:top w:val="nil"/>
              <w:left w:val="nil"/>
              <w:bottom w:val="nil"/>
              <w:right w:val="nil"/>
            </w:tcBorders>
            <w:shd w:val="clear" w:color="auto" w:fill="auto"/>
          </w:tcPr>
          <w:p w14:paraId="5090E5D6" w14:textId="77777777" w:rsidR="00310C06" w:rsidRPr="00682149" w:rsidRDefault="00310C06" w:rsidP="001C138F">
            <w:pPr>
              <w:spacing w:after="0" w:line="276" w:lineRule="auto"/>
              <w:ind w:left="567" w:hanging="15"/>
              <w:jc w:val="both"/>
              <w:rPr>
                <w:rFonts w:ascii="Arial" w:hAnsi="Arial" w:cs="Arial"/>
                <w:color w:val="000000" w:themeColor="text1"/>
              </w:rPr>
            </w:pPr>
            <w:r w:rsidRPr="00682149">
              <w:rPr>
                <w:rFonts w:ascii="Cambria Math" w:eastAsia="Cambria Math" w:hAnsi="Cambria Math" w:cs="Cambria Math"/>
                <w:color w:val="000000" w:themeColor="text1"/>
              </w:rPr>
              <w:t>𝐼𝑃𝐶</w:t>
            </w:r>
            <w:r w:rsidRPr="00682149">
              <w:rPr>
                <w:rFonts w:ascii="Arial" w:hAnsi="Arial" w:cs="Arial"/>
                <w:i/>
                <w:color w:val="000000" w:themeColor="text1"/>
              </w:rPr>
              <w:t xml:space="preserve">m-1         :  </w:t>
            </w:r>
          </w:p>
        </w:tc>
        <w:tc>
          <w:tcPr>
            <w:tcW w:w="6769" w:type="dxa"/>
            <w:tcBorders>
              <w:top w:val="nil"/>
              <w:left w:val="nil"/>
              <w:bottom w:val="nil"/>
              <w:right w:val="nil"/>
            </w:tcBorders>
            <w:shd w:val="clear" w:color="auto" w:fill="auto"/>
          </w:tcPr>
          <w:p w14:paraId="61CE1F21" w14:textId="77777777" w:rsidR="00310C06" w:rsidRPr="00682149" w:rsidRDefault="00310C06"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Índice de precios al consumidor, del mes m-1. </w:t>
            </w:r>
          </w:p>
        </w:tc>
      </w:tr>
      <w:tr w:rsidR="000B3E8E" w:rsidRPr="00682149" w14:paraId="1D9631E4" w14:textId="77777777" w:rsidTr="00310C06">
        <w:trPr>
          <w:trHeight w:val="463"/>
        </w:trPr>
        <w:tc>
          <w:tcPr>
            <w:tcW w:w="2125" w:type="dxa"/>
            <w:tcBorders>
              <w:top w:val="nil"/>
              <w:left w:val="nil"/>
              <w:bottom w:val="nil"/>
              <w:right w:val="nil"/>
            </w:tcBorders>
            <w:shd w:val="clear" w:color="auto" w:fill="auto"/>
          </w:tcPr>
          <w:p w14:paraId="2D480F25" w14:textId="77777777" w:rsidR="00310C06" w:rsidRPr="00682149" w:rsidRDefault="00310C06" w:rsidP="001C138F">
            <w:pPr>
              <w:spacing w:after="0" w:line="276" w:lineRule="auto"/>
              <w:ind w:left="567" w:hanging="15"/>
              <w:jc w:val="both"/>
              <w:rPr>
                <w:rFonts w:ascii="Arial" w:hAnsi="Arial" w:cs="Arial"/>
                <w:color w:val="000000" w:themeColor="text1"/>
              </w:rPr>
            </w:pPr>
            <w:r w:rsidRPr="00682149">
              <w:rPr>
                <w:rFonts w:ascii="Cambria Math" w:eastAsia="Cambria Math" w:hAnsi="Cambria Math" w:cs="Cambria Math"/>
                <w:color w:val="000000" w:themeColor="text1"/>
              </w:rPr>
              <w:t>𝐼𝑃𝐶</w:t>
            </w:r>
            <w:r w:rsidRPr="00682149">
              <w:rPr>
                <w:rFonts w:ascii="Arial" w:hAnsi="Arial" w:cs="Arial"/>
                <w:i/>
                <w:color w:val="000000" w:themeColor="text1"/>
                <w:vertAlign w:val="subscript"/>
              </w:rPr>
              <w:t>0</w:t>
            </w:r>
            <w:r w:rsidRPr="00682149">
              <w:rPr>
                <w:rFonts w:ascii="Arial" w:hAnsi="Arial" w:cs="Arial"/>
                <w:i/>
                <w:color w:val="000000" w:themeColor="text1"/>
              </w:rPr>
              <w:t xml:space="preserve">         :   </w:t>
            </w:r>
          </w:p>
        </w:tc>
        <w:tc>
          <w:tcPr>
            <w:tcW w:w="6769" w:type="dxa"/>
            <w:tcBorders>
              <w:top w:val="nil"/>
              <w:left w:val="nil"/>
              <w:bottom w:val="nil"/>
              <w:right w:val="nil"/>
            </w:tcBorders>
            <w:shd w:val="clear" w:color="auto" w:fill="auto"/>
          </w:tcPr>
          <w:p w14:paraId="4079D968" w14:textId="77777777" w:rsidR="00310C06" w:rsidRPr="00682149" w:rsidRDefault="00310C06"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Índice de precios al consumidor, de la fecha base. </w:t>
            </w:r>
          </w:p>
        </w:tc>
      </w:tr>
      <w:tr w:rsidR="000B3E8E" w:rsidRPr="00682149" w14:paraId="1A3F7804" w14:textId="77777777" w:rsidTr="00310C06">
        <w:trPr>
          <w:trHeight w:val="231"/>
        </w:trPr>
        <w:tc>
          <w:tcPr>
            <w:tcW w:w="2125" w:type="dxa"/>
            <w:tcBorders>
              <w:top w:val="nil"/>
              <w:left w:val="nil"/>
              <w:bottom w:val="nil"/>
              <w:right w:val="nil"/>
            </w:tcBorders>
            <w:shd w:val="clear" w:color="auto" w:fill="auto"/>
          </w:tcPr>
          <w:p w14:paraId="2604B9C4" w14:textId="77777777" w:rsidR="00310C06" w:rsidRPr="00682149" w:rsidRDefault="00310C06" w:rsidP="001C138F">
            <w:pPr>
              <w:spacing w:after="0" w:line="276" w:lineRule="auto"/>
              <w:ind w:left="567"/>
              <w:jc w:val="both"/>
              <w:rPr>
                <w:rFonts w:ascii="Arial" w:hAnsi="Arial" w:cs="Arial"/>
                <w:color w:val="000000" w:themeColor="text1"/>
              </w:rPr>
            </w:pPr>
            <w:r w:rsidRPr="00682149">
              <w:rPr>
                <w:rFonts w:ascii="Cambria Math" w:eastAsia="Cambria Math" w:hAnsi="Cambria Math" w:cs="Cambria Math"/>
                <w:color w:val="000000" w:themeColor="text1"/>
              </w:rPr>
              <w:t>𝑚</w:t>
            </w:r>
            <w:r w:rsidRPr="00682149">
              <w:rPr>
                <w:rFonts w:ascii="Arial" w:hAnsi="Arial" w:cs="Arial"/>
                <w:i/>
                <w:color w:val="000000" w:themeColor="text1"/>
              </w:rPr>
              <w:t xml:space="preserve">             : </w:t>
            </w:r>
          </w:p>
        </w:tc>
        <w:tc>
          <w:tcPr>
            <w:tcW w:w="6769" w:type="dxa"/>
            <w:tcBorders>
              <w:top w:val="nil"/>
              <w:left w:val="nil"/>
              <w:bottom w:val="nil"/>
              <w:right w:val="nil"/>
            </w:tcBorders>
            <w:shd w:val="clear" w:color="auto" w:fill="auto"/>
          </w:tcPr>
          <w:p w14:paraId="1E57680D" w14:textId="77777777" w:rsidR="00310C06" w:rsidRPr="00682149" w:rsidRDefault="00310C06"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Mes de cálculo del costo de prestación del servicio. </w:t>
            </w:r>
          </w:p>
        </w:tc>
      </w:tr>
    </w:tbl>
    <w:p w14:paraId="08432A01" w14:textId="00BE08FA" w:rsidR="00202AA8" w:rsidRPr="00682149" w:rsidRDefault="00310C06"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 </w:t>
      </w:r>
    </w:p>
    <w:p w14:paraId="5FA50E7B" w14:textId="77777777" w:rsidR="00245C21" w:rsidRPr="00682149" w:rsidRDefault="00245C21" w:rsidP="001C138F">
      <w:pPr>
        <w:spacing w:after="0" w:line="276" w:lineRule="auto"/>
        <w:jc w:val="both"/>
        <w:rPr>
          <w:rFonts w:ascii="Arial" w:hAnsi="Arial" w:cs="Arial"/>
          <w:b/>
          <w:i/>
          <w:color w:val="000000" w:themeColor="text1"/>
        </w:rPr>
      </w:pPr>
    </w:p>
    <w:p w14:paraId="13AF1D31" w14:textId="401108AE" w:rsidR="00202AA8" w:rsidRPr="00682149" w:rsidRDefault="001D37B6" w:rsidP="001C138F">
      <w:pPr>
        <w:spacing w:after="0" w:line="276" w:lineRule="auto"/>
        <w:jc w:val="both"/>
        <w:rPr>
          <w:rFonts w:ascii="Arial" w:hAnsi="Arial" w:cs="Arial"/>
          <w:b/>
          <w:color w:val="000000" w:themeColor="text1"/>
          <w:sz w:val="24"/>
          <w:szCs w:val="24"/>
        </w:rPr>
      </w:pPr>
      <w:r w:rsidRPr="00682149">
        <w:rPr>
          <w:rFonts w:ascii="Arial" w:hAnsi="Arial" w:cs="Arial"/>
          <w:b/>
          <w:color w:val="000000" w:themeColor="text1"/>
          <w:sz w:val="24"/>
          <w:szCs w:val="24"/>
        </w:rPr>
        <w:lastRenderedPageBreak/>
        <w:t>2.5.</w:t>
      </w:r>
      <w:r w:rsidR="00202AA8" w:rsidRPr="00682149">
        <w:rPr>
          <w:rFonts w:ascii="Arial" w:hAnsi="Arial" w:cs="Arial"/>
          <w:b/>
          <w:color w:val="000000" w:themeColor="text1"/>
          <w:sz w:val="24"/>
          <w:szCs w:val="24"/>
        </w:rPr>
        <w:t>10. Artículo 10</w:t>
      </w:r>
    </w:p>
    <w:p w14:paraId="3B17F537" w14:textId="77777777" w:rsidR="00202AA8" w:rsidRPr="00682149" w:rsidRDefault="00202AA8" w:rsidP="001C138F">
      <w:pPr>
        <w:spacing w:after="0" w:line="276" w:lineRule="auto"/>
        <w:ind w:left="567"/>
        <w:jc w:val="both"/>
        <w:rPr>
          <w:rFonts w:ascii="Arial" w:hAnsi="Arial" w:cs="Arial"/>
          <w:b/>
          <w:color w:val="000000" w:themeColor="text1"/>
          <w:sz w:val="24"/>
          <w:szCs w:val="24"/>
        </w:rPr>
      </w:pPr>
    </w:p>
    <w:p w14:paraId="6B12E997" w14:textId="269F8CD1" w:rsidR="00310C06" w:rsidRPr="00682149" w:rsidRDefault="00202AA8" w:rsidP="001C138F">
      <w:pPr>
        <w:spacing w:after="0" w:line="276" w:lineRule="auto"/>
        <w:ind w:left="567"/>
        <w:jc w:val="both"/>
        <w:rPr>
          <w:rFonts w:ascii="Arial" w:hAnsi="Arial" w:cs="Arial"/>
          <w:color w:val="000000" w:themeColor="text1"/>
        </w:rPr>
      </w:pPr>
      <w:r w:rsidRPr="00682149">
        <w:rPr>
          <w:rFonts w:ascii="Arial" w:hAnsi="Arial" w:cs="Arial"/>
          <w:b/>
          <w:i/>
          <w:color w:val="000000" w:themeColor="text1"/>
        </w:rPr>
        <w:t>“</w:t>
      </w:r>
      <w:r w:rsidR="00310C06" w:rsidRPr="00682149">
        <w:rPr>
          <w:rFonts w:ascii="Arial" w:hAnsi="Arial" w:cs="Arial"/>
          <w:b/>
          <w:i/>
          <w:color w:val="000000" w:themeColor="text1"/>
        </w:rPr>
        <w:t xml:space="preserve">Fórmula tarifaria general. </w:t>
      </w:r>
      <w:r w:rsidR="00310C06" w:rsidRPr="00682149">
        <w:rPr>
          <w:rFonts w:ascii="Arial" w:hAnsi="Arial" w:cs="Arial"/>
          <w:i/>
          <w:color w:val="000000" w:themeColor="text1"/>
        </w:rPr>
        <w:t xml:space="preserve">El costo de prestación del servicio de energía eléctrica para usuarios regulados, atendidos con sistemas solares fotovoltaicos individuales AC con potencia mayor a 0.5 kW, se determinará mediante la siguiente fórmula tarifaria: </w:t>
      </w:r>
    </w:p>
    <w:p w14:paraId="4F984528" w14:textId="77777777" w:rsidR="00310C06" w:rsidRPr="00682149" w:rsidRDefault="00310C06"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 </w:t>
      </w:r>
    </w:p>
    <w:p w14:paraId="1FA200C0" w14:textId="77777777" w:rsidR="00310C06" w:rsidRPr="00682149" w:rsidRDefault="00310C06" w:rsidP="001C138F">
      <w:pPr>
        <w:spacing w:after="0" w:line="276" w:lineRule="auto"/>
        <w:ind w:left="567"/>
        <w:jc w:val="both"/>
        <w:rPr>
          <w:rFonts w:ascii="Arial" w:hAnsi="Arial" w:cs="Arial"/>
          <w:color w:val="000000" w:themeColor="text1"/>
        </w:rPr>
      </w:pPr>
      <w:r w:rsidRPr="00682149">
        <w:rPr>
          <w:rFonts w:ascii="Cambria Math" w:eastAsia="Cambria Math" w:hAnsi="Cambria Math" w:cs="Cambria Math"/>
          <w:color w:val="000000" w:themeColor="text1"/>
        </w:rPr>
        <w:t>𝐶𝑈</w:t>
      </w:r>
      <w:r w:rsidRPr="00682149">
        <w:rPr>
          <w:rFonts w:ascii="Arial" w:eastAsia="Cambria Math" w:hAnsi="Arial" w:cs="Arial"/>
          <w:color w:val="000000" w:themeColor="text1"/>
          <w:vertAlign w:val="subscript"/>
        </w:rPr>
        <w:t>m</w:t>
      </w:r>
      <w:r w:rsidRPr="00682149">
        <w:rPr>
          <w:rFonts w:ascii="Arial" w:eastAsia="MS Gothic" w:hAnsi="Arial" w:cs="Arial"/>
          <w:color w:val="000000" w:themeColor="text1"/>
        </w:rPr>
        <w:t xml:space="preserve"> = </w:t>
      </w:r>
      <w:r w:rsidRPr="00682149">
        <w:rPr>
          <w:rFonts w:ascii="Cambria Math" w:eastAsia="Cambria Math" w:hAnsi="Cambria Math" w:cs="Cambria Math"/>
          <w:color w:val="000000" w:themeColor="text1"/>
        </w:rPr>
        <w:t>𝐺</w:t>
      </w:r>
      <w:r w:rsidRPr="00682149">
        <w:rPr>
          <w:rFonts w:ascii="Arial" w:eastAsia="Cambria Math" w:hAnsi="Arial" w:cs="Arial"/>
          <w:color w:val="000000" w:themeColor="text1"/>
          <w:vertAlign w:val="subscript"/>
        </w:rPr>
        <w:t>m</w:t>
      </w:r>
      <w:r w:rsidRPr="00682149">
        <w:rPr>
          <w:rFonts w:ascii="Arial" w:eastAsia="MS Gothic" w:hAnsi="Arial" w:cs="Arial"/>
          <w:color w:val="000000" w:themeColor="text1"/>
        </w:rPr>
        <w:t xml:space="preserve"> + </w:t>
      </w:r>
      <w:r w:rsidRPr="00682149">
        <w:rPr>
          <w:rFonts w:ascii="Cambria Math" w:eastAsia="Cambria Math" w:hAnsi="Cambria Math" w:cs="Cambria Math"/>
          <w:color w:val="000000" w:themeColor="text1"/>
        </w:rPr>
        <w:t>𝐶</w:t>
      </w:r>
      <w:r w:rsidRPr="00682149">
        <w:rPr>
          <w:rFonts w:ascii="Arial" w:eastAsia="Cambria Math" w:hAnsi="Arial" w:cs="Arial"/>
          <w:color w:val="000000" w:themeColor="text1"/>
          <w:vertAlign w:val="subscript"/>
        </w:rPr>
        <w:t>m</w:t>
      </w:r>
      <w:r w:rsidRPr="00682149">
        <w:rPr>
          <w:rFonts w:ascii="Arial" w:eastAsia="MS Gothic" w:hAnsi="Arial" w:cs="Arial"/>
          <w:color w:val="000000" w:themeColor="text1"/>
        </w:rPr>
        <w:t xml:space="preserve"> </w:t>
      </w:r>
    </w:p>
    <w:tbl>
      <w:tblPr>
        <w:tblW w:w="8942" w:type="dxa"/>
        <w:tblCellMar>
          <w:left w:w="0" w:type="dxa"/>
          <w:right w:w="0" w:type="dxa"/>
        </w:tblCellMar>
        <w:tblLook w:val="04A0" w:firstRow="1" w:lastRow="0" w:firstColumn="1" w:lastColumn="0" w:noHBand="0" w:noVBand="1"/>
      </w:tblPr>
      <w:tblGrid>
        <w:gridCol w:w="2125"/>
        <w:gridCol w:w="6817"/>
      </w:tblGrid>
      <w:tr w:rsidR="000B3E8E" w:rsidRPr="00682149" w14:paraId="07D650C4" w14:textId="77777777" w:rsidTr="00310C06">
        <w:trPr>
          <w:trHeight w:val="736"/>
        </w:trPr>
        <w:tc>
          <w:tcPr>
            <w:tcW w:w="2125" w:type="dxa"/>
            <w:tcBorders>
              <w:top w:val="nil"/>
              <w:left w:val="nil"/>
              <w:bottom w:val="nil"/>
              <w:right w:val="nil"/>
            </w:tcBorders>
            <w:shd w:val="clear" w:color="auto" w:fill="auto"/>
          </w:tcPr>
          <w:p w14:paraId="25038AD6" w14:textId="77777777" w:rsidR="00310C06" w:rsidRPr="00682149" w:rsidRDefault="00310C06"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 </w:t>
            </w:r>
          </w:p>
          <w:p w14:paraId="13F1F95B" w14:textId="77777777" w:rsidR="00310C06" w:rsidRPr="00682149" w:rsidRDefault="00310C06"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En donde, </w:t>
            </w:r>
          </w:p>
          <w:p w14:paraId="44F7C1B8" w14:textId="77777777" w:rsidR="00310C06" w:rsidRPr="00682149" w:rsidRDefault="00310C06"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 </w:t>
            </w:r>
          </w:p>
        </w:tc>
        <w:tc>
          <w:tcPr>
            <w:tcW w:w="6817" w:type="dxa"/>
            <w:tcBorders>
              <w:top w:val="nil"/>
              <w:left w:val="nil"/>
              <w:bottom w:val="nil"/>
              <w:right w:val="nil"/>
            </w:tcBorders>
            <w:shd w:val="clear" w:color="auto" w:fill="auto"/>
          </w:tcPr>
          <w:p w14:paraId="6FCF8961" w14:textId="77777777" w:rsidR="00310C06" w:rsidRPr="00682149" w:rsidRDefault="00310C06" w:rsidP="001C138F">
            <w:pPr>
              <w:spacing w:after="0" w:line="276" w:lineRule="auto"/>
              <w:ind w:left="567"/>
              <w:jc w:val="both"/>
              <w:rPr>
                <w:rFonts w:ascii="Arial" w:hAnsi="Arial" w:cs="Arial"/>
                <w:color w:val="000000" w:themeColor="text1"/>
              </w:rPr>
            </w:pPr>
          </w:p>
        </w:tc>
      </w:tr>
      <w:tr w:rsidR="000B3E8E" w:rsidRPr="00682149" w14:paraId="328C84CC" w14:textId="77777777" w:rsidTr="00310C06">
        <w:trPr>
          <w:trHeight w:val="1154"/>
        </w:trPr>
        <w:tc>
          <w:tcPr>
            <w:tcW w:w="2125" w:type="dxa"/>
            <w:tcBorders>
              <w:top w:val="nil"/>
              <w:left w:val="nil"/>
              <w:bottom w:val="nil"/>
              <w:right w:val="nil"/>
            </w:tcBorders>
            <w:shd w:val="clear" w:color="auto" w:fill="auto"/>
          </w:tcPr>
          <w:p w14:paraId="43E532DD" w14:textId="77777777" w:rsidR="00310C06" w:rsidRPr="00682149" w:rsidRDefault="00310C06" w:rsidP="001C138F">
            <w:pPr>
              <w:spacing w:after="0" w:line="276" w:lineRule="auto"/>
              <w:ind w:left="567"/>
              <w:jc w:val="both"/>
              <w:rPr>
                <w:rFonts w:ascii="Arial" w:hAnsi="Arial" w:cs="Arial"/>
                <w:color w:val="000000" w:themeColor="text1"/>
              </w:rPr>
            </w:pPr>
            <w:r w:rsidRPr="00682149">
              <w:rPr>
                <w:rFonts w:ascii="Cambria Math" w:eastAsia="Cambria Math" w:hAnsi="Cambria Math" w:cs="Cambria Math"/>
                <w:color w:val="000000" w:themeColor="text1"/>
              </w:rPr>
              <w:t>𝐶𝑈</w:t>
            </w:r>
            <w:r w:rsidRPr="00682149">
              <w:rPr>
                <w:rFonts w:ascii="Arial" w:hAnsi="Arial" w:cs="Arial"/>
                <w:i/>
                <w:color w:val="000000" w:themeColor="text1"/>
                <w:vertAlign w:val="subscript"/>
              </w:rPr>
              <w:t>m</w:t>
            </w:r>
            <w:r w:rsidRPr="00682149">
              <w:rPr>
                <w:rFonts w:ascii="Arial" w:hAnsi="Arial" w:cs="Arial"/>
                <w:i/>
                <w:color w:val="000000" w:themeColor="text1"/>
              </w:rPr>
              <w:t xml:space="preserve">         : </w:t>
            </w:r>
          </w:p>
          <w:p w14:paraId="4ADD22F3" w14:textId="77777777" w:rsidR="00310C06" w:rsidRPr="00682149" w:rsidRDefault="00310C06"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 </w:t>
            </w:r>
          </w:p>
        </w:tc>
        <w:tc>
          <w:tcPr>
            <w:tcW w:w="6817" w:type="dxa"/>
            <w:tcBorders>
              <w:top w:val="nil"/>
              <w:left w:val="nil"/>
              <w:bottom w:val="nil"/>
              <w:right w:val="nil"/>
            </w:tcBorders>
            <w:shd w:val="clear" w:color="auto" w:fill="auto"/>
          </w:tcPr>
          <w:p w14:paraId="209295E0" w14:textId="77777777" w:rsidR="00310C06" w:rsidRPr="00682149" w:rsidRDefault="00310C06"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Costo de prestación del servicio de energía eléctrica para usuarios regulados, atendidos con sistemas solares fotovoltaicos individuales AC con  potencia mayor a 0.5 kW, expresado en pesos por usuario al mes ($/mes), en pesos del mes m. </w:t>
            </w:r>
          </w:p>
        </w:tc>
      </w:tr>
      <w:tr w:rsidR="000B3E8E" w:rsidRPr="00682149" w14:paraId="2BA99F12" w14:textId="77777777" w:rsidTr="00310C06">
        <w:trPr>
          <w:trHeight w:val="694"/>
        </w:trPr>
        <w:tc>
          <w:tcPr>
            <w:tcW w:w="2125" w:type="dxa"/>
            <w:tcBorders>
              <w:top w:val="nil"/>
              <w:left w:val="nil"/>
              <w:bottom w:val="nil"/>
              <w:right w:val="nil"/>
            </w:tcBorders>
            <w:shd w:val="clear" w:color="auto" w:fill="auto"/>
          </w:tcPr>
          <w:p w14:paraId="53CF5874" w14:textId="77777777" w:rsidR="00310C06" w:rsidRPr="00682149" w:rsidRDefault="00310C06" w:rsidP="001C138F">
            <w:pPr>
              <w:spacing w:after="0" w:line="276" w:lineRule="auto"/>
              <w:ind w:left="567"/>
              <w:jc w:val="both"/>
              <w:rPr>
                <w:rFonts w:ascii="Arial" w:hAnsi="Arial" w:cs="Arial"/>
                <w:color w:val="000000" w:themeColor="text1"/>
              </w:rPr>
            </w:pPr>
            <w:r w:rsidRPr="00682149">
              <w:rPr>
                <w:rFonts w:ascii="Cambria Math" w:eastAsia="Cambria Math" w:hAnsi="Cambria Math" w:cs="Cambria Math"/>
                <w:color w:val="000000" w:themeColor="text1"/>
              </w:rPr>
              <w:t>𝐺</w:t>
            </w:r>
            <w:r w:rsidRPr="00682149">
              <w:rPr>
                <w:rFonts w:ascii="Arial" w:hAnsi="Arial" w:cs="Arial"/>
                <w:i/>
                <w:color w:val="000000" w:themeColor="text1"/>
              </w:rPr>
              <w:t xml:space="preserve">m                : </w:t>
            </w:r>
          </w:p>
          <w:p w14:paraId="54814BE1" w14:textId="77777777" w:rsidR="00310C06" w:rsidRPr="00682149" w:rsidRDefault="00310C06"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 </w:t>
            </w:r>
          </w:p>
        </w:tc>
        <w:tc>
          <w:tcPr>
            <w:tcW w:w="6817" w:type="dxa"/>
            <w:tcBorders>
              <w:top w:val="nil"/>
              <w:left w:val="nil"/>
              <w:bottom w:val="nil"/>
              <w:right w:val="nil"/>
            </w:tcBorders>
            <w:shd w:val="clear" w:color="auto" w:fill="auto"/>
          </w:tcPr>
          <w:p w14:paraId="7F48EC99" w14:textId="77777777" w:rsidR="00310C06" w:rsidRPr="00682149" w:rsidRDefault="00310C06"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Cargo máximo de generación del mes m, expresado en pesos por usuario al mes ($/mes). </w:t>
            </w:r>
          </w:p>
        </w:tc>
      </w:tr>
      <w:tr w:rsidR="000B3E8E" w:rsidRPr="00682149" w14:paraId="4AEF7D07" w14:textId="77777777" w:rsidTr="00310C06">
        <w:trPr>
          <w:trHeight w:val="678"/>
        </w:trPr>
        <w:tc>
          <w:tcPr>
            <w:tcW w:w="2125" w:type="dxa"/>
            <w:tcBorders>
              <w:top w:val="nil"/>
              <w:left w:val="nil"/>
              <w:bottom w:val="nil"/>
              <w:right w:val="nil"/>
            </w:tcBorders>
            <w:shd w:val="clear" w:color="auto" w:fill="auto"/>
          </w:tcPr>
          <w:p w14:paraId="25484830" w14:textId="77777777" w:rsidR="00310C06" w:rsidRPr="00682149" w:rsidRDefault="00310C06" w:rsidP="001C138F">
            <w:pPr>
              <w:spacing w:after="0" w:line="276" w:lineRule="auto"/>
              <w:ind w:left="567"/>
              <w:jc w:val="both"/>
              <w:rPr>
                <w:rFonts w:ascii="Arial" w:hAnsi="Arial" w:cs="Arial"/>
                <w:color w:val="000000" w:themeColor="text1"/>
              </w:rPr>
            </w:pPr>
            <w:r w:rsidRPr="00682149">
              <w:rPr>
                <w:rFonts w:ascii="Cambria Math" w:eastAsia="Cambria Math" w:hAnsi="Cambria Math" w:cs="Cambria Math"/>
                <w:color w:val="000000" w:themeColor="text1"/>
              </w:rPr>
              <w:t>𝐶</w:t>
            </w:r>
            <w:r w:rsidRPr="00682149">
              <w:rPr>
                <w:rFonts w:ascii="Arial" w:hAnsi="Arial" w:cs="Arial"/>
                <w:i/>
                <w:color w:val="000000" w:themeColor="text1"/>
                <w:vertAlign w:val="subscript"/>
              </w:rPr>
              <w:t>m</w:t>
            </w:r>
            <w:r w:rsidRPr="00682149">
              <w:rPr>
                <w:rFonts w:ascii="Arial" w:hAnsi="Arial" w:cs="Arial"/>
                <w:i/>
                <w:color w:val="000000" w:themeColor="text1"/>
              </w:rPr>
              <w:t xml:space="preserve">           : </w:t>
            </w:r>
          </w:p>
          <w:p w14:paraId="61061A53" w14:textId="77777777" w:rsidR="00310C06" w:rsidRPr="00682149" w:rsidRDefault="00310C06"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 </w:t>
            </w:r>
          </w:p>
        </w:tc>
        <w:tc>
          <w:tcPr>
            <w:tcW w:w="6817" w:type="dxa"/>
            <w:tcBorders>
              <w:top w:val="nil"/>
              <w:left w:val="nil"/>
              <w:bottom w:val="nil"/>
              <w:right w:val="nil"/>
            </w:tcBorders>
            <w:shd w:val="clear" w:color="auto" w:fill="auto"/>
          </w:tcPr>
          <w:p w14:paraId="422CC788" w14:textId="77777777" w:rsidR="00310C06" w:rsidRPr="00682149" w:rsidRDefault="00310C06"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Cargo máximo de comercialización del mes m, expresado en pesos por usuario al mes ($/mes). </w:t>
            </w:r>
          </w:p>
        </w:tc>
      </w:tr>
      <w:tr w:rsidR="000B3E8E" w:rsidRPr="00682149" w14:paraId="71FE89E3" w14:textId="77777777" w:rsidTr="00310C06">
        <w:trPr>
          <w:trHeight w:val="255"/>
        </w:trPr>
        <w:tc>
          <w:tcPr>
            <w:tcW w:w="2125" w:type="dxa"/>
            <w:tcBorders>
              <w:top w:val="nil"/>
              <w:left w:val="nil"/>
              <w:bottom w:val="nil"/>
              <w:right w:val="nil"/>
            </w:tcBorders>
            <w:shd w:val="clear" w:color="auto" w:fill="auto"/>
          </w:tcPr>
          <w:p w14:paraId="609C6077" w14:textId="77777777" w:rsidR="00310C06" w:rsidRPr="00682149" w:rsidRDefault="00310C06" w:rsidP="001C138F">
            <w:pPr>
              <w:spacing w:after="0" w:line="276" w:lineRule="auto"/>
              <w:ind w:left="567"/>
              <w:jc w:val="both"/>
              <w:rPr>
                <w:rFonts w:ascii="Arial" w:hAnsi="Arial" w:cs="Arial"/>
                <w:color w:val="000000" w:themeColor="text1"/>
              </w:rPr>
            </w:pPr>
            <w:r w:rsidRPr="00682149">
              <w:rPr>
                <w:rFonts w:ascii="Cambria Math" w:eastAsia="Cambria Math" w:hAnsi="Cambria Math" w:cs="Cambria Math"/>
                <w:color w:val="000000" w:themeColor="text1"/>
              </w:rPr>
              <w:t>𝑚</w:t>
            </w:r>
            <w:r w:rsidRPr="00682149">
              <w:rPr>
                <w:rFonts w:ascii="Arial" w:hAnsi="Arial" w:cs="Arial"/>
                <w:i/>
                <w:color w:val="000000" w:themeColor="text1"/>
              </w:rPr>
              <w:t xml:space="preserve">            : </w:t>
            </w:r>
          </w:p>
        </w:tc>
        <w:tc>
          <w:tcPr>
            <w:tcW w:w="6817" w:type="dxa"/>
            <w:tcBorders>
              <w:top w:val="nil"/>
              <w:left w:val="nil"/>
              <w:bottom w:val="nil"/>
              <w:right w:val="nil"/>
            </w:tcBorders>
            <w:shd w:val="clear" w:color="auto" w:fill="auto"/>
          </w:tcPr>
          <w:p w14:paraId="6A2D96C9" w14:textId="77777777" w:rsidR="00310C06" w:rsidRPr="00682149" w:rsidRDefault="00310C06"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Mes de cálculo del costo de prestación del servicio. </w:t>
            </w:r>
          </w:p>
        </w:tc>
      </w:tr>
    </w:tbl>
    <w:p w14:paraId="4CFCC6BF" w14:textId="77777777" w:rsidR="00310C06" w:rsidRPr="00682149" w:rsidRDefault="00310C06" w:rsidP="001C138F">
      <w:pPr>
        <w:spacing w:after="0" w:line="276" w:lineRule="auto"/>
        <w:ind w:left="567"/>
        <w:jc w:val="both"/>
        <w:rPr>
          <w:rFonts w:ascii="Arial" w:hAnsi="Arial" w:cs="Arial"/>
          <w:color w:val="000000" w:themeColor="text1"/>
        </w:rPr>
      </w:pPr>
      <w:r w:rsidRPr="00682149">
        <w:rPr>
          <w:rFonts w:ascii="Arial" w:hAnsi="Arial" w:cs="Arial"/>
          <w:b/>
          <w:i/>
          <w:color w:val="000000" w:themeColor="text1"/>
        </w:rPr>
        <w:t xml:space="preserve"> </w:t>
      </w:r>
    </w:p>
    <w:p w14:paraId="18615BD7" w14:textId="6DEDDBAC" w:rsidR="00310C06" w:rsidRPr="00682149" w:rsidRDefault="00310C06" w:rsidP="001C138F">
      <w:pPr>
        <w:spacing w:after="0" w:line="276" w:lineRule="auto"/>
        <w:ind w:left="567"/>
        <w:jc w:val="both"/>
        <w:rPr>
          <w:rFonts w:ascii="Arial" w:hAnsi="Arial" w:cs="Arial"/>
          <w:color w:val="000000" w:themeColor="text1"/>
        </w:rPr>
      </w:pPr>
      <w:r w:rsidRPr="00682149">
        <w:rPr>
          <w:rFonts w:ascii="Arial" w:hAnsi="Arial" w:cs="Arial"/>
          <w:b/>
          <w:i/>
          <w:color w:val="000000" w:themeColor="text1"/>
        </w:rPr>
        <w:t xml:space="preserve">Parágrafo. </w:t>
      </w:r>
      <w:r w:rsidRPr="00682149">
        <w:rPr>
          <w:rFonts w:ascii="Arial" w:hAnsi="Arial" w:cs="Arial"/>
          <w:i/>
          <w:color w:val="000000" w:themeColor="text1"/>
        </w:rPr>
        <w:t>El prestador del servicio solamente podrá trasladar el porcentaje del costo proporcional a la disponibilidad real del servicio en cada mes. Toda vez que el equipo de medición se encuentra remunerado en el componente de comercialización, el prestador del servicio deberá contar con los medios idóneos para demostrar dicha disponibilidad y reportar la información a la SSPD para lo de su competencia.</w:t>
      </w:r>
      <w:r w:rsidR="004A0E4B" w:rsidRPr="00682149">
        <w:rPr>
          <w:rFonts w:ascii="Arial" w:hAnsi="Arial" w:cs="Arial"/>
          <w:i/>
          <w:color w:val="000000" w:themeColor="text1"/>
        </w:rPr>
        <w:t>”</w:t>
      </w:r>
      <w:r w:rsidRPr="00682149">
        <w:rPr>
          <w:rFonts w:ascii="Arial" w:hAnsi="Arial" w:cs="Arial"/>
          <w:i/>
          <w:color w:val="000000" w:themeColor="text1"/>
        </w:rPr>
        <w:t xml:space="preserve"> </w:t>
      </w:r>
    </w:p>
    <w:p w14:paraId="5210D04D" w14:textId="77777777" w:rsidR="00654AC7" w:rsidRPr="00682149" w:rsidRDefault="00654AC7" w:rsidP="001C138F">
      <w:pPr>
        <w:spacing w:after="0" w:line="276" w:lineRule="auto"/>
        <w:jc w:val="both"/>
        <w:rPr>
          <w:rFonts w:ascii="Arial" w:hAnsi="Arial" w:cs="Arial"/>
          <w:color w:val="000000" w:themeColor="text1"/>
          <w:sz w:val="24"/>
          <w:szCs w:val="24"/>
        </w:rPr>
      </w:pPr>
    </w:p>
    <w:p w14:paraId="4B6DECCD" w14:textId="0D6EE359" w:rsidR="000F1707" w:rsidRPr="00682149" w:rsidRDefault="0057656C" w:rsidP="001C138F">
      <w:pPr>
        <w:spacing w:after="0" w:line="276" w:lineRule="auto"/>
        <w:jc w:val="both"/>
        <w:rPr>
          <w:rFonts w:ascii="Arial" w:hAnsi="Arial" w:cs="Arial"/>
          <w:color w:val="000000" w:themeColor="text1"/>
          <w:sz w:val="24"/>
          <w:szCs w:val="24"/>
        </w:rPr>
      </w:pPr>
      <w:r w:rsidRPr="00682149">
        <w:rPr>
          <w:rFonts w:ascii="Arial" w:hAnsi="Arial" w:cs="Arial"/>
          <w:color w:val="000000" w:themeColor="text1"/>
          <w:sz w:val="24"/>
          <w:szCs w:val="24"/>
        </w:rPr>
        <w:t xml:space="preserve">En consecuencia, </w:t>
      </w:r>
      <w:r w:rsidR="00071401" w:rsidRPr="00682149">
        <w:rPr>
          <w:rFonts w:ascii="Arial" w:hAnsi="Arial" w:cs="Arial"/>
          <w:color w:val="000000" w:themeColor="text1"/>
          <w:sz w:val="24"/>
          <w:szCs w:val="24"/>
        </w:rPr>
        <w:t>la</w:t>
      </w:r>
      <w:r w:rsidR="00A353D8" w:rsidRPr="00682149">
        <w:rPr>
          <w:rFonts w:ascii="Arial" w:hAnsi="Arial" w:cs="Arial"/>
          <w:color w:val="000000" w:themeColor="text1"/>
          <w:sz w:val="24"/>
          <w:szCs w:val="24"/>
        </w:rPr>
        <w:t>s disposiciones anteriores, es decir</w:t>
      </w:r>
      <w:r w:rsidR="00071401" w:rsidRPr="00682149">
        <w:rPr>
          <w:rFonts w:ascii="Arial" w:hAnsi="Arial" w:cs="Arial"/>
          <w:color w:val="000000" w:themeColor="text1"/>
          <w:sz w:val="24"/>
          <w:szCs w:val="24"/>
        </w:rPr>
        <w:t xml:space="preserve">, </w:t>
      </w:r>
      <w:r w:rsidRPr="00682149">
        <w:rPr>
          <w:rFonts w:ascii="Arial" w:hAnsi="Arial" w:cs="Arial"/>
          <w:color w:val="000000" w:themeColor="text1"/>
          <w:sz w:val="24"/>
          <w:szCs w:val="24"/>
        </w:rPr>
        <w:t>los artículos 4º, 5º, 6º, 7º, 8º, 9º y 1</w:t>
      </w:r>
      <w:r w:rsidR="00E1381D" w:rsidRPr="00682149">
        <w:rPr>
          <w:rFonts w:ascii="Arial" w:hAnsi="Arial" w:cs="Arial"/>
          <w:color w:val="000000" w:themeColor="text1"/>
          <w:sz w:val="24"/>
          <w:szCs w:val="24"/>
        </w:rPr>
        <w:t xml:space="preserve">0 de la Resolución </w:t>
      </w:r>
      <w:r w:rsidR="00984EBA" w:rsidRPr="00682149">
        <w:rPr>
          <w:rFonts w:ascii="Arial" w:hAnsi="Arial" w:cs="Arial"/>
          <w:color w:val="000000" w:themeColor="text1"/>
          <w:sz w:val="24"/>
          <w:szCs w:val="24"/>
        </w:rPr>
        <w:t>CREG-</w:t>
      </w:r>
      <w:r w:rsidR="00E1381D" w:rsidRPr="00682149">
        <w:rPr>
          <w:rFonts w:ascii="Arial" w:hAnsi="Arial" w:cs="Arial"/>
          <w:color w:val="000000" w:themeColor="text1"/>
          <w:sz w:val="24"/>
          <w:szCs w:val="24"/>
        </w:rPr>
        <w:t>166</w:t>
      </w:r>
      <w:r w:rsidR="00984EBA" w:rsidRPr="00682149">
        <w:rPr>
          <w:rFonts w:ascii="Arial" w:hAnsi="Arial" w:cs="Arial"/>
          <w:color w:val="000000" w:themeColor="text1"/>
          <w:sz w:val="24"/>
          <w:szCs w:val="24"/>
        </w:rPr>
        <w:t>,</w:t>
      </w:r>
      <w:r w:rsidR="00071401" w:rsidRPr="00682149">
        <w:rPr>
          <w:rFonts w:ascii="Arial" w:hAnsi="Arial" w:cs="Arial"/>
          <w:color w:val="000000" w:themeColor="text1"/>
          <w:sz w:val="24"/>
          <w:szCs w:val="24"/>
        </w:rPr>
        <w:t xml:space="preserve"> de cara a la norma legal</w:t>
      </w:r>
      <w:r w:rsidR="00984EBA" w:rsidRPr="00682149">
        <w:rPr>
          <w:rFonts w:ascii="Arial" w:hAnsi="Arial" w:cs="Arial"/>
          <w:color w:val="000000" w:themeColor="text1"/>
          <w:sz w:val="24"/>
          <w:szCs w:val="24"/>
        </w:rPr>
        <w:t>,</w:t>
      </w:r>
      <w:r w:rsidR="00071401" w:rsidRPr="00682149">
        <w:rPr>
          <w:rFonts w:ascii="Arial" w:hAnsi="Arial" w:cs="Arial"/>
          <w:color w:val="000000" w:themeColor="text1"/>
          <w:sz w:val="24"/>
          <w:szCs w:val="24"/>
        </w:rPr>
        <w:t xml:space="preserve"> </w:t>
      </w:r>
      <w:r w:rsidR="00A74C8B" w:rsidRPr="00682149">
        <w:rPr>
          <w:rFonts w:ascii="Arial" w:hAnsi="Arial" w:cs="Arial"/>
          <w:color w:val="000000" w:themeColor="text1"/>
          <w:sz w:val="24"/>
          <w:szCs w:val="24"/>
        </w:rPr>
        <w:t xml:space="preserve">justifican </w:t>
      </w:r>
      <w:r w:rsidR="00071401" w:rsidRPr="00682149">
        <w:rPr>
          <w:rFonts w:ascii="Arial" w:hAnsi="Arial" w:cs="Arial"/>
          <w:color w:val="000000" w:themeColor="text1"/>
          <w:sz w:val="24"/>
          <w:szCs w:val="24"/>
        </w:rPr>
        <w:t xml:space="preserve">los componentes de cada </w:t>
      </w:r>
      <w:r w:rsidR="00A97CB1" w:rsidRPr="00682149">
        <w:rPr>
          <w:rFonts w:ascii="Arial" w:hAnsi="Arial" w:cs="Arial"/>
          <w:color w:val="000000" w:themeColor="text1"/>
          <w:sz w:val="24"/>
          <w:szCs w:val="24"/>
        </w:rPr>
        <w:t>fó</w:t>
      </w:r>
      <w:r w:rsidR="00A353D8" w:rsidRPr="00682149">
        <w:rPr>
          <w:rFonts w:ascii="Arial" w:hAnsi="Arial" w:cs="Arial"/>
          <w:color w:val="000000" w:themeColor="text1"/>
          <w:sz w:val="24"/>
          <w:szCs w:val="24"/>
        </w:rPr>
        <w:t xml:space="preserve">rmula </w:t>
      </w:r>
      <w:r w:rsidR="00071401" w:rsidRPr="00682149">
        <w:rPr>
          <w:rFonts w:ascii="Arial" w:hAnsi="Arial" w:cs="Arial"/>
          <w:color w:val="000000" w:themeColor="text1"/>
          <w:sz w:val="24"/>
          <w:szCs w:val="24"/>
        </w:rPr>
        <w:t>especial</w:t>
      </w:r>
      <w:r w:rsidR="00A353D8" w:rsidRPr="00682149">
        <w:rPr>
          <w:rFonts w:ascii="Arial" w:hAnsi="Arial" w:cs="Arial"/>
          <w:color w:val="000000" w:themeColor="text1"/>
          <w:sz w:val="24"/>
          <w:szCs w:val="24"/>
        </w:rPr>
        <w:t xml:space="preserve"> </w:t>
      </w:r>
      <w:r w:rsidR="00071401" w:rsidRPr="00682149">
        <w:rPr>
          <w:rFonts w:ascii="Arial" w:hAnsi="Arial" w:cs="Arial"/>
          <w:color w:val="000000" w:themeColor="text1"/>
          <w:sz w:val="24"/>
          <w:szCs w:val="24"/>
        </w:rPr>
        <w:t xml:space="preserve">y </w:t>
      </w:r>
      <w:r w:rsidR="00A74C8B" w:rsidRPr="00682149">
        <w:rPr>
          <w:rFonts w:ascii="Arial" w:hAnsi="Arial" w:cs="Arial"/>
          <w:color w:val="000000" w:themeColor="text1"/>
          <w:sz w:val="24"/>
          <w:szCs w:val="24"/>
        </w:rPr>
        <w:t xml:space="preserve">consultan </w:t>
      </w:r>
      <w:r w:rsidR="00071401" w:rsidRPr="00682149">
        <w:rPr>
          <w:rFonts w:ascii="Arial" w:hAnsi="Arial" w:cs="Arial"/>
          <w:color w:val="000000" w:themeColor="text1"/>
          <w:sz w:val="24"/>
          <w:szCs w:val="24"/>
        </w:rPr>
        <w:t xml:space="preserve">la </w:t>
      </w:r>
      <w:r w:rsidR="00C361BC" w:rsidRPr="00682149">
        <w:rPr>
          <w:rFonts w:ascii="Arial" w:hAnsi="Arial" w:cs="Arial"/>
          <w:color w:val="000000" w:themeColor="text1"/>
          <w:sz w:val="24"/>
          <w:szCs w:val="24"/>
        </w:rPr>
        <w:t>ley</w:t>
      </w:r>
      <w:r w:rsidR="00071401" w:rsidRPr="00682149">
        <w:rPr>
          <w:rFonts w:ascii="Arial" w:hAnsi="Arial" w:cs="Arial"/>
          <w:color w:val="000000" w:themeColor="text1"/>
          <w:sz w:val="24"/>
          <w:szCs w:val="24"/>
        </w:rPr>
        <w:t xml:space="preserve">. </w:t>
      </w:r>
      <w:r w:rsidR="00944E6B" w:rsidRPr="00682149">
        <w:rPr>
          <w:rFonts w:ascii="Arial" w:hAnsi="Arial" w:cs="Arial"/>
          <w:color w:val="000000" w:themeColor="text1"/>
          <w:sz w:val="24"/>
          <w:szCs w:val="24"/>
        </w:rPr>
        <w:t>D</w:t>
      </w:r>
      <w:r w:rsidR="00654AC7" w:rsidRPr="00682149">
        <w:rPr>
          <w:rFonts w:ascii="Arial" w:hAnsi="Arial" w:cs="Arial"/>
          <w:color w:val="000000" w:themeColor="text1"/>
          <w:sz w:val="24"/>
          <w:szCs w:val="24"/>
        </w:rPr>
        <w:t xml:space="preserve">an cuenta </w:t>
      </w:r>
      <w:r w:rsidR="00944E6B" w:rsidRPr="00682149">
        <w:rPr>
          <w:rFonts w:ascii="Arial" w:hAnsi="Arial" w:cs="Arial"/>
          <w:color w:val="000000" w:themeColor="text1"/>
          <w:sz w:val="24"/>
          <w:szCs w:val="24"/>
        </w:rPr>
        <w:t xml:space="preserve">de </w:t>
      </w:r>
      <w:r w:rsidR="000F4F98" w:rsidRPr="00682149">
        <w:rPr>
          <w:rFonts w:ascii="Arial" w:hAnsi="Arial" w:cs="Arial"/>
          <w:color w:val="000000" w:themeColor="text1"/>
          <w:sz w:val="24"/>
          <w:szCs w:val="24"/>
        </w:rPr>
        <w:t>cómo</w:t>
      </w:r>
      <w:r w:rsidR="00654AC7" w:rsidRPr="00682149">
        <w:rPr>
          <w:rFonts w:ascii="Arial" w:hAnsi="Arial" w:cs="Arial"/>
          <w:color w:val="000000" w:themeColor="text1"/>
          <w:sz w:val="24"/>
          <w:szCs w:val="24"/>
        </w:rPr>
        <w:t xml:space="preserve"> se remu</w:t>
      </w:r>
      <w:r w:rsidR="00A97CB1" w:rsidRPr="00682149">
        <w:rPr>
          <w:rFonts w:ascii="Arial" w:hAnsi="Arial" w:cs="Arial"/>
          <w:color w:val="000000" w:themeColor="text1"/>
          <w:sz w:val="24"/>
          <w:szCs w:val="24"/>
        </w:rPr>
        <w:t>neran los costos por cada fó</w:t>
      </w:r>
      <w:r w:rsidR="00A353D8" w:rsidRPr="00682149">
        <w:rPr>
          <w:rFonts w:ascii="Arial" w:hAnsi="Arial" w:cs="Arial"/>
          <w:color w:val="000000" w:themeColor="text1"/>
          <w:sz w:val="24"/>
          <w:szCs w:val="24"/>
        </w:rPr>
        <w:t xml:space="preserve">rmula </w:t>
      </w:r>
      <w:r w:rsidR="00654AC7" w:rsidRPr="00682149">
        <w:rPr>
          <w:rFonts w:ascii="Arial" w:hAnsi="Arial" w:cs="Arial"/>
          <w:color w:val="000000" w:themeColor="text1"/>
          <w:sz w:val="24"/>
          <w:szCs w:val="24"/>
        </w:rPr>
        <w:t xml:space="preserve">y las variables </w:t>
      </w:r>
      <w:r w:rsidR="00682F52" w:rsidRPr="00682149">
        <w:rPr>
          <w:rFonts w:ascii="Arial" w:hAnsi="Arial" w:cs="Arial"/>
          <w:color w:val="000000" w:themeColor="text1"/>
          <w:sz w:val="24"/>
          <w:szCs w:val="24"/>
        </w:rPr>
        <w:t xml:space="preserve">aplicables a </w:t>
      </w:r>
      <w:r w:rsidR="00654AC7" w:rsidRPr="00682149">
        <w:rPr>
          <w:rFonts w:ascii="Arial" w:hAnsi="Arial" w:cs="Arial"/>
          <w:color w:val="000000" w:themeColor="text1"/>
          <w:sz w:val="24"/>
          <w:szCs w:val="24"/>
        </w:rPr>
        <w:t>la tarifa general</w:t>
      </w:r>
      <w:r w:rsidR="00984EBA" w:rsidRPr="00682149">
        <w:rPr>
          <w:rFonts w:ascii="Arial" w:hAnsi="Arial" w:cs="Arial"/>
          <w:color w:val="000000" w:themeColor="text1"/>
          <w:sz w:val="24"/>
          <w:szCs w:val="24"/>
        </w:rPr>
        <w:t>,</w:t>
      </w:r>
      <w:r w:rsidR="00654AC7" w:rsidRPr="00682149">
        <w:rPr>
          <w:rFonts w:ascii="Arial" w:hAnsi="Arial" w:cs="Arial"/>
          <w:color w:val="000000" w:themeColor="text1"/>
          <w:sz w:val="24"/>
          <w:szCs w:val="24"/>
        </w:rPr>
        <w:t xml:space="preserve"> c</w:t>
      </w:r>
      <w:r w:rsidR="00BD3468" w:rsidRPr="00682149">
        <w:rPr>
          <w:rFonts w:ascii="Arial" w:hAnsi="Arial" w:cs="Arial"/>
          <w:color w:val="000000" w:themeColor="text1"/>
          <w:sz w:val="24"/>
          <w:szCs w:val="24"/>
        </w:rPr>
        <w:t>uyo destino final es el usuario del servicio</w:t>
      </w:r>
      <w:r w:rsidR="000F1707" w:rsidRPr="00682149">
        <w:rPr>
          <w:rFonts w:ascii="Arial" w:hAnsi="Arial" w:cs="Arial"/>
          <w:color w:val="000000" w:themeColor="text1"/>
          <w:sz w:val="24"/>
          <w:szCs w:val="24"/>
        </w:rPr>
        <w:t>, definida como Cu (Costo unitar</w:t>
      </w:r>
      <w:r w:rsidR="00F1507C" w:rsidRPr="00682149">
        <w:rPr>
          <w:rFonts w:ascii="Arial" w:hAnsi="Arial" w:cs="Arial"/>
          <w:color w:val="000000" w:themeColor="text1"/>
          <w:sz w:val="24"/>
          <w:szCs w:val="24"/>
        </w:rPr>
        <w:t>i</w:t>
      </w:r>
      <w:r w:rsidR="000F1707" w:rsidRPr="00682149">
        <w:rPr>
          <w:rFonts w:ascii="Arial" w:hAnsi="Arial" w:cs="Arial"/>
          <w:color w:val="000000" w:themeColor="text1"/>
          <w:sz w:val="24"/>
          <w:szCs w:val="24"/>
        </w:rPr>
        <w:t>o)</w:t>
      </w:r>
      <w:r w:rsidR="00A353D8" w:rsidRPr="00682149">
        <w:rPr>
          <w:rFonts w:ascii="Arial" w:hAnsi="Arial" w:cs="Arial"/>
          <w:color w:val="000000" w:themeColor="text1"/>
          <w:sz w:val="24"/>
          <w:szCs w:val="24"/>
        </w:rPr>
        <w:t xml:space="preserve">. </w:t>
      </w:r>
      <w:r w:rsidR="00984EBA" w:rsidRPr="00682149">
        <w:rPr>
          <w:rFonts w:ascii="Arial" w:hAnsi="Arial" w:cs="Arial"/>
          <w:color w:val="000000" w:themeColor="text1"/>
          <w:sz w:val="24"/>
          <w:szCs w:val="24"/>
        </w:rPr>
        <w:t>Así, lo</w:t>
      </w:r>
      <w:r w:rsidR="00A353D8" w:rsidRPr="00682149">
        <w:rPr>
          <w:rFonts w:ascii="Arial" w:hAnsi="Arial" w:cs="Arial"/>
          <w:color w:val="000000" w:themeColor="text1"/>
          <w:sz w:val="24"/>
          <w:szCs w:val="24"/>
        </w:rPr>
        <w:t xml:space="preserve">s </w:t>
      </w:r>
      <w:r w:rsidR="00BD3468" w:rsidRPr="00682149">
        <w:rPr>
          <w:rFonts w:ascii="Arial" w:hAnsi="Arial" w:cs="Arial"/>
          <w:color w:val="000000" w:themeColor="text1"/>
          <w:sz w:val="24"/>
          <w:szCs w:val="24"/>
        </w:rPr>
        <w:t xml:space="preserve">artículos </w:t>
      </w:r>
      <w:r w:rsidR="00984EBA" w:rsidRPr="00682149">
        <w:rPr>
          <w:rFonts w:ascii="Arial" w:hAnsi="Arial" w:cs="Arial"/>
          <w:color w:val="000000" w:themeColor="text1"/>
          <w:sz w:val="24"/>
          <w:szCs w:val="24"/>
        </w:rPr>
        <w:t>en mención</w:t>
      </w:r>
      <w:r w:rsidR="00BD3468" w:rsidRPr="00682149">
        <w:rPr>
          <w:rFonts w:ascii="Arial" w:hAnsi="Arial" w:cs="Arial"/>
          <w:bCs/>
          <w:color w:val="000000" w:themeColor="text1"/>
          <w:lang w:val="es-ES"/>
        </w:rPr>
        <w:t xml:space="preserve"> </w:t>
      </w:r>
      <w:r w:rsidR="00682F52" w:rsidRPr="00682149">
        <w:rPr>
          <w:rFonts w:ascii="Arial" w:hAnsi="Arial" w:cs="Arial"/>
          <w:bCs/>
          <w:color w:val="000000" w:themeColor="text1"/>
          <w:sz w:val="24"/>
          <w:szCs w:val="24"/>
          <w:lang w:val="es-ES"/>
        </w:rPr>
        <w:t>determina</w:t>
      </w:r>
      <w:r w:rsidR="00903B6C" w:rsidRPr="00682149">
        <w:rPr>
          <w:rFonts w:ascii="Arial" w:hAnsi="Arial" w:cs="Arial"/>
          <w:bCs/>
          <w:color w:val="000000" w:themeColor="text1"/>
          <w:sz w:val="24"/>
          <w:szCs w:val="24"/>
          <w:lang w:val="es-ES"/>
        </w:rPr>
        <w:t>n</w:t>
      </w:r>
      <w:r w:rsidR="00682F52" w:rsidRPr="00682149">
        <w:rPr>
          <w:rFonts w:ascii="Arial" w:hAnsi="Arial" w:cs="Arial"/>
          <w:bCs/>
          <w:color w:val="000000" w:themeColor="text1"/>
          <w:sz w:val="24"/>
          <w:szCs w:val="24"/>
          <w:lang w:val="es-ES"/>
        </w:rPr>
        <w:t xml:space="preserve"> los cargos de generación, administración, operación, mantenimiento y comercialización</w:t>
      </w:r>
      <w:r w:rsidR="00903B6C" w:rsidRPr="00682149">
        <w:rPr>
          <w:rFonts w:ascii="Arial" w:hAnsi="Arial" w:cs="Arial"/>
          <w:bCs/>
          <w:color w:val="000000" w:themeColor="text1"/>
          <w:sz w:val="24"/>
          <w:szCs w:val="24"/>
          <w:lang w:val="es-ES"/>
        </w:rPr>
        <w:t>.</w:t>
      </w:r>
      <w:r w:rsidR="00682F52" w:rsidRPr="00682149">
        <w:rPr>
          <w:rFonts w:ascii="Arial" w:hAnsi="Arial" w:cs="Arial"/>
          <w:bCs/>
          <w:color w:val="000000" w:themeColor="text1"/>
          <w:sz w:val="24"/>
          <w:szCs w:val="24"/>
          <w:lang w:val="es-ES"/>
        </w:rPr>
        <w:t xml:space="preserve"> E</w:t>
      </w:r>
      <w:r w:rsidR="000F1707" w:rsidRPr="00682149">
        <w:rPr>
          <w:rFonts w:ascii="Arial" w:hAnsi="Arial" w:cs="Arial"/>
          <w:bCs/>
          <w:color w:val="000000" w:themeColor="text1"/>
          <w:sz w:val="24"/>
          <w:szCs w:val="24"/>
          <w:lang w:val="es-ES"/>
        </w:rPr>
        <w:t>llo explica que</w:t>
      </w:r>
      <w:r w:rsidR="00682F52" w:rsidRPr="00682149">
        <w:rPr>
          <w:rFonts w:ascii="Arial" w:hAnsi="Arial" w:cs="Arial"/>
          <w:bCs/>
          <w:color w:val="000000" w:themeColor="text1"/>
          <w:sz w:val="24"/>
          <w:szCs w:val="24"/>
          <w:lang w:val="es-ES"/>
        </w:rPr>
        <w:t xml:space="preserve"> </w:t>
      </w:r>
      <w:r w:rsidR="00BD3468" w:rsidRPr="00682149">
        <w:rPr>
          <w:rFonts w:ascii="Arial" w:hAnsi="Arial" w:cs="Arial"/>
          <w:bCs/>
          <w:color w:val="000000" w:themeColor="text1"/>
          <w:sz w:val="24"/>
          <w:szCs w:val="24"/>
          <w:lang w:val="es-ES"/>
        </w:rPr>
        <w:t>describen</w:t>
      </w:r>
      <w:r w:rsidR="008A48F0" w:rsidRPr="00682149">
        <w:rPr>
          <w:rFonts w:ascii="Arial" w:hAnsi="Arial" w:cs="Arial"/>
          <w:bCs/>
          <w:color w:val="000000" w:themeColor="text1"/>
          <w:sz w:val="24"/>
          <w:szCs w:val="24"/>
          <w:lang w:val="es-ES"/>
        </w:rPr>
        <w:t>:</w:t>
      </w:r>
      <w:r w:rsidR="00BD3468" w:rsidRPr="00682149">
        <w:rPr>
          <w:rFonts w:ascii="Arial" w:hAnsi="Arial" w:cs="Arial"/>
          <w:bCs/>
          <w:color w:val="000000" w:themeColor="text1"/>
          <w:sz w:val="24"/>
          <w:szCs w:val="24"/>
          <w:lang w:val="es-ES"/>
        </w:rPr>
        <w:t xml:space="preserve"> i) </w:t>
      </w:r>
      <w:r w:rsidR="00682F52" w:rsidRPr="00682149">
        <w:rPr>
          <w:rFonts w:ascii="Arial" w:hAnsi="Arial" w:cs="Arial"/>
          <w:bCs/>
          <w:color w:val="000000" w:themeColor="text1"/>
          <w:sz w:val="24"/>
          <w:szCs w:val="24"/>
          <w:lang w:val="es-ES"/>
        </w:rPr>
        <w:t>el c</w:t>
      </w:r>
      <w:r w:rsidR="00944E6B" w:rsidRPr="00682149">
        <w:rPr>
          <w:rFonts w:ascii="Arial" w:hAnsi="Arial" w:cs="Arial"/>
          <w:bCs/>
          <w:color w:val="000000" w:themeColor="text1"/>
          <w:sz w:val="24"/>
          <w:szCs w:val="24"/>
          <w:lang w:val="es-ES"/>
        </w:rPr>
        <w:t xml:space="preserve">argo </w:t>
      </w:r>
      <w:r w:rsidR="00BD3468" w:rsidRPr="00682149">
        <w:rPr>
          <w:rFonts w:ascii="Arial" w:hAnsi="Arial" w:cs="Arial"/>
          <w:color w:val="000000" w:themeColor="text1"/>
          <w:sz w:val="24"/>
          <w:szCs w:val="24"/>
        </w:rPr>
        <w:t>máximo de generación de energía eléctrica de sistemas solares fotovoltaicos individuales AC con potencia mayor a 0.5 kW; ii) la remuneración del componente de inversión; iii) la remuneración del componente de administración</w:t>
      </w:r>
      <w:r w:rsidR="00A97CB1" w:rsidRPr="00682149">
        <w:rPr>
          <w:rFonts w:ascii="Arial" w:hAnsi="Arial" w:cs="Arial"/>
          <w:color w:val="000000" w:themeColor="text1"/>
          <w:sz w:val="24"/>
          <w:szCs w:val="24"/>
        </w:rPr>
        <w:t>, operación y mantenimiento; iv) la</w:t>
      </w:r>
      <w:r w:rsidR="00BD3468" w:rsidRPr="00682149">
        <w:rPr>
          <w:rFonts w:ascii="Arial" w:hAnsi="Arial" w:cs="Arial"/>
          <w:color w:val="000000" w:themeColor="text1"/>
          <w:sz w:val="24"/>
          <w:szCs w:val="24"/>
        </w:rPr>
        <w:t xml:space="preserve"> fórmula de actualización del cargo máximo de generación de energía eléctrica de sistemas solares fotovoltaicos individuales AC con potencia mayor a 0.5 kW; v)</w:t>
      </w:r>
      <w:r w:rsidR="00A97CB1" w:rsidRPr="00682149">
        <w:rPr>
          <w:rFonts w:ascii="Arial" w:hAnsi="Arial" w:cs="Arial"/>
          <w:color w:val="000000" w:themeColor="text1"/>
          <w:sz w:val="24"/>
          <w:szCs w:val="24"/>
        </w:rPr>
        <w:t xml:space="preserve"> el</w:t>
      </w:r>
      <w:r w:rsidR="00BD3468" w:rsidRPr="00682149">
        <w:rPr>
          <w:rFonts w:ascii="Arial" w:hAnsi="Arial" w:cs="Arial"/>
          <w:color w:val="000000" w:themeColor="text1"/>
          <w:sz w:val="24"/>
          <w:szCs w:val="24"/>
        </w:rPr>
        <w:t xml:space="preserve"> cargo máximo de comercialización de energía eléctrica de sistemas solares fotovoltaicos individuales AC con potencia mayor a 0.5 kW, </w:t>
      </w:r>
      <w:r w:rsidR="00BD3468" w:rsidRPr="00682149">
        <w:rPr>
          <w:rFonts w:ascii="Cambria Math" w:eastAsia="Cambria Math" w:hAnsi="Cambria Math" w:cs="Cambria Math"/>
          <w:color w:val="000000" w:themeColor="text1"/>
          <w:sz w:val="24"/>
          <w:szCs w:val="24"/>
        </w:rPr>
        <w:t>𝑪</w:t>
      </w:r>
      <w:r w:rsidR="00BD3468" w:rsidRPr="00682149">
        <w:rPr>
          <w:rFonts w:ascii="Cambria Math" w:eastAsia="Cambria Math" w:hAnsi="Cambria Math" w:cs="Cambria Math"/>
          <w:color w:val="000000" w:themeColor="text1"/>
          <w:sz w:val="24"/>
          <w:szCs w:val="24"/>
          <w:vertAlign w:val="subscript"/>
        </w:rPr>
        <w:t xml:space="preserve">𝟎vi) </w:t>
      </w:r>
      <w:r w:rsidR="00A97CB1" w:rsidRPr="00682149">
        <w:rPr>
          <w:rFonts w:ascii="Cambria Math" w:eastAsia="Cambria Math" w:hAnsi="Cambria Math" w:cs="Cambria Math"/>
          <w:color w:val="000000" w:themeColor="text1"/>
          <w:sz w:val="24"/>
          <w:szCs w:val="24"/>
          <w:vertAlign w:val="subscript"/>
        </w:rPr>
        <w:t xml:space="preserve">;  </w:t>
      </w:r>
      <w:r w:rsidR="00BD3468" w:rsidRPr="00682149">
        <w:rPr>
          <w:rFonts w:ascii="Cambria Math" w:eastAsia="Cambria Math" w:hAnsi="Cambria Math" w:cs="Cambria Math"/>
          <w:color w:val="000000" w:themeColor="text1"/>
          <w:sz w:val="24"/>
          <w:szCs w:val="24"/>
          <w:vertAlign w:val="subscript"/>
        </w:rPr>
        <w:t xml:space="preserve"> </w:t>
      </w:r>
      <w:r w:rsidR="00A97CB1" w:rsidRPr="00682149">
        <w:rPr>
          <w:rFonts w:ascii="Arial" w:hAnsi="Arial" w:cs="Arial"/>
          <w:color w:val="000000" w:themeColor="text1"/>
          <w:sz w:val="24"/>
          <w:szCs w:val="24"/>
        </w:rPr>
        <w:t>vi) la f</w:t>
      </w:r>
      <w:r w:rsidR="00BD3468" w:rsidRPr="00682149">
        <w:rPr>
          <w:rFonts w:ascii="Arial" w:hAnsi="Arial" w:cs="Arial"/>
          <w:color w:val="000000" w:themeColor="text1"/>
          <w:sz w:val="24"/>
          <w:szCs w:val="24"/>
        </w:rPr>
        <w:t>órmula de actualización del cargo máximo de comercialización de energía eléctrica de sistemas solares fotovoltaicos individuales AC con potencia mayor a 0.5 kW</w:t>
      </w:r>
      <w:r w:rsidR="009B1803" w:rsidRPr="00682149">
        <w:rPr>
          <w:rFonts w:ascii="Arial" w:hAnsi="Arial" w:cs="Arial"/>
          <w:color w:val="000000" w:themeColor="text1"/>
          <w:sz w:val="24"/>
          <w:szCs w:val="24"/>
        </w:rPr>
        <w:t>,</w:t>
      </w:r>
      <w:r w:rsidR="00BD3468" w:rsidRPr="00682149">
        <w:rPr>
          <w:rFonts w:ascii="Arial" w:hAnsi="Arial" w:cs="Arial"/>
          <w:color w:val="000000" w:themeColor="text1"/>
          <w:sz w:val="24"/>
          <w:szCs w:val="24"/>
        </w:rPr>
        <w:t xml:space="preserve"> y</w:t>
      </w:r>
      <w:r w:rsidR="008A48F0" w:rsidRPr="00682149">
        <w:rPr>
          <w:rFonts w:ascii="Arial" w:hAnsi="Arial" w:cs="Arial"/>
          <w:color w:val="000000" w:themeColor="text1"/>
          <w:sz w:val="24"/>
          <w:szCs w:val="24"/>
        </w:rPr>
        <w:t>,</w:t>
      </w:r>
      <w:r w:rsidR="00BD3468" w:rsidRPr="00682149">
        <w:rPr>
          <w:rFonts w:ascii="Arial" w:hAnsi="Arial" w:cs="Arial"/>
          <w:color w:val="000000" w:themeColor="text1"/>
          <w:sz w:val="24"/>
          <w:szCs w:val="24"/>
        </w:rPr>
        <w:t xml:space="preserve"> vii) </w:t>
      </w:r>
      <w:r w:rsidR="00A97CB1" w:rsidRPr="00682149">
        <w:rPr>
          <w:rFonts w:ascii="Arial" w:hAnsi="Arial" w:cs="Arial"/>
          <w:color w:val="000000" w:themeColor="text1"/>
          <w:sz w:val="24"/>
          <w:szCs w:val="24"/>
        </w:rPr>
        <w:t>la f</w:t>
      </w:r>
      <w:r w:rsidR="00BD3468" w:rsidRPr="00682149">
        <w:rPr>
          <w:rFonts w:ascii="Arial" w:hAnsi="Arial" w:cs="Arial"/>
          <w:color w:val="000000" w:themeColor="text1"/>
          <w:sz w:val="24"/>
          <w:szCs w:val="24"/>
        </w:rPr>
        <w:t>órmula tarifaria general</w:t>
      </w:r>
      <w:r w:rsidR="000F1707" w:rsidRPr="00682149">
        <w:rPr>
          <w:rFonts w:ascii="Arial" w:hAnsi="Arial" w:cs="Arial"/>
          <w:color w:val="000000" w:themeColor="text1"/>
          <w:sz w:val="24"/>
          <w:szCs w:val="24"/>
        </w:rPr>
        <w:t xml:space="preserve"> que busca determina el Costo </w:t>
      </w:r>
      <w:r w:rsidR="008A48F0" w:rsidRPr="00682149">
        <w:rPr>
          <w:rFonts w:ascii="Arial" w:hAnsi="Arial" w:cs="Arial"/>
          <w:color w:val="000000" w:themeColor="text1"/>
          <w:sz w:val="24"/>
          <w:szCs w:val="24"/>
        </w:rPr>
        <w:t>U</w:t>
      </w:r>
      <w:r w:rsidR="000F1707" w:rsidRPr="00682149">
        <w:rPr>
          <w:rFonts w:ascii="Arial" w:hAnsi="Arial" w:cs="Arial"/>
          <w:color w:val="000000" w:themeColor="text1"/>
          <w:sz w:val="24"/>
          <w:szCs w:val="24"/>
        </w:rPr>
        <w:t>nitario</w:t>
      </w:r>
      <w:r w:rsidR="00BD3468" w:rsidRPr="00682149">
        <w:rPr>
          <w:rFonts w:ascii="Arial" w:hAnsi="Arial" w:cs="Arial"/>
          <w:color w:val="000000" w:themeColor="text1"/>
          <w:sz w:val="24"/>
          <w:szCs w:val="24"/>
        </w:rPr>
        <w:t xml:space="preserve">. </w:t>
      </w:r>
    </w:p>
    <w:p w14:paraId="64D83798" w14:textId="77777777" w:rsidR="000F1707" w:rsidRPr="00682149" w:rsidRDefault="000F1707" w:rsidP="001C138F">
      <w:pPr>
        <w:spacing w:after="0" w:line="276" w:lineRule="auto"/>
        <w:jc w:val="both"/>
        <w:rPr>
          <w:rFonts w:ascii="Arial" w:hAnsi="Arial" w:cs="Arial"/>
          <w:color w:val="000000" w:themeColor="text1"/>
          <w:sz w:val="24"/>
          <w:szCs w:val="24"/>
        </w:rPr>
      </w:pPr>
    </w:p>
    <w:p w14:paraId="6212BEFF" w14:textId="27DD04CB" w:rsidR="00BD3468" w:rsidRPr="00682149" w:rsidRDefault="00BD3468" w:rsidP="001C138F">
      <w:pPr>
        <w:spacing w:after="0" w:line="276" w:lineRule="auto"/>
        <w:jc w:val="both"/>
        <w:rPr>
          <w:rFonts w:ascii="Arial" w:hAnsi="Arial" w:cs="Arial"/>
          <w:color w:val="000000" w:themeColor="text1"/>
          <w:sz w:val="24"/>
          <w:szCs w:val="24"/>
        </w:rPr>
      </w:pPr>
      <w:r w:rsidRPr="00682149">
        <w:rPr>
          <w:rFonts w:ascii="Arial" w:hAnsi="Arial" w:cs="Arial"/>
          <w:color w:val="000000" w:themeColor="text1"/>
          <w:sz w:val="24"/>
          <w:szCs w:val="24"/>
        </w:rPr>
        <w:lastRenderedPageBreak/>
        <w:t>E</w:t>
      </w:r>
      <w:r w:rsidR="000F1707" w:rsidRPr="00682149">
        <w:rPr>
          <w:rFonts w:ascii="Arial" w:hAnsi="Arial" w:cs="Arial"/>
          <w:color w:val="000000" w:themeColor="text1"/>
          <w:sz w:val="24"/>
          <w:szCs w:val="24"/>
        </w:rPr>
        <w:t>n síntesis, e</w:t>
      </w:r>
      <w:r w:rsidRPr="00682149">
        <w:rPr>
          <w:rFonts w:ascii="Arial" w:hAnsi="Arial" w:cs="Arial"/>
          <w:color w:val="000000" w:themeColor="text1"/>
          <w:sz w:val="24"/>
          <w:szCs w:val="24"/>
        </w:rPr>
        <w:t xml:space="preserve">l costo de prestación del servicio de energía eléctrica para </w:t>
      </w:r>
      <w:r w:rsidR="00A353D8" w:rsidRPr="00682149">
        <w:rPr>
          <w:rFonts w:ascii="Arial" w:hAnsi="Arial" w:cs="Arial"/>
          <w:color w:val="000000" w:themeColor="text1"/>
          <w:sz w:val="24"/>
          <w:szCs w:val="24"/>
        </w:rPr>
        <w:t xml:space="preserve">los </w:t>
      </w:r>
      <w:r w:rsidRPr="00682149">
        <w:rPr>
          <w:rFonts w:ascii="Arial" w:hAnsi="Arial" w:cs="Arial"/>
          <w:color w:val="000000" w:themeColor="text1"/>
          <w:sz w:val="24"/>
          <w:szCs w:val="24"/>
        </w:rPr>
        <w:t xml:space="preserve">usuarios regulados, </w:t>
      </w:r>
      <w:r w:rsidR="00D90464" w:rsidRPr="00682149">
        <w:rPr>
          <w:rFonts w:ascii="Arial" w:hAnsi="Arial" w:cs="Arial"/>
          <w:color w:val="000000" w:themeColor="text1"/>
          <w:sz w:val="24"/>
          <w:szCs w:val="24"/>
        </w:rPr>
        <w:t xml:space="preserve">como ocurre con los </w:t>
      </w:r>
      <w:r w:rsidRPr="00682149">
        <w:rPr>
          <w:rFonts w:ascii="Arial" w:hAnsi="Arial" w:cs="Arial"/>
          <w:color w:val="000000" w:themeColor="text1"/>
          <w:sz w:val="24"/>
          <w:szCs w:val="24"/>
        </w:rPr>
        <w:t xml:space="preserve">atendidos </w:t>
      </w:r>
      <w:r w:rsidR="00D90464" w:rsidRPr="00682149">
        <w:rPr>
          <w:rFonts w:ascii="Arial" w:hAnsi="Arial" w:cs="Arial"/>
          <w:color w:val="000000" w:themeColor="text1"/>
          <w:sz w:val="24"/>
          <w:szCs w:val="24"/>
        </w:rPr>
        <w:t xml:space="preserve">a través de los </w:t>
      </w:r>
      <w:r w:rsidRPr="00682149">
        <w:rPr>
          <w:rFonts w:ascii="Arial" w:hAnsi="Arial" w:cs="Arial"/>
          <w:color w:val="000000" w:themeColor="text1"/>
          <w:sz w:val="24"/>
          <w:szCs w:val="24"/>
        </w:rPr>
        <w:t xml:space="preserve">sistemas solares fotovoltaicos individuales, </w:t>
      </w:r>
      <w:r w:rsidR="00A353D8" w:rsidRPr="00682149">
        <w:rPr>
          <w:rFonts w:ascii="Arial" w:hAnsi="Arial" w:cs="Arial"/>
          <w:color w:val="000000" w:themeColor="text1"/>
          <w:sz w:val="24"/>
          <w:szCs w:val="24"/>
          <w:lang w:val="es-ES"/>
        </w:rPr>
        <w:t>deberá reflejar</w:t>
      </w:r>
      <w:r w:rsidRPr="00682149">
        <w:rPr>
          <w:rFonts w:ascii="Arial" w:hAnsi="Arial" w:cs="Arial"/>
          <w:color w:val="000000" w:themeColor="text1"/>
          <w:sz w:val="24"/>
          <w:szCs w:val="24"/>
          <w:lang w:val="es-ES"/>
        </w:rPr>
        <w:t xml:space="preserve"> los costos de inversión </w:t>
      </w:r>
      <w:r w:rsidR="00A353D8" w:rsidRPr="00682149">
        <w:rPr>
          <w:rFonts w:ascii="Arial" w:hAnsi="Arial" w:cs="Arial"/>
          <w:color w:val="000000" w:themeColor="text1"/>
          <w:sz w:val="24"/>
          <w:szCs w:val="24"/>
          <w:lang w:val="es-ES"/>
        </w:rPr>
        <w:t xml:space="preserve">y sus </w:t>
      </w:r>
      <w:r w:rsidR="00944E6B" w:rsidRPr="00682149">
        <w:rPr>
          <w:rFonts w:ascii="Arial" w:hAnsi="Arial" w:cs="Arial"/>
          <w:color w:val="000000" w:themeColor="text1"/>
          <w:sz w:val="24"/>
          <w:szCs w:val="24"/>
          <w:lang w:val="es-ES"/>
        </w:rPr>
        <w:t>componentes</w:t>
      </w:r>
      <w:r w:rsidR="004E614C" w:rsidRPr="00682149">
        <w:rPr>
          <w:rFonts w:ascii="Arial" w:hAnsi="Arial" w:cs="Arial"/>
          <w:color w:val="000000" w:themeColor="text1"/>
          <w:sz w:val="24"/>
          <w:szCs w:val="24"/>
          <w:lang w:val="es-ES"/>
        </w:rPr>
        <w:t>,</w:t>
      </w:r>
      <w:r w:rsidR="00944E6B" w:rsidRPr="00682149">
        <w:rPr>
          <w:rFonts w:ascii="Arial" w:hAnsi="Arial" w:cs="Arial"/>
          <w:color w:val="000000" w:themeColor="text1"/>
          <w:sz w:val="24"/>
          <w:szCs w:val="24"/>
          <w:lang w:val="es-ES"/>
        </w:rPr>
        <w:t xml:space="preserve"> a los cuales hizo referencia</w:t>
      </w:r>
      <w:r w:rsidR="00A353D8" w:rsidRPr="00682149">
        <w:rPr>
          <w:rFonts w:ascii="Arial" w:hAnsi="Arial" w:cs="Arial"/>
          <w:color w:val="000000" w:themeColor="text1"/>
          <w:sz w:val="24"/>
          <w:szCs w:val="24"/>
          <w:lang w:val="es-ES"/>
        </w:rPr>
        <w:t xml:space="preserve">, </w:t>
      </w:r>
      <w:r w:rsidR="001F3932" w:rsidRPr="00682149">
        <w:rPr>
          <w:rFonts w:ascii="Arial" w:hAnsi="Arial" w:cs="Arial"/>
          <w:color w:val="000000" w:themeColor="text1"/>
          <w:sz w:val="24"/>
          <w:szCs w:val="24"/>
          <w:lang w:val="es-ES"/>
        </w:rPr>
        <w:t>la metod</w:t>
      </w:r>
      <w:r w:rsidR="00A353D8" w:rsidRPr="00682149">
        <w:rPr>
          <w:rFonts w:ascii="Arial" w:hAnsi="Arial" w:cs="Arial"/>
          <w:color w:val="000000" w:themeColor="text1"/>
          <w:sz w:val="24"/>
          <w:szCs w:val="24"/>
          <w:lang w:val="es-ES"/>
        </w:rPr>
        <w:t xml:space="preserve">ología especial y la tarifa general </w:t>
      </w:r>
      <w:r w:rsidR="001F3932" w:rsidRPr="00682149">
        <w:rPr>
          <w:rFonts w:ascii="Arial" w:hAnsi="Arial" w:cs="Arial"/>
          <w:color w:val="000000" w:themeColor="text1"/>
          <w:sz w:val="24"/>
          <w:szCs w:val="24"/>
          <w:lang w:val="es-ES"/>
        </w:rPr>
        <w:t xml:space="preserve">para </w:t>
      </w:r>
      <w:r w:rsidR="00903B6C" w:rsidRPr="00682149">
        <w:rPr>
          <w:rFonts w:ascii="Arial" w:hAnsi="Arial" w:cs="Arial"/>
          <w:color w:val="000000" w:themeColor="text1"/>
          <w:sz w:val="24"/>
          <w:szCs w:val="24"/>
          <w:lang w:val="es-ES"/>
        </w:rPr>
        <w:t xml:space="preserve">establecer </w:t>
      </w:r>
      <w:r w:rsidR="001F3932" w:rsidRPr="00682149">
        <w:rPr>
          <w:rFonts w:ascii="Arial" w:hAnsi="Arial" w:cs="Arial"/>
          <w:color w:val="000000" w:themeColor="text1"/>
          <w:sz w:val="24"/>
          <w:szCs w:val="24"/>
          <w:lang w:val="es-ES"/>
        </w:rPr>
        <w:t xml:space="preserve">finalmente </w:t>
      </w:r>
      <w:r w:rsidR="00903B6C" w:rsidRPr="00682149">
        <w:rPr>
          <w:rFonts w:ascii="Arial" w:hAnsi="Arial" w:cs="Arial"/>
          <w:color w:val="000000" w:themeColor="text1"/>
          <w:sz w:val="24"/>
          <w:szCs w:val="24"/>
          <w:lang w:val="es-ES"/>
        </w:rPr>
        <w:t xml:space="preserve">el costo unitario </w:t>
      </w:r>
      <w:r w:rsidR="00A353D8" w:rsidRPr="00682149">
        <w:rPr>
          <w:rFonts w:ascii="Arial" w:hAnsi="Arial" w:cs="Arial"/>
          <w:color w:val="000000" w:themeColor="text1"/>
          <w:sz w:val="24"/>
          <w:szCs w:val="24"/>
          <w:lang w:val="es-ES"/>
        </w:rPr>
        <w:t xml:space="preserve">con destino a </w:t>
      </w:r>
      <w:r w:rsidR="00903B6C" w:rsidRPr="00682149">
        <w:rPr>
          <w:rFonts w:ascii="Arial" w:hAnsi="Arial" w:cs="Arial"/>
          <w:color w:val="000000" w:themeColor="text1"/>
          <w:sz w:val="24"/>
          <w:szCs w:val="24"/>
          <w:lang w:val="es-ES"/>
        </w:rPr>
        <w:t>cada usuario</w:t>
      </w:r>
      <w:r w:rsidR="00944E6B" w:rsidRPr="00682149">
        <w:rPr>
          <w:rFonts w:ascii="Arial" w:hAnsi="Arial" w:cs="Arial"/>
          <w:color w:val="000000" w:themeColor="text1"/>
          <w:sz w:val="24"/>
          <w:szCs w:val="24"/>
          <w:lang w:val="es-ES"/>
        </w:rPr>
        <w:t>.</w:t>
      </w:r>
      <w:r w:rsidRPr="00682149">
        <w:rPr>
          <w:rFonts w:ascii="Arial" w:hAnsi="Arial" w:cs="Arial"/>
          <w:color w:val="000000" w:themeColor="text1"/>
          <w:sz w:val="24"/>
          <w:szCs w:val="24"/>
          <w:lang w:val="es-ES"/>
        </w:rPr>
        <w:t xml:space="preserve"> </w:t>
      </w:r>
      <w:r w:rsidRPr="00682149">
        <w:rPr>
          <w:rFonts w:ascii="Arial" w:hAnsi="Arial" w:cs="Arial"/>
          <w:b/>
          <w:bCs/>
          <w:color w:val="000000" w:themeColor="text1"/>
          <w:sz w:val="24"/>
          <w:szCs w:val="24"/>
          <w:lang w:val="es-ES"/>
        </w:rPr>
        <w:t xml:space="preserve"> </w:t>
      </w:r>
    </w:p>
    <w:p w14:paraId="231ED590" w14:textId="77777777" w:rsidR="00944E6B" w:rsidRPr="00682149" w:rsidRDefault="00944E6B" w:rsidP="001C138F">
      <w:pPr>
        <w:spacing w:after="0" w:line="276" w:lineRule="auto"/>
        <w:jc w:val="both"/>
        <w:rPr>
          <w:rFonts w:ascii="Arial" w:hAnsi="Arial" w:cs="Arial"/>
          <w:color w:val="000000" w:themeColor="text1"/>
          <w:sz w:val="24"/>
          <w:szCs w:val="24"/>
        </w:rPr>
      </w:pPr>
    </w:p>
    <w:p w14:paraId="26457E2E" w14:textId="5A66F037" w:rsidR="00944E6B" w:rsidRPr="00682149" w:rsidRDefault="00A97CB1" w:rsidP="001C138F">
      <w:pPr>
        <w:spacing w:after="0" w:line="276" w:lineRule="auto"/>
        <w:jc w:val="both"/>
        <w:rPr>
          <w:rFonts w:ascii="Arial" w:eastAsia="Times New Roman" w:hAnsi="Arial" w:cs="Arial"/>
          <w:color w:val="000000" w:themeColor="text1"/>
          <w:sz w:val="24"/>
          <w:szCs w:val="24"/>
          <w:lang w:val="es-CO" w:eastAsia="es-ES_tradnl"/>
        </w:rPr>
      </w:pPr>
      <w:r w:rsidRPr="00682149">
        <w:rPr>
          <w:rFonts w:ascii="Arial" w:hAnsi="Arial" w:cs="Arial"/>
          <w:color w:val="000000" w:themeColor="text1"/>
          <w:sz w:val="24"/>
          <w:szCs w:val="24"/>
        </w:rPr>
        <w:t>En resumen, p</w:t>
      </w:r>
      <w:r w:rsidR="009B1803" w:rsidRPr="00682149">
        <w:rPr>
          <w:rFonts w:ascii="Arial" w:hAnsi="Arial" w:cs="Arial"/>
          <w:color w:val="000000" w:themeColor="text1"/>
          <w:sz w:val="24"/>
          <w:szCs w:val="24"/>
        </w:rPr>
        <w:t xml:space="preserve">ara </w:t>
      </w:r>
      <w:r w:rsidR="003404C2">
        <w:rPr>
          <w:rFonts w:ascii="Arial" w:hAnsi="Arial" w:cs="Arial"/>
          <w:color w:val="000000" w:themeColor="text1"/>
          <w:sz w:val="24"/>
          <w:szCs w:val="24"/>
        </w:rPr>
        <w:t>l</w:t>
      </w:r>
      <w:r w:rsidR="009B1803" w:rsidRPr="00682149">
        <w:rPr>
          <w:rFonts w:ascii="Arial" w:hAnsi="Arial" w:cs="Arial"/>
          <w:color w:val="000000" w:themeColor="text1"/>
          <w:sz w:val="24"/>
          <w:szCs w:val="24"/>
        </w:rPr>
        <w:t xml:space="preserve">a </w:t>
      </w:r>
      <w:r w:rsidR="004E614C" w:rsidRPr="00682149">
        <w:rPr>
          <w:rFonts w:ascii="Arial" w:hAnsi="Arial" w:cs="Arial"/>
          <w:color w:val="000000" w:themeColor="text1"/>
          <w:sz w:val="24"/>
          <w:szCs w:val="24"/>
        </w:rPr>
        <w:t>S</w:t>
      </w:r>
      <w:r w:rsidR="009B1803" w:rsidRPr="00682149">
        <w:rPr>
          <w:rFonts w:ascii="Arial" w:hAnsi="Arial" w:cs="Arial"/>
          <w:color w:val="000000" w:themeColor="text1"/>
          <w:sz w:val="24"/>
          <w:szCs w:val="24"/>
        </w:rPr>
        <w:t>ala</w:t>
      </w:r>
      <w:r w:rsidR="000F1707" w:rsidRPr="00682149">
        <w:rPr>
          <w:rFonts w:ascii="Arial" w:hAnsi="Arial" w:cs="Arial"/>
          <w:color w:val="000000" w:themeColor="text1"/>
          <w:sz w:val="24"/>
          <w:szCs w:val="24"/>
        </w:rPr>
        <w:t xml:space="preserve"> las medidas adoptadas a través de la Resolución 166</w:t>
      </w:r>
      <w:r w:rsidR="00944E6B" w:rsidRPr="00682149">
        <w:rPr>
          <w:rFonts w:ascii="Arial" w:hAnsi="Arial" w:cs="Arial"/>
          <w:color w:val="000000" w:themeColor="text1"/>
          <w:sz w:val="24"/>
          <w:szCs w:val="24"/>
        </w:rPr>
        <w:t xml:space="preserve"> </w:t>
      </w:r>
      <w:r w:rsidR="00944E6B" w:rsidRPr="00682149">
        <w:rPr>
          <w:rFonts w:ascii="Arial" w:eastAsia="Times New Roman" w:hAnsi="Arial" w:cs="Arial"/>
          <w:color w:val="000000" w:themeColor="text1"/>
          <w:sz w:val="24"/>
          <w:szCs w:val="24"/>
          <w:lang w:val="es-CO" w:eastAsia="es-ES_tradnl"/>
        </w:rPr>
        <w:t>son necesarias en tanto impiden la interrupción del servicio, comporta</w:t>
      </w:r>
      <w:r w:rsidR="004E614C" w:rsidRPr="00682149">
        <w:rPr>
          <w:rFonts w:ascii="Arial" w:eastAsia="Times New Roman" w:hAnsi="Arial" w:cs="Arial"/>
          <w:color w:val="000000" w:themeColor="text1"/>
          <w:sz w:val="24"/>
          <w:szCs w:val="24"/>
          <w:lang w:val="es-CO" w:eastAsia="es-ES_tradnl"/>
        </w:rPr>
        <w:t>n</w:t>
      </w:r>
      <w:r w:rsidR="00944E6B" w:rsidRPr="00682149">
        <w:rPr>
          <w:rFonts w:ascii="Arial" w:eastAsia="Times New Roman" w:hAnsi="Arial" w:cs="Arial"/>
          <w:color w:val="000000" w:themeColor="text1"/>
          <w:sz w:val="24"/>
          <w:szCs w:val="24"/>
          <w:lang w:val="es-CO" w:eastAsia="es-ES_tradnl"/>
        </w:rPr>
        <w:t xml:space="preserve"> una regulación clara par</w:t>
      </w:r>
      <w:r w:rsidR="00D90464" w:rsidRPr="00682149">
        <w:rPr>
          <w:rFonts w:ascii="Arial" w:eastAsia="Times New Roman" w:hAnsi="Arial" w:cs="Arial"/>
          <w:color w:val="000000" w:themeColor="text1"/>
          <w:sz w:val="24"/>
          <w:szCs w:val="24"/>
          <w:lang w:val="es-CO" w:eastAsia="es-ES_tradnl"/>
        </w:rPr>
        <w:t>a definir el cobro del servicio, c</w:t>
      </w:r>
      <w:r w:rsidR="00944E6B" w:rsidRPr="00682149">
        <w:rPr>
          <w:rFonts w:ascii="Arial" w:eastAsia="Times New Roman" w:hAnsi="Arial" w:cs="Arial"/>
          <w:color w:val="000000" w:themeColor="text1"/>
          <w:sz w:val="24"/>
          <w:szCs w:val="24"/>
          <w:lang w:val="es-CO" w:eastAsia="es-ES_tradnl"/>
        </w:rPr>
        <w:t xml:space="preserve">ada </w:t>
      </w:r>
      <w:r w:rsidR="00A0204A" w:rsidRPr="00682149">
        <w:rPr>
          <w:rFonts w:ascii="Arial" w:eastAsia="Times New Roman" w:hAnsi="Arial" w:cs="Arial"/>
          <w:color w:val="000000" w:themeColor="text1"/>
          <w:sz w:val="24"/>
          <w:szCs w:val="24"/>
          <w:lang w:val="es-CO" w:eastAsia="es-ES_tradnl"/>
        </w:rPr>
        <w:t>ítem</w:t>
      </w:r>
      <w:r w:rsidR="00944E6B" w:rsidRPr="00682149">
        <w:rPr>
          <w:rFonts w:ascii="Arial" w:eastAsia="Times New Roman" w:hAnsi="Arial" w:cs="Arial"/>
          <w:color w:val="000000" w:themeColor="text1"/>
          <w:sz w:val="24"/>
          <w:szCs w:val="24"/>
          <w:lang w:val="es-CO" w:eastAsia="es-ES_tradnl"/>
        </w:rPr>
        <w:t xml:space="preserve"> se encuentra justificado, al igual que la definición de las tarifas</w:t>
      </w:r>
      <w:r w:rsidR="004E614C" w:rsidRPr="00682149">
        <w:rPr>
          <w:rFonts w:ascii="Arial" w:eastAsia="Times New Roman" w:hAnsi="Arial" w:cs="Arial"/>
          <w:color w:val="000000" w:themeColor="text1"/>
          <w:sz w:val="24"/>
          <w:szCs w:val="24"/>
          <w:lang w:val="es-CO" w:eastAsia="es-ES_tradnl"/>
        </w:rPr>
        <w:t>,</w:t>
      </w:r>
      <w:r w:rsidR="00944E6B" w:rsidRPr="00682149">
        <w:rPr>
          <w:rFonts w:ascii="Arial" w:eastAsia="Times New Roman" w:hAnsi="Arial" w:cs="Arial"/>
          <w:color w:val="000000" w:themeColor="text1"/>
          <w:sz w:val="24"/>
          <w:szCs w:val="24"/>
          <w:lang w:val="es-CO" w:eastAsia="es-ES_tradnl"/>
        </w:rPr>
        <w:t xml:space="preserve"> y nada indica que dichas previsiones </w:t>
      </w:r>
      <w:r w:rsidR="00A0204A" w:rsidRPr="00682149">
        <w:rPr>
          <w:rFonts w:ascii="Arial" w:eastAsia="Times New Roman" w:hAnsi="Arial" w:cs="Arial"/>
          <w:color w:val="000000" w:themeColor="text1"/>
          <w:sz w:val="24"/>
          <w:szCs w:val="24"/>
          <w:lang w:val="es-CO" w:eastAsia="es-ES_tradnl"/>
        </w:rPr>
        <w:t>contraríen</w:t>
      </w:r>
      <w:r w:rsidR="00944E6B" w:rsidRPr="00682149">
        <w:rPr>
          <w:rFonts w:ascii="Arial" w:eastAsia="Times New Roman" w:hAnsi="Arial" w:cs="Arial"/>
          <w:color w:val="000000" w:themeColor="text1"/>
          <w:sz w:val="24"/>
          <w:szCs w:val="24"/>
          <w:lang w:val="es-CO" w:eastAsia="es-ES_tradnl"/>
        </w:rPr>
        <w:t xml:space="preserve"> normas superiores, por lo que se </w:t>
      </w:r>
      <w:r w:rsidR="004E614C" w:rsidRPr="00682149">
        <w:rPr>
          <w:rFonts w:ascii="Arial" w:eastAsia="Times New Roman" w:hAnsi="Arial" w:cs="Arial"/>
          <w:color w:val="000000" w:themeColor="text1"/>
          <w:sz w:val="24"/>
          <w:szCs w:val="24"/>
          <w:lang w:val="es-CO" w:eastAsia="es-ES_tradnl"/>
        </w:rPr>
        <w:t xml:space="preserve">confirma su presunción de legalidad. </w:t>
      </w:r>
      <w:r w:rsidR="00944E6B" w:rsidRPr="00682149">
        <w:rPr>
          <w:rFonts w:ascii="Arial" w:eastAsia="Times New Roman" w:hAnsi="Arial" w:cs="Arial"/>
          <w:color w:val="000000" w:themeColor="text1"/>
          <w:sz w:val="24"/>
          <w:szCs w:val="24"/>
          <w:lang w:val="es-CO" w:eastAsia="es-ES_tradnl"/>
        </w:rPr>
        <w:t xml:space="preserve"> </w:t>
      </w:r>
    </w:p>
    <w:p w14:paraId="52DACF5F" w14:textId="77777777" w:rsidR="00944E6B" w:rsidRPr="00682149" w:rsidRDefault="00944E6B" w:rsidP="001C138F">
      <w:pPr>
        <w:spacing w:after="0" w:line="276" w:lineRule="auto"/>
        <w:jc w:val="both"/>
        <w:rPr>
          <w:rFonts w:ascii="Arial" w:hAnsi="Arial" w:cs="Arial"/>
          <w:color w:val="000000" w:themeColor="text1"/>
          <w:sz w:val="24"/>
          <w:szCs w:val="24"/>
        </w:rPr>
      </w:pPr>
    </w:p>
    <w:p w14:paraId="49B48783" w14:textId="0EF9E206" w:rsidR="002201D4" w:rsidRPr="00682149" w:rsidRDefault="00944E6B" w:rsidP="001C138F">
      <w:pPr>
        <w:spacing w:after="0" w:line="276" w:lineRule="auto"/>
        <w:jc w:val="both"/>
        <w:rPr>
          <w:rFonts w:ascii="Arial" w:eastAsia="Times New Roman" w:hAnsi="Arial" w:cs="Arial"/>
          <w:color w:val="000000" w:themeColor="text1"/>
          <w:sz w:val="24"/>
          <w:szCs w:val="24"/>
          <w:lang w:val="es-CO" w:eastAsia="es-ES_tradnl"/>
        </w:rPr>
      </w:pPr>
      <w:r w:rsidRPr="00682149">
        <w:rPr>
          <w:rFonts w:ascii="Arial" w:hAnsi="Arial" w:cs="Arial"/>
          <w:color w:val="000000" w:themeColor="text1"/>
          <w:sz w:val="24"/>
          <w:szCs w:val="24"/>
        </w:rPr>
        <w:t xml:space="preserve">Finalmente, </w:t>
      </w:r>
      <w:r w:rsidR="004E614C" w:rsidRPr="00682149">
        <w:rPr>
          <w:rFonts w:ascii="Arial" w:hAnsi="Arial" w:cs="Arial"/>
          <w:color w:val="000000" w:themeColor="text1"/>
          <w:sz w:val="24"/>
          <w:szCs w:val="24"/>
        </w:rPr>
        <w:t xml:space="preserve">por estar relacionadas con el objeto de la regulación, </w:t>
      </w:r>
      <w:r w:rsidRPr="00682149">
        <w:rPr>
          <w:rFonts w:ascii="Arial" w:hAnsi="Arial" w:cs="Arial"/>
          <w:color w:val="000000" w:themeColor="text1"/>
          <w:sz w:val="24"/>
          <w:szCs w:val="24"/>
        </w:rPr>
        <w:t xml:space="preserve">estas </w:t>
      </w:r>
      <w:r w:rsidR="0057656C" w:rsidRPr="00682149">
        <w:rPr>
          <w:rFonts w:ascii="Arial" w:hAnsi="Arial" w:cs="Arial"/>
          <w:color w:val="000000" w:themeColor="text1"/>
          <w:sz w:val="24"/>
          <w:szCs w:val="24"/>
        </w:rPr>
        <w:t xml:space="preserve">disposiciones </w:t>
      </w:r>
      <w:r w:rsidR="009B1803" w:rsidRPr="00682149">
        <w:rPr>
          <w:rFonts w:ascii="Arial" w:eastAsia="Times New Roman" w:hAnsi="Arial" w:cs="Arial"/>
          <w:color w:val="000000" w:themeColor="text1"/>
          <w:sz w:val="24"/>
          <w:szCs w:val="24"/>
          <w:lang w:val="es-CO" w:eastAsia="es-ES_tradnl"/>
        </w:rPr>
        <w:t>están</w:t>
      </w:r>
      <w:r w:rsidR="00782265" w:rsidRPr="00682149">
        <w:rPr>
          <w:rFonts w:ascii="Arial" w:eastAsia="Times New Roman" w:hAnsi="Arial" w:cs="Arial"/>
          <w:color w:val="000000" w:themeColor="text1"/>
          <w:sz w:val="24"/>
          <w:szCs w:val="24"/>
          <w:lang w:val="es-CO" w:eastAsia="es-ES_tradnl"/>
        </w:rPr>
        <w:t xml:space="preserve"> directa </w:t>
      </w:r>
      <w:r w:rsidR="00C3642E" w:rsidRPr="00682149">
        <w:rPr>
          <w:rFonts w:ascii="Arial" w:eastAsia="Times New Roman" w:hAnsi="Arial" w:cs="Arial"/>
          <w:color w:val="000000" w:themeColor="text1"/>
          <w:sz w:val="24"/>
          <w:szCs w:val="24"/>
          <w:lang w:val="es-CO" w:eastAsia="es-ES_tradnl"/>
        </w:rPr>
        <w:t>y estr</w:t>
      </w:r>
      <w:r w:rsidR="00BC7FA9" w:rsidRPr="00682149">
        <w:rPr>
          <w:rFonts w:ascii="Arial" w:eastAsia="Times New Roman" w:hAnsi="Arial" w:cs="Arial"/>
          <w:color w:val="000000" w:themeColor="text1"/>
          <w:sz w:val="24"/>
          <w:szCs w:val="24"/>
          <w:lang w:val="es-CO" w:eastAsia="es-ES_tradnl"/>
        </w:rPr>
        <w:t xml:space="preserve">echamente </w:t>
      </w:r>
      <w:r w:rsidR="00782265" w:rsidRPr="00682149">
        <w:rPr>
          <w:rFonts w:ascii="Arial" w:eastAsia="Times New Roman" w:hAnsi="Arial" w:cs="Arial"/>
          <w:color w:val="000000" w:themeColor="text1"/>
          <w:sz w:val="24"/>
          <w:szCs w:val="24"/>
          <w:lang w:val="es-CO" w:eastAsia="es-ES_tradnl"/>
        </w:rPr>
        <w:t>encaminadas a conjurar</w:t>
      </w:r>
      <w:r w:rsidR="00E1381D" w:rsidRPr="00682149">
        <w:rPr>
          <w:rFonts w:ascii="Arial" w:eastAsia="Times New Roman" w:hAnsi="Arial" w:cs="Arial"/>
          <w:color w:val="000000" w:themeColor="text1"/>
          <w:sz w:val="24"/>
          <w:szCs w:val="24"/>
          <w:lang w:val="es-CO" w:eastAsia="es-ES_tradnl"/>
        </w:rPr>
        <w:t xml:space="preserve"> las causas de la perturbación e</w:t>
      </w:r>
      <w:r w:rsidR="00782265" w:rsidRPr="00682149">
        <w:rPr>
          <w:rFonts w:ascii="Arial" w:eastAsia="Times New Roman" w:hAnsi="Arial" w:cs="Arial"/>
          <w:color w:val="000000" w:themeColor="text1"/>
          <w:sz w:val="24"/>
          <w:szCs w:val="24"/>
          <w:lang w:val="es-CO" w:eastAsia="es-ES_tradnl"/>
        </w:rPr>
        <w:t xml:space="preserve"> impedir la extensión o agravación de </w:t>
      </w:r>
      <w:r w:rsidR="000F1707" w:rsidRPr="00682149">
        <w:rPr>
          <w:rFonts w:ascii="Arial" w:eastAsia="Times New Roman" w:hAnsi="Arial" w:cs="Arial"/>
          <w:color w:val="000000" w:themeColor="text1"/>
          <w:sz w:val="24"/>
          <w:szCs w:val="24"/>
          <w:lang w:val="es-CO" w:eastAsia="es-ES_tradnl"/>
        </w:rPr>
        <w:t xml:space="preserve">los </w:t>
      </w:r>
      <w:r w:rsidR="00782265" w:rsidRPr="00682149">
        <w:rPr>
          <w:rFonts w:ascii="Arial" w:eastAsia="Times New Roman" w:hAnsi="Arial" w:cs="Arial"/>
          <w:color w:val="000000" w:themeColor="text1"/>
          <w:sz w:val="24"/>
          <w:szCs w:val="24"/>
          <w:lang w:val="es-CO" w:eastAsia="es-ES_tradnl"/>
        </w:rPr>
        <w:t>efecto</w:t>
      </w:r>
      <w:r w:rsidR="0057656C" w:rsidRPr="00682149">
        <w:rPr>
          <w:rFonts w:ascii="Arial" w:eastAsia="Times New Roman" w:hAnsi="Arial" w:cs="Arial"/>
          <w:color w:val="000000" w:themeColor="text1"/>
          <w:sz w:val="24"/>
          <w:szCs w:val="24"/>
          <w:lang w:val="es-CO" w:eastAsia="es-ES_tradnl"/>
        </w:rPr>
        <w:t>s</w:t>
      </w:r>
      <w:r w:rsidR="00E1381D" w:rsidRPr="00682149">
        <w:rPr>
          <w:rFonts w:ascii="Arial" w:eastAsia="Times New Roman" w:hAnsi="Arial" w:cs="Arial"/>
          <w:color w:val="000000" w:themeColor="text1"/>
          <w:sz w:val="24"/>
          <w:szCs w:val="24"/>
          <w:lang w:val="es-CO" w:eastAsia="es-ES_tradnl"/>
        </w:rPr>
        <w:t xml:space="preserve"> </w:t>
      </w:r>
      <w:r w:rsidR="00DA39A6" w:rsidRPr="00682149">
        <w:rPr>
          <w:rFonts w:ascii="Arial" w:eastAsia="Times New Roman" w:hAnsi="Arial" w:cs="Arial"/>
          <w:color w:val="000000" w:themeColor="text1"/>
          <w:sz w:val="24"/>
          <w:szCs w:val="24"/>
          <w:lang w:val="es-CO" w:eastAsia="es-ES_tradnl"/>
        </w:rPr>
        <w:t xml:space="preserve">de las medidas de emergencia, </w:t>
      </w:r>
      <w:r w:rsidR="00905BA6" w:rsidRPr="00682149">
        <w:rPr>
          <w:rFonts w:ascii="Arial" w:eastAsia="Times New Roman" w:hAnsi="Arial" w:cs="Arial"/>
          <w:color w:val="000000" w:themeColor="text1"/>
          <w:sz w:val="24"/>
          <w:szCs w:val="24"/>
          <w:lang w:val="es-CO" w:eastAsia="es-ES_tradnl"/>
        </w:rPr>
        <w:t>pues permite</w:t>
      </w:r>
      <w:r w:rsidR="00903B6C" w:rsidRPr="00682149">
        <w:rPr>
          <w:rFonts w:ascii="Arial" w:eastAsia="Times New Roman" w:hAnsi="Arial" w:cs="Arial"/>
          <w:color w:val="000000" w:themeColor="text1"/>
          <w:sz w:val="24"/>
          <w:szCs w:val="24"/>
          <w:lang w:val="es-CO" w:eastAsia="es-ES_tradnl"/>
        </w:rPr>
        <w:t>n</w:t>
      </w:r>
      <w:r w:rsidR="00905BA6" w:rsidRPr="00682149">
        <w:rPr>
          <w:rFonts w:ascii="Arial" w:eastAsia="Times New Roman" w:hAnsi="Arial" w:cs="Arial"/>
          <w:color w:val="000000" w:themeColor="text1"/>
          <w:sz w:val="24"/>
          <w:szCs w:val="24"/>
          <w:lang w:val="es-CO" w:eastAsia="es-ES_tradnl"/>
        </w:rPr>
        <w:t xml:space="preserve"> la aplicación de unas tarifas asociadas a los costos y elimina</w:t>
      </w:r>
      <w:r w:rsidR="00A353D8" w:rsidRPr="00682149">
        <w:rPr>
          <w:rFonts w:ascii="Arial" w:eastAsia="Times New Roman" w:hAnsi="Arial" w:cs="Arial"/>
          <w:color w:val="000000" w:themeColor="text1"/>
          <w:sz w:val="24"/>
          <w:szCs w:val="24"/>
          <w:lang w:val="es-CO" w:eastAsia="es-ES_tradnl"/>
        </w:rPr>
        <w:t>n</w:t>
      </w:r>
      <w:r w:rsidR="00905BA6" w:rsidRPr="00682149">
        <w:rPr>
          <w:rFonts w:ascii="Arial" w:eastAsia="Times New Roman" w:hAnsi="Arial" w:cs="Arial"/>
          <w:color w:val="000000" w:themeColor="text1"/>
          <w:sz w:val="24"/>
          <w:szCs w:val="24"/>
          <w:lang w:val="es-CO" w:eastAsia="es-ES_tradnl"/>
        </w:rPr>
        <w:t xml:space="preserve"> la aplicación de las tarifas del sistema interconect</w:t>
      </w:r>
      <w:r w:rsidR="000F1707" w:rsidRPr="00682149">
        <w:rPr>
          <w:rFonts w:ascii="Arial" w:eastAsia="Times New Roman" w:hAnsi="Arial" w:cs="Arial"/>
          <w:color w:val="000000" w:themeColor="text1"/>
          <w:sz w:val="24"/>
          <w:szCs w:val="24"/>
          <w:lang w:val="es-CO" w:eastAsia="es-ES_tradnl"/>
        </w:rPr>
        <w:t xml:space="preserve">ado nacional, </w:t>
      </w:r>
      <w:r w:rsidR="009B1803" w:rsidRPr="00682149">
        <w:rPr>
          <w:rFonts w:ascii="Arial" w:eastAsia="Times New Roman" w:hAnsi="Arial" w:cs="Arial"/>
          <w:color w:val="000000" w:themeColor="text1"/>
          <w:sz w:val="24"/>
          <w:szCs w:val="24"/>
          <w:lang w:val="es-CO" w:eastAsia="es-ES_tradnl"/>
        </w:rPr>
        <w:t xml:space="preserve">lo que debe </w:t>
      </w:r>
      <w:r w:rsidR="00A97CB1" w:rsidRPr="00682149">
        <w:rPr>
          <w:rFonts w:ascii="Arial" w:eastAsia="Times New Roman" w:hAnsi="Arial" w:cs="Arial"/>
          <w:color w:val="000000" w:themeColor="text1"/>
          <w:sz w:val="24"/>
          <w:szCs w:val="24"/>
          <w:lang w:val="es-CO" w:eastAsia="es-ES_tradnl"/>
        </w:rPr>
        <w:t>impe</w:t>
      </w:r>
      <w:r w:rsidR="000F1707" w:rsidRPr="00682149">
        <w:rPr>
          <w:rFonts w:ascii="Arial" w:eastAsia="Times New Roman" w:hAnsi="Arial" w:cs="Arial"/>
          <w:color w:val="000000" w:themeColor="text1"/>
          <w:sz w:val="24"/>
          <w:szCs w:val="24"/>
          <w:lang w:val="es-CO" w:eastAsia="es-ES_tradnl"/>
        </w:rPr>
        <w:t>d</w:t>
      </w:r>
      <w:r w:rsidR="009B1803" w:rsidRPr="00682149">
        <w:rPr>
          <w:rFonts w:ascii="Arial" w:eastAsia="Times New Roman" w:hAnsi="Arial" w:cs="Arial"/>
          <w:color w:val="000000" w:themeColor="text1"/>
          <w:sz w:val="24"/>
          <w:szCs w:val="24"/>
          <w:lang w:val="es-CO" w:eastAsia="es-ES_tradnl"/>
        </w:rPr>
        <w:t>ir</w:t>
      </w:r>
      <w:r w:rsidR="000F1707" w:rsidRPr="00682149">
        <w:rPr>
          <w:rFonts w:ascii="Arial" w:eastAsia="Times New Roman" w:hAnsi="Arial" w:cs="Arial"/>
          <w:color w:val="000000" w:themeColor="text1"/>
          <w:sz w:val="24"/>
          <w:szCs w:val="24"/>
          <w:lang w:val="es-CO" w:eastAsia="es-ES_tradnl"/>
        </w:rPr>
        <w:t xml:space="preserve"> que los ope</w:t>
      </w:r>
      <w:r w:rsidR="00903B6C" w:rsidRPr="00682149">
        <w:rPr>
          <w:rFonts w:ascii="Arial" w:eastAsia="Times New Roman" w:hAnsi="Arial" w:cs="Arial"/>
          <w:color w:val="000000" w:themeColor="text1"/>
          <w:sz w:val="24"/>
          <w:szCs w:val="24"/>
          <w:lang w:val="es-CO" w:eastAsia="es-ES_tradnl"/>
        </w:rPr>
        <w:t>radores suspendan</w:t>
      </w:r>
      <w:r w:rsidR="00905BA6" w:rsidRPr="00682149">
        <w:rPr>
          <w:rFonts w:ascii="Arial" w:eastAsia="Times New Roman" w:hAnsi="Arial" w:cs="Arial"/>
          <w:color w:val="000000" w:themeColor="text1"/>
          <w:sz w:val="24"/>
          <w:szCs w:val="24"/>
          <w:lang w:val="es-CO" w:eastAsia="es-ES_tradnl"/>
        </w:rPr>
        <w:t xml:space="preserve"> el servicio ante la falta de regulación, por lo que existe una estrecha </w:t>
      </w:r>
      <w:r w:rsidR="0057656C" w:rsidRPr="00682149">
        <w:rPr>
          <w:rFonts w:ascii="Arial" w:eastAsia="Times New Roman" w:hAnsi="Arial" w:cs="Arial"/>
          <w:color w:val="000000" w:themeColor="text1"/>
          <w:sz w:val="24"/>
          <w:szCs w:val="24"/>
          <w:lang w:val="es-CO" w:eastAsia="es-ES_tradnl"/>
        </w:rPr>
        <w:t xml:space="preserve">relación </w:t>
      </w:r>
      <w:r w:rsidR="00782265" w:rsidRPr="00682149">
        <w:rPr>
          <w:rFonts w:ascii="Arial" w:eastAsia="Times New Roman" w:hAnsi="Arial" w:cs="Arial"/>
          <w:color w:val="000000" w:themeColor="text1"/>
          <w:sz w:val="24"/>
          <w:szCs w:val="24"/>
          <w:lang w:val="es-CO" w:eastAsia="es-ES_tradnl"/>
        </w:rPr>
        <w:t>de causa a afecto con aquellas que dieron lugar a la declaratoria del estado de</w:t>
      </w:r>
      <w:r w:rsidR="00BC7FA9" w:rsidRPr="00682149">
        <w:rPr>
          <w:rFonts w:ascii="Arial" w:eastAsia="Times New Roman" w:hAnsi="Arial" w:cs="Arial"/>
          <w:color w:val="000000" w:themeColor="text1"/>
          <w:sz w:val="24"/>
          <w:szCs w:val="24"/>
          <w:lang w:val="es-CO" w:eastAsia="es-ES_tradnl"/>
        </w:rPr>
        <w:t xml:space="preserve"> excepción y </w:t>
      </w:r>
      <w:r w:rsidR="00C3642E" w:rsidRPr="00682149">
        <w:rPr>
          <w:rFonts w:ascii="Arial" w:eastAsia="Times New Roman" w:hAnsi="Arial" w:cs="Arial"/>
          <w:color w:val="000000" w:themeColor="text1"/>
          <w:sz w:val="24"/>
          <w:szCs w:val="24"/>
          <w:lang w:val="es-CO" w:eastAsia="es-ES_tradnl"/>
        </w:rPr>
        <w:t>con el Decreto L</w:t>
      </w:r>
      <w:r w:rsidR="00782265" w:rsidRPr="00682149">
        <w:rPr>
          <w:rFonts w:ascii="Arial" w:eastAsia="Times New Roman" w:hAnsi="Arial" w:cs="Arial"/>
          <w:color w:val="000000" w:themeColor="text1"/>
          <w:sz w:val="24"/>
          <w:szCs w:val="24"/>
          <w:lang w:val="es-CO" w:eastAsia="es-ES_tradnl"/>
        </w:rPr>
        <w:t>egislativo expedido al amparo de la misma</w:t>
      </w:r>
      <w:r w:rsidR="00E1381D" w:rsidRPr="00682149">
        <w:rPr>
          <w:rFonts w:ascii="Arial" w:eastAsia="Times New Roman" w:hAnsi="Arial" w:cs="Arial"/>
          <w:color w:val="000000" w:themeColor="text1"/>
          <w:sz w:val="24"/>
          <w:szCs w:val="24"/>
          <w:lang w:val="es-CO" w:eastAsia="es-ES_tradnl"/>
        </w:rPr>
        <w:t xml:space="preserve"> contenido en el Decreto 517</w:t>
      </w:r>
      <w:r w:rsidR="00F56C7C" w:rsidRPr="00682149">
        <w:rPr>
          <w:rFonts w:ascii="Arial" w:eastAsia="Times New Roman" w:hAnsi="Arial" w:cs="Arial"/>
          <w:color w:val="000000" w:themeColor="text1"/>
          <w:sz w:val="24"/>
          <w:szCs w:val="24"/>
          <w:lang w:val="es-CO" w:eastAsia="es-ES_tradnl"/>
        </w:rPr>
        <w:t xml:space="preserve"> de 2020, que confirió a la CREG  la facultad de definir las tarifas transitorias</w:t>
      </w:r>
      <w:r w:rsidR="00C3642E" w:rsidRPr="00682149">
        <w:rPr>
          <w:rFonts w:ascii="Arial" w:eastAsia="Times New Roman" w:hAnsi="Arial" w:cs="Arial"/>
          <w:color w:val="000000" w:themeColor="text1"/>
          <w:sz w:val="24"/>
          <w:szCs w:val="24"/>
          <w:lang w:val="es-CO" w:eastAsia="es-ES_tradnl"/>
        </w:rPr>
        <w:t xml:space="preserve">. </w:t>
      </w:r>
    </w:p>
    <w:p w14:paraId="2AA00F97" w14:textId="77777777" w:rsidR="002201D4" w:rsidRPr="00682149" w:rsidRDefault="002201D4" w:rsidP="001C138F">
      <w:pPr>
        <w:spacing w:after="0" w:line="276" w:lineRule="auto"/>
        <w:jc w:val="both"/>
        <w:rPr>
          <w:rFonts w:ascii="Arial" w:eastAsia="Times New Roman" w:hAnsi="Arial" w:cs="Arial"/>
          <w:color w:val="000000" w:themeColor="text1"/>
          <w:sz w:val="24"/>
          <w:szCs w:val="24"/>
          <w:lang w:val="es-CO" w:eastAsia="es-ES_tradnl"/>
        </w:rPr>
      </w:pPr>
    </w:p>
    <w:p w14:paraId="31B36761" w14:textId="3A1A4CB1" w:rsidR="00DA39A6" w:rsidRPr="00682149" w:rsidRDefault="00DA39A6" w:rsidP="001C138F">
      <w:pPr>
        <w:spacing w:after="0" w:line="276" w:lineRule="auto"/>
        <w:jc w:val="both"/>
        <w:rPr>
          <w:rFonts w:ascii="Arial" w:hAnsi="Arial" w:cs="Arial"/>
          <w:b/>
          <w:i/>
          <w:color w:val="000000" w:themeColor="text1"/>
        </w:rPr>
      </w:pPr>
      <w:r w:rsidRPr="00682149">
        <w:rPr>
          <w:rFonts w:ascii="Arial" w:eastAsia="Arial" w:hAnsi="Arial" w:cs="Arial"/>
          <w:color w:val="000000" w:themeColor="text1"/>
          <w:sz w:val="24"/>
          <w:szCs w:val="24"/>
          <w:lang w:val="es-CO"/>
        </w:rPr>
        <w:t>Visto lo anterior, la Sala declarará ajustado</w:t>
      </w:r>
      <w:r w:rsidR="003404C2">
        <w:rPr>
          <w:rFonts w:ascii="Arial" w:eastAsia="Arial" w:hAnsi="Arial" w:cs="Arial"/>
          <w:color w:val="000000" w:themeColor="text1"/>
          <w:sz w:val="24"/>
          <w:szCs w:val="24"/>
          <w:lang w:val="es-CO"/>
        </w:rPr>
        <w:t>s</w:t>
      </w:r>
      <w:r w:rsidRPr="00682149">
        <w:rPr>
          <w:rFonts w:ascii="Arial" w:eastAsia="Arial" w:hAnsi="Arial" w:cs="Arial"/>
          <w:color w:val="000000" w:themeColor="text1"/>
          <w:sz w:val="24"/>
          <w:szCs w:val="24"/>
          <w:lang w:val="es-CO"/>
        </w:rPr>
        <w:t xml:space="preserve"> a derecho los artículo</w:t>
      </w:r>
      <w:r w:rsidR="001F3932" w:rsidRPr="00682149">
        <w:rPr>
          <w:rFonts w:ascii="Arial" w:eastAsia="Arial" w:hAnsi="Arial" w:cs="Arial"/>
          <w:color w:val="000000" w:themeColor="text1"/>
          <w:sz w:val="24"/>
          <w:szCs w:val="24"/>
          <w:lang w:val="es-CO"/>
        </w:rPr>
        <w:t>s</w:t>
      </w:r>
      <w:r w:rsidRPr="00682149">
        <w:rPr>
          <w:rFonts w:ascii="Arial" w:eastAsia="Arial" w:hAnsi="Arial" w:cs="Arial"/>
          <w:color w:val="000000" w:themeColor="text1"/>
          <w:sz w:val="24"/>
          <w:szCs w:val="24"/>
          <w:lang w:val="es-CO"/>
        </w:rPr>
        <w:t xml:space="preserve"> 4 a 10 de la Resolución 166, por encontrar que válidamente fueron expedidos en el marco del Decreto Legislativo 517 de 2020. </w:t>
      </w:r>
    </w:p>
    <w:p w14:paraId="7F02D9D5" w14:textId="5CC18079" w:rsidR="00267B99" w:rsidRPr="00682149" w:rsidRDefault="00DA39A6" w:rsidP="001C138F">
      <w:pPr>
        <w:spacing w:after="0" w:line="276" w:lineRule="auto"/>
        <w:jc w:val="both"/>
        <w:rPr>
          <w:rFonts w:ascii="Arial" w:hAnsi="Arial" w:cs="Arial"/>
          <w:color w:val="000000" w:themeColor="text1"/>
          <w:sz w:val="24"/>
          <w:szCs w:val="24"/>
        </w:rPr>
      </w:pPr>
      <w:r w:rsidRPr="00682149">
        <w:rPr>
          <w:rFonts w:ascii="Arial" w:hAnsi="Arial" w:cs="Arial"/>
          <w:color w:val="000000" w:themeColor="text1"/>
          <w:sz w:val="24"/>
          <w:szCs w:val="24"/>
        </w:rPr>
        <w:t xml:space="preserve"> </w:t>
      </w:r>
    </w:p>
    <w:p w14:paraId="51E9E825" w14:textId="75D6AFE9" w:rsidR="00202AA8" w:rsidRPr="00682149" w:rsidRDefault="001D37B6" w:rsidP="001C138F">
      <w:pPr>
        <w:spacing w:after="0" w:line="276" w:lineRule="auto"/>
        <w:jc w:val="both"/>
        <w:rPr>
          <w:rFonts w:ascii="Arial" w:hAnsi="Arial" w:cs="Arial"/>
          <w:b/>
          <w:color w:val="000000" w:themeColor="text1"/>
          <w:sz w:val="24"/>
          <w:szCs w:val="24"/>
        </w:rPr>
      </w:pPr>
      <w:r w:rsidRPr="00682149">
        <w:rPr>
          <w:rFonts w:ascii="Arial" w:hAnsi="Arial" w:cs="Arial"/>
          <w:b/>
          <w:color w:val="000000" w:themeColor="text1"/>
          <w:sz w:val="24"/>
          <w:szCs w:val="24"/>
        </w:rPr>
        <w:t>2.5.1</w:t>
      </w:r>
      <w:r w:rsidR="00202AA8" w:rsidRPr="00682149">
        <w:rPr>
          <w:rFonts w:ascii="Arial" w:hAnsi="Arial" w:cs="Arial"/>
          <w:b/>
          <w:color w:val="000000" w:themeColor="text1"/>
          <w:sz w:val="24"/>
          <w:szCs w:val="24"/>
        </w:rPr>
        <w:t>1. Artículo 11º.</w:t>
      </w:r>
    </w:p>
    <w:p w14:paraId="157BB274" w14:textId="77777777" w:rsidR="00202AA8" w:rsidRPr="00682149" w:rsidRDefault="00202AA8" w:rsidP="001C138F">
      <w:pPr>
        <w:spacing w:after="0" w:line="276" w:lineRule="auto"/>
        <w:ind w:left="567"/>
        <w:jc w:val="both"/>
        <w:rPr>
          <w:rFonts w:ascii="Arial" w:hAnsi="Arial" w:cs="Arial"/>
          <w:b/>
          <w:color w:val="000000" w:themeColor="text1"/>
          <w:sz w:val="24"/>
          <w:szCs w:val="24"/>
        </w:rPr>
      </w:pPr>
    </w:p>
    <w:p w14:paraId="0FFB8C09" w14:textId="03C1E7EA" w:rsidR="00310C06" w:rsidRPr="00682149" w:rsidRDefault="00202AA8" w:rsidP="001C138F">
      <w:pPr>
        <w:spacing w:after="0" w:line="276" w:lineRule="auto"/>
        <w:ind w:left="567"/>
        <w:jc w:val="both"/>
        <w:rPr>
          <w:rFonts w:ascii="Arial" w:hAnsi="Arial" w:cs="Arial"/>
          <w:color w:val="000000" w:themeColor="text1"/>
        </w:rPr>
      </w:pPr>
      <w:r w:rsidRPr="00682149">
        <w:rPr>
          <w:rFonts w:ascii="Arial" w:hAnsi="Arial" w:cs="Arial"/>
          <w:b/>
          <w:i/>
          <w:color w:val="000000" w:themeColor="text1"/>
        </w:rPr>
        <w:t>“</w:t>
      </w:r>
      <w:r w:rsidR="00310C06" w:rsidRPr="00682149">
        <w:rPr>
          <w:rFonts w:ascii="Arial" w:hAnsi="Arial" w:cs="Arial"/>
          <w:b/>
          <w:i/>
          <w:color w:val="000000" w:themeColor="text1"/>
        </w:rPr>
        <w:t xml:space="preserve">Publicidad. </w:t>
      </w:r>
      <w:r w:rsidR="00310C06" w:rsidRPr="00682149">
        <w:rPr>
          <w:rFonts w:ascii="Arial" w:hAnsi="Arial" w:cs="Arial"/>
          <w:i/>
          <w:color w:val="000000" w:themeColor="text1"/>
        </w:rPr>
        <w:t xml:space="preserve">Mensualmente y antes de su aplicación, el prestador del servicio hará públicas las tarifas que facturará a los usuarios en forma simple y comprensible, a través de un medio de comunicación de amplia divulgación en los municipios donde preste el servicio, o en caso de no contarse con ello, a través de un medio de comunicación idóneo y que garantice que cualquier usuario puede tener acceso efectivo y oportuno a dicha información. Dicha publicación incluirá los valores de cada componente del costo de prestación del servicio. Los nuevos valores deberán ser comunicados por el prestador a la Superintendencia de Servicios Públicos Domiciliarios y a la Comisión de Regulación de Energía y Gas. </w:t>
      </w:r>
    </w:p>
    <w:p w14:paraId="6F5827DF" w14:textId="77777777" w:rsidR="00202AA8" w:rsidRPr="00682149" w:rsidRDefault="00202AA8" w:rsidP="001C138F">
      <w:pPr>
        <w:spacing w:after="0" w:line="276" w:lineRule="auto"/>
        <w:ind w:left="567"/>
        <w:jc w:val="both"/>
        <w:rPr>
          <w:rFonts w:ascii="Arial" w:hAnsi="Arial" w:cs="Arial"/>
          <w:i/>
          <w:color w:val="000000" w:themeColor="text1"/>
        </w:rPr>
      </w:pPr>
    </w:p>
    <w:p w14:paraId="5535B3B2" w14:textId="794BC12A" w:rsidR="003E65C9" w:rsidRPr="00682149" w:rsidRDefault="00E1381D" w:rsidP="001C138F">
      <w:pPr>
        <w:spacing w:after="0" w:line="276" w:lineRule="auto"/>
        <w:jc w:val="both"/>
        <w:rPr>
          <w:rFonts w:ascii="Arial" w:hAnsi="Arial" w:cs="Arial"/>
          <w:color w:val="000000" w:themeColor="text1"/>
          <w:sz w:val="24"/>
          <w:szCs w:val="24"/>
        </w:rPr>
      </w:pPr>
      <w:r w:rsidRPr="00682149">
        <w:rPr>
          <w:rFonts w:ascii="Arial" w:hAnsi="Arial" w:cs="Arial"/>
          <w:color w:val="000000" w:themeColor="text1"/>
          <w:sz w:val="24"/>
          <w:szCs w:val="24"/>
        </w:rPr>
        <w:t>El artículo 11 s</w:t>
      </w:r>
      <w:r w:rsidR="00782265" w:rsidRPr="00682149">
        <w:rPr>
          <w:rFonts w:ascii="Arial" w:hAnsi="Arial" w:cs="Arial"/>
          <w:color w:val="000000" w:themeColor="text1"/>
          <w:sz w:val="24"/>
          <w:szCs w:val="24"/>
        </w:rPr>
        <w:t>e refirió a la ma</w:t>
      </w:r>
      <w:r w:rsidR="00A353D8" w:rsidRPr="00682149">
        <w:rPr>
          <w:rFonts w:ascii="Arial" w:hAnsi="Arial" w:cs="Arial"/>
          <w:color w:val="000000" w:themeColor="text1"/>
          <w:sz w:val="24"/>
          <w:szCs w:val="24"/>
        </w:rPr>
        <w:t xml:space="preserve">nera </w:t>
      </w:r>
      <w:r w:rsidR="00782265" w:rsidRPr="00682149">
        <w:rPr>
          <w:rFonts w:ascii="Arial" w:hAnsi="Arial" w:cs="Arial"/>
          <w:color w:val="000000" w:themeColor="text1"/>
          <w:sz w:val="24"/>
          <w:szCs w:val="24"/>
        </w:rPr>
        <w:t>como el prestador del servicio de energía debe hacer públicas las tarifas antes de su aplicación, de forma simple y comprensible a través de un medio de comunicación idóneo en el municipio</w:t>
      </w:r>
      <w:r w:rsidRPr="00682149">
        <w:rPr>
          <w:rFonts w:ascii="Arial" w:hAnsi="Arial" w:cs="Arial"/>
          <w:color w:val="000000" w:themeColor="text1"/>
          <w:sz w:val="24"/>
          <w:szCs w:val="24"/>
        </w:rPr>
        <w:t xml:space="preserve"> o localidad donde se </w:t>
      </w:r>
      <w:r w:rsidR="00782265" w:rsidRPr="00682149">
        <w:rPr>
          <w:rFonts w:ascii="Arial" w:hAnsi="Arial" w:cs="Arial"/>
          <w:color w:val="000000" w:themeColor="text1"/>
          <w:sz w:val="24"/>
          <w:szCs w:val="24"/>
        </w:rPr>
        <w:t>preste el servicio, que garantice que cualquier usuario pueda tener acceso efectivo y oportuno a dicha información</w:t>
      </w:r>
      <w:r w:rsidR="00FA2D70" w:rsidRPr="00682149">
        <w:rPr>
          <w:rFonts w:ascii="Arial" w:hAnsi="Arial" w:cs="Arial"/>
          <w:color w:val="000000" w:themeColor="text1"/>
          <w:sz w:val="24"/>
          <w:szCs w:val="24"/>
        </w:rPr>
        <w:t xml:space="preserve"> </w:t>
      </w:r>
      <w:r w:rsidR="00001F26" w:rsidRPr="00682149">
        <w:rPr>
          <w:rFonts w:ascii="Arial" w:hAnsi="Arial" w:cs="Arial"/>
          <w:color w:val="000000" w:themeColor="text1"/>
          <w:sz w:val="24"/>
          <w:szCs w:val="24"/>
        </w:rPr>
        <w:t>o que permita a los interesados conocer la decisión y las razones que le sirven de fundamento</w:t>
      </w:r>
      <w:r w:rsidR="00FA2D70" w:rsidRPr="00682149">
        <w:rPr>
          <w:rStyle w:val="Refdenotaalpie"/>
          <w:rFonts w:ascii="Arial" w:hAnsi="Arial" w:cs="Arial"/>
          <w:color w:val="000000" w:themeColor="text1"/>
          <w:sz w:val="24"/>
          <w:szCs w:val="24"/>
        </w:rPr>
        <w:footnoteReference w:id="59"/>
      </w:r>
      <w:r w:rsidR="00001F26" w:rsidRPr="00682149">
        <w:rPr>
          <w:rFonts w:ascii="Arial" w:hAnsi="Arial" w:cs="Arial"/>
          <w:color w:val="000000" w:themeColor="text1"/>
          <w:sz w:val="24"/>
          <w:szCs w:val="24"/>
        </w:rPr>
        <w:t>. E</w:t>
      </w:r>
      <w:r w:rsidR="008F2580" w:rsidRPr="00682149">
        <w:rPr>
          <w:rFonts w:ascii="Arial" w:hAnsi="Arial" w:cs="Arial"/>
          <w:color w:val="000000" w:themeColor="text1"/>
          <w:sz w:val="24"/>
          <w:szCs w:val="24"/>
        </w:rPr>
        <w:t xml:space="preserve">l medio utilizado debe </w:t>
      </w:r>
      <w:r w:rsidR="00FA2D70" w:rsidRPr="00682149">
        <w:rPr>
          <w:rFonts w:ascii="Arial" w:hAnsi="Arial" w:cs="Arial"/>
          <w:color w:val="000000" w:themeColor="text1"/>
          <w:sz w:val="24"/>
          <w:szCs w:val="24"/>
        </w:rPr>
        <w:t>permit</w:t>
      </w:r>
      <w:r w:rsidR="008F2580" w:rsidRPr="00682149">
        <w:rPr>
          <w:rFonts w:ascii="Arial" w:hAnsi="Arial" w:cs="Arial"/>
          <w:color w:val="000000" w:themeColor="text1"/>
          <w:sz w:val="24"/>
          <w:szCs w:val="24"/>
        </w:rPr>
        <w:t xml:space="preserve">ir </w:t>
      </w:r>
      <w:r w:rsidR="00FA2D70" w:rsidRPr="00682149">
        <w:rPr>
          <w:rFonts w:ascii="Arial" w:hAnsi="Arial" w:cs="Arial"/>
          <w:color w:val="000000" w:themeColor="text1"/>
          <w:sz w:val="24"/>
          <w:szCs w:val="24"/>
        </w:rPr>
        <w:t xml:space="preserve">a los </w:t>
      </w:r>
      <w:r w:rsidR="008F2580" w:rsidRPr="00682149">
        <w:rPr>
          <w:rFonts w:ascii="Arial" w:hAnsi="Arial" w:cs="Arial"/>
          <w:color w:val="000000" w:themeColor="text1"/>
          <w:sz w:val="24"/>
          <w:szCs w:val="24"/>
        </w:rPr>
        <w:lastRenderedPageBreak/>
        <w:t xml:space="preserve">usuarios o </w:t>
      </w:r>
      <w:r w:rsidR="00FA2D70" w:rsidRPr="00682149">
        <w:rPr>
          <w:rFonts w:ascii="Arial" w:hAnsi="Arial" w:cs="Arial"/>
          <w:color w:val="000000" w:themeColor="text1"/>
          <w:sz w:val="24"/>
          <w:szCs w:val="24"/>
        </w:rPr>
        <w:t>destinatarios</w:t>
      </w:r>
      <w:r w:rsidR="00001F26" w:rsidRPr="00682149">
        <w:rPr>
          <w:rFonts w:ascii="Arial" w:hAnsi="Arial" w:cs="Arial"/>
          <w:color w:val="000000" w:themeColor="text1"/>
          <w:sz w:val="24"/>
          <w:szCs w:val="24"/>
        </w:rPr>
        <w:t xml:space="preserve"> conocer los componentes de las tarifas. </w:t>
      </w:r>
      <w:r w:rsidR="008F2580" w:rsidRPr="00682149">
        <w:rPr>
          <w:rFonts w:ascii="Arial" w:hAnsi="Arial" w:cs="Arial"/>
          <w:color w:val="000000" w:themeColor="text1"/>
          <w:sz w:val="24"/>
          <w:szCs w:val="24"/>
        </w:rPr>
        <w:t>En ese orden, l</w:t>
      </w:r>
      <w:r w:rsidR="00FA2D70" w:rsidRPr="00682149">
        <w:rPr>
          <w:rFonts w:ascii="Arial" w:hAnsi="Arial" w:cs="Arial"/>
          <w:color w:val="000000" w:themeColor="text1"/>
          <w:sz w:val="24"/>
          <w:szCs w:val="24"/>
        </w:rPr>
        <w:t>a publicidad comporta un requisito</w:t>
      </w:r>
      <w:r w:rsidR="008F2580" w:rsidRPr="00682149">
        <w:rPr>
          <w:rFonts w:ascii="Arial" w:hAnsi="Arial" w:cs="Arial"/>
          <w:color w:val="000000" w:themeColor="text1"/>
          <w:sz w:val="24"/>
          <w:szCs w:val="24"/>
        </w:rPr>
        <w:t xml:space="preserve"> esencial y </w:t>
      </w:r>
      <w:r w:rsidR="00FA2D70" w:rsidRPr="00682149">
        <w:rPr>
          <w:rFonts w:ascii="Arial" w:hAnsi="Arial" w:cs="Arial"/>
          <w:color w:val="000000" w:themeColor="text1"/>
          <w:sz w:val="24"/>
          <w:szCs w:val="24"/>
        </w:rPr>
        <w:t>de eficacia del acto</w:t>
      </w:r>
      <w:r w:rsidR="001F3932" w:rsidRPr="00682149">
        <w:rPr>
          <w:rFonts w:ascii="Arial" w:hAnsi="Arial" w:cs="Arial"/>
          <w:color w:val="000000" w:themeColor="text1"/>
          <w:sz w:val="24"/>
          <w:szCs w:val="24"/>
        </w:rPr>
        <w:t xml:space="preserve">. Solo así </w:t>
      </w:r>
      <w:r w:rsidR="008F2580" w:rsidRPr="00682149">
        <w:rPr>
          <w:rFonts w:ascii="Arial" w:hAnsi="Arial" w:cs="Arial"/>
          <w:color w:val="000000" w:themeColor="text1"/>
          <w:sz w:val="24"/>
          <w:szCs w:val="24"/>
        </w:rPr>
        <w:t>result</w:t>
      </w:r>
      <w:r w:rsidR="001F3932" w:rsidRPr="00682149">
        <w:rPr>
          <w:rFonts w:ascii="Arial" w:hAnsi="Arial" w:cs="Arial"/>
          <w:color w:val="000000" w:themeColor="text1"/>
          <w:sz w:val="24"/>
          <w:szCs w:val="24"/>
        </w:rPr>
        <w:t>a</w:t>
      </w:r>
      <w:r w:rsidR="008F2580" w:rsidRPr="00682149">
        <w:rPr>
          <w:rFonts w:ascii="Arial" w:hAnsi="Arial" w:cs="Arial"/>
          <w:color w:val="000000" w:themeColor="text1"/>
          <w:sz w:val="24"/>
          <w:szCs w:val="24"/>
        </w:rPr>
        <w:t>n</w:t>
      </w:r>
      <w:r w:rsidR="00001F26" w:rsidRPr="00682149">
        <w:rPr>
          <w:rFonts w:ascii="Arial" w:hAnsi="Arial" w:cs="Arial"/>
          <w:color w:val="000000" w:themeColor="text1"/>
          <w:sz w:val="24"/>
          <w:szCs w:val="24"/>
        </w:rPr>
        <w:t xml:space="preserve"> oponibles a los usuarios </w:t>
      </w:r>
      <w:r w:rsidR="00FA2D70" w:rsidRPr="00682149">
        <w:rPr>
          <w:rFonts w:ascii="Arial" w:hAnsi="Arial" w:cs="Arial"/>
          <w:color w:val="000000" w:themeColor="text1"/>
          <w:sz w:val="24"/>
          <w:szCs w:val="24"/>
        </w:rPr>
        <w:t>las tarifas</w:t>
      </w:r>
      <w:r w:rsidR="008F2580" w:rsidRPr="00682149">
        <w:rPr>
          <w:rFonts w:ascii="Arial" w:hAnsi="Arial" w:cs="Arial"/>
          <w:color w:val="000000" w:themeColor="text1"/>
          <w:sz w:val="24"/>
          <w:szCs w:val="24"/>
        </w:rPr>
        <w:t xml:space="preserve"> que se cobran por el servicio, a fin de que puedan controvertir el </w:t>
      </w:r>
      <w:r w:rsidR="000F1707" w:rsidRPr="00682149">
        <w:rPr>
          <w:rFonts w:ascii="Arial" w:hAnsi="Arial" w:cs="Arial"/>
          <w:color w:val="000000" w:themeColor="text1"/>
          <w:sz w:val="24"/>
          <w:szCs w:val="24"/>
        </w:rPr>
        <w:t>cobro por el coste del servicio</w:t>
      </w:r>
      <w:r w:rsidR="001F3932" w:rsidRPr="00682149">
        <w:rPr>
          <w:rFonts w:ascii="Arial" w:hAnsi="Arial" w:cs="Arial"/>
          <w:color w:val="000000" w:themeColor="text1"/>
          <w:sz w:val="24"/>
          <w:szCs w:val="24"/>
        </w:rPr>
        <w:t xml:space="preserve">. </w:t>
      </w:r>
    </w:p>
    <w:p w14:paraId="6FCFFE1C" w14:textId="77777777" w:rsidR="003E65C9" w:rsidRPr="00682149" w:rsidRDefault="003E65C9" w:rsidP="001C138F">
      <w:pPr>
        <w:spacing w:after="0" w:line="276" w:lineRule="auto"/>
        <w:jc w:val="both"/>
        <w:rPr>
          <w:rFonts w:ascii="Arial" w:hAnsi="Arial" w:cs="Arial"/>
          <w:color w:val="000000" w:themeColor="text1"/>
          <w:sz w:val="24"/>
          <w:szCs w:val="24"/>
          <w:highlight w:val="cyan"/>
        </w:rPr>
      </w:pPr>
    </w:p>
    <w:p w14:paraId="031DA4BA" w14:textId="650DB636" w:rsidR="00831443" w:rsidRPr="00682149" w:rsidRDefault="004E614C" w:rsidP="001C138F">
      <w:pPr>
        <w:spacing w:after="0" w:line="276" w:lineRule="auto"/>
        <w:jc w:val="both"/>
        <w:rPr>
          <w:rFonts w:ascii="Arial" w:hAnsi="Arial" w:cs="Arial"/>
          <w:color w:val="000000" w:themeColor="text1"/>
          <w:sz w:val="24"/>
          <w:szCs w:val="24"/>
        </w:rPr>
      </w:pPr>
      <w:r w:rsidRPr="00682149">
        <w:rPr>
          <w:rFonts w:ascii="Arial" w:hAnsi="Arial" w:cs="Arial"/>
          <w:color w:val="000000" w:themeColor="text1"/>
          <w:sz w:val="24"/>
          <w:szCs w:val="24"/>
        </w:rPr>
        <w:t>De acuerdo con lo anterior, en</w:t>
      </w:r>
      <w:r w:rsidR="003E65C9" w:rsidRPr="00682149">
        <w:rPr>
          <w:rFonts w:ascii="Arial" w:hAnsi="Arial" w:cs="Arial"/>
          <w:color w:val="000000" w:themeColor="text1"/>
          <w:sz w:val="24"/>
          <w:szCs w:val="24"/>
        </w:rPr>
        <w:t xml:space="preserve"> </w:t>
      </w:r>
      <w:r w:rsidR="005B3884" w:rsidRPr="00682149">
        <w:rPr>
          <w:rFonts w:ascii="Arial" w:hAnsi="Arial" w:cs="Arial"/>
          <w:color w:val="000000" w:themeColor="text1"/>
          <w:sz w:val="24"/>
          <w:szCs w:val="24"/>
        </w:rPr>
        <w:t xml:space="preserve">las </w:t>
      </w:r>
      <w:r w:rsidR="003E65C9" w:rsidRPr="00682149">
        <w:rPr>
          <w:rFonts w:ascii="Arial" w:hAnsi="Arial" w:cs="Arial"/>
          <w:color w:val="000000" w:themeColor="text1"/>
          <w:sz w:val="24"/>
          <w:szCs w:val="24"/>
        </w:rPr>
        <w:t xml:space="preserve">zonas no interconectadas, </w:t>
      </w:r>
      <w:r w:rsidR="00831443" w:rsidRPr="00682149">
        <w:rPr>
          <w:rFonts w:ascii="Arial" w:hAnsi="Arial" w:cs="Arial"/>
          <w:color w:val="000000" w:themeColor="text1"/>
          <w:sz w:val="24"/>
          <w:szCs w:val="24"/>
        </w:rPr>
        <w:t xml:space="preserve">los operadores no quedan eximidos de dicho requisito. Deberán garantizar </w:t>
      </w:r>
      <w:r w:rsidR="003E65C9" w:rsidRPr="00682149">
        <w:rPr>
          <w:rFonts w:ascii="Arial" w:hAnsi="Arial" w:cs="Arial"/>
          <w:color w:val="000000" w:themeColor="text1"/>
          <w:sz w:val="24"/>
          <w:szCs w:val="24"/>
        </w:rPr>
        <w:t>la publicidad de</w:t>
      </w:r>
      <w:r w:rsidR="003404C2">
        <w:rPr>
          <w:rFonts w:ascii="Arial" w:hAnsi="Arial" w:cs="Arial"/>
          <w:color w:val="000000" w:themeColor="text1"/>
          <w:sz w:val="24"/>
          <w:szCs w:val="24"/>
        </w:rPr>
        <w:t>l</w:t>
      </w:r>
      <w:r w:rsidR="003E65C9" w:rsidRPr="00682149">
        <w:rPr>
          <w:rFonts w:ascii="Arial" w:hAnsi="Arial" w:cs="Arial"/>
          <w:color w:val="000000" w:themeColor="text1"/>
          <w:sz w:val="24"/>
          <w:szCs w:val="24"/>
        </w:rPr>
        <w:t xml:space="preserve"> acto</w:t>
      </w:r>
      <w:r w:rsidR="00831443" w:rsidRPr="00682149">
        <w:rPr>
          <w:rFonts w:ascii="Arial" w:hAnsi="Arial" w:cs="Arial"/>
          <w:color w:val="000000" w:themeColor="text1"/>
          <w:sz w:val="24"/>
          <w:szCs w:val="24"/>
        </w:rPr>
        <w:t>, bien sea</w:t>
      </w:r>
      <w:r w:rsidR="003E65C9" w:rsidRPr="00682149">
        <w:rPr>
          <w:rFonts w:ascii="Arial" w:hAnsi="Arial" w:cs="Arial"/>
          <w:color w:val="000000" w:themeColor="text1"/>
          <w:sz w:val="24"/>
          <w:szCs w:val="24"/>
        </w:rPr>
        <w:t xml:space="preserve"> a través de la factura con destino final al</w:t>
      </w:r>
      <w:r w:rsidR="007D6963" w:rsidRPr="00682149">
        <w:rPr>
          <w:rFonts w:ascii="Arial" w:hAnsi="Arial" w:cs="Arial"/>
          <w:color w:val="000000" w:themeColor="text1"/>
          <w:sz w:val="24"/>
          <w:szCs w:val="24"/>
        </w:rPr>
        <w:t xml:space="preserve"> respectivo </w:t>
      </w:r>
      <w:r w:rsidR="00831443" w:rsidRPr="00682149">
        <w:rPr>
          <w:rFonts w:ascii="Arial" w:hAnsi="Arial" w:cs="Arial"/>
          <w:color w:val="000000" w:themeColor="text1"/>
          <w:sz w:val="24"/>
          <w:szCs w:val="24"/>
        </w:rPr>
        <w:t xml:space="preserve">usuario o mediante anexo explicativo, para dar </w:t>
      </w:r>
      <w:r w:rsidR="003E65C9" w:rsidRPr="00682149">
        <w:rPr>
          <w:rFonts w:ascii="Arial" w:hAnsi="Arial" w:cs="Arial"/>
          <w:color w:val="000000" w:themeColor="text1"/>
          <w:sz w:val="24"/>
          <w:szCs w:val="24"/>
        </w:rPr>
        <w:t xml:space="preserve">a conocer de manera detallada los componentes y variables del costo final, para </w:t>
      </w:r>
      <w:r w:rsidR="007D6963" w:rsidRPr="00682149">
        <w:rPr>
          <w:rFonts w:ascii="Arial" w:hAnsi="Arial" w:cs="Arial"/>
          <w:color w:val="000000" w:themeColor="text1"/>
          <w:sz w:val="24"/>
          <w:szCs w:val="24"/>
        </w:rPr>
        <w:t xml:space="preserve">efectos de su oponibilidad. </w:t>
      </w:r>
      <w:r w:rsidR="003E65C9" w:rsidRPr="00682149">
        <w:rPr>
          <w:rFonts w:ascii="Arial" w:hAnsi="Arial" w:cs="Arial"/>
          <w:color w:val="000000" w:themeColor="text1"/>
          <w:sz w:val="24"/>
          <w:szCs w:val="24"/>
        </w:rPr>
        <w:t>Este medio comporta una garantía de doble vía</w:t>
      </w:r>
      <w:r w:rsidR="007D6963" w:rsidRPr="00682149">
        <w:rPr>
          <w:rFonts w:ascii="Arial" w:hAnsi="Arial" w:cs="Arial"/>
          <w:color w:val="000000" w:themeColor="text1"/>
          <w:sz w:val="24"/>
          <w:szCs w:val="24"/>
        </w:rPr>
        <w:t xml:space="preserve"> de cara al prestador y al usuario</w:t>
      </w:r>
      <w:r w:rsidR="003E65C9" w:rsidRPr="00682149">
        <w:rPr>
          <w:rFonts w:ascii="Arial" w:hAnsi="Arial" w:cs="Arial"/>
          <w:color w:val="000000" w:themeColor="text1"/>
          <w:sz w:val="24"/>
          <w:szCs w:val="24"/>
        </w:rPr>
        <w:t xml:space="preserve"> y su </w:t>
      </w:r>
      <w:r w:rsidR="00FA2D70" w:rsidRPr="00682149">
        <w:rPr>
          <w:rFonts w:ascii="Arial" w:hAnsi="Arial" w:cs="Arial"/>
          <w:color w:val="000000" w:themeColor="text1"/>
          <w:sz w:val="24"/>
          <w:szCs w:val="24"/>
        </w:rPr>
        <w:t>cumplim</w:t>
      </w:r>
      <w:r w:rsidR="00800B15" w:rsidRPr="00682149">
        <w:rPr>
          <w:rFonts w:ascii="Arial" w:hAnsi="Arial" w:cs="Arial"/>
          <w:color w:val="000000" w:themeColor="text1"/>
          <w:sz w:val="24"/>
          <w:szCs w:val="24"/>
        </w:rPr>
        <w:t>iento busca</w:t>
      </w:r>
      <w:r w:rsidR="00FA2D70" w:rsidRPr="00682149">
        <w:rPr>
          <w:rFonts w:ascii="Arial" w:hAnsi="Arial" w:cs="Arial"/>
          <w:color w:val="000000" w:themeColor="text1"/>
          <w:sz w:val="24"/>
          <w:szCs w:val="24"/>
        </w:rPr>
        <w:t xml:space="preserve"> </w:t>
      </w:r>
      <w:r w:rsidR="00001F26" w:rsidRPr="00682149">
        <w:rPr>
          <w:rFonts w:ascii="Arial" w:hAnsi="Arial" w:cs="Arial"/>
          <w:color w:val="000000" w:themeColor="text1"/>
          <w:sz w:val="24"/>
          <w:szCs w:val="24"/>
        </w:rPr>
        <w:t>la protección del consumidor final</w:t>
      </w:r>
    </w:p>
    <w:p w14:paraId="4037F0EA" w14:textId="3E6C8F29" w:rsidR="00310C06" w:rsidRPr="00682149" w:rsidRDefault="00310C06" w:rsidP="001C138F">
      <w:pPr>
        <w:spacing w:after="0" w:line="276" w:lineRule="auto"/>
        <w:jc w:val="both"/>
        <w:rPr>
          <w:rFonts w:ascii="Arial" w:hAnsi="Arial" w:cs="Arial"/>
          <w:color w:val="000000" w:themeColor="text1"/>
        </w:rPr>
      </w:pPr>
    </w:p>
    <w:p w14:paraId="40EAB5DA" w14:textId="3B519BF8" w:rsidR="00202AA8" w:rsidRPr="00682149" w:rsidRDefault="001D37B6" w:rsidP="001C138F">
      <w:pPr>
        <w:spacing w:after="0" w:line="276" w:lineRule="auto"/>
        <w:jc w:val="both"/>
        <w:rPr>
          <w:rFonts w:ascii="Arial" w:hAnsi="Arial" w:cs="Arial"/>
          <w:b/>
          <w:color w:val="000000" w:themeColor="text1"/>
          <w:sz w:val="24"/>
          <w:szCs w:val="24"/>
        </w:rPr>
      </w:pPr>
      <w:r w:rsidRPr="00682149">
        <w:rPr>
          <w:rFonts w:ascii="Arial" w:hAnsi="Arial" w:cs="Arial"/>
          <w:b/>
          <w:color w:val="000000" w:themeColor="text1"/>
          <w:sz w:val="24"/>
          <w:szCs w:val="24"/>
        </w:rPr>
        <w:t>2.5.</w:t>
      </w:r>
      <w:r w:rsidR="00202AA8" w:rsidRPr="00682149">
        <w:rPr>
          <w:rFonts w:ascii="Arial" w:hAnsi="Arial" w:cs="Arial"/>
          <w:b/>
          <w:color w:val="000000" w:themeColor="text1"/>
          <w:sz w:val="24"/>
          <w:szCs w:val="24"/>
        </w:rPr>
        <w:t xml:space="preserve">12. Artículo 12º. </w:t>
      </w:r>
    </w:p>
    <w:p w14:paraId="074F4EBB" w14:textId="77777777" w:rsidR="00202AA8" w:rsidRPr="00682149" w:rsidRDefault="00202AA8" w:rsidP="001C138F">
      <w:pPr>
        <w:spacing w:after="0" w:line="276" w:lineRule="auto"/>
        <w:ind w:left="567"/>
        <w:jc w:val="both"/>
        <w:rPr>
          <w:rFonts w:ascii="Arial" w:hAnsi="Arial" w:cs="Arial"/>
          <w:b/>
          <w:color w:val="000000" w:themeColor="text1"/>
          <w:sz w:val="24"/>
          <w:szCs w:val="24"/>
        </w:rPr>
      </w:pPr>
    </w:p>
    <w:p w14:paraId="3D220AF6" w14:textId="280B5B07" w:rsidR="00310C06" w:rsidRPr="00682149" w:rsidRDefault="00202AA8" w:rsidP="001C138F">
      <w:pPr>
        <w:spacing w:after="0" w:line="276" w:lineRule="auto"/>
        <w:ind w:left="567"/>
        <w:jc w:val="both"/>
        <w:rPr>
          <w:rFonts w:ascii="Arial" w:hAnsi="Arial" w:cs="Arial"/>
          <w:color w:val="000000" w:themeColor="text1"/>
        </w:rPr>
      </w:pPr>
      <w:r w:rsidRPr="00682149">
        <w:rPr>
          <w:rFonts w:ascii="Arial" w:hAnsi="Arial" w:cs="Arial"/>
          <w:b/>
          <w:i/>
          <w:color w:val="000000" w:themeColor="text1"/>
        </w:rPr>
        <w:t>“</w:t>
      </w:r>
      <w:r w:rsidR="00310C06" w:rsidRPr="00682149">
        <w:rPr>
          <w:rFonts w:ascii="Arial" w:hAnsi="Arial" w:cs="Arial"/>
          <w:b/>
          <w:i/>
          <w:color w:val="000000" w:themeColor="text1"/>
        </w:rPr>
        <w:t xml:space="preserve">Autorización para fijar Tarifas. </w:t>
      </w:r>
      <w:r w:rsidR="00310C06" w:rsidRPr="00682149">
        <w:rPr>
          <w:rFonts w:ascii="Arial" w:hAnsi="Arial" w:cs="Arial"/>
          <w:i/>
          <w:color w:val="000000" w:themeColor="text1"/>
        </w:rPr>
        <w:t xml:space="preserve">Dentro del régimen de libertad regulada, previsto en la Ley 142 de 1994, los prestadores del servicio de energía eléctrica a los que se refiere la presente resolución podrán aplicar la fórmula tarifaria correspondiente, a partir del mes siguiente a la publicación tarifaria de que trata el artículo 11 de la presente resolución. </w:t>
      </w:r>
    </w:p>
    <w:p w14:paraId="7D623285" w14:textId="6BC8951C" w:rsidR="00A2375F" w:rsidRPr="00682149" w:rsidRDefault="00310C06" w:rsidP="001C138F">
      <w:pPr>
        <w:spacing w:after="0" w:line="276" w:lineRule="auto"/>
        <w:ind w:left="567"/>
        <w:jc w:val="both"/>
        <w:rPr>
          <w:rFonts w:ascii="Arial" w:hAnsi="Arial" w:cs="Arial"/>
          <w:color w:val="000000" w:themeColor="text1"/>
        </w:rPr>
      </w:pPr>
      <w:r w:rsidRPr="00682149">
        <w:rPr>
          <w:rFonts w:ascii="Arial" w:hAnsi="Arial" w:cs="Arial"/>
          <w:i/>
          <w:color w:val="000000" w:themeColor="text1"/>
        </w:rPr>
        <w:t xml:space="preserve"> </w:t>
      </w:r>
    </w:p>
    <w:p w14:paraId="74C835DB" w14:textId="3AC93818" w:rsidR="00B0637F" w:rsidRPr="00682149" w:rsidRDefault="00DA02F7" w:rsidP="001C138F">
      <w:pPr>
        <w:spacing w:after="0" w:line="276" w:lineRule="auto"/>
        <w:jc w:val="both"/>
        <w:rPr>
          <w:rFonts w:ascii="Arial" w:eastAsiaTheme="minorEastAsia" w:hAnsi="Arial" w:cs="Arial"/>
          <w:iCs/>
          <w:color w:val="000000" w:themeColor="text1"/>
          <w:sz w:val="24"/>
          <w:szCs w:val="24"/>
          <w:lang w:val="es-ES" w:eastAsia="es-ES"/>
        </w:rPr>
      </w:pPr>
      <w:r w:rsidRPr="00682149">
        <w:rPr>
          <w:rFonts w:ascii="Arial" w:eastAsia="Arial" w:hAnsi="Arial" w:cs="Arial"/>
          <w:color w:val="000000" w:themeColor="text1"/>
          <w:sz w:val="24"/>
          <w:szCs w:val="24"/>
          <w:lang w:val="es-CO"/>
        </w:rPr>
        <w:t>L</w:t>
      </w:r>
      <w:r w:rsidR="003E65C9" w:rsidRPr="00682149">
        <w:rPr>
          <w:rFonts w:ascii="Arial" w:eastAsia="Arial" w:hAnsi="Arial" w:cs="Arial"/>
          <w:color w:val="000000" w:themeColor="text1"/>
          <w:sz w:val="24"/>
          <w:szCs w:val="24"/>
          <w:lang w:val="es-CO"/>
        </w:rPr>
        <w:t>a fijación de las fórmulas tarif</w:t>
      </w:r>
      <w:r w:rsidRPr="00682149">
        <w:rPr>
          <w:rFonts w:ascii="Arial" w:eastAsia="Arial" w:hAnsi="Arial" w:cs="Arial"/>
          <w:color w:val="000000" w:themeColor="text1"/>
          <w:sz w:val="24"/>
          <w:szCs w:val="24"/>
          <w:lang w:val="es-CO"/>
        </w:rPr>
        <w:t>aria</w:t>
      </w:r>
      <w:r w:rsidR="003E65C9" w:rsidRPr="00682149">
        <w:rPr>
          <w:rFonts w:ascii="Arial" w:eastAsia="Arial" w:hAnsi="Arial" w:cs="Arial"/>
          <w:color w:val="000000" w:themeColor="text1"/>
          <w:sz w:val="24"/>
          <w:szCs w:val="24"/>
          <w:lang w:val="es-CO"/>
        </w:rPr>
        <w:t xml:space="preserve">s por la prestación del servicio en los sistemas solares </w:t>
      </w:r>
      <w:r w:rsidR="00A0204A" w:rsidRPr="00682149">
        <w:rPr>
          <w:rFonts w:ascii="Arial" w:eastAsia="Arial" w:hAnsi="Arial" w:cs="Arial"/>
          <w:color w:val="000000" w:themeColor="text1"/>
          <w:sz w:val="24"/>
          <w:szCs w:val="24"/>
          <w:lang w:val="es-CO"/>
        </w:rPr>
        <w:t>fotovoltaicos</w:t>
      </w:r>
      <w:r w:rsidR="003E65C9" w:rsidRPr="00682149">
        <w:rPr>
          <w:rFonts w:ascii="Arial" w:eastAsia="Arial" w:hAnsi="Arial" w:cs="Arial"/>
          <w:color w:val="000000" w:themeColor="text1"/>
          <w:sz w:val="24"/>
          <w:szCs w:val="24"/>
          <w:lang w:val="es-CO"/>
        </w:rPr>
        <w:t xml:space="preserve"> individuales con </w:t>
      </w:r>
      <w:r w:rsidR="004E614C" w:rsidRPr="00682149">
        <w:rPr>
          <w:rFonts w:ascii="Arial" w:eastAsia="Arial" w:hAnsi="Arial" w:cs="Arial"/>
          <w:color w:val="000000" w:themeColor="text1"/>
          <w:sz w:val="24"/>
          <w:szCs w:val="24"/>
          <w:lang w:val="es-CO"/>
        </w:rPr>
        <w:t>potencia</w:t>
      </w:r>
      <w:r w:rsidR="003E65C9" w:rsidRPr="00682149">
        <w:rPr>
          <w:rFonts w:ascii="Arial" w:eastAsia="Arial" w:hAnsi="Arial" w:cs="Arial"/>
          <w:color w:val="000000" w:themeColor="text1"/>
          <w:sz w:val="24"/>
          <w:szCs w:val="24"/>
          <w:lang w:val="es-CO"/>
        </w:rPr>
        <w:t xml:space="preserve"> superior a 500 W,</w:t>
      </w:r>
      <w:r w:rsidR="00782265" w:rsidRPr="00682149">
        <w:rPr>
          <w:rStyle w:val="Refdenotaalpie"/>
          <w:rFonts w:ascii="Arial" w:eastAsia="Arial" w:hAnsi="Arial" w:cs="Arial"/>
          <w:color w:val="000000" w:themeColor="text1"/>
          <w:sz w:val="24"/>
          <w:szCs w:val="24"/>
          <w:lang w:val="es-CO"/>
        </w:rPr>
        <w:footnoteReference w:id="60"/>
      </w:r>
      <w:r w:rsidRPr="00682149">
        <w:rPr>
          <w:rFonts w:ascii="Arial" w:eastAsia="Arial" w:hAnsi="Arial" w:cs="Arial"/>
          <w:color w:val="000000" w:themeColor="text1"/>
          <w:sz w:val="24"/>
          <w:szCs w:val="24"/>
          <w:lang w:val="es-CO"/>
        </w:rPr>
        <w:t xml:space="preserve"> </w:t>
      </w:r>
      <w:r w:rsidR="0085761C" w:rsidRPr="00682149">
        <w:rPr>
          <w:rFonts w:ascii="Arial" w:hAnsi="Arial" w:cs="Arial"/>
          <w:color w:val="000000" w:themeColor="text1"/>
          <w:sz w:val="24"/>
          <w:szCs w:val="24"/>
        </w:rPr>
        <w:t xml:space="preserve"> </w:t>
      </w:r>
      <w:r w:rsidR="005A0276" w:rsidRPr="00682149">
        <w:rPr>
          <w:rFonts w:ascii="Arial" w:hAnsi="Arial" w:cs="Arial"/>
          <w:color w:val="000000" w:themeColor="text1"/>
          <w:sz w:val="24"/>
          <w:szCs w:val="24"/>
        </w:rPr>
        <w:t xml:space="preserve">se encuentra </w:t>
      </w:r>
      <w:r w:rsidR="0085761C" w:rsidRPr="00682149">
        <w:rPr>
          <w:rFonts w:ascii="Arial" w:hAnsi="Arial" w:cs="Arial"/>
          <w:color w:val="000000" w:themeColor="text1"/>
          <w:sz w:val="24"/>
          <w:szCs w:val="24"/>
        </w:rPr>
        <w:t xml:space="preserve">sometida </w:t>
      </w:r>
      <w:r w:rsidR="003404C2">
        <w:rPr>
          <w:rFonts w:ascii="Arial" w:hAnsi="Arial" w:cs="Arial"/>
          <w:color w:val="000000" w:themeColor="text1"/>
          <w:sz w:val="24"/>
          <w:szCs w:val="24"/>
        </w:rPr>
        <w:t xml:space="preserve">al </w:t>
      </w:r>
      <w:r w:rsidR="0085761C" w:rsidRPr="00682149">
        <w:rPr>
          <w:rFonts w:ascii="Arial" w:hAnsi="Arial" w:cs="Arial"/>
          <w:color w:val="000000" w:themeColor="text1"/>
          <w:sz w:val="24"/>
          <w:szCs w:val="24"/>
        </w:rPr>
        <w:t xml:space="preserve">régimen de </w:t>
      </w:r>
      <w:r w:rsidR="00BD7B6C" w:rsidRPr="00682149">
        <w:rPr>
          <w:rFonts w:ascii="Arial" w:eastAsiaTheme="minorEastAsia" w:hAnsi="Arial" w:cs="Arial"/>
          <w:i/>
          <w:iCs/>
          <w:color w:val="000000" w:themeColor="text1"/>
          <w:sz w:val="24"/>
          <w:szCs w:val="24"/>
          <w:lang w:val="es-ES" w:eastAsia="es-ES"/>
        </w:rPr>
        <w:t>Libertad regulada</w:t>
      </w:r>
      <w:r w:rsidR="00BD7B6C" w:rsidRPr="00682149">
        <w:rPr>
          <w:rStyle w:val="Refdenotaalpie"/>
          <w:rFonts w:ascii="Arial" w:eastAsiaTheme="minorEastAsia" w:hAnsi="Arial" w:cs="Arial"/>
          <w:i/>
          <w:iCs/>
          <w:color w:val="000000" w:themeColor="text1"/>
          <w:sz w:val="24"/>
          <w:szCs w:val="24"/>
          <w:lang w:val="es-ES" w:eastAsia="es-ES"/>
        </w:rPr>
        <w:footnoteReference w:id="61"/>
      </w:r>
      <w:r w:rsidR="00BD7B6C" w:rsidRPr="00682149">
        <w:rPr>
          <w:rFonts w:ascii="Arial" w:eastAsiaTheme="minorEastAsia" w:hAnsi="Arial" w:cs="Arial"/>
          <w:i/>
          <w:iCs/>
          <w:color w:val="000000" w:themeColor="text1"/>
          <w:sz w:val="24"/>
          <w:szCs w:val="24"/>
          <w:lang w:val="es-ES" w:eastAsia="es-ES"/>
        </w:rPr>
        <w:t xml:space="preserve">, </w:t>
      </w:r>
      <w:r w:rsidR="00B0637F" w:rsidRPr="00682149">
        <w:rPr>
          <w:rFonts w:ascii="Arial" w:eastAsiaTheme="minorEastAsia" w:hAnsi="Arial" w:cs="Arial"/>
          <w:iCs/>
          <w:color w:val="000000" w:themeColor="text1"/>
          <w:sz w:val="24"/>
          <w:szCs w:val="24"/>
          <w:lang w:val="es-ES" w:eastAsia="es-ES"/>
        </w:rPr>
        <w:t xml:space="preserve">por </w:t>
      </w:r>
      <w:r w:rsidR="0085761C" w:rsidRPr="00682149">
        <w:rPr>
          <w:rFonts w:ascii="Arial" w:eastAsiaTheme="minorEastAsia" w:hAnsi="Arial" w:cs="Arial"/>
          <w:iCs/>
          <w:color w:val="000000" w:themeColor="text1"/>
          <w:sz w:val="24"/>
          <w:szCs w:val="24"/>
          <w:lang w:val="es-ES" w:eastAsia="es-ES"/>
        </w:rPr>
        <w:t xml:space="preserve">la naturaleza </w:t>
      </w:r>
      <w:r w:rsidR="00B0637F" w:rsidRPr="00682149">
        <w:rPr>
          <w:rFonts w:ascii="Arial" w:eastAsiaTheme="minorEastAsia" w:hAnsi="Arial" w:cs="Arial"/>
          <w:iCs/>
          <w:color w:val="000000" w:themeColor="text1"/>
          <w:sz w:val="24"/>
          <w:szCs w:val="24"/>
          <w:lang w:val="es-ES" w:eastAsia="es-ES"/>
        </w:rPr>
        <w:t xml:space="preserve">misma </w:t>
      </w:r>
      <w:r w:rsidR="0085761C" w:rsidRPr="00682149">
        <w:rPr>
          <w:rFonts w:ascii="Arial" w:eastAsiaTheme="minorEastAsia" w:hAnsi="Arial" w:cs="Arial"/>
          <w:iCs/>
          <w:color w:val="000000" w:themeColor="text1"/>
          <w:sz w:val="24"/>
          <w:szCs w:val="24"/>
          <w:lang w:val="es-ES" w:eastAsia="es-ES"/>
        </w:rPr>
        <w:t>del servicio</w:t>
      </w:r>
      <w:r w:rsidR="00B0637F" w:rsidRPr="00682149">
        <w:rPr>
          <w:rFonts w:ascii="Arial" w:eastAsiaTheme="minorEastAsia" w:hAnsi="Arial" w:cs="Arial"/>
          <w:iCs/>
          <w:color w:val="000000" w:themeColor="text1"/>
          <w:sz w:val="24"/>
          <w:szCs w:val="24"/>
          <w:lang w:val="es-ES" w:eastAsia="es-ES"/>
        </w:rPr>
        <w:t xml:space="preserve">. </w:t>
      </w:r>
    </w:p>
    <w:p w14:paraId="501F830B" w14:textId="77777777" w:rsidR="00B0637F" w:rsidRPr="00682149" w:rsidRDefault="00B0637F" w:rsidP="001C138F">
      <w:pPr>
        <w:spacing w:after="0" w:line="276" w:lineRule="auto"/>
        <w:jc w:val="both"/>
        <w:rPr>
          <w:rFonts w:ascii="Arial" w:eastAsiaTheme="minorEastAsia" w:hAnsi="Arial" w:cs="Arial"/>
          <w:iCs/>
          <w:color w:val="000000" w:themeColor="text1"/>
          <w:sz w:val="24"/>
          <w:szCs w:val="24"/>
          <w:lang w:val="es-ES" w:eastAsia="es-ES"/>
        </w:rPr>
      </w:pPr>
    </w:p>
    <w:p w14:paraId="0CE81FD1" w14:textId="5A1426FC" w:rsidR="00DA02F7" w:rsidRPr="00682149" w:rsidRDefault="00B0637F" w:rsidP="001C138F">
      <w:pPr>
        <w:spacing w:after="0" w:line="276" w:lineRule="auto"/>
        <w:jc w:val="both"/>
        <w:rPr>
          <w:rFonts w:ascii="Arial" w:hAnsi="Arial" w:cs="Arial"/>
          <w:color w:val="000000" w:themeColor="text1"/>
          <w:sz w:val="24"/>
          <w:szCs w:val="24"/>
        </w:rPr>
      </w:pPr>
      <w:r w:rsidRPr="00682149">
        <w:rPr>
          <w:rFonts w:ascii="Arial" w:eastAsiaTheme="minorEastAsia" w:hAnsi="Arial" w:cs="Arial"/>
          <w:iCs/>
          <w:color w:val="000000" w:themeColor="text1"/>
          <w:sz w:val="24"/>
          <w:szCs w:val="24"/>
          <w:lang w:val="es-ES" w:eastAsia="es-ES"/>
        </w:rPr>
        <w:t xml:space="preserve">En ese orden, </w:t>
      </w:r>
      <w:r w:rsidR="0085761C" w:rsidRPr="00682149">
        <w:rPr>
          <w:rFonts w:ascii="Arial" w:eastAsiaTheme="minorEastAsia" w:hAnsi="Arial" w:cs="Arial"/>
          <w:iCs/>
          <w:color w:val="000000" w:themeColor="text1"/>
          <w:sz w:val="24"/>
          <w:szCs w:val="24"/>
          <w:lang w:val="es-ES" w:eastAsia="es-ES"/>
        </w:rPr>
        <w:t xml:space="preserve">dadas las facultades de intervención y regulación, </w:t>
      </w:r>
      <w:r w:rsidR="00BD7B6C" w:rsidRPr="00682149">
        <w:rPr>
          <w:rFonts w:ascii="Arial" w:eastAsiaTheme="minorEastAsia" w:hAnsi="Arial" w:cs="Arial"/>
          <w:color w:val="000000" w:themeColor="text1"/>
          <w:sz w:val="24"/>
          <w:szCs w:val="24"/>
          <w:lang w:val="es-ES" w:eastAsia="es-ES"/>
        </w:rPr>
        <w:t>la Comisión de Regulación de Energía y Gas fija los criterios y la metodología con arreglo a los cuales las empresas de electricidad podrán determinar o modificar los precios máximos para los servicios ofrecidos</w:t>
      </w:r>
      <w:r w:rsidR="0085761C" w:rsidRPr="00682149">
        <w:rPr>
          <w:rFonts w:ascii="Arial" w:eastAsiaTheme="minorEastAsia" w:hAnsi="Arial" w:cs="Arial"/>
          <w:color w:val="000000" w:themeColor="text1"/>
          <w:sz w:val="24"/>
          <w:szCs w:val="24"/>
          <w:lang w:val="es-ES" w:eastAsia="es-ES"/>
        </w:rPr>
        <w:t>. En este caso, los operadores de las empresas para fijar las tarifas a los usuarios finales, además de consultar la metodología empleada en la Resolución 166 tendrá</w:t>
      </w:r>
      <w:r w:rsidR="00E678E3" w:rsidRPr="00682149">
        <w:rPr>
          <w:rFonts w:ascii="Arial" w:eastAsiaTheme="minorEastAsia" w:hAnsi="Arial" w:cs="Arial"/>
          <w:color w:val="000000" w:themeColor="text1"/>
          <w:sz w:val="24"/>
          <w:szCs w:val="24"/>
          <w:lang w:val="es-ES" w:eastAsia="es-ES"/>
        </w:rPr>
        <w:t>n</w:t>
      </w:r>
      <w:r w:rsidR="0085761C" w:rsidRPr="00682149">
        <w:rPr>
          <w:rFonts w:ascii="Arial" w:eastAsiaTheme="minorEastAsia" w:hAnsi="Arial" w:cs="Arial"/>
          <w:color w:val="000000" w:themeColor="text1"/>
          <w:sz w:val="24"/>
          <w:szCs w:val="24"/>
          <w:lang w:val="es-ES" w:eastAsia="es-ES"/>
        </w:rPr>
        <w:t xml:space="preserve"> en cuenta el costo unitario por la prestación del servicio en función de los componentes establecidos y permitidos en la regulación tarifaria</w:t>
      </w:r>
      <w:r w:rsidR="00F20097" w:rsidRPr="00682149">
        <w:rPr>
          <w:rFonts w:ascii="Arial" w:eastAsiaTheme="minorEastAsia" w:hAnsi="Arial" w:cs="Arial"/>
          <w:color w:val="000000" w:themeColor="text1"/>
          <w:sz w:val="24"/>
          <w:szCs w:val="24"/>
          <w:lang w:val="es-ES" w:eastAsia="es-ES"/>
        </w:rPr>
        <w:t>, como quedó indicado en las variables revisadas</w:t>
      </w:r>
      <w:r w:rsidR="0085761C" w:rsidRPr="00682149">
        <w:rPr>
          <w:rFonts w:ascii="Arial" w:eastAsiaTheme="minorEastAsia" w:hAnsi="Arial" w:cs="Arial"/>
          <w:color w:val="000000" w:themeColor="text1"/>
          <w:sz w:val="24"/>
          <w:szCs w:val="24"/>
          <w:lang w:val="es-ES" w:eastAsia="es-ES"/>
        </w:rPr>
        <w:t>.</w:t>
      </w:r>
      <w:r w:rsidR="00F20097" w:rsidRPr="00682149">
        <w:rPr>
          <w:rFonts w:ascii="Arial" w:eastAsiaTheme="minorEastAsia" w:hAnsi="Arial" w:cs="Arial"/>
          <w:color w:val="000000" w:themeColor="text1"/>
          <w:sz w:val="24"/>
          <w:szCs w:val="24"/>
          <w:lang w:val="es-ES" w:eastAsia="es-ES"/>
        </w:rPr>
        <w:t xml:space="preserve"> </w:t>
      </w:r>
    </w:p>
    <w:p w14:paraId="2FB9E17B" w14:textId="77777777" w:rsidR="00BD7B6C" w:rsidRPr="00682149" w:rsidRDefault="00BD7B6C" w:rsidP="001C138F">
      <w:pPr>
        <w:spacing w:after="0" w:line="276" w:lineRule="auto"/>
        <w:jc w:val="both"/>
        <w:rPr>
          <w:rFonts w:ascii="Arial" w:eastAsiaTheme="minorEastAsia" w:hAnsi="Arial" w:cs="Arial"/>
          <w:b/>
          <w:bCs/>
          <w:color w:val="000000" w:themeColor="text1"/>
          <w:sz w:val="24"/>
          <w:szCs w:val="24"/>
          <w:lang w:val="es-ES" w:eastAsia="es-ES"/>
        </w:rPr>
      </w:pPr>
    </w:p>
    <w:p w14:paraId="3838AB83" w14:textId="52286491" w:rsidR="00960D48" w:rsidRPr="00682149" w:rsidRDefault="0085761C" w:rsidP="001C138F">
      <w:pPr>
        <w:spacing w:after="0" w:line="276" w:lineRule="auto"/>
        <w:jc w:val="both"/>
        <w:rPr>
          <w:rFonts w:ascii="Arial" w:eastAsiaTheme="minorEastAsia" w:hAnsi="Arial" w:cs="Arial"/>
          <w:color w:val="000000" w:themeColor="text1"/>
          <w:sz w:val="24"/>
          <w:szCs w:val="24"/>
          <w:lang w:val="es-ES" w:eastAsia="es-ES"/>
        </w:rPr>
      </w:pPr>
      <w:r w:rsidRPr="00682149">
        <w:rPr>
          <w:rFonts w:ascii="Arial" w:eastAsiaTheme="minorEastAsia" w:hAnsi="Arial" w:cs="Arial"/>
          <w:bCs/>
          <w:color w:val="000000" w:themeColor="text1"/>
          <w:sz w:val="24"/>
          <w:szCs w:val="24"/>
          <w:lang w:val="es-ES" w:eastAsia="es-ES"/>
        </w:rPr>
        <w:t xml:space="preserve">Lo anterior, sin perjuicio de que </w:t>
      </w:r>
      <w:r w:rsidR="00FF55F2" w:rsidRPr="00682149">
        <w:rPr>
          <w:rFonts w:ascii="Arial" w:eastAsiaTheme="minorEastAsia" w:hAnsi="Arial" w:cs="Arial"/>
          <w:bCs/>
          <w:color w:val="000000" w:themeColor="text1"/>
          <w:sz w:val="24"/>
          <w:szCs w:val="24"/>
          <w:lang w:val="es-ES" w:eastAsia="es-ES"/>
        </w:rPr>
        <w:t>l</w:t>
      </w:r>
      <w:r w:rsidR="00DA02F7" w:rsidRPr="00682149">
        <w:rPr>
          <w:rFonts w:ascii="Arial" w:eastAsiaTheme="minorEastAsia" w:hAnsi="Arial" w:cs="Arial"/>
          <w:bCs/>
          <w:color w:val="000000" w:themeColor="text1"/>
          <w:sz w:val="24"/>
          <w:szCs w:val="24"/>
          <w:lang w:val="es-ES" w:eastAsia="es-ES"/>
        </w:rPr>
        <w:t>a regulación de la tarifa transitoria</w:t>
      </w:r>
      <w:r w:rsidR="00FF55F2" w:rsidRPr="00682149">
        <w:rPr>
          <w:rFonts w:ascii="Arial" w:eastAsiaTheme="minorEastAsia" w:hAnsi="Arial" w:cs="Arial"/>
          <w:bCs/>
          <w:color w:val="000000" w:themeColor="text1"/>
          <w:sz w:val="24"/>
          <w:szCs w:val="24"/>
          <w:lang w:val="es-ES" w:eastAsia="es-ES"/>
        </w:rPr>
        <w:t xml:space="preserve"> </w:t>
      </w:r>
      <w:r w:rsidR="00DA02F7" w:rsidRPr="00682149">
        <w:rPr>
          <w:rFonts w:ascii="Arial" w:eastAsiaTheme="minorEastAsia" w:hAnsi="Arial" w:cs="Arial"/>
          <w:bCs/>
          <w:color w:val="000000" w:themeColor="text1"/>
          <w:sz w:val="24"/>
          <w:szCs w:val="24"/>
          <w:lang w:val="es-ES" w:eastAsia="es-ES"/>
        </w:rPr>
        <w:t>entr</w:t>
      </w:r>
      <w:r w:rsidR="004B3B88">
        <w:rPr>
          <w:rFonts w:ascii="Arial" w:eastAsiaTheme="minorEastAsia" w:hAnsi="Arial" w:cs="Arial"/>
          <w:bCs/>
          <w:color w:val="000000" w:themeColor="text1"/>
          <w:sz w:val="24"/>
          <w:szCs w:val="24"/>
          <w:lang w:val="es-ES" w:eastAsia="es-ES"/>
        </w:rPr>
        <w:t>e</w:t>
      </w:r>
      <w:r w:rsidR="00DA02F7" w:rsidRPr="00682149">
        <w:rPr>
          <w:rFonts w:ascii="Arial" w:eastAsiaTheme="minorEastAsia" w:hAnsi="Arial" w:cs="Arial"/>
          <w:bCs/>
          <w:color w:val="000000" w:themeColor="text1"/>
          <w:sz w:val="24"/>
          <w:szCs w:val="24"/>
          <w:lang w:val="es-ES" w:eastAsia="es-ES"/>
        </w:rPr>
        <w:t xml:space="preserve"> en vigencia a partir del mes siguiente a la publicació</w:t>
      </w:r>
      <w:r w:rsidR="00886C84" w:rsidRPr="00682149">
        <w:rPr>
          <w:rFonts w:ascii="Arial" w:eastAsiaTheme="minorEastAsia" w:hAnsi="Arial" w:cs="Arial"/>
          <w:bCs/>
          <w:color w:val="000000" w:themeColor="text1"/>
          <w:sz w:val="24"/>
          <w:szCs w:val="24"/>
          <w:lang w:val="es-ES" w:eastAsia="es-ES"/>
        </w:rPr>
        <w:t>n</w:t>
      </w:r>
      <w:r w:rsidR="00746DEA" w:rsidRPr="00682149">
        <w:rPr>
          <w:rFonts w:ascii="Arial" w:eastAsiaTheme="minorEastAsia" w:hAnsi="Arial" w:cs="Arial"/>
          <w:bCs/>
          <w:color w:val="000000" w:themeColor="text1"/>
          <w:sz w:val="24"/>
          <w:szCs w:val="24"/>
          <w:lang w:val="es-ES" w:eastAsia="es-ES"/>
        </w:rPr>
        <w:t xml:space="preserve">. </w:t>
      </w:r>
      <w:r w:rsidR="00746DEA" w:rsidRPr="00682149">
        <w:rPr>
          <w:rFonts w:ascii="Arial" w:eastAsiaTheme="minorEastAsia" w:hAnsi="Arial" w:cs="Arial"/>
          <w:color w:val="000000" w:themeColor="text1"/>
          <w:sz w:val="24"/>
          <w:szCs w:val="24"/>
          <w:lang w:val="es-ES" w:eastAsia="es-ES"/>
        </w:rPr>
        <w:t xml:space="preserve">Decisión que en todo caso no riñe con la norma superior y permite a los operadores ajustar </w:t>
      </w:r>
      <w:r w:rsidR="00960D48" w:rsidRPr="00682149">
        <w:rPr>
          <w:rFonts w:ascii="Arial" w:eastAsiaTheme="minorEastAsia" w:hAnsi="Arial" w:cs="Arial"/>
          <w:color w:val="000000" w:themeColor="text1"/>
          <w:sz w:val="24"/>
          <w:szCs w:val="24"/>
          <w:lang w:val="es-ES" w:eastAsia="es-ES"/>
        </w:rPr>
        <w:t xml:space="preserve">en tiempo </w:t>
      </w:r>
      <w:r w:rsidR="00746DEA" w:rsidRPr="00682149">
        <w:rPr>
          <w:rFonts w:ascii="Arial" w:eastAsiaTheme="minorEastAsia" w:hAnsi="Arial" w:cs="Arial"/>
          <w:color w:val="000000" w:themeColor="text1"/>
          <w:sz w:val="24"/>
          <w:szCs w:val="24"/>
          <w:lang w:val="es-ES" w:eastAsia="es-ES"/>
        </w:rPr>
        <w:t>las tarifas</w:t>
      </w:r>
      <w:r w:rsidR="00960D48" w:rsidRPr="00682149">
        <w:rPr>
          <w:rFonts w:ascii="Arial" w:eastAsiaTheme="minorEastAsia" w:hAnsi="Arial" w:cs="Arial"/>
          <w:color w:val="000000" w:themeColor="text1"/>
          <w:sz w:val="24"/>
          <w:szCs w:val="24"/>
          <w:lang w:val="es-ES" w:eastAsia="es-ES"/>
        </w:rPr>
        <w:t xml:space="preserve"> y los costos con destino a los usuarios finales.</w:t>
      </w:r>
    </w:p>
    <w:p w14:paraId="598A0CE1" w14:textId="77777777" w:rsidR="00960D48" w:rsidRPr="00682149" w:rsidRDefault="00960D48" w:rsidP="001C138F">
      <w:pPr>
        <w:spacing w:after="0" w:line="276" w:lineRule="auto"/>
        <w:jc w:val="both"/>
        <w:rPr>
          <w:rFonts w:ascii="Arial" w:eastAsiaTheme="minorEastAsia" w:hAnsi="Arial" w:cs="Arial"/>
          <w:color w:val="000000" w:themeColor="text1"/>
          <w:sz w:val="24"/>
          <w:szCs w:val="24"/>
          <w:lang w:val="es-ES" w:eastAsia="es-ES"/>
        </w:rPr>
      </w:pPr>
    </w:p>
    <w:p w14:paraId="260988F2" w14:textId="72A6F267" w:rsidR="00886C84" w:rsidRPr="00682149" w:rsidRDefault="00960D48" w:rsidP="001C138F">
      <w:pPr>
        <w:spacing w:after="0" w:line="276" w:lineRule="auto"/>
        <w:jc w:val="both"/>
        <w:rPr>
          <w:rFonts w:ascii="Arial" w:eastAsiaTheme="minorEastAsia" w:hAnsi="Arial" w:cs="Arial"/>
          <w:color w:val="000000" w:themeColor="text1"/>
          <w:sz w:val="24"/>
          <w:szCs w:val="24"/>
          <w:lang w:val="es-ES" w:eastAsia="es-ES"/>
        </w:rPr>
      </w:pPr>
      <w:r w:rsidRPr="00682149">
        <w:rPr>
          <w:rFonts w:ascii="Arial" w:eastAsiaTheme="minorEastAsia" w:hAnsi="Arial" w:cs="Arial"/>
          <w:color w:val="000000" w:themeColor="text1"/>
          <w:sz w:val="24"/>
          <w:szCs w:val="24"/>
          <w:lang w:val="es-ES" w:eastAsia="es-ES"/>
        </w:rPr>
        <w:t xml:space="preserve">Por último, </w:t>
      </w:r>
      <w:r w:rsidR="00FF55F2" w:rsidRPr="00682149">
        <w:rPr>
          <w:rFonts w:ascii="Arial" w:eastAsiaTheme="minorEastAsia" w:hAnsi="Arial" w:cs="Arial"/>
          <w:bCs/>
          <w:color w:val="000000" w:themeColor="text1"/>
          <w:sz w:val="24"/>
          <w:szCs w:val="24"/>
          <w:lang w:val="es-ES" w:eastAsia="es-ES"/>
        </w:rPr>
        <w:t xml:space="preserve">la disposición </w:t>
      </w:r>
      <w:r w:rsidR="00746DEA" w:rsidRPr="00682149">
        <w:rPr>
          <w:rFonts w:ascii="Arial" w:eastAsiaTheme="minorEastAsia" w:hAnsi="Arial" w:cs="Arial"/>
          <w:bCs/>
          <w:color w:val="000000" w:themeColor="text1"/>
          <w:sz w:val="24"/>
          <w:szCs w:val="24"/>
          <w:lang w:val="es-ES" w:eastAsia="es-ES"/>
        </w:rPr>
        <w:t xml:space="preserve">también </w:t>
      </w:r>
      <w:r w:rsidR="00FF55F2" w:rsidRPr="00682149">
        <w:rPr>
          <w:rFonts w:ascii="Arial" w:eastAsiaTheme="minorEastAsia" w:hAnsi="Arial" w:cs="Arial"/>
          <w:bCs/>
          <w:color w:val="000000" w:themeColor="text1"/>
          <w:sz w:val="24"/>
          <w:szCs w:val="24"/>
          <w:lang w:val="es-ES" w:eastAsia="es-ES"/>
        </w:rPr>
        <w:t xml:space="preserve">consultó el </w:t>
      </w:r>
      <w:r w:rsidR="00DA02F7" w:rsidRPr="00682149">
        <w:rPr>
          <w:rFonts w:ascii="Arial" w:eastAsiaTheme="minorEastAsia" w:hAnsi="Arial" w:cs="Arial"/>
          <w:bCs/>
          <w:color w:val="000000" w:themeColor="text1"/>
          <w:sz w:val="24"/>
          <w:szCs w:val="24"/>
          <w:lang w:val="es-ES" w:eastAsia="es-ES"/>
        </w:rPr>
        <w:t xml:space="preserve">requisito de publicidad </w:t>
      </w:r>
      <w:r w:rsidR="00FF55F2" w:rsidRPr="00682149">
        <w:rPr>
          <w:rFonts w:ascii="Arial" w:eastAsiaTheme="minorEastAsia" w:hAnsi="Arial" w:cs="Arial"/>
          <w:bCs/>
          <w:color w:val="000000" w:themeColor="text1"/>
          <w:sz w:val="24"/>
          <w:szCs w:val="24"/>
          <w:lang w:val="es-ES" w:eastAsia="es-ES"/>
        </w:rPr>
        <w:t xml:space="preserve">previsto en </w:t>
      </w:r>
      <w:r w:rsidR="00DA02F7" w:rsidRPr="00682149">
        <w:rPr>
          <w:rFonts w:ascii="Arial" w:eastAsiaTheme="minorEastAsia" w:hAnsi="Arial" w:cs="Arial"/>
          <w:bCs/>
          <w:color w:val="000000" w:themeColor="text1"/>
          <w:sz w:val="24"/>
          <w:szCs w:val="24"/>
          <w:lang w:val="es-ES" w:eastAsia="es-ES"/>
        </w:rPr>
        <w:t>el artículo 35 de la Resolució</w:t>
      </w:r>
      <w:r w:rsidR="00886C84" w:rsidRPr="00682149">
        <w:rPr>
          <w:rFonts w:ascii="Arial" w:eastAsiaTheme="minorEastAsia" w:hAnsi="Arial" w:cs="Arial"/>
          <w:bCs/>
          <w:color w:val="000000" w:themeColor="text1"/>
          <w:sz w:val="24"/>
          <w:szCs w:val="24"/>
          <w:lang w:val="es-ES" w:eastAsia="es-ES"/>
        </w:rPr>
        <w:t>n CREG 039 de 2017, el cual</w:t>
      </w:r>
      <w:r w:rsidR="00DA02F7" w:rsidRPr="00682149">
        <w:rPr>
          <w:rFonts w:ascii="Arial" w:eastAsiaTheme="minorEastAsia" w:hAnsi="Arial" w:cs="Arial"/>
          <w:bCs/>
          <w:color w:val="000000" w:themeColor="text1"/>
          <w:sz w:val="24"/>
          <w:szCs w:val="24"/>
          <w:lang w:val="es-ES" w:eastAsia="es-ES"/>
        </w:rPr>
        <w:t xml:space="preserve"> definió las r</w:t>
      </w:r>
      <w:r w:rsidR="00DA02F7" w:rsidRPr="00682149">
        <w:rPr>
          <w:rFonts w:ascii="Arial" w:eastAsiaTheme="minorEastAsia" w:hAnsi="Arial" w:cs="Arial"/>
          <w:color w:val="000000" w:themeColor="text1"/>
          <w:sz w:val="24"/>
          <w:szCs w:val="24"/>
          <w:lang w:val="es-ES" w:eastAsia="es-ES"/>
        </w:rPr>
        <w:t>eglas especiales de difusión para la adopción de fórmulas tarifarias</w:t>
      </w:r>
      <w:r w:rsidR="00FF55F2" w:rsidRPr="00682149">
        <w:rPr>
          <w:rFonts w:ascii="Arial" w:eastAsiaTheme="minorEastAsia" w:hAnsi="Arial" w:cs="Arial"/>
          <w:color w:val="000000" w:themeColor="text1"/>
          <w:sz w:val="24"/>
          <w:szCs w:val="24"/>
          <w:lang w:val="es-ES" w:eastAsia="es-ES"/>
        </w:rPr>
        <w:t xml:space="preserve"> en armonía con el parágrafo 2º del artículo 3º del Decreto Legislativo 517 de 2020.</w:t>
      </w:r>
      <w:r w:rsidR="00DA02F7" w:rsidRPr="00682149">
        <w:rPr>
          <w:rFonts w:ascii="Arial" w:eastAsiaTheme="minorEastAsia" w:hAnsi="Arial" w:cs="Arial"/>
          <w:color w:val="000000" w:themeColor="text1"/>
          <w:sz w:val="24"/>
          <w:szCs w:val="24"/>
          <w:lang w:val="es-ES" w:eastAsia="es-ES"/>
        </w:rPr>
        <w:t xml:space="preserve"> </w:t>
      </w:r>
      <w:r w:rsidR="00886C84" w:rsidRPr="00682149">
        <w:rPr>
          <w:rFonts w:ascii="Arial" w:eastAsiaTheme="minorEastAsia" w:hAnsi="Arial" w:cs="Arial"/>
          <w:color w:val="000000" w:themeColor="text1"/>
          <w:sz w:val="24"/>
          <w:szCs w:val="24"/>
          <w:lang w:val="es-ES" w:eastAsia="es-ES"/>
        </w:rPr>
        <w:t xml:space="preserve"> </w:t>
      </w:r>
    </w:p>
    <w:p w14:paraId="222AF1B5" w14:textId="77777777" w:rsidR="00886C84" w:rsidRPr="00682149" w:rsidRDefault="00886C84" w:rsidP="001C138F">
      <w:pPr>
        <w:spacing w:after="0" w:line="276" w:lineRule="auto"/>
        <w:jc w:val="both"/>
        <w:rPr>
          <w:rFonts w:ascii="Arial" w:eastAsiaTheme="minorEastAsia" w:hAnsi="Arial" w:cs="Arial"/>
          <w:color w:val="000000" w:themeColor="text1"/>
          <w:sz w:val="24"/>
          <w:szCs w:val="24"/>
          <w:lang w:val="es-ES" w:eastAsia="es-ES"/>
        </w:rPr>
      </w:pPr>
    </w:p>
    <w:p w14:paraId="6EBABCC1" w14:textId="4FE2491C" w:rsidR="00DA02F7" w:rsidRPr="00682149" w:rsidRDefault="00886C84" w:rsidP="001C138F">
      <w:pPr>
        <w:spacing w:after="0" w:line="276" w:lineRule="auto"/>
        <w:jc w:val="both"/>
        <w:rPr>
          <w:rFonts w:ascii="Arial" w:hAnsi="Arial" w:cs="Arial"/>
          <w:i/>
          <w:color w:val="000000" w:themeColor="text1"/>
          <w:sz w:val="24"/>
          <w:szCs w:val="24"/>
        </w:rPr>
      </w:pPr>
      <w:r w:rsidRPr="00682149">
        <w:rPr>
          <w:rFonts w:ascii="Arial" w:eastAsiaTheme="minorEastAsia" w:hAnsi="Arial" w:cs="Arial"/>
          <w:color w:val="000000" w:themeColor="text1"/>
          <w:sz w:val="24"/>
          <w:szCs w:val="24"/>
          <w:lang w:val="es-ES" w:eastAsia="es-ES"/>
        </w:rPr>
        <w:lastRenderedPageBreak/>
        <w:t xml:space="preserve">En </w:t>
      </w:r>
      <w:r w:rsidR="00FF55F2" w:rsidRPr="00682149">
        <w:rPr>
          <w:rFonts w:ascii="Arial" w:eastAsiaTheme="minorEastAsia" w:hAnsi="Arial" w:cs="Arial"/>
          <w:color w:val="000000" w:themeColor="text1"/>
          <w:sz w:val="24"/>
          <w:szCs w:val="24"/>
          <w:lang w:val="es-ES" w:eastAsia="es-ES"/>
        </w:rPr>
        <w:t xml:space="preserve">consecuencia, la Resolución 166, </w:t>
      </w:r>
      <w:r w:rsidRPr="00682149">
        <w:rPr>
          <w:rFonts w:ascii="Arial" w:eastAsiaTheme="minorEastAsia" w:hAnsi="Arial" w:cs="Arial"/>
          <w:color w:val="000000" w:themeColor="text1"/>
          <w:sz w:val="24"/>
          <w:szCs w:val="24"/>
          <w:lang w:val="es-ES" w:eastAsia="es-ES"/>
        </w:rPr>
        <w:t xml:space="preserve">además de consultar los requisitos de forma </w:t>
      </w:r>
      <w:r w:rsidR="0085761C" w:rsidRPr="00682149">
        <w:rPr>
          <w:rFonts w:ascii="Arial" w:eastAsiaTheme="minorEastAsia" w:hAnsi="Arial" w:cs="Arial"/>
          <w:color w:val="000000" w:themeColor="text1"/>
          <w:sz w:val="24"/>
          <w:szCs w:val="24"/>
          <w:lang w:val="es-ES" w:eastAsia="es-ES"/>
        </w:rPr>
        <w:t xml:space="preserve">y fondo, cumplió con los presupuestos de la regulación tarifaria y con el </w:t>
      </w:r>
      <w:r w:rsidRPr="00682149">
        <w:rPr>
          <w:rFonts w:ascii="Arial" w:eastAsiaTheme="minorEastAsia" w:hAnsi="Arial" w:cs="Arial"/>
          <w:color w:val="000000" w:themeColor="text1"/>
          <w:sz w:val="24"/>
          <w:szCs w:val="24"/>
          <w:lang w:val="es-ES" w:eastAsia="es-ES"/>
        </w:rPr>
        <w:t>requisito de publicidad en el Diario oficial el 3 de septiembre de 2020, presupuesto necesario para su ejecución.</w:t>
      </w:r>
    </w:p>
    <w:p w14:paraId="7BDE3831" w14:textId="77777777" w:rsidR="00782265" w:rsidRPr="00682149" w:rsidRDefault="00782265" w:rsidP="001C138F">
      <w:pPr>
        <w:spacing w:after="0" w:line="276" w:lineRule="auto"/>
        <w:jc w:val="both"/>
        <w:rPr>
          <w:rFonts w:ascii="Arial" w:hAnsi="Arial" w:cs="Arial"/>
          <w:b/>
          <w:color w:val="000000" w:themeColor="text1"/>
          <w:sz w:val="24"/>
          <w:szCs w:val="24"/>
        </w:rPr>
      </w:pPr>
    </w:p>
    <w:p w14:paraId="3B258C3F" w14:textId="4403288C" w:rsidR="00202AA8" w:rsidRPr="00682149" w:rsidRDefault="001D37B6" w:rsidP="001C138F">
      <w:pPr>
        <w:spacing w:after="0" w:line="276" w:lineRule="auto"/>
        <w:jc w:val="both"/>
        <w:rPr>
          <w:rFonts w:ascii="Arial" w:hAnsi="Arial" w:cs="Arial"/>
          <w:b/>
          <w:color w:val="000000" w:themeColor="text1"/>
          <w:sz w:val="24"/>
          <w:szCs w:val="24"/>
        </w:rPr>
      </w:pPr>
      <w:r w:rsidRPr="00682149">
        <w:rPr>
          <w:rFonts w:ascii="Arial" w:hAnsi="Arial" w:cs="Arial"/>
          <w:b/>
          <w:color w:val="000000" w:themeColor="text1"/>
          <w:sz w:val="24"/>
          <w:szCs w:val="24"/>
        </w:rPr>
        <w:t>2.5.</w:t>
      </w:r>
      <w:r w:rsidR="00202AA8" w:rsidRPr="00682149">
        <w:rPr>
          <w:rFonts w:ascii="Arial" w:hAnsi="Arial" w:cs="Arial"/>
          <w:b/>
          <w:color w:val="000000" w:themeColor="text1"/>
          <w:sz w:val="24"/>
          <w:szCs w:val="24"/>
        </w:rPr>
        <w:t xml:space="preserve">13. Artículo 13º. </w:t>
      </w:r>
    </w:p>
    <w:p w14:paraId="13EE500C" w14:textId="77777777" w:rsidR="00202AA8" w:rsidRPr="00682149" w:rsidRDefault="00202AA8" w:rsidP="001C138F">
      <w:pPr>
        <w:spacing w:after="0" w:line="276" w:lineRule="auto"/>
        <w:ind w:left="567"/>
        <w:jc w:val="both"/>
        <w:rPr>
          <w:rFonts w:ascii="Arial" w:hAnsi="Arial" w:cs="Arial"/>
          <w:b/>
          <w:color w:val="000000" w:themeColor="text1"/>
          <w:sz w:val="24"/>
          <w:szCs w:val="24"/>
        </w:rPr>
      </w:pPr>
    </w:p>
    <w:p w14:paraId="7605256E" w14:textId="09AE508F" w:rsidR="00310C06" w:rsidRPr="00682149" w:rsidRDefault="00202AA8" w:rsidP="001C138F">
      <w:pPr>
        <w:spacing w:after="0" w:line="276" w:lineRule="auto"/>
        <w:ind w:left="567"/>
        <w:jc w:val="both"/>
        <w:rPr>
          <w:rFonts w:ascii="Arial" w:hAnsi="Arial" w:cs="Arial"/>
          <w:color w:val="000000" w:themeColor="text1"/>
        </w:rPr>
      </w:pPr>
      <w:r w:rsidRPr="00682149">
        <w:rPr>
          <w:rFonts w:ascii="Arial" w:hAnsi="Arial" w:cs="Arial"/>
          <w:b/>
          <w:i/>
          <w:color w:val="000000" w:themeColor="text1"/>
        </w:rPr>
        <w:t>“</w:t>
      </w:r>
      <w:r w:rsidR="00310C06" w:rsidRPr="00682149">
        <w:rPr>
          <w:rFonts w:ascii="Arial" w:hAnsi="Arial" w:cs="Arial"/>
          <w:b/>
          <w:i/>
          <w:color w:val="000000" w:themeColor="text1"/>
        </w:rPr>
        <w:t xml:space="preserve">Vigencia. </w:t>
      </w:r>
      <w:r w:rsidR="00310C06" w:rsidRPr="00682149">
        <w:rPr>
          <w:rFonts w:ascii="Arial" w:hAnsi="Arial" w:cs="Arial"/>
          <w:i/>
          <w:color w:val="000000" w:themeColor="text1"/>
        </w:rPr>
        <w:t xml:space="preserve">Esta resolución rige a partir de su publicación en el Diario Oficial y hasta la entrada en vigencia de la resolución por la cual se defina la fórmula tarifaria general para establecer la remuneración de la prestación del servicio de energía eléctrica mediante Soluciones Individuales Solares Fotovoltaicas.” </w:t>
      </w:r>
    </w:p>
    <w:p w14:paraId="399E9CCD" w14:textId="77777777" w:rsidR="00C408C9" w:rsidRPr="00682149" w:rsidRDefault="00C408C9" w:rsidP="001C138F">
      <w:pPr>
        <w:spacing w:after="0" w:line="276" w:lineRule="auto"/>
        <w:jc w:val="both"/>
        <w:rPr>
          <w:rFonts w:ascii="Arial" w:eastAsiaTheme="minorEastAsia" w:hAnsi="Arial" w:cs="Arial"/>
          <w:iCs/>
          <w:color w:val="000000" w:themeColor="text1"/>
          <w:sz w:val="24"/>
          <w:szCs w:val="24"/>
          <w:lang w:val="es-ES" w:eastAsia="es-ES"/>
        </w:rPr>
      </w:pPr>
    </w:p>
    <w:p w14:paraId="0A797B74" w14:textId="014200B0" w:rsidR="007D6963" w:rsidRPr="00682149" w:rsidRDefault="00C408C9" w:rsidP="001C138F">
      <w:pPr>
        <w:spacing w:after="0" w:line="276" w:lineRule="auto"/>
        <w:jc w:val="both"/>
        <w:rPr>
          <w:rFonts w:ascii="Arial" w:hAnsi="Arial" w:cs="Arial"/>
          <w:bCs/>
          <w:color w:val="000000" w:themeColor="text1"/>
          <w:sz w:val="24"/>
          <w:szCs w:val="24"/>
          <w:lang w:val="es-ES"/>
        </w:rPr>
      </w:pPr>
      <w:r w:rsidRPr="00682149">
        <w:rPr>
          <w:rFonts w:ascii="Arial" w:eastAsiaTheme="minorEastAsia" w:hAnsi="Arial" w:cs="Arial"/>
          <w:iCs/>
          <w:color w:val="000000" w:themeColor="text1"/>
          <w:sz w:val="24"/>
          <w:szCs w:val="24"/>
          <w:lang w:val="es-ES" w:eastAsia="es-ES"/>
        </w:rPr>
        <w:t xml:space="preserve">Sobre </w:t>
      </w:r>
      <w:r w:rsidR="004E614C" w:rsidRPr="00682149">
        <w:rPr>
          <w:rFonts w:ascii="Arial" w:eastAsiaTheme="minorEastAsia" w:hAnsi="Arial" w:cs="Arial"/>
          <w:iCs/>
          <w:color w:val="000000" w:themeColor="text1"/>
          <w:sz w:val="24"/>
          <w:szCs w:val="24"/>
          <w:lang w:val="es-ES" w:eastAsia="es-ES"/>
        </w:rPr>
        <w:t>la vigencia del acto</w:t>
      </w:r>
      <w:r w:rsidRPr="00682149">
        <w:rPr>
          <w:rFonts w:ascii="Arial" w:eastAsiaTheme="minorEastAsia" w:hAnsi="Arial" w:cs="Arial"/>
          <w:iCs/>
          <w:color w:val="000000" w:themeColor="text1"/>
          <w:sz w:val="24"/>
          <w:szCs w:val="24"/>
          <w:lang w:val="es-ES" w:eastAsia="es-ES"/>
        </w:rPr>
        <w:t xml:space="preserve">, debe decirse que </w:t>
      </w:r>
      <w:r w:rsidR="004E614C" w:rsidRPr="00682149">
        <w:rPr>
          <w:rFonts w:ascii="Arial" w:eastAsiaTheme="minorEastAsia" w:hAnsi="Arial" w:cs="Arial"/>
          <w:iCs/>
          <w:color w:val="000000" w:themeColor="text1"/>
          <w:sz w:val="24"/>
          <w:szCs w:val="24"/>
          <w:lang w:val="es-ES" w:eastAsia="es-ES"/>
        </w:rPr>
        <w:t>tal aspecto</w:t>
      </w:r>
      <w:r w:rsidRPr="00682149">
        <w:rPr>
          <w:rFonts w:ascii="Arial" w:eastAsiaTheme="minorEastAsia" w:hAnsi="Arial" w:cs="Arial"/>
          <w:iCs/>
          <w:color w:val="000000" w:themeColor="text1"/>
          <w:sz w:val="24"/>
          <w:szCs w:val="24"/>
          <w:lang w:val="es-ES" w:eastAsia="es-ES"/>
        </w:rPr>
        <w:t xml:space="preserve"> debe consultar la facultad transitoria, </w:t>
      </w:r>
      <w:r w:rsidR="005B3884" w:rsidRPr="00682149">
        <w:rPr>
          <w:rFonts w:ascii="Arial" w:eastAsiaTheme="minorEastAsia" w:hAnsi="Arial" w:cs="Arial"/>
          <w:iCs/>
          <w:color w:val="000000" w:themeColor="text1"/>
          <w:sz w:val="24"/>
          <w:szCs w:val="24"/>
          <w:lang w:val="es-ES" w:eastAsia="es-ES"/>
        </w:rPr>
        <w:t>por constituir un lí</w:t>
      </w:r>
      <w:r w:rsidR="002F4E96" w:rsidRPr="00682149">
        <w:rPr>
          <w:rFonts w:ascii="Arial" w:eastAsiaTheme="minorEastAsia" w:hAnsi="Arial" w:cs="Arial"/>
          <w:iCs/>
          <w:color w:val="000000" w:themeColor="text1"/>
          <w:sz w:val="24"/>
          <w:szCs w:val="24"/>
          <w:lang w:val="es-ES" w:eastAsia="es-ES"/>
        </w:rPr>
        <w:t xml:space="preserve">mite al ejercicio de las potestades administrativas, </w:t>
      </w:r>
      <w:r w:rsidR="004E614C" w:rsidRPr="00682149">
        <w:rPr>
          <w:rFonts w:ascii="Arial" w:eastAsiaTheme="minorEastAsia" w:hAnsi="Arial" w:cs="Arial"/>
          <w:iCs/>
          <w:color w:val="000000" w:themeColor="text1"/>
          <w:sz w:val="24"/>
          <w:szCs w:val="24"/>
          <w:lang w:val="es-ES" w:eastAsia="es-ES"/>
        </w:rPr>
        <w:t xml:space="preserve">en tanto se debe presentar como </w:t>
      </w:r>
      <w:r w:rsidRPr="00682149">
        <w:rPr>
          <w:rFonts w:ascii="Arial" w:eastAsiaTheme="minorEastAsia" w:hAnsi="Arial" w:cs="Arial"/>
          <w:iCs/>
          <w:color w:val="000000" w:themeColor="text1"/>
          <w:sz w:val="24"/>
          <w:szCs w:val="24"/>
          <w:lang w:val="es-ES" w:eastAsia="es-ES"/>
        </w:rPr>
        <w:t xml:space="preserve">una medida temporal y no permanente, </w:t>
      </w:r>
      <w:r w:rsidR="00DD670A" w:rsidRPr="00682149">
        <w:rPr>
          <w:rFonts w:ascii="Arial" w:hAnsi="Arial" w:cs="Arial"/>
          <w:bCs/>
          <w:color w:val="000000" w:themeColor="text1"/>
          <w:sz w:val="24"/>
          <w:szCs w:val="24"/>
        </w:rPr>
        <w:t xml:space="preserve">dado que </w:t>
      </w:r>
      <w:r w:rsidR="00A97CB1" w:rsidRPr="00682149">
        <w:rPr>
          <w:rFonts w:ascii="Arial" w:hAnsi="Arial" w:cs="Arial"/>
          <w:bCs/>
          <w:color w:val="000000" w:themeColor="text1"/>
          <w:sz w:val="24"/>
          <w:szCs w:val="24"/>
        </w:rPr>
        <w:t xml:space="preserve">supone </w:t>
      </w:r>
      <w:r w:rsidR="00DD670A" w:rsidRPr="00682149">
        <w:rPr>
          <w:rFonts w:ascii="Arial" w:hAnsi="Arial" w:cs="Arial"/>
          <w:bCs/>
          <w:color w:val="000000" w:themeColor="text1"/>
          <w:sz w:val="24"/>
          <w:szCs w:val="24"/>
        </w:rPr>
        <w:t xml:space="preserve">una atribución </w:t>
      </w:r>
      <w:r w:rsidR="002F4E96" w:rsidRPr="00682149">
        <w:rPr>
          <w:rFonts w:ascii="Arial" w:hAnsi="Arial" w:cs="Arial"/>
          <w:bCs/>
          <w:color w:val="000000" w:themeColor="text1"/>
          <w:sz w:val="24"/>
          <w:szCs w:val="24"/>
        </w:rPr>
        <w:t xml:space="preserve">dada por la norma superior, </w:t>
      </w:r>
      <w:r w:rsidR="009C1418" w:rsidRPr="00682149">
        <w:rPr>
          <w:rFonts w:ascii="Arial" w:hAnsi="Arial" w:cs="Arial"/>
          <w:bCs/>
          <w:color w:val="000000" w:themeColor="text1"/>
          <w:sz w:val="24"/>
          <w:szCs w:val="24"/>
        </w:rPr>
        <w:t xml:space="preserve">circunscrita </w:t>
      </w:r>
      <w:r w:rsidR="00CA178B" w:rsidRPr="00682149">
        <w:rPr>
          <w:rFonts w:ascii="Arial" w:hAnsi="Arial" w:cs="Arial"/>
          <w:bCs/>
          <w:color w:val="000000" w:themeColor="text1"/>
          <w:sz w:val="24"/>
          <w:szCs w:val="24"/>
        </w:rPr>
        <w:t>en el tiempo</w:t>
      </w:r>
      <w:r w:rsidR="00DD670A" w:rsidRPr="00682149">
        <w:rPr>
          <w:rFonts w:ascii="Arial" w:hAnsi="Arial" w:cs="Arial"/>
          <w:bCs/>
          <w:color w:val="000000" w:themeColor="text1"/>
          <w:sz w:val="24"/>
          <w:szCs w:val="24"/>
        </w:rPr>
        <w:t xml:space="preserve">, de modo que </w:t>
      </w:r>
      <w:r w:rsidR="009C1418" w:rsidRPr="00682149">
        <w:rPr>
          <w:rFonts w:ascii="Arial" w:hAnsi="Arial" w:cs="Arial"/>
          <w:bCs/>
          <w:color w:val="000000" w:themeColor="text1"/>
          <w:sz w:val="24"/>
          <w:szCs w:val="24"/>
        </w:rPr>
        <w:t>una previsión que la exceda o</w:t>
      </w:r>
      <w:r w:rsidR="002F4E96" w:rsidRPr="00682149">
        <w:rPr>
          <w:rFonts w:ascii="Arial" w:hAnsi="Arial" w:cs="Arial"/>
          <w:bCs/>
          <w:color w:val="000000" w:themeColor="text1"/>
          <w:sz w:val="24"/>
          <w:szCs w:val="24"/>
        </w:rPr>
        <w:t xml:space="preserve"> </w:t>
      </w:r>
      <w:r w:rsidR="00DD670A" w:rsidRPr="00682149">
        <w:rPr>
          <w:rFonts w:ascii="Arial" w:hAnsi="Arial" w:cs="Arial"/>
          <w:bCs/>
          <w:color w:val="000000" w:themeColor="text1"/>
          <w:sz w:val="24"/>
          <w:szCs w:val="24"/>
        </w:rPr>
        <w:t>la realización de actuaciones por fuera del plazo establecido</w:t>
      </w:r>
      <w:r w:rsidR="004E614C" w:rsidRPr="00682149">
        <w:rPr>
          <w:rFonts w:ascii="Arial" w:hAnsi="Arial" w:cs="Arial"/>
          <w:bCs/>
          <w:color w:val="000000" w:themeColor="text1"/>
          <w:sz w:val="24"/>
          <w:szCs w:val="24"/>
        </w:rPr>
        <w:t>,</w:t>
      </w:r>
      <w:r w:rsidR="00DD670A" w:rsidRPr="00682149">
        <w:rPr>
          <w:rFonts w:ascii="Arial" w:hAnsi="Arial" w:cs="Arial"/>
          <w:bCs/>
          <w:color w:val="000000" w:themeColor="text1"/>
          <w:sz w:val="24"/>
          <w:szCs w:val="24"/>
        </w:rPr>
        <w:t xml:space="preserve"> implica </w:t>
      </w:r>
      <w:r w:rsidR="002F4E96" w:rsidRPr="00682149">
        <w:rPr>
          <w:rFonts w:ascii="Arial" w:hAnsi="Arial" w:cs="Arial"/>
          <w:bCs/>
          <w:color w:val="000000" w:themeColor="text1"/>
          <w:sz w:val="24"/>
          <w:szCs w:val="24"/>
        </w:rPr>
        <w:t xml:space="preserve">la </w:t>
      </w:r>
      <w:r w:rsidR="00DD670A" w:rsidRPr="00682149">
        <w:rPr>
          <w:rFonts w:ascii="Arial" w:hAnsi="Arial" w:cs="Arial"/>
          <w:bCs/>
          <w:color w:val="000000" w:themeColor="text1"/>
          <w:sz w:val="24"/>
          <w:szCs w:val="24"/>
        </w:rPr>
        <w:t>invalidez</w:t>
      </w:r>
      <w:r w:rsidR="002F4E96" w:rsidRPr="00682149">
        <w:rPr>
          <w:rFonts w:ascii="Arial" w:hAnsi="Arial" w:cs="Arial"/>
          <w:bCs/>
          <w:color w:val="000000" w:themeColor="text1"/>
          <w:sz w:val="24"/>
          <w:szCs w:val="24"/>
        </w:rPr>
        <w:t xml:space="preserve"> del acto</w:t>
      </w:r>
      <w:r w:rsidR="00DD670A" w:rsidRPr="00682149">
        <w:rPr>
          <w:rFonts w:ascii="Arial" w:hAnsi="Arial" w:cs="Arial"/>
          <w:bCs/>
          <w:color w:val="000000" w:themeColor="text1"/>
          <w:sz w:val="24"/>
          <w:szCs w:val="24"/>
        </w:rPr>
        <w:t>.</w:t>
      </w:r>
    </w:p>
    <w:p w14:paraId="0F1B8DEB" w14:textId="77777777" w:rsidR="00C408C9" w:rsidRPr="00682149" w:rsidRDefault="00C408C9" w:rsidP="001C138F">
      <w:pPr>
        <w:spacing w:after="0" w:line="276" w:lineRule="auto"/>
        <w:jc w:val="both"/>
        <w:rPr>
          <w:rFonts w:ascii="Arial" w:hAnsi="Arial" w:cs="Arial"/>
          <w:bCs/>
          <w:color w:val="000000" w:themeColor="text1"/>
          <w:sz w:val="24"/>
          <w:szCs w:val="24"/>
          <w:lang w:val="es-ES"/>
        </w:rPr>
      </w:pPr>
    </w:p>
    <w:p w14:paraId="3B0BEBC9" w14:textId="420357F9" w:rsidR="003637F3" w:rsidRPr="00682149" w:rsidRDefault="00202AA8" w:rsidP="001C138F">
      <w:pPr>
        <w:spacing w:after="0" w:line="276" w:lineRule="auto"/>
        <w:jc w:val="both"/>
        <w:rPr>
          <w:rFonts w:ascii="Arial" w:hAnsi="Arial" w:cs="Arial"/>
          <w:bCs/>
          <w:color w:val="000000" w:themeColor="text1"/>
          <w:sz w:val="24"/>
          <w:szCs w:val="24"/>
        </w:rPr>
      </w:pPr>
      <w:r w:rsidRPr="00682149">
        <w:rPr>
          <w:rFonts w:ascii="Arial" w:hAnsi="Arial" w:cs="Arial"/>
          <w:bCs/>
          <w:color w:val="000000" w:themeColor="text1"/>
          <w:sz w:val="24"/>
          <w:szCs w:val="24"/>
        </w:rPr>
        <w:t xml:space="preserve">En punto a esta disposición, la Sala encuentra que </w:t>
      </w:r>
      <w:r w:rsidR="003637F3" w:rsidRPr="00682149">
        <w:rPr>
          <w:rFonts w:ascii="Arial" w:hAnsi="Arial" w:cs="Arial"/>
          <w:bCs/>
          <w:color w:val="000000" w:themeColor="text1"/>
          <w:sz w:val="24"/>
          <w:szCs w:val="24"/>
        </w:rPr>
        <w:t>la CREG tenía la competencia para regular la materia</w:t>
      </w:r>
      <w:r w:rsidR="00285AB4" w:rsidRPr="00682149">
        <w:rPr>
          <w:rFonts w:ascii="Arial" w:hAnsi="Arial" w:cs="Arial"/>
          <w:bCs/>
          <w:color w:val="000000" w:themeColor="text1"/>
          <w:sz w:val="24"/>
          <w:szCs w:val="24"/>
        </w:rPr>
        <w:t xml:space="preserve"> de manera transitoria. En este caso, </w:t>
      </w:r>
      <w:r w:rsidR="003637F3" w:rsidRPr="00682149">
        <w:rPr>
          <w:rFonts w:ascii="Arial" w:hAnsi="Arial" w:cs="Arial"/>
          <w:bCs/>
          <w:color w:val="000000" w:themeColor="text1"/>
          <w:sz w:val="24"/>
          <w:szCs w:val="24"/>
        </w:rPr>
        <w:t xml:space="preserve">el acto </w:t>
      </w:r>
      <w:r w:rsidRPr="00682149">
        <w:rPr>
          <w:rFonts w:ascii="Arial" w:hAnsi="Arial" w:cs="Arial"/>
          <w:bCs/>
          <w:color w:val="000000" w:themeColor="text1"/>
          <w:sz w:val="24"/>
          <w:szCs w:val="24"/>
        </w:rPr>
        <w:t>cumple con los presup</w:t>
      </w:r>
      <w:r w:rsidR="007645F2" w:rsidRPr="00682149">
        <w:rPr>
          <w:rFonts w:ascii="Arial" w:hAnsi="Arial" w:cs="Arial"/>
          <w:bCs/>
          <w:color w:val="000000" w:themeColor="text1"/>
          <w:sz w:val="24"/>
          <w:szCs w:val="24"/>
        </w:rPr>
        <w:t>uestos de</w:t>
      </w:r>
      <w:r w:rsidR="009C1418" w:rsidRPr="00682149">
        <w:rPr>
          <w:rFonts w:ascii="Arial" w:hAnsi="Arial" w:cs="Arial"/>
          <w:bCs/>
          <w:color w:val="000000" w:themeColor="text1"/>
          <w:sz w:val="24"/>
          <w:szCs w:val="24"/>
        </w:rPr>
        <w:t xml:space="preserve"> contenido,</w:t>
      </w:r>
      <w:r w:rsidR="007645F2" w:rsidRPr="00682149">
        <w:rPr>
          <w:rFonts w:ascii="Arial" w:hAnsi="Arial" w:cs="Arial"/>
          <w:bCs/>
          <w:color w:val="000000" w:themeColor="text1"/>
          <w:sz w:val="24"/>
          <w:szCs w:val="24"/>
        </w:rPr>
        <w:t xml:space="preserve"> publicidad y eficacia</w:t>
      </w:r>
      <w:r w:rsidRPr="00682149">
        <w:rPr>
          <w:rFonts w:ascii="Arial" w:hAnsi="Arial" w:cs="Arial"/>
          <w:bCs/>
          <w:color w:val="000000" w:themeColor="text1"/>
          <w:sz w:val="24"/>
          <w:szCs w:val="24"/>
        </w:rPr>
        <w:t xml:space="preserve"> y</w:t>
      </w:r>
      <w:r w:rsidR="007645F2" w:rsidRPr="00682149">
        <w:rPr>
          <w:rFonts w:ascii="Arial" w:hAnsi="Arial" w:cs="Arial"/>
          <w:bCs/>
          <w:color w:val="000000" w:themeColor="text1"/>
          <w:sz w:val="24"/>
          <w:szCs w:val="24"/>
        </w:rPr>
        <w:t>,</w:t>
      </w:r>
      <w:r w:rsidRPr="00682149">
        <w:rPr>
          <w:rFonts w:ascii="Arial" w:hAnsi="Arial" w:cs="Arial"/>
          <w:bCs/>
          <w:color w:val="000000" w:themeColor="text1"/>
          <w:sz w:val="24"/>
          <w:szCs w:val="24"/>
        </w:rPr>
        <w:t xml:space="preserve"> no contraría las reglas propias de la vigencia de los actos administrativos que, salvo disposición en contrario, rigen hacía futuro</w:t>
      </w:r>
      <w:r w:rsidR="00285AB4" w:rsidRPr="00682149">
        <w:rPr>
          <w:rFonts w:ascii="Arial" w:hAnsi="Arial" w:cs="Arial"/>
          <w:bCs/>
          <w:color w:val="000000" w:themeColor="text1"/>
          <w:sz w:val="24"/>
          <w:szCs w:val="24"/>
        </w:rPr>
        <w:t xml:space="preserve">. En lo que atañe a la transitoriedad de la medida, en principio </w:t>
      </w:r>
      <w:r w:rsidR="004E614C" w:rsidRPr="00682149">
        <w:rPr>
          <w:rFonts w:ascii="Arial" w:hAnsi="Arial" w:cs="Arial"/>
          <w:bCs/>
          <w:color w:val="000000" w:themeColor="text1"/>
          <w:sz w:val="24"/>
          <w:szCs w:val="24"/>
        </w:rPr>
        <w:t>est</w:t>
      </w:r>
      <w:r w:rsidR="00285AB4" w:rsidRPr="00682149">
        <w:rPr>
          <w:rFonts w:ascii="Arial" w:hAnsi="Arial" w:cs="Arial"/>
          <w:bCs/>
          <w:color w:val="000000" w:themeColor="text1"/>
          <w:sz w:val="24"/>
          <w:szCs w:val="24"/>
        </w:rPr>
        <w:t xml:space="preserve">arán </w:t>
      </w:r>
      <w:r w:rsidR="004E614C" w:rsidRPr="00682149">
        <w:rPr>
          <w:rFonts w:ascii="Arial" w:hAnsi="Arial" w:cs="Arial"/>
          <w:bCs/>
          <w:color w:val="000000" w:themeColor="text1"/>
          <w:sz w:val="24"/>
          <w:szCs w:val="24"/>
        </w:rPr>
        <w:t xml:space="preserve">estar </w:t>
      </w:r>
      <w:r w:rsidR="003637F3" w:rsidRPr="00682149">
        <w:rPr>
          <w:rFonts w:ascii="Arial" w:hAnsi="Arial" w:cs="Arial"/>
          <w:bCs/>
          <w:color w:val="000000" w:themeColor="text1"/>
          <w:sz w:val="24"/>
          <w:szCs w:val="24"/>
        </w:rPr>
        <w:t>vigentes durante el ti</w:t>
      </w:r>
      <w:r w:rsidR="000228E3" w:rsidRPr="00682149">
        <w:rPr>
          <w:rFonts w:ascii="Arial" w:hAnsi="Arial" w:cs="Arial"/>
          <w:bCs/>
          <w:color w:val="000000" w:themeColor="text1"/>
          <w:sz w:val="24"/>
          <w:szCs w:val="24"/>
        </w:rPr>
        <w:t>empo que dure la emergencia san</w:t>
      </w:r>
      <w:r w:rsidR="003637F3" w:rsidRPr="00682149">
        <w:rPr>
          <w:rFonts w:ascii="Arial" w:hAnsi="Arial" w:cs="Arial"/>
          <w:bCs/>
          <w:color w:val="000000" w:themeColor="text1"/>
          <w:sz w:val="24"/>
          <w:szCs w:val="24"/>
        </w:rPr>
        <w:t>i</w:t>
      </w:r>
      <w:r w:rsidR="000228E3" w:rsidRPr="00682149">
        <w:rPr>
          <w:rFonts w:ascii="Arial" w:hAnsi="Arial" w:cs="Arial"/>
          <w:bCs/>
          <w:color w:val="000000" w:themeColor="text1"/>
          <w:sz w:val="24"/>
          <w:szCs w:val="24"/>
        </w:rPr>
        <w:t>t</w:t>
      </w:r>
      <w:r w:rsidR="003637F3" w:rsidRPr="00682149">
        <w:rPr>
          <w:rFonts w:ascii="Arial" w:hAnsi="Arial" w:cs="Arial"/>
          <w:bCs/>
          <w:color w:val="000000" w:themeColor="text1"/>
          <w:sz w:val="24"/>
          <w:szCs w:val="24"/>
        </w:rPr>
        <w:t>aria</w:t>
      </w:r>
      <w:r w:rsidR="007645F2" w:rsidRPr="00682149">
        <w:rPr>
          <w:rFonts w:ascii="Arial" w:hAnsi="Arial" w:cs="Arial"/>
          <w:bCs/>
          <w:color w:val="000000" w:themeColor="text1"/>
          <w:sz w:val="24"/>
          <w:szCs w:val="24"/>
        </w:rPr>
        <w:t>,</w:t>
      </w:r>
      <w:r w:rsidR="003637F3" w:rsidRPr="00682149">
        <w:rPr>
          <w:rFonts w:ascii="Arial" w:hAnsi="Arial" w:cs="Arial"/>
          <w:bCs/>
          <w:color w:val="000000" w:themeColor="text1"/>
          <w:sz w:val="24"/>
          <w:szCs w:val="24"/>
        </w:rPr>
        <w:t xml:space="preserve"> sin superar </w:t>
      </w:r>
      <w:r w:rsidR="004E614C" w:rsidRPr="00682149">
        <w:rPr>
          <w:rFonts w:ascii="Arial" w:hAnsi="Arial" w:cs="Arial"/>
          <w:bCs/>
          <w:color w:val="000000" w:themeColor="text1"/>
          <w:sz w:val="24"/>
          <w:szCs w:val="24"/>
        </w:rPr>
        <w:t>é</w:t>
      </w:r>
      <w:r w:rsidR="003637F3" w:rsidRPr="00682149">
        <w:rPr>
          <w:rFonts w:ascii="Arial" w:hAnsi="Arial" w:cs="Arial"/>
          <w:bCs/>
          <w:color w:val="000000" w:themeColor="text1"/>
          <w:sz w:val="24"/>
          <w:szCs w:val="24"/>
        </w:rPr>
        <w:t>sta</w:t>
      </w:r>
      <w:r w:rsidR="000228E3" w:rsidRPr="00682149">
        <w:rPr>
          <w:rFonts w:ascii="Arial" w:hAnsi="Arial" w:cs="Arial"/>
          <w:bCs/>
          <w:color w:val="000000" w:themeColor="text1"/>
          <w:sz w:val="24"/>
          <w:szCs w:val="24"/>
        </w:rPr>
        <w:t xml:space="preserve">. </w:t>
      </w:r>
    </w:p>
    <w:p w14:paraId="3B52460C" w14:textId="77777777" w:rsidR="00113294" w:rsidRPr="00682149" w:rsidRDefault="00113294" w:rsidP="001C138F">
      <w:pPr>
        <w:spacing w:after="0" w:line="276" w:lineRule="auto"/>
        <w:jc w:val="both"/>
        <w:rPr>
          <w:rFonts w:ascii="Arial" w:hAnsi="Arial" w:cs="Arial"/>
          <w:bCs/>
          <w:color w:val="000000" w:themeColor="text1"/>
          <w:sz w:val="24"/>
          <w:szCs w:val="24"/>
        </w:rPr>
      </w:pPr>
    </w:p>
    <w:p w14:paraId="2E36BDBF" w14:textId="65503187" w:rsidR="008F2580" w:rsidRPr="00682149" w:rsidRDefault="003637F3" w:rsidP="001C138F">
      <w:pPr>
        <w:spacing w:after="0" w:line="276" w:lineRule="auto"/>
        <w:jc w:val="both"/>
        <w:rPr>
          <w:rFonts w:ascii="Arial" w:hAnsi="Arial" w:cs="Arial"/>
          <w:bCs/>
          <w:color w:val="000000" w:themeColor="text1"/>
          <w:sz w:val="24"/>
          <w:szCs w:val="24"/>
        </w:rPr>
      </w:pPr>
      <w:r w:rsidRPr="00682149">
        <w:rPr>
          <w:rFonts w:ascii="Arial" w:hAnsi="Arial" w:cs="Arial"/>
          <w:bCs/>
          <w:color w:val="000000" w:themeColor="text1"/>
          <w:sz w:val="24"/>
          <w:szCs w:val="24"/>
        </w:rPr>
        <w:t xml:space="preserve">Dice la </w:t>
      </w:r>
      <w:r w:rsidR="004E614C" w:rsidRPr="00682149">
        <w:rPr>
          <w:rFonts w:ascii="Arial" w:hAnsi="Arial" w:cs="Arial"/>
          <w:bCs/>
          <w:color w:val="000000" w:themeColor="text1"/>
          <w:sz w:val="24"/>
          <w:szCs w:val="24"/>
        </w:rPr>
        <w:t>norma:</w:t>
      </w:r>
    </w:p>
    <w:p w14:paraId="6C421601" w14:textId="77777777" w:rsidR="00695712" w:rsidRPr="00682149" w:rsidRDefault="00695712" w:rsidP="001C138F">
      <w:pPr>
        <w:spacing w:after="0" w:line="276" w:lineRule="auto"/>
        <w:ind w:left="567"/>
        <w:jc w:val="both"/>
        <w:rPr>
          <w:rFonts w:ascii="Arial" w:eastAsiaTheme="minorEastAsia" w:hAnsi="Arial" w:cs="Arial"/>
          <w:i/>
          <w:iCs/>
          <w:color w:val="000000" w:themeColor="text1"/>
          <w:lang w:val="es-ES" w:eastAsia="es-ES"/>
        </w:rPr>
      </w:pPr>
    </w:p>
    <w:p w14:paraId="02113CDE" w14:textId="72527F27" w:rsidR="00695712" w:rsidRPr="00682149" w:rsidRDefault="004E614C" w:rsidP="001C138F">
      <w:pPr>
        <w:spacing w:after="0" w:line="276" w:lineRule="auto"/>
        <w:ind w:left="567"/>
        <w:jc w:val="both"/>
        <w:rPr>
          <w:rFonts w:ascii="Arial" w:eastAsiaTheme="minorEastAsia" w:hAnsi="Arial" w:cs="Arial"/>
          <w:i/>
          <w:color w:val="000000" w:themeColor="text1"/>
          <w:lang w:val="es-ES" w:eastAsia="es-ES"/>
        </w:rPr>
      </w:pPr>
      <w:r w:rsidRPr="00682149">
        <w:rPr>
          <w:rFonts w:ascii="Arial" w:eastAsiaTheme="minorEastAsia" w:hAnsi="Arial" w:cs="Arial"/>
          <w:b/>
          <w:bCs/>
          <w:i/>
          <w:iCs/>
          <w:color w:val="000000" w:themeColor="text1"/>
          <w:lang w:val="es-ES" w:eastAsia="es-ES"/>
        </w:rPr>
        <w:t>“</w:t>
      </w:r>
      <w:r w:rsidR="00496BCF" w:rsidRPr="00682149">
        <w:rPr>
          <w:rFonts w:ascii="Arial" w:eastAsiaTheme="minorEastAsia" w:hAnsi="Arial" w:cs="Arial"/>
          <w:b/>
          <w:bCs/>
          <w:i/>
          <w:iCs/>
          <w:color w:val="000000" w:themeColor="text1"/>
          <w:lang w:val="es-ES" w:eastAsia="es-ES"/>
        </w:rPr>
        <w:t>PARÁGRAFO SEGUNDO</w:t>
      </w:r>
      <w:r w:rsidR="00496BCF" w:rsidRPr="00682149">
        <w:rPr>
          <w:rFonts w:ascii="Arial" w:eastAsiaTheme="minorEastAsia" w:hAnsi="Arial" w:cs="Arial"/>
          <w:i/>
          <w:color w:val="000000" w:themeColor="text1"/>
          <w:lang w:val="es-ES" w:eastAsia="es-ES"/>
        </w:rPr>
        <w:t xml:space="preserve"> </w:t>
      </w:r>
      <w:r w:rsidR="00695712" w:rsidRPr="00682149">
        <w:rPr>
          <w:rFonts w:ascii="Arial" w:eastAsiaTheme="minorEastAsia" w:hAnsi="Arial" w:cs="Arial"/>
          <w:i/>
          <w:color w:val="000000" w:themeColor="text1"/>
          <w:lang w:val="es-ES" w:eastAsia="es-ES"/>
        </w:rPr>
        <w:t>La Comisión de Regulación de Energía y Gas CREG- podrá adoptar todas las medidas necesarias de las que trata este Decreto mientras permanezca vigente la declaratoria de Emergencia Sanitaria por parte del Ministerio de Salud y Protección Social, sin la observación de los períodos, plazos y requisitos definidos en las leyes 142 y 143 de 1994 y demás disposiciones legales.</w:t>
      </w:r>
      <w:r w:rsidRPr="00682149">
        <w:rPr>
          <w:rFonts w:ascii="Arial" w:eastAsiaTheme="minorEastAsia" w:hAnsi="Arial" w:cs="Arial"/>
          <w:i/>
          <w:color w:val="000000" w:themeColor="text1"/>
          <w:lang w:val="es-ES" w:eastAsia="es-ES"/>
        </w:rPr>
        <w:t>”</w:t>
      </w:r>
    </w:p>
    <w:p w14:paraId="5643E0E1" w14:textId="77777777" w:rsidR="008F2580" w:rsidRPr="00682149" w:rsidRDefault="008F2580" w:rsidP="001C138F">
      <w:pPr>
        <w:spacing w:after="0" w:line="276" w:lineRule="auto"/>
        <w:jc w:val="both"/>
        <w:rPr>
          <w:rFonts w:ascii="Arial" w:hAnsi="Arial" w:cs="Arial"/>
          <w:bCs/>
          <w:color w:val="000000" w:themeColor="text1"/>
          <w:sz w:val="24"/>
          <w:szCs w:val="24"/>
        </w:rPr>
      </w:pPr>
    </w:p>
    <w:p w14:paraId="3C5E29EA" w14:textId="3F7A22DF" w:rsidR="001045EF" w:rsidRPr="00682149" w:rsidRDefault="008F2580" w:rsidP="001C138F">
      <w:pPr>
        <w:spacing w:after="0" w:line="276" w:lineRule="auto"/>
        <w:jc w:val="both"/>
        <w:rPr>
          <w:rFonts w:ascii="Helvetica Neue" w:eastAsiaTheme="minorEastAsia" w:hAnsi="Helvetica Neue" w:cs="Helvetica Neue"/>
          <w:bCs/>
          <w:color w:val="000000" w:themeColor="text1"/>
          <w:sz w:val="26"/>
          <w:szCs w:val="26"/>
          <w:lang w:val="es-ES" w:eastAsia="es-ES"/>
        </w:rPr>
      </w:pPr>
      <w:r w:rsidRPr="00682149">
        <w:rPr>
          <w:rFonts w:ascii="Arial" w:hAnsi="Arial" w:cs="Arial"/>
          <w:bCs/>
          <w:color w:val="000000" w:themeColor="text1"/>
          <w:sz w:val="24"/>
          <w:szCs w:val="24"/>
        </w:rPr>
        <w:t xml:space="preserve">En </w:t>
      </w:r>
      <w:r w:rsidR="00011167" w:rsidRPr="00682149">
        <w:rPr>
          <w:rFonts w:ascii="Arial" w:hAnsi="Arial" w:cs="Arial"/>
          <w:bCs/>
          <w:color w:val="000000" w:themeColor="text1"/>
          <w:sz w:val="24"/>
          <w:szCs w:val="24"/>
        </w:rPr>
        <w:t>el</w:t>
      </w:r>
      <w:r w:rsidR="00DA39A6" w:rsidRPr="00682149">
        <w:rPr>
          <w:rFonts w:ascii="Arial" w:hAnsi="Arial" w:cs="Arial"/>
          <w:bCs/>
          <w:color w:val="000000" w:themeColor="text1"/>
          <w:sz w:val="24"/>
          <w:szCs w:val="24"/>
        </w:rPr>
        <w:t xml:space="preserve"> cas</w:t>
      </w:r>
      <w:r w:rsidRPr="00682149">
        <w:rPr>
          <w:rFonts w:ascii="Arial" w:hAnsi="Arial" w:cs="Arial"/>
          <w:bCs/>
          <w:color w:val="000000" w:themeColor="text1"/>
          <w:sz w:val="24"/>
          <w:szCs w:val="24"/>
        </w:rPr>
        <w:t>o</w:t>
      </w:r>
      <w:r w:rsidR="00A74C8B" w:rsidRPr="00682149">
        <w:rPr>
          <w:rFonts w:ascii="Arial" w:hAnsi="Arial" w:cs="Arial"/>
          <w:bCs/>
          <w:color w:val="000000" w:themeColor="text1"/>
          <w:sz w:val="24"/>
          <w:szCs w:val="24"/>
        </w:rPr>
        <w:t xml:space="preserve"> particular</w:t>
      </w:r>
      <w:r w:rsidR="004E614C" w:rsidRPr="00682149">
        <w:rPr>
          <w:rFonts w:ascii="Arial" w:hAnsi="Arial" w:cs="Arial"/>
          <w:bCs/>
          <w:color w:val="000000" w:themeColor="text1"/>
          <w:sz w:val="24"/>
          <w:szCs w:val="24"/>
        </w:rPr>
        <w:t>,</w:t>
      </w:r>
      <w:r w:rsidR="00A74C8B" w:rsidRPr="00682149">
        <w:rPr>
          <w:rFonts w:ascii="Arial" w:hAnsi="Arial" w:cs="Arial"/>
          <w:bCs/>
          <w:color w:val="000000" w:themeColor="text1"/>
          <w:sz w:val="24"/>
          <w:szCs w:val="24"/>
        </w:rPr>
        <w:t xml:space="preserve"> </w:t>
      </w:r>
      <w:r w:rsidR="00285AB4" w:rsidRPr="00682149">
        <w:rPr>
          <w:rFonts w:ascii="Arial" w:hAnsi="Arial" w:cs="Arial"/>
          <w:bCs/>
          <w:color w:val="000000" w:themeColor="text1"/>
          <w:sz w:val="24"/>
          <w:szCs w:val="24"/>
        </w:rPr>
        <w:t xml:space="preserve">aunque la </w:t>
      </w:r>
      <w:r w:rsidR="00A74C8B" w:rsidRPr="00682149">
        <w:rPr>
          <w:rFonts w:ascii="Arial" w:hAnsi="Arial" w:cs="Arial"/>
          <w:bCs/>
          <w:color w:val="000000" w:themeColor="text1"/>
          <w:sz w:val="24"/>
          <w:szCs w:val="24"/>
        </w:rPr>
        <w:t>medida contenida</w:t>
      </w:r>
      <w:r w:rsidR="00DA39A6" w:rsidRPr="00682149">
        <w:rPr>
          <w:rFonts w:ascii="Arial" w:hAnsi="Arial" w:cs="Arial"/>
          <w:bCs/>
          <w:color w:val="000000" w:themeColor="text1"/>
          <w:sz w:val="24"/>
          <w:szCs w:val="24"/>
        </w:rPr>
        <w:t xml:space="preserve"> en la Resolución 166 </w:t>
      </w:r>
      <w:r w:rsidR="00285AB4" w:rsidRPr="00682149">
        <w:rPr>
          <w:rFonts w:ascii="Arial" w:hAnsi="Arial" w:cs="Arial"/>
          <w:bCs/>
          <w:color w:val="000000" w:themeColor="text1"/>
          <w:sz w:val="24"/>
          <w:szCs w:val="24"/>
        </w:rPr>
        <w:t xml:space="preserve">dispuso que estaría vigente hasta </w:t>
      </w:r>
      <w:r w:rsidR="00285AB4" w:rsidRPr="00682149">
        <w:rPr>
          <w:rFonts w:ascii="Arial" w:hAnsi="Arial" w:cs="Arial"/>
          <w:color w:val="000000" w:themeColor="text1"/>
          <w:sz w:val="24"/>
          <w:szCs w:val="24"/>
        </w:rPr>
        <w:t>la entrada en vigencia de la resolución por la cual se defi</w:t>
      </w:r>
      <w:r w:rsidR="00011167" w:rsidRPr="00682149">
        <w:rPr>
          <w:rFonts w:ascii="Arial" w:hAnsi="Arial" w:cs="Arial"/>
          <w:color w:val="000000" w:themeColor="text1"/>
          <w:sz w:val="24"/>
          <w:szCs w:val="24"/>
        </w:rPr>
        <w:t xml:space="preserve">na la fórmula tarifaria general, </w:t>
      </w:r>
      <w:r w:rsidR="00285AB4" w:rsidRPr="00682149">
        <w:rPr>
          <w:rFonts w:ascii="Arial" w:hAnsi="Arial" w:cs="Arial"/>
          <w:color w:val="000000" w:themeColor="text1"/>
          <w:sz w:val="24"/>
          <w:szCs w:val="24"/>
        </w:rPr>
        <w:t xml:space="preserve">lo </w:t>
      </w:r>
      <w:r w:rsidR="00DC1D4F" w:rsidRPr="00682149">
        <w:rPr>
          <w:rFonts w:ascii="Arial" w:hAnsi="Arial" w:cs="Arial"/>
          <w:bCs/>
          <w:color w:val="000000" w:themeColor="text1"/>
          <w:sz w:val="24"/>
          <w:szCs w:val="24"/>
        </w:rPr>
        <w:t xml:space="preserve">que comporta </w:t>
      </w:r>
      <w:r w:rsidR="00285AB4" w:rsidRPr="00682149">
        <w:rPr>
          <w:rFonts w:ascii="Arial" w:hAnsi="Arial" w:cs="Arial"/>
          <w:bCs/>
          <w:color w:val="000000" w:themeColor="text1"/>
          <w:sz w:val="24"/>
          <w:szCs w:val="24"/>
        </w:rPr>
        <w:t xml:space="preserve">que la previsión </w:t>
      </w:r>
      <w:r w:rsidR="00DC1D4F" w:rsidRPr="00682149">
        <w:rPr>
          <w:rFonts w:ascii="Arial" w:hAnsi="Arial" w:cs="Arial"/>
          <w:bCs/>
          <w:color w:val="000000" w:themeColor="text1"/>
          <w:sz w:val="24"/>
          <w:szCs w:val="24"/>
        </w:rPr>
        <w:t>estar</w:t>
      </w:r>
      <w:r w:rsidR="00285AB4" w:rsidRPr="00682149">
        <w:rPr>
          <w:rFonts w:ascii="Arial" w:hAnsi="Arial" w:cs="Arial"/>
          <w:bCs/>
          <w:color w:val="000000" w:themeColor="text1"/>
          <w:sz w:val="24"/>
          <w:szCs w:val="24"/>
        </w:rPr>
        <w:t xml:space="preserve">á </w:t>
      </w:r>
      <w:r w:rsidR="00DC1D4F" w:rsidRPr="00682149">
        <w:rPr>
          <w:rFonts w:ascii="Arial" w:hAnsi="Arial" w:cs="Arial"/>
          <w:bCs/>
          <w:color w:val="000000" w:themeColor="text1"/>
          <w:sz w:val="24"/>
          <w:szCs w:val="24"/>
        </w:rPr>
        <w:t xml:space="preserve">vigente </w:t>
      </w:r>
      <w:r w:rsidR="00695712" w:rsidRPr="00682149">
        <w:rPr>
          <w:rFonts w:ascii="Arial" w:hAnsi="Arial" w:cs="Arial"/>
          <w:bCs/>
          <w:color w:val="000000" w:themeColor="text1"/>
          <w:sz w:val="24"/>
          <w:szCs w:val="24"/>
        </w:rPr>
        <w:t xml:space="preserve">hasta que concluya </w:t>
      </w:r>
      <w:r w:rsidR="00A74C8B" w:rsidRPr="00682149">
        <w:rPr>
          <w:rFonts w:ascii="Arial" w:hAnsi="Arial" w:cs="Arial"/>
          <w:bCs/>
          <w:color w:val="000000" w:themeColor="text1"/>
          <w:sz w:val="24"/>
          <w:szCs w:val="24"/>
        </w:rPr>
        <w:t>el procedimiento ordinario</w:t>
      </w:r>
      <w:r w:rsidR="00DA39A6" w:rsidRPr="00682149">
        <w:rPr>
          <w:rFonts w:ascii="Arial" w:hAnsi="Arial" w:cs="Arial"/>
          <w:bCs/>
          <w:color w:val="000000" w:themeColor="text1"/>
          <w:sz w:val="24"/>
          <w:szCs w:val="24"/>
        </w:rPr>
        <w:t xml:space="preserve"> del marco tarifario general a que se refiere la Resolución</w:t>
      </w:r>
      <w:r w:rsidR="009C1418" w:rsidRPr="00682149">
        <w:rPr>
          <w:rFonts w:ascii="Arial" w:hAnsi="Arial" w:cs="Arial"/>
          <w:color w:val="000000" w:themeColor="text1"/>
          <w:sz w:val="24"/>
          <w:szCs w:val="24"/>
        </w:rPr>
        <w:t xml:space="preserve"> 137 de 14 de julio de 2020</w:t>
      </w:r>
      <w:r w:rsidR="00DC1D4F" w:rsidRPr="00682149">
        <w:rPr>
          <w:rFonts w:ascii="Arial" w:hAnsi="Arial" w:cs="Arial"/>
          <w:color w:val="000000" w:themeColor="text1"/>
          <w:sz w:val="24"/>
          <w:szCs w:val="24"/>
        </w:rPr>
        <w:t xml:space="preserve">, </w:t>
      </w:r>
      <w:r w:rsidR="00960D48" w:rsidRPr="00682149">
        <w:rPr>
          <w:rFonts w:ascii="Arial" w:hAnsi="Arial" w:cs="Arial"/>
          <w:color w:val="000000" w:themeColor="text1"/>
          <w:sz w:val="24"/>
          <w:szCs w:val="24"/>
        </w:rPr>
        <w:t xml:space="preserve">dicha decisión </w:t>
      </w:r>
      <w:r w:rsidR="00AC5997" w:rsidRPr="00682149">
        <w:rPr>
          <w:rFonts w:ascii="Arial" w:hAnsi="Arial" w:cs="Arial"/>
          <w:color w:val="000000" w:themeColor="text1"/>
          <w:sz w:val="24"/>
          <w:szCs w:val="24"/>
        </w:rPr>
        <w:t xml:space="preserve">no contraria la </w:t>
      </w:r>
      <w:r w:rsidR="005A0276" w:rsidRPr="00682149">
        <w:rPr>
          <w:rFonts w:ascii="Arial" w:hAnsi="Arial" w:cs="Arial"/>
          <w:color w:val="000000" w:themeColor="text1"/>
          <w:sz w:val="24"/>
          <w:szCs w:val="24"/>
        </w:rPr>
        <w:t>norma legal ni C</w:t>
      </w:r>
      <w:r w:rsidR="00AC5997" w:rsidRPr="00682149">
        <w:rPr>
          <w:rFonts w:ascii="Arial" w:hAnsi="Arial" w:cs="Arial"/>
          <w:color w:val="000000" w:themeColor="text1"/>
          <w:sz w:val="24"/>
          <w:szCs w:val="24"/>
        </w:rPr>
        <w:t xml:space="preserve">onstitucional, </w:t>
      </w:r>
      <w:r w:rsidR="00F83529" w:rsidRPr="00682149">
        <w:rPr>
          <w:rFonts w:ascii="Arial" w:hAnsi="Arial" w:cs="Arial"/>
          <w:color w:val="000000" w:themeColor="text1"/>
          <w:sz w:val="24"/>
          <w:szCs w:val="24"/>
        </w:rPr>
        <w:t>porque</w:t>
      </w:r>
      <w:r w:rsidR="00AC5997" w:rsidRPr="00682149">
        <w:rPr>
          <w:rFonts w:ascii="Arial" w:hAnsi="Arial" w:cs="Arial"/>
          <w:color w:val="000000" w:themeColor="text1"/>
          <w:sz w:val="24"/>
          <w:szCs w:val="24"/>
        </w:rPr>
        <w:t>:</w:t>
      </w:r>
      <w:r w:rsidR="001045EF" w:rsidRPr="00682149">
        <w:rPr>
          <w:rFonts w:ascii="Arial" w:hAnsi="Arial" w:cs="Arial"/>
          <w:i/>
          <w:color w:val="000000" w:themeColor="text1"/>
          <w:spacing w:val="3"/>
        </w:rPr>
        <w:t xml:space="preserve"> </w:t>
      </w:r>
      <w:r w:rsidR="00F83529" w:rsidRPr="00682149">
        <w:rPr>
          <w:rFonts w:ascii="Arial" w:eastAsiaTheme="minorEastAsia" w:hAnsi="Arial" w:cs="Arial"/>
          <w:color w:val="000000" w:themeColor="text1"/>
          <w:sz w:val="24"/>
          <w:szCs w:val="24"/>
          <w:lang w:val="es-ES" w:eastAsia="es-ES"/>
        </w:rPr>
        <w:t>i) l</w:t>
      </w:r>
      <w:r w:rsidR="001045EF" w:rsidRPr="00682149">
        <w:rPr>
          <w:rFonts w:ascii="Arial" w:eastAsiaTheme="minorEastAsia" w:hAnsi="Arial" w:cs="Arial"/>
          <w:color w:val="000000" w:themeColor="text1"/>
          <w:sz w:val="24"/>
          <w:szCs w:val="24"/>
          <w:lang w:val="es-ES" w:eastAsia="es-ES"/>
        </w:rPr>
        <w:t>a medida dispuesta en la resolución 166 está referida exclusivamente a materias que tienen relación directa y específica con el estado de emergencia, ii) se encuentra destinada exclusivamente a conjurar la crisis y a impedir la extensión de sus efectos de la e</w:t>
      </w:r>
      <w:r w:rsidR="00F83529" w:rsidRPr="00682149">
        <w:rPr>
          <w:rFonts w:ascii="Arial" w:eastAsiaTheme="minorEastAsia" w:hAnsi="Arial" w:cs="Arial"/>
          <w:color w:val="000000" w:themeColor="text1"/>
          <w:sz w:val="24"/>
          <w:szCs w:val="24"/>
          <w:lang w:val="es-ES" w:eastAsia="es-ES"/>
        </w:rPr>
        <w:t xml:space="preserve">mergencia sanitaria, en desarrollo </w:t>
      </w:r>
      <w:r w:rsidR="001045EF" w:rsidRPr="00682149">
        <w:rPr>
          <w:rFonts w:ascii="Arial" w:eastAsiaTheme="minorEastAsia" w:hAnsi="Arial" w:cs="Arial"/>
          <w:color w:val="000000" w:themeColor="text1"/>
          <w:sz w:val="24"/>
          <w:szCs w:val="24"/>
          <w:lang w:val="es-ES" w:eastAsia="es-ES"/>
        </w:rPr>
        <w:t>con lo dispuest</w:t>
      </w:r>
      <w:r w:rsidR="00F83529" w:rsidRPr="00682149">
        <w:rPr>
          <w:rFonts w:ascii="Arial" w:eastAsiaTheme="minorEastAsia" w:hAnsi="Arial" w:cs="Arial"/>
          <w:color w:val="000000" w:themeColor="text1"/>
          <w:sz w:val="24"/>
          <w:szCs w:val="24"/>
          <w:lang w:val="es-ES" w:eastAsia="es-ES"/>
        </w:rPr>
        <w:t>o en el Decreto Legislativo 517,</w:t>
      </w:r>
      <w:r w:rsidR="001045EF" w:rsidRPr="00682149">
        <w:rPr>
          <w:rFonts w:ascii="Arial" w:eastAsiaTheme="minorEastAsia" w:hAnsi="Arial" w:cs="Arial"/>
          <w:color w:val="000000" w:themeColor="text1"/>
          <w:sz w:val="24"/>
          <w:szCs w:val="24"/>
          <w:lang w:val="es-ES" w:eastAsia="es-ES"/>
        </w:rPr>
        <w:t xml:space="preserve"> iii) </w:t>
      </w:r>
      <w:r w:rsidR="00011167" w:rsidRPr="00682149">
        <w:rPr>
          <w:rFonts w:ascii="Arial" w:eastAsiaTheme="minorEastAsia" w:hAnsi="Arial" w:cs="Arial"/>
          <w:color w:val="000000" w:themeColor="text1"/>
          <w:sz w:val="24"/>
          <w:szCs w:val="24"/>
          <w:lang w:val="es-ES" w:eastAsia="es-ES"/>
        </w:rPr>
        <w:t xml:space="preserve">la condición sobre la vigencia de la medida tiene estrecha relación con </w:t>
      </w:r>
      <w:r w:rsidR="001045EF" w:rsidRPr="00682149">
        <w:rPr>
          <w:rFonts w:ascii="Arial" w:eastAsiaTheme="minorEastAsia" w:hAnsi="Arial" w:cs="Arial"/>
          <w:color w:val="000000" w:themeColor="text1"/>
          <w:sz w:val="24"/>
          <w:szCs w:val="24"/>
          <w:lang w:val="es-ES" w:eastAsia="es-ES"/>
        </w:rPr>
        <w:t>la protección de los usuarios finales</w:t>
      </w:r>
      <w:r w:rsidR="00011167" w:rsidRPr="00682149">
        <w:rPr>
          <w:rFonts w:ascii="Arial" w:eastAsiaTheme="minorEastAsia" w:hAnsi="Arial" w:cs="Arial"/>
          <w:color w:val="000000" w:themeColor="text1"/>
          <w:sz w:val="24"/>
          <w:szCs w:val="24"/>
          <w:lang w:val="es-ES" w:eastAsia="es-ES"/>
        </w:rPr>
        <w:t xml:space="preserve">, </w:t>
      </w:r>
      <w:r w:rsidR="00462BD6" w:rsidRPr="00682149">
        <w:rPr>
          <w:rFonts w:ascii="Arial" w:eastAsiaTheme="minorEastAsia" w:hAnsi="Arial" w:cs="Arial"/>
          <w:color w:val="000000" w:themeColor="text1"/>
          <w:sz w:val="24"/>
          <w:szCs w:val="24"/>
          <w:lang w:val="es-ES" w:eastAsia="es-ES"/>
        </w:rPr>
        <w:t xml:space="preserve">iv) solo con la expedición de la regulación tarifaria general en los sistemas solares fotovoltaicos se protege material y efectivamente a los usuarios ubicados </w:t>
      </w:r>
      <w:r w:rsidR="00462BD6" w:rsidRPr="00682149">
        <w:rPr>
          <w:rFonts w:ascii="Arial" w:eastAsiaTheme="minorEastAsia" w:hAnsi="Arial" w:cs="Arial"/>
          <w:color w:val="000000" w:themeColor="text1"/>
          <w:sz w:val="24"/>
          <w:szCs w:val="24"/>
          <w:lang w:val="es-ES" w:eastAsia="es-ES"/>
        </w:rPr>
        <w:lastRenderedPageBreak/>
        <w:t>en zonas n</w:t>
      </w:r>
      <w:r w:rsidR="00F83529" w:rsidRPr="00682149">
        <w:rPr>
          <w:rFonts w:ascii="Arial" w:eastAsiaTheme="minorEastAsia" w:hAnsi="Arial" w:cs="Arial"/>
          <w:color w:val="000000" w:themeColor="text1"/>
          <w:sz w:val="24"/>
          <w:szCs w:val="24"/>
          <w:lang w:val="es-ES" w:eastAsia="es-ES"/>
        </w:rPr>
        <w:t>o interconectadas donde se encuentra ubicadas</w:t>
      </w:r>
      <w:r w:rsidR="00462BD6" w:rsidRPr="00682149">
        <w:rPr>
          <w:rFonts w:ascii="Arial" w:eastAsiaTheme="minorEastAsia" w:hAnsi="Arial" w:cs="Arial"/>
          <w:color w:val="000000" w:themeColor="text1"/>
          <w:sz w:val="24"/>
          <w:szCs w:val="24"/>
          <w:lang w:val="es-ES" w:eastAsia="es-ES"/>
        </w:rPr>
        <w:t xml:space="preserve"> poblaciones vulnerables</w:t>
      </w:r>
      <w:r w:rsidR="00011167" w:rsidRPr="00682149">
        <w:rPr>
          <w:rFonts w:ascii="Arial" w:eastAsiaTheme="minorEastAsia" w:hAnsi="Arial" w:cs="Arial"/>
          <w:color w:val="000000" w:themeColor="text1"/>
          <w:sz w:val="24"/>
          <w:szCs w:val="24"/>
          <w:lang w:val="es-ES" w:eastAsia="es-ES"/>
        </w:rPr>
        <w:t xml:space="preserve"> y logra la finalidad esperada. </w:t>
      </w:r>
      <w:r w:rsidR="00011167" w:rsidRPr="00682149">
        <w:rPr>
          <w:rFonts w:ascii="Arial" w:eastAsiaTheme="minorEastAsia" w:hAnsi="Arial" w:cs="Arial"/>
          <w:bCs/>
          <w:color w:val="000000" w:themeColor="text1"/>
          <w:sz w:val="24"/>
          <w:szCs w:val="24"/>
          <w:lang w:val="es-ES" w:eastAsia="es-ES"/>
        </w:rPr>
        <w:t>En ese orden,</w:t>
      </w:r>
      <w:r w:rsidR="00E82D0F" w:rsidRPr="00682149">
        <w:rPr>
          <w:rFonts w:ascii="Arial" w:eastAsiaTheme="minorEastAsia" w:hAnsi="Arial" w:cs="Arial"/>
          <w:bCs/>
          <w:color w:val="000000" w:themeColor="text1"/>
          <w:sz w:val="24"/>
          <w:szCs w:val="24"/>
          <w:lang w:val="es-ES" w:eastAsia="es-ES"/>
        </w:rPr>
        <w:t xml:space="preserve"> la disposición se entenderá ajustada a derecho bajo el entendido de que</w:t>
      </w:r>
      <w:r w:rsidR="00011167" w:rsidRPr="00682149">
        <w:rPr>
          <w:rFonts w:ascii="Arial" w:eastAsiaTheme="minorEastAsia" w:hAnsi="Arial" w:cs="Arial"/>
          <w:bCs/>
          <w:color w:val="000000" w:themeColor="text1"/>
          <w:sz w:val="24"/>
          <w:szCs w:val="24"/>
          <w:lang w:val="es-ES" w:eastAsia="es-ES"/>
        </w:rPr>
        <w:t xml:space="preserve"> el </w:t>
      </w:r>
      <w:r w:rsidR="00E82D0F" w:rsidRPr="00682149">
        <w:rPr>
          <w:rFonts w:ascii="Arial" w:eastAsiaTheme="minorEastAsia" w:hAnsi="Arial" w:cs="Arial"/>
          <w:bCs/>
          <w:color w:val="000000" w:themeColor="text1"/>
          <w:sz w:val="24"/>
          <w:szCs w:val="24"/>
          <w:lang w:val="es-ES" w:eastAsia="es-ES"/>
        </w:rPr>
        <w:t>régimen general tarifario deberá estar disponible cuando termine la emergencia sanitaria.</w:t>
      </w:r>
      <w:r w:rsidR="00011167" w:rsidRPr="00682149">
        <w:rPr>
          <w:rFonts w:ascii="Helvetica Neue" w:eastAsiaTheme="minorEastAsia" w:hAnsi="Helvetica Neue" w:cs="Helvetica Neue"/>
          <w:bCs/>
          <w:color w:val="000000" w:themeColor="text1"/>
          <w:sz w:val="26"/>
          <w:szCs w:val="26"/>
          <w:lang w:val="es-ES" w:eastAsia="es-ES"/>
        </w:rPr>
        <w:t xml:space="preserve"> </w:t>
      </w:r>
    </w:p>
    <w:p w14:paraId="6C002F37" w14:textId="77777777" w:rsidR="003778E4" w:rsidRDefault="003778E4" w:rsidP="001C138F">
      <w:pPr>
        <w:pBdr>
          <w:top w:val="nil"/>
          <w:left w:val="nil"/>
          <w:bottom w:val="nil"/>
          <w:right w:val="nil"/>
          <w:between w:val="nil"/>
        </w:pBdr>
        <w:spacing w:after="0" w:line="276" w:lineRule="auto"/>
        <w:jc w:val="both"/>
        <w:rPr>
          <w:rFonts w:ascii="Arial" w:hAnsi="Arial" w:cs="Arial"/>
          <w:bCs/>
          <w:color w:val="000000" w:themeColor="text1"/>
          <w:sz w:val="24"/>
          <w:szCs w:val="24"/>
          <w:lang w:val="es-ES"/>
        </w:rPr>
      </w:pPr>
    </w:p>
    <w:p w14:paraId="1B7D3FE8" w14:textId="420C46AD" w:rsidR="00202AA8" w:rsidRPr="00682149" w:rsidRDefault="00202AA8" w:rsidP="001C138F">
      <w:pPr>
        <w:pBdr>
          <w:top w:val="nil"/>
          <w:left w:val="nil"/>
          <w:bottom w:val="nil"/>
          <w:right w:val="nil"/>
          <w:between w:val="nil"/>
        </w:pBdr>
        <w:spacing w:after="0" w:line="276" w:lineRule="auto"/>
        <w:jc w:val="both"/>
        <w:rPr>
          <w:rFonts w:ascii="Arial" w:hAnsi="Arial" w:cs="Arial"/>
          <w:bCs/>
          <w:color w:val="000000" w:themeColor="text1"/>
          <w:sz w:val="24"/>
          <w:szCs w:val="24"/>
          <w:lang w:val="es-CO"/>
        </w:rPr>
      </w:pPr>
      <w:r w:rsidRPr="00682149">
        <w:rPr>
          <w:rFonts w:ascii="Arial" w:hAnsi="Arial" w:cs="Arial"/>
          <w:bCs/>
          <w:color w:val="000000" w:themeColor="text1"/>
          <w:sz w:val="24"/>
          <w:szCs w:val="24"/>
          <w:lang w:val="es-ES"/>
        </w:rPr>
        <w:t>Finamente,</w:t>
      </w:r>
      <w:r w:rsidRPr="00682149" w:rsidDel="00B801A2">
        <w:rPr>
          <w:rFonts w:ascii="Arial" w:hAnsi="Arial" w:cs="Arial"/>
          <w:bCs/>
          <w:color w:val="000000" w:themeColor="text1"/>
          <w:sz w:val="24"/>
          <w:szCs w:val="24"/>
          <w:lang w:val="es-ES"/>
        </w:rPr>
        <w:t xml:space="preserve"> </w:t>
      </w:r>
      <w:r w:rsidRPr="00682149">
        <w:rPr>
          <w:rFonts w:ascii="Arial" w:hAnsi="Arial" w:cs="Arial"/>
          <w:bCs/>
          <w:color w:val="000000" w:themeColor="text1"/>
          <w:sz w:val="24"/>
          <w:szCs w:val="24"/>
          <w:lang w:val="es-ES"/>
        </w:rPr>
        <w:t>la Sala advierte que la decisión hará tránsito a cosa juzgada relativa, dado que, a través de los medios de control ordinarios, la Resolución 1</w:t>
      </w:r>
      <w:r w:rsidR="00782265" w:rsidRPr="00682149">
        <w:rPr>
          <w:rFonts w:ascii="Arial" w:hAnsi="Arial" w:cs="Arial"/>
          <w:bCs/>
          <w:color w:val="000000" w:themeColor="text1"/>
          <w:sz w:val="24"/>
          <w:szCs w:val="24"/>
          <w:lang w:val="es-ES"/>
        </w:rPr>
        <w:t>66</w:t>
      </w:r>
      <w:r w:rsidRPr="00682149">
        <w:rPr>
          <w:rFonts w:ascii="Arial" w:hAnsi="Arial" w:cs="Arial"/>
          <w:bCs/>
          <w:color w:val="000000" w:themeColor="text1"/>
          <w:sz w:val="24"/>
          <w:szCs w:val="24"/>
          <w:lang w:val="es-ES"/>
        </w:rPr>
        <w:t xml:space="preserve"> podrá ser demandada </w:t>
      </w:r>
      <w:r w:rsidRPr="00682149">
        <w:rPr>
          <w:rFonts w:ascii="Arial" w:hAnsi="Arial" w:cs="Arial"/>
          <w:bCs/>
          <w:color w:val="000000" w:themeColor="text1"/>
          <w:sz w:val="24"/>
          <w:szCs w:val="24"/>
        </w:rPr>
        <w:t xml:space="preserve">por motivos que no hayan sido objeto de pronunciamiento en esta providencia. </w:t>
      </w:r>
    </w:p>
    <w:p w14:paraId="5F953565" w14:textId="77777777" w:rsidR="00454900" w:rsidRPr="00682149" w:rsidRDefault="00454900" w:rsidP="001C138F">
      <w:pPr>
        <w:pBdr>
          <w:top w:val="nil"/>
          <w:left w:val="nil"/>
          <w:bottom w:val="nil"/>
          <w:right w:val="nil"/>
          <w:between w:val="nil"/>
        </w:pBdr>
        <w:spacing w:after="0" w:line="276" w:lineRule="auto"/>
        <w:jc w:val="both"/>
        <w:rPr>
          <w:rFonts w:ascii="Arial" w:eastAsia="Arial" w:hAnsi="Arial" w:cs="Arial"/>
          <w:color w:val="000000" w:themeColor="text1"/>
          <w:sz w:val="24"/>
          <w:szCs w:val="24"/>
          <w:lang w:val="es-CO"/>
        </w:rPr>
      </w:pPr>
    </w:p>
    <w:p w14:paraId="7A2E5A60" w14:textId="5471FA32" w:rsidR="00454900" w:rsidRPr="00682149" w:rsidRDefault="001D37B6" w:rsidP="001C138F">
      <w:pPr>
        <w:pBdr>
          <w:top w:val="nil"/>
          <w:left w:val="nil"/>
          <w:bottom w:val="nil"/>
          <w:right w:val="nil"/>
          <w:between w:val="nil"/>
        </w:pBdr>
        <w:spacing w:after="0" w:line="276" w:lineRule="auto"/>
        <w:jc w:val="both"/>
        <w:rPr>
          <w:rFonts w:ascii="Arial" w:eastAsia="Arial" w:hAnsi="Arial" w:cs="Arial"/>
          <w:i/>
          <w:color w:val="000000" w:themeColor="text1"/>
          <w:sz w:val="24"/>
          <w:szCs w:val="24"/>
          <w:lang w:val="es-CO"/>
        </w:rPr>
      </w:pPr>
      <w:r w:rsidRPr="00682149">
        <w:rPr>
          <w:rFonts w:ascii="Arial" w:eastAsia="Arial" w:hAnsi="Arial" w:cs="Arial"/>
          <w:b/>
          <w:color w:val="000000" w:themeColor="text1"/>
          <w:sz w:val="24"/>
          <w:szCs w:val="24"/>
          <w:lang w:val="es-CO"/>
        </w:rPr>
        <w:t>2.6.</w:t>
      </w:r>
      <w:r w:rsidR="00454900" w:rsidRPr="00682149">
        <w:rPr>
          <w:rFonts w:ascii="Arial" w:eastAsia="Arial" w:hAnsi="Arial" w:cs="Arial"/>
          <w:b/>
          <w:color w:val="000000" w:themeColor="text1"/>
          <w:sz w:val="24"/>
          <w:szCs w:val="24"/>
          <w:lang w:val="es-CO"/>
        </w:rPr>
        <w:t xml:space="preserve"> Conclusiones:</w:t>
      </w:r>
    </w:p>
    <w:p w14:paraId="0EA6049E" w14:textId="77777777" w:rsidR="00903B6C" w:rsidRPr="00682149" w:rsidRDefault="00903B6C" w:rsidP="001C138F">
      <w:pPr>
        <w:spacing w:after="0" w:line="276" w:lineRule="auto"/>
        <w:jc w:val="both"/>
        <w:rPr>
          <w:rFonts w:ascii="Arial" w:hAnsi="Arial" w:cs="Arial"/>
          <w:color w:val="000000" w:themeColor="text1"/>
          <w:sz w:val="24"/>
          <w:szCs w:val="24"/>
        </w:rPr>
      </w:pPr>
    </w:p>
    <w:p w14:paraId="13910D28" w14:textId="23F35E64" w:rsidR="004E614C" w:rsidRPr="00682149" w:rsidRDefault="000B6A9E" w:rsidP="001C138F">
      <w:pPr>
        <w:spacing w:after="0" w:line="276" w:lineRule="auto"/>
        <w:jc w:val="both"/>
        <w:rPr>
          <w:rFonts w:ascii="Arial" w:hAnsi="Arial" w:cs="Arial"/>
          <w:color w:val="000000" w:themeColor="text1"/>
          <w:sz w:val="24"/>
          <w:szCs w:val="24"/>
        </w:rPr>
      </w:pPr>
      <w:r w:rsidRPr="00682149">
        <w:rPr>
          <w:rFonts w:ascii="Arial" w:hAnsi="Arial" w:cs="Arial"/>
          <w:color w:val="000000" w:themeColor="text1"/>
          <w:sz w:val="24"/>
          <w:szCs w:val="24"/>
        </w:rPr>
        <w:t xml:space="preserve">En armonía con lo anterior, efectuado un control objetivo de la Resolución </w:t>
      </w:r>
      <w:r w:rsidR="00A0204A" w:rsidRPr="00682149">
        <w:rPr>
          <w:rFonts w:ascii="Arial" w:hAnsi="Arial" w:cs="Arial"/>
          <w:color w:val="000000" w:themeColor="text1"/>
          <w:sz w:val="24"/>
          <w:szCs w:val="24"/>
        </w:rPr>
        <w:t>CREG-1</w:t>
      </w:r>
      <w:r w:rsidRPr="00682149">
        <w:rPr>
          <w:rFonts w:ascii="Arial" w:hAnsi="Arial" w:cs="Arial"/>
          <w:color w:val="000000" w:themeColor="text1"/>
          <w:sz w:val="24"/>
          <w:szCs w:val="24"/>
        </w:rPr>
        <w:t xml:space="preserve">66 de 2020, </w:t>
      </w:r>
      <w:r w:rsidR="001F3932" w:rsidRPr="00682149">
        <w:rPr>
          <w:rFonts w:ascii="Arial" w:hAnsi="Arial" w:cs="Arial"/>
          <w:color w:val="000000" w:themeColor="text1"/>
          <w:sz w:val="24"/>
          <w:szCs w:val="24"/>
        </w:rPr>
        <w:t>desde el ámbito temporal y material</w:t>
      </w:r>
      <w:r w:rsidR="004E614C" w:rsidRPr="00682149">
        <w:rPr>
          <w:rFonts w:ascii="Arial" w:hAnsi="Arial" w:cs="Arial"/>
          <w:color w:val="000000" w:themeColor="text1"/>
          <w:sz w:val="24"/>
          <w:szCs w:val="24"/>
        </w:rPr>
        <w:t>, se encuentra, que:</w:t>
      </w:r>
    </w:p>
    <w:p w14:paraId="5D24C461" w14:textId="77777777" w:rsidR="004E614C" w:rsidRPr="00682149" w:rsidRDefault="004E614C" w:rsidP="001C138F">
      <w:pPr>
        <w:spacing w:after="0" w:line="276" w:lineRule="auto"/>
        <w:jc w:val="both"/>
        <w:rPr>
          <w:rFonts w:ascii="Arial" w:hAnsi="Arial" w:cs="Arial"/>
          <w:color w:val="000000" w:themeColor="text1"/>
          <w:sz w:val="24"/>
          <w:szCs w:val="24"/>
        </w:rPr>
      </w:pPr>
    </w:p>
    <w:p w14:paraId="1CC56270" w14:textId="5C211F1A" w:rsidR="00A0204A" w:rsidRPr="00682149" w:rsidRDefault="001F3932" w:rsidP="001C138F">
      <w:pPr>
        <w:spacing w:after="0" w:line="276" w:lineRule="auto"/>
        <w:jc w:val="both"/>
        <w:rPr>
          <w:rFonts w:ascii="Arial" w:hAnsi="Arial" w:cs="Arial"/>
          <w:color w:val="000000" w:themeColor="text1"/>
          <w:sz w:val="24"/>
          <w:szCs w:val="24"/>
        </w:rPr>
      </w:pPr>
      <w:r w:rsidRPr="00682149">
        <w:rPr>
          <w:rFonts w:ascii="Arial" w:hAnsi="Arial" w:cs="Arial"/>
          <w:color w:val="000000" w:themeColor="text1"/>
          <w:sz w:val="24"/>
          <w:szCs w:val="24"/>
        </w:rPr>
        <w:t xml:space="preserve"> </w:t>
      </w:r>
      <w:r w:rsidR="000B6A9E" w:rsidRPr="00682149">
        <w:rPr>
          <w:rFonts w:ascii="Arial" w:hAnsi="Arial" w:cs="Arial"/>
          <w:color w:val="000000" w:themeColor="text1"/>
          <w:sz w:val="24"/>
          <w:szCs w:val="24"/>
        </w:rPr>
        <w:t xml:space="preserve">i) </w:t>
      </w:r>
      <w:r w:rsidR="00903B6C" w:rsidRPr="00682149">
        <w:rPr>
          <w:rFonts w:ascii="Arial" w:eastAsia="Times New Roman" w:hAnsi="Arial" w:cs="Arial"/>
          <w:color w:val="000000" w:themeColor="text1"/>
          <w:sz w:val="24"/>
          <w:szCs w:val="24"/>
          <w:lang w:val="es-CO" w:eastAsia="es-ES_tradnl"/>
        </w:rPr>
        <w:t xml:space="preserve">guarda relación de causa a </w:t>
      </w:r>
      <w:r w:rsidR="004B3B88">
        <w:rPr>
          <w:rFonts w:ascii="Arial" w:eastAsia="Times New Roman" w:hAnsi="Arial" w:cs="Arial"/>
          <w:color w:val="000000" w:themeColor="text1"/>
          <w:sz w:val="24"/>
          <w:szCs w:val="24"/>
          <w:lang w:val="es-CO" w:eastAsia="es-ES_tradnl"/>
        </w:rPr>
        <w:t>e</w:t>
      </w:r>
      <w:r w:rsidR="00903B6C" w:rsidRPr="00682149">
        <w:rPr>
          <w:rFonts w:ascii="Arial" w:eastAsia="Times New Roman" w:hAnsi="Arial" w:cs="Arial"/>
          <w:color w:val="000000" w:themeColor="text1"/>
          <w:sz w:val="24"/>
          <w:szCs w:val="24"/>
          <w:lang w:val="es-CO" w:eastAsia="es-ES_tradnl"/>
        </w:rPr>
        <w:t xml:space="preserve">fecto con aquellas que dieron lugar a la declaratoria del estado </w:t>
      </w:r>
      <w:r w:rsidR="000B6A9E" w:rsidRPr="00682149">
        <w:rPr>
          <w:rFonts w:ascii="Arial" w:eastAsia="Times New Roman" w:hAnsi="Arial" w:cs="Arial"/>
          <w:color w:val="000000" w:themeColor="text1"/>
          <w:sz w:val="24"/>
          <w:szCs w:val="24"/>
          <w:lang w:val="es-CO" w:eastAsia="es-ES_tradnl"/>
        </w:rPr>
        <w:t>de excepción</w:t>
      </w:r>
      <w:r w:rsidR="000B6A9E" w:rsidRPr="00682149">
        <w:rPr>
          <w:rFonts w:ascii="Arial" w:hAnsi="Arial" w:cs="Arial"/>
          <w:color w:val="000000" w:themeColor="text1"/>
          <w:sz w:val="24"/>
          <w:szCs w:val="24"/>
        </w:rPr>
        <w:t xml:space="preserve">, </w:t>
      </w:r>
      <w:r w:rsidR="00903B6C" w:rsidRPr="00682149">
        <w:rPr>
          <w:rFonts w:ascii="Arial" w:hAnsi="Arial" w:cs="Arial"/>
          <w:color w:val="000000" w:themeColor="text1"/>
          <w:sz w:val="24"/>
          <w:szCs w:val="24"/>
        </w:rPr>
        <w:t>mediante la definición de las tarifas del servicio de energía eléctrica en</w:t>
      </w:r>
      <w:r w:rsidR="00800B15" w:rsidRPr="00682149">
        <w:rPr>
          <w:rFonts w:ascii="Arial" w:hAnsi="Arial" w:cs="Arial"/>
          <w:color w:val="000000" w:themeColor="text1"/>
          <w:sz w:val="24"/>
          <w:szCs w:val="24"/>
        </w:rPr>
        <w:t xml:space="preserve"> las soluciones solares fotovol</w:t>
      </w:r>
      <w:r w:rsidR="00903B6C" w:rsidRPr="00682149">
        <w:rPr>
          <w:rFonts w:ascii="Arial" w:hAnsi="Arial" w:cs="Arial"/>
          <w:color w:val="000000" w:themeColor="text1"/>
          <w:sz w:val="24"/>
          <w:szCs w:val="24"/>
        </w:rPr>
        <w:t>t</w:t>
      </w:r>
      <w:r w:rsidR="00800B15" w:rsidRPr="00682149">
        <w:rPr>
          <w:rFonts w:ascii="Arial" w:hAnsi="Arial" w:cs="Arial"/>
          <w:color w:val="000000" w:themeColor="text1"/>
          <w:sz w:val="24"/>
          <w:szCs w:val="24"/>
        </w:rPr>
        <w:t>a</w:t>
      </w:r>
      <w:r w:rsidR="00903B6C" w:rsidRPr="00682149">
        <w:rPr>
          <w:rFonts w:ascii="Arial" w:hAnsi="Arial" w:cs="Arial"/>
          <w:color w:val="000000" w:themeColor="text1"/>
          <w:sz w:val="24"/>
          <w:szCs w:val="24"/>
        </w:rPr>
        <w:t>icas individuales</w:t>
      </w:r>
      <w:r w:rsidR="00A0204A" w:rsidRPr="00682149">
        <w:rPr>
          <w:rFonts w:ascii="Arial" w:hAnsi="Arial" w:cs="Arial"/>
          <w:color w:val="000000" w:themeColor="text1"/>
          <w:sz w:val="24"/>
          <w:szCs w:val="24"/>
        </w:rPr>
        <w:t>.</w:t>
      </w:r>
      <w:r w:rsidR="00903B6C" w:rsidRPr="00682149">
        <w:rPr>
          <w:rFonts w:ascii="Arial" w:hAnsi="Arial" w:cs="Arial"/>
          <w:color w:val="000000" w:themeColor="text1"/>
          <w:sz w:val="24"/>
          <w:szCs w:val="24"/>
        </w:rPr>
        <w:t xml:space="preserve"> </w:t>
      </w:r>
    </w:p>
    <w:p w14:paraId="351C9743" w14:textId="77777777" w:rsidR="003778E4" w:rsidRDefault="003778E4" w:rsidP="001C138F">
      <w:pPr>
        <w:spacing w:after="0" w:line="276" w:lineRule="auto"/>
        <w:jc w:val="both"/>
        <w:rPr>
          <w:rFonts w:ascii="Arial" w:eastAsiaTheme="minorEastAsia" w:hAnsi="Arial" w:cs="Arial"/>
          <w:color w:val="000000" w:themeColor="text1"/>
          <w:sz w:val="24"/>
          <w:szCs w:val="24"/>
          <w:lang w:val="es-ES" w:eastAsia="es-ES"/>
        </w:rPr>
      </w:pPr>
    </w:p>
    <w:p w14:paraId="1DA84EAA" w14:textId="5BD92991" w:rsidR="00A0204A" w:rsidRPr="00682149" w:rsidRDefault="00800B15" w:rsidP="001C138F">
      <w:pPr>
        <w:spacing w:after="0" w:line="276" w:lineRule="auto"/>
        <w:jc w:val="both"/>
        <w:rPr>
          <w:rFonts w:ascii="Arial" w:eastAsiaTheme="minorEastAsia" w:hAnsi="Arial" w:cs="Arial"/>
          <w:color w:val="000000" w:themeColor="text1"/>
          <w:sz w:val="24"/>
          <w:szCs w:val="24"/>
          <w:lang w:val="es-ES" w:eastAsia="es-ES"/>
        </w:rPr>
      </w:pPr>
      <w:r w:rsidRPr="00682149">
        <w:rPr>
          <w:rFonts w:ascii="Arial" w:eastAsiaTheme="minorEastAsia" w:hAnsi="Arial" w:cs="Arial"/>
          <w:color w:val="000000" w:themeColor="text1"/>
          <w:sz w:val="24"/>
          <w:szCs w:val="24"/>
          <w:lang w:val="es-ES" w:eastAsia="es-ES"/>
        </w:rPr>
        <w:t>ii) el acto e</w:t>
      </w:r>
      <w:r w:rsidR="00903B6C" w:rsidRPr="00682149">
        <w:rPr>
          <w:rFonts w:ascii="Arial" w:eastAsiaTheme="minorEastAsia" w:hAnsi="Arial" w:cs="Arial"/>
          <w:color w:val="000000" w:themeColor="text1"/>
          <w:sz w:val="24"/>
          <w:szCs w:val="24"/>
          <w:lang w:val="es-ES" w:eastAsia="es-ES"/>
        </w:rPr>
        <w:t>stá suficientemente motivado, dado que pone de presente los fundamentos facticos y jurídicos que dan sustento a la decisión</w:t>
      </w:r>
      <w:r w:rsidR="00A0204A" w:rsidRPr="00682149">
        <w:rPr>
          <w:rFonts w:ascii="Arial" w:eastAsiaTheme="minorEastAsia" w:hAnsi="Arial" w:cs="Arial"/>
          <w:color w:val="000000" w:themeColor="text1"/>
          <w:sz w:val="24"/>
          <w:szCs w:val="24"/>
          <w:lang w:val="es-ES" w:eastAsia="es-ES"/>
        </w:rPr>
        <w:t>.</w:t>
      </w:r>
    </w:p>
    <w:p w14:paraId="622E7918" w14:textId="77777777" w:rsidR="003778E4" w:rsidRDefault="003778E4" w:rsidP="001C138F">
      <w:pPr>
        <w:spacing w:after="0" w:line="276" w:lineRule="auto"/>
        <w:jc w:val="both"/>
        <w:rPr>
          <w:rFonts w:ascii="Arial" w:eastAsia="Times New Roman" w:hAnsi="Arial" w:cs="Arial"/>
          <w:color w:val="000000" w:themeColor="text1"/>
          <w:sz w:val="24"/>
          <w:szCs w:val="24"/>
          <w:lang w:val="es-CO" w:eastAsia="es-ES_tradnl"/>
        </w:rPr>
      </w:pPr>
    </w:p>
    <w:p w14:paraId="0C781491" w14:textId="4EBA752F" w:rsidR="00A0204A" w:rsidRPr="00682149" w:rsidRDefault="00903B6C" w:rsidP="001C138F">
      <w:pPr>
        <w:spacing w:after="0" w:line="276" w:lineRule="auto"/>
        <w:jc w:val="both"/>
        <w:rPr>
          <w:rFonts w:ascii="Arial" w:eastAsia="Times New Roman" w:hAnsi="Arial" w:cs="Arial"/>
          <w:color w:val="000000" w:themeColor="text1"/>
          <w:sz w:val="24"/>
          <w:szCs w:val="24"/>
          <w:lang w:val="es-CO" w:eastAsia="es-ES_tradnl"/>
        </w:rPr>
      </w:pPr>
      <w:r w:rsidRPr="00682149">
        <w:rPr>
          <w:rFonts w:ascii="Arial" w:eastAsia="Times New Roman" w:hAnsi="Arial" w:cs="Arial"/>
          <w:color w:val="000000" w:themeColor="text1"/>
          <w:sz w:val="24"/>
          <w:szCs w:val="24"/>
          <w:lang w:val="es-CO" w:eastAsia="es-ES_tradnl"/>
        </w:rPr>
        <w:t xml:space="preserve">iii) se trata de una medida equilibrada y proporcional frente a la gravedad de los hechos, pues responde a la actual coyuntura económica, en cuanto a través de las </w:t>
      </w:r>
      <w:r w:rsidR="000F4F98" w:rsidRPr="00682149">
        <w:rPr>
          <w:rFonts w:ascii="Arial" w:eastAsia="Times New Roman" w:hAnsi="Arial" w:cs="Arial"/>
          <w:color w:val="000000" w:themeColor="text1"/>
          <w:sz w:val="24"/>
          <w:szCs w:val="24"/>
          <w:lang w:val="es-CO" w:eastAsia="es-ES_tradnl"/>
        </w:rPr>
        <w:t>fórmulas</w:t>
      </w:r>
      <w:r w:rsidRPr="00682149">
        <w:rPr>
          <w:rFonts w:ascii="Arial" w:eastAsia="Times New Roman" w:hAnsi="Arial" w:cs="Arial"/>
          <w:color w:val="000000" w:themeColor="text1"/>
          <w:sz w:val="24"/>
          <w:szCs w:val="24"/>
          <w:lang w:val="es-CO" w:eastAsia="es-ES_tradnl"/>
        </w:rPr>
        <w:t xml:space="preserve"> tarifarias transitorias se regulan el cobro del servicio mientras se co</w:t>
      </w:r>
      <w:r w:rsidR="000228E3" w:rsidRPr="00682149">
        <w:rPr>
          <w:rFonts w:ascii="Arial" w:eastAsia="Times New Roman" w:hAnsi="Arial" w:cs="Arial"/>
          <w:color w:val="000000" w:themeColor="text1"/>
          <w:sz w:val="24"/>
          <w:szCs w:val="24"/>
          <w:lang w:val="es-CO" w:eastAsia="es-ES_tradnl"/>
        </w:rPr>
        <w:t>ncluye el procedimiento general</w:t>
      </w:r>
      <w:r w:rsidR="00A0204A" w:rsidRPr="00682149">
        <w:rPr>
          <w:rFonts w:ascii="Arial" w:eastAsia="Times New Roman" w:hAnsi="Arial" w:cs="Arial"/>
          <w:color w:val="000000" w:themeColor="text1"/>
          <w:sz w:val="24"/>
          <w:szCs w:val="24"/>
          <w:lang w:val="es-CO" w:eastAsia="es-ES_tradnl"/>
        </w:rPr>
        <w:t>.</w:t>
      </w:r>
    </w:p>
    <w:p w14:paraId="4A178193" w14:textId="77777777" w:rsidR="003778E4" w:rsidRDefault="003778E4" w:rsidP="001C138F">
      <w:pPr>
        <w:spacing w:after="0" w:line="276" w:lineRule="auto"/>
        <w:jc w:val="both"/>
        <w:rPr>
          <w:rFonts w:ascii="Arial" w:eastAsia="Times New Roman" w:hAnsi="Arial" w:cs="Arial"/>
          <w:color w:val="000000" w:themeColor="text1"/>
          <w:sz w:val="24"/>
          <w:szCs w:val="24"/>
          <w:lang w:val="es-CO" w:eastAsia="es-ES_tradnl"/>
        </w:rPr>
      </w:pPr>
    </w:p>
    <w:p w14:paraId="0D422668" w14:textId="5DFE7364" w:rsidR="00A0204A" w:rsidRPr="00682149" w:rsidRDefault="00903B6C" w:rsidP="001C138F">
      <w:pPr>
        <w:spacing w:after="0" w:line="276" w:lineRule="auto"/>
        <w:jc w:val="both"/>
        <w:rPr>
          <w:rFonts w:ascii="Arial" w:eastAsia="Times New Roman" w:hAnsi="Arial" w:cs="Arial"/>
          <w:color w:val="000000" w:themeColor="text1"/>
          <w:sz w:val="24"/>
          <w:szCs w:val="24"/>
          <w:lang w:val="es-CO" w:eastAsia="es-ES_tradnl"/>
        </w:rPr>
      </w:pPr>
      <w:r w:rsidRPr="00682149">
        <w:rPr>
          <w:rFonts w:ascii="Arial" w:eastAsia="Times New Roman" w:hAnsi="Arial" w:cs="Arial"/>
          <w:color w:val="000000" w:themeColor="text1"/>
          <w:sz w:val="24"/>
          <w:szCs w:val="24"/>
          <w:lang w:val="es-CO" w:eastAsia="es-ES_tradnl"/>
        </w:rPr>
        <w:t>i</w:t>
      </w:r>
      <w:r w:rsidR="000B6A9E" w:rsidRPr="00682149">
        <w:rPr>
          <w:rFonts w:ascii="Arial" w:eastAsia="Times New Roman" w:hAnsi="Arial" w:cs="Arial"/>
          <w:color w:val="000000" w:themeColor="text1"/>
          <w:sz w:val="24"/>
          <w:szCs w:val="24"/>
          <w:lang w:val="es-CO" w:eastAsia="es-ES_tradnl"/>
        </w:rPr>
        <w:t>v</w:t>
      </w:r>
      <w:r w:rsidRPr="00682149">
        <w:rPr>
          <w:rFonts w:ascii="Arial" w:eastAsia="Times New Roman" w:hAnsi="Arial" w:cs="Arial"/>
          <w:color w:val="000000" w:themeColor="text1"/>
          <w:sz w:val="24"/>
          <w:szCs w:val="24"/>
          <w:lang w:val="es-CO" w:eastAsia="es-ES_tradnl"/>
        </w:rPr>
        <w:t xml:space="preserve">) </w:t>
      </w:r>
      <w:r w:rsidR="0076275F">
        <w:rPr>
          <w:rFonts w:ascii="Arial" w:eastAsia="Times New Roman" w:hAnsi="Arial" w:cs="Arial"/>
          <w:color w:val="000000" w:themeColor="text1"/>
          <w:sz w:val="24"/>
          <w:szCs w:val="24"/>
          <w:lang w:val="es-CO" w:eastAsia="es-ES_tradnl"/>
        </w:rPr>
        <w:t>impide que se</w:t>
      </w:r>
      <w:r w:rsidRPr="00682149">
        <w:rPr>
          <w:rFonts w:ascii="Arial" w:eastAsia="Times New Roman" w:hAnsi="Arial" w:cs="Arial"/>
          <w:color w:val="000000" w:themeColor="text1"/>
          <w:sz w:val="24"/>
          <w:szCs w:val="24"/>
          <w:lang w:val="es-CO" w:eastAsia="es-ES_tradnl"/>
        </w:rPr>
        <w:t xml:space="preserve"> pon</w:t>
      </w:r>
      <w:r w:rsidR="00105128" w:rsidRPr="00682149">
        <w:rPr>
          <w:rFonts w:ascii="Arial" w:eastAsia="Times New Roman" w:hAnsi="Arial" w:cs="Arial"/>
          <w:color w:val="000000" w:themeColor="text1"/>
          <w:sz w:val="24"/>
          <w:szCs w:val="24"/>
          <w:lang w:val="es-CO" w:eastAsia="es-ES_tradnl"/>
        </w:rPr>
        <w:t>ga</w:t>
      </w:r>
      <w:r w:rsidRPr="00682149">
        <w:rPr>
          <w:rFonts w:ascii="Arial" w:eastAsia="Times New Roman" w:hAnsi="Arial" w:cs="Arial"/>
          <w:color w:val="000000" w:themeColor="text1"/>
          <w:sz w:val="24"/>
          <w:szCs w:val="24"/>
          <w:lang w:val="es-CO" w:eastAsia="es-ES_tradnl"/>
        </w:rPr>
        <w:t xml:space="preserve"> en riesgo la prestación del servicio en las zonas no interconectadas</w:t>
      </w:r>
      <w:r w:rsidR="000B6A9E" w:rsidRPr="00682149">
        <w:rPr>
          <w:rFonts w:ascii="Arial" w:eastAsia="Times New Roman" w:hAnsi="Arial" w:cs="Arial"/>
          <w:color w:val="000000" w:themeColor="text1"/>
          <w:sz w:val="24"/>
          <w:szCs w:val="24"/>
          <w:lang w:val="es-CO" w:eastAsia="es-ES_tradnl"/>
        </w:rPr>
        <w:t xml:space="preserve"> e impide </w:t>
      </w:r>
      <w:r w:rsidR="00105128" w:rsidRPr="00682149">
        <w:rPr>
          <w:rFonts w:ascii="Arial" w:eastAsia="Times New Roman" w:hAnsi="Arial" w:cs="Arial"/>
          <w:color w:val="000000" w:themeColor="text1"/>
          <w:sz w:val="24"/>
          <w:szCs w:val="24"/>
          <w:lang w:val="es-CO" w:eastAsia="es-ES_tradnl"/>
        </w:rPr>
        <w:t xml:space="preserve">su </w:t>
      </w:r>
      <w:r w:rsidRPr="00682149">
        <w:rPr>
          <w:rFonts w:ascii="Arial" w:eastAsia="Times New Roman" w:hAnsi="Arial" w:cs="Arial"/>
          <w:color w:val="000000" w:themeColor="text1"/>
          <w:sz w:val="24"/>
          <w:szCs w:val="24"/>
          <w:lang w:val="es-CO" w:eastAsia="es-ES_tradnl"/>
        </w:rPr>
        <w:t>suspensió</w:t>
      </w:r>
      <w:r w:rsidR="002609DA" w:rsidRPr="00682149">
        <w:rPr>
          <w:rFonts w:ascii="Arial" w:eastAsia="Times New Roman" w:hAnsi="Arial" w:cs="Arial"/>
          <w:color w:val="000000" w:themeColor="text1"/>
          <w:sz w:val="24"/>
          <w:szCs w:val="24"/>
          <w:lang w:val="es-CO" w:eastAsia="es-ES_tradnl"/>
        </w:rPr>
        <w:t>n, pues so pretexto de la falta de regulación los prestadores no podrán interrumpirlo</w:t>
      </w:r>
      <w:r w:rsidR="000228E3" w:rsidRPr="00682149">
        <w:rPr>
          <w:rFonts w:ascii="Arial" w:eastAsia="Times New Roman" w:hAnsi="Arial" w:cs="Arial"/>
          <w:color w:val="000000" w:themeColor="text1"/>
          <w:sz w:val="24"/>
          <w:szCs w:val="24"/>
          <w:lang w:val="es-CO" w:eastAsia="es-ES_tradnl"/>
        </w:rPr>
        <w:t xml:space="preserve">. </w:t>
      </w:r>
    </w:p>
    <w:p w14:paraId="66062D31" w14:textId="77777777" w:rsidR="00454900" w:rsidRPr="00682149" w:rsidRDefault="00454900" w:rsidP="001C138F">
      <w:pPr>
        <w:pStyle w:val="Sinespaciado"/>
        <w:spacing w:line="276" w:lineRule="auto"/>
        <w:rPr>
          <w:rFonts w:ascii="Arial" w:hAnsi="Arial" w:cs="Arial"/>
          <w:color w:val="000000" w:themeColor="text1"/>
          <w:lang w:val="es-CO"/>
        </w:rPr>
      </w:pPr>
    </w:p>
    <w:p w14:paraId="7DB30701" w14:textId="16826C35" w:rsidR="00976D77" w:rsidRDefault="00976D77" w:rsidP="001C138F">
      <w:pPr>
        <w:spacing w:after="0" w:line="276" w:lineRule="auto"/>
        <w:jc w:val="both"/>
        <w:rPr>
          <w:rFonts w:ascii="Arial" w:hAnsi="Arial" w:cs="Arial"/>
          <w:bCs/>
          <w:color w:val="000000" w:themeColor="text1"/>
          <w:sz w:val="24"/>
          <w:szCs w:val="24"/>
          <w:lang w:val="es-ES"/>
        </w:rPr>
      </w:pPr>
      <w:r>
        <w:rPr>
          <w:rFonts w:ascii="Arial" w:hAnsi="Arial" w:cs="Arial"/>
          <w:bCs/>
          <w:color w:val="000000" w:themeColor="text1"/>
          <w:sz w:val="24"/>
          <w:szCs w:val="24"/>
          <w:lang w:val="es-ES"/>
        </w:rPr>
        <w:t>v) Por último, la medi</w:t>
      </w:r>
      <w:r w:rsidR="00C2164A">
        <w:rPr>
          <w:rFonts w:ascii="Arial" w:hAnsi="Arial" w:cs="Arial"/>
          <w:bCs/>
          <w:color w:val="000000" w:themeColor="text1"/>
          <w:sz w:val="24"/>
          <w:szCs w:val="24"/>
          <w:lang w:val="es-ES"/>
        </w:rPr>
        <w:t>da no comporta discriminación alguna. En cambio, consagra un mecanismo de prestación de un s</w:t>
      </w:r>
      <w:r w:rsidR="00AF0B6F">
        <w:rPr>
          <w:rFonts w:ascii="Arial" w:hAnsi="Arial" w:cs="Arial"/>
          <w:bCs/>
          <w:color w:val="000000" w:themeColor="text1"/>
          <w:sz w:val="24"/>
          <w:szCs w:val="24"/>
          <w:lang w:val="es-ES"/>
        </w:rPr>
        <w:t>ervicio público domiciliario es</w:t>
      </w:r>
      <w:r w:rsidR="00C2164A">
        <w:rPr>
          <w:rFonts w:ascii="Arial" w:hAnsi="Arial" w:cs="Arial"/>
          <w:bCs/>
          <w:color w:val="000000" w:themeColor="text1"/>
          <w:sz w:val="24"/>
          <w:szCs w:val="24"/>
          <w:lang w:val="es-ES"/>
        </w:rPr>
        <w:t>encial a</w:t>
      </w:r>
      <w:r w:rsidR="00AF0B6F">
        <w:rPr>
          <w:rFonts w:ascii="Arial" w:hAnsi="Arial" w:cs="Arial"/>
          <w:bCs/>
          <w:color w:val="000000" w:themeColor="text1"/>
          <w:sz w:val="24"/>
          <w:szCs w:val="24"/>
          <w:lang w:val="es-ES"/>
        </w:rPr>
        <w:t xml:space="preserve"> las</w:t>
      </w:r>
      <w:r w:rsidR="00C2164A">
        <w:rPr>
          <w:rFonts w:ascii="Arial" w:hAnsi="Arial" w:cs="Arial"/>
          <w:bCs/>
          <w:color w:val="000000" w:themeColor="text1"/>
          <w:sz w:val="24"/>
          <w:szCs w:val="24"/>
          <w:lang w:val="es-ES"/>
        </w:rPr>
        <w:t xml:space="preserve"> comunidades que por su ubicación geográfica no están conectadas al Sistema Interconectado Nacional, pero requieren del servicio. </w:t>
      </w:r>
    </w:p>
    <w:p w14:paraId="58209F82" w14:textId="77777777" w:rsidR="00976D77" w:rsidRDefault="00976D77" w:rsidP="001C138F">
      <w:pPr>
        <w:spacing w:after="0" w:line="276" w:lineRule="auto"/>
        <w:jc w:val="both"/>
        <w:rPr>
          <w:rFonts w:ascii="Arial" w:hAnsi="Arial" w:cs="Arial"/>
          <w:bCs/>
          <w:color w:val="000000" w:themeColor="text1"/>
          <w:sz w:val="24"/>
          <w:szCs w:val="24"/>
          <w:lang w:val="es-ES"/>
        </w:rPr>
      </w:pPr>
    </w:p>
    <w:p w14:paraId="160091B0" w14:textId="77777777" w:rsidR="00454900" w:rsidRPr="00682149" w:rsidRDefault="00454900" w:rsidP="001C138F">
      <w:pPr>
        <w:spacing w:after="0" w:line="276" w:lineRule="auto"/>
        <w:jc w:val="both"/>
        <w:rPr>
          <w:rFonts w:ascii="Arial" w:hAnsi="Arial" w:cs="Arial"/>
          <w:bCs/>
          <w:color w:val="000000" w:themeColor="text1"/>
          <w:sz w:val="24"/>
          <w:szCs w:val="24"/>
          <w:lang w:val="es-ES"/>
        </w:rPr>
      </w:pPr>
      <w:r w:rsidRPr="00682149">
        <w:rPr>
          <w:rFonts w:ascii="Arial" w:hAnsi="Arial" w:cs="Arial"/>
          <w:bCs/>
          <w:color w:val="000000" w:themeColor="text1"/>
          <w:sz w:val="24"/>
          <w:szCs w:val="24"/>
          <w:lang w:val="es-ES"/>
        </w:rPr>
        <w:t>Por lo expuesto, la Sala Especial de Decisión Veintitrés de la Sala Plena de lo Contencioso Administrativo del Consejo de Estado, administrando justicia en nombre de la República de Colombia y por autoridad de la ley,</w:t>
      </w:r>
    </w:p>
    <w:p w14:paraId="24D35D5D" w14:textId="1110ABA8" w:rsidR="00454900" w:rsidRDefault="00454900" w:rsidP="001C138F">
      <w:pPr>
        <w:spacing w:after="0" w:line="276" w:lineRule="auto"/>
        <w:rPr>
          <w:rFonts w:ascii="Arial" w:hAnsi="Arial" w:cs="Arial"/>
          <w:b/>
          <w:bCs/>
          <w:color w:val="000000" w:themeColor="text1"/>
          <w:sz w:val="24"/>
          <w:szCs w:val="24"/>
          <w:lang w:val="es-ES"/>
        </w:rPr>
      </w:pPr>
    </w:p>
    <w:p w14:paraId="4795F4CB" w14:textId="77777777" w:rsidR="0076275F" w:rsidRPr="00682149" w:rsidRDefault="0076275F" w:rsidP="001C138F">
      <w:pPr>
        <w:spacing w:after="0" w:line="276" w:lineRule="auto"/>
        <w:rPr>
          <w:rFonts w:ascii="Arial" w:hAnsi="Arial" w:cs="Arial"/>
          <w:b/>
          <w:bCs/>
          <w:color w:val="000000" w:themeColor="text1"/>
          <w:sz w:val="24"/>
          <w:szCs w:val="24"/>
          <w:lang w:val="es-ES"/>
        </w:rPr>
      </w:pPr>
    </w:p>
    <w:p w14:paraId="5BB183DD" w14:textId="5957F057" w:rsidR="00454900" w:rsidRPr="00682149" w:rsidRDefault="001D37B6" w:rsidP="001C138F">
      <w:pPr>
        <w:spacing w:after="0" w:line="276" w:lineRule="auto"/>
        <w:jc w:val="center"/>
        <w:rPr>
          <w:rFonts w:ascii="Arial" w:hAnsi="Arial" w:cs="Arial"/>
          <w:b/>
          <w:bCs/>
          <w:color w:val="000000" w:themeColor="text1"/>
          <w:sz w:val="24"/>
          <w:szCs w:val="24"/>
          <w:lang w:val="es-ES"/>
        </w:rPr>
      </w:pPr>
      <w:r w:rsidRPr="00682149">
        <w:rPr>
          <w:rFonts w:ascii="Arial" w:hAnsi="Arial" w:cs="Arial"/>
          <w:b/>
          <w:bCs/>
          <w:color w:val="000000" w:themeColor="text1"/>
          <w:sz w:val="24"/>
          <w:szCs w:val="24"/>
          <w:lang w:val="es-ES"/>
        </w:rPr>
        <w:t>III.</w:t>
      </w:r>
      <w:r w:rsidRPr="00682149">
        <w:rPr>
          <w:rFonts w:ascii="Arial" w:hAnsi="Arial" w:cs="Arial"/>
          <w:b/>
          <w:bCs/>
          <w:color w:val="000000" w:themeColor="text1"/>
          <w:sz w:val="24"/>
          <w:szCs w:val="24"/>
          <w:lang w:val="es-ES"/>
        </w:rPr>
        <w:tab/>
      </w:r>
      <w:r w:rsidR="00454900" w:rsidRPr="00682149">
        <w:rPr>
          <w:rFonts w:ascii="Arial" w:hAnsi="Arial" w:cs="Arial"/>
          <w:b/>
          <w:bCs/>
          <w:color w:val="000000" w:themeColor="text1"/>
          <w:sz w:val="24"/>
          <w:szCs w:val="24"/>
          <w:lang w:val="es-ES"/>
        </w:rPr>
        <w:t>RESUELVE</w:t>
      </w:r>
    </w:p>
    <w:p w14:paraId="16B1500B" w14:textId="48518FDF" w:rsidR="00454900" w:rsidRDefault="00454900" w:rsidP="001C138F">
      <w:pPr>
        <w:spacing w:after="0" w:line="276" w:lineRule="auto"/>
        <w:jc w:val="center"/>
        <w:rPr>
          <w:rFonts w:ascii="Arial" w:hAnsi="Arial" w:cs="Arial"/>
          <w:b/>
          <w:bCs/>
          <w:color w:val="000000" w:themeColor="text1"/>
          <w:sz w:val="24"/>
          <w:szCs w:val="24"/>
          <w:lang w:val="es-ES"/>
        </w:rPr>
      </w:pPr>
    </w:p>
    <w:p w14:paraId="7C0926FD" w14:textId="77777777" w:rsidR="0076275F" w:rsidRPr="00682149" w:rsidRDefault="0076275F" w:rsidP="001C138F">
      <w:pPr>
        <w:spacing w:after="0" w:line="276" w:lineRule="auto"/>
        <w:jc w:val="center"/>
        <w:rPr>
          <w:rFonts w:ascii="Arial" w:hAnsi="Arial" w:cs="Arial"/>
          <w:b/>
          <w:bCs/>
          <w:color w:val="000000" w:themeColor="text1"/>
          <w:sz w:val="24"/>
          <w:szCs w:val="24"/>
          <w:lang w:val="es-ES"/>
        </w:rPr>
      </w:pPr>
    </w:p>
    <w:p w14:paraId="2B5860C8" w14:textId="17E9DC21" w:rsidR="00454900" w:rsidRPr="00682149" w:rsidRDefault="00454900" w:rsidP="001C138F">
      <w:pPr>
        <w:pBdr>
          <w:top w:val="nil"/>
          <w:left w:val="nil"/>
          <w:bottom w:val="nil"/>
          <w:right w:val="nil"/>
          <w:between w:val="nil"/>
        </w:pBdr>
        <w:spacing w:after="0" w:line="276" w:lineRule="auto"/>
        <w:jc w:val="both"/>
        <w:rPr>
          <w:rFonts w:ascii="Arial" w:eastAsia="Arial" w:hAnsi="Arial" w:cs="Arial"/>
          <w:color w:val="000000" w:themeColor="text1"/>
          <w:sz w:val="24"/>
          <w:szCs w:val="24"/>
          <w:lang w:val="es-CO"/>
        </w:rPr>
      </w:pPr>
      <w:r w:rsidRPr="00682149">
        <w:rPr>
          <w:rFonts w:ascii="Arial" w:eastAsia="Times New Roman" w:hAnsi="Arial" w:cs="Arial"/>
          <w:b/>
          <w:color w:val="000000" w:themeColor="text1"/>
          <w:sz w:val="24"/>
          <w:szCs w:val="24"/>
          <w:lang w:val="es-CO" w:eastAsia="es-ES_tradnl"/>
        </w:rPr>
        <w:t xml:space="preserve">PRIMERO: DECLARAR </w:t>
      </w:r>
      <w:r w:rsidRPr="00682149">
        <w:rPr>
          <w:rFonts w:ascii="Arial" w:eastAsia="Times New Roman" w:hAnsi="Arial" w:cs="Arial"/>
          <w:color w:val="000000" w:themeColor="text1"/>
          <w:sz w:val="24"/>
          <w:szCs w:val="24"/>
          <w:lang w:val="es-CO" w:eastAsia="es-ES_tradnl"/>
        </w:rPr>
        <w:t>a</w:t>
      </w:r>
      <w:r w:rsidR="00202AA8" w:rsidRPr="00682149">
        <w:rPr>
          <w:rFonts w:ascii="Arial" w:eastAsia="Arial" w:hAnsi="Arial" w:cs="Arial"/>
          <w:color w:val="000000" w:themeColor="text1"/>
          <w:sz w:val="24"/>
          <w:szCs w:val="24"/>
          <w:lang w:val="es-CO"/>
        </w:rPr>
        <w:t>justada</w:t>
      </w:r>
      <w:r w:rsidRPr="00682149">
        <w:rPr>
          <w:rFonts w:ascii="Arial" w:eastAsia="Arial" w:hAnsi="Arial" w:cs="Arial"/>
          <w:color w:val="000000" w:themeColor="text1"/>
          <w:sz w:val="24"/>
          <w:szCs w:val="24"/>
          <w:lang w:val="es-CO"/>
        </w:rPr>
        <w:t xml:space="preserve"> a derecho la Resolución </w:t>
      </w:r>
      <w:r w:rsidR="00202AA8" w:rsidRPr="00682149">
        <w:rPr>
          <w:rFonts w:ascii="Arial" w:eastAsia="Arial" w:hAnsi="Arial" w:cs="Arial"/>
          <w:color w:val="000000" w:themeColor="text1"/>
          <w:sz w:val="24"/>
          <w:szCs w:val="24"/>
          <w:lang w:val="es-CO"/>
        </w:rPr>
        <w:t>166 de 3</w:t>
      </w:r>
      <w:r w:rsidRPr="00682149">
        <w:rPr>
          <w:rFonts w:ascii="Arial" w:eastAsia="Arial" w:hAnsi="Arial" w:cs="Arial"/>
          <w:color w:val="000000" w:themeColor="text1"/>
          <w:sz w:val="24"/>
          <w:szCs w:val="24"/>
          <w:lang w:val="es-CO"/>
        </w:rPr>
        <w:t xml:space="preserve"> de </w:t>
      </w:r>
      <w:r w:rsidR="00202AA8" w:rsidRPr="00682149">
        <w:rPr>
          <w:rFonts w:ascii="Arial" w:eastAsia="Arial" w:hAnsi="Arial" w:cs="Arial"/>
          <w:color w:val="000000" w:themeColor="text1"/>
          <w:sz w:val="24"/>
          <w:szCs w:val="24"/>
          <w:lang w:val="es-CO"/>
        </w:rPr>
        <w:t xml:space="preserve">septiembre de </w:t>
      </w:r>
      <w:r w:rsidRPr="00682149">
        <w:rPr>
          <w:rFonts w:ascii="Arial" w:eastAsia="Arial" w:hAnsi="Arial" w:cs="Arial"/>
          <w:color w:val="000000" w:themeColor="text1"/>
          <w:sz w:val="24"/>
          <w:szCs w:val="24"/>
          <w:lang w:val="es-CO"/>
        </w:rPr>
        <w:t xml:space="preserve">2020, proferida por el Director </w:t>
      </w:r>
      <w:r w:rsidR="00180368" w:rsidRPr="00682149">
        <w:rPr>
          <w:rFonts w:ascii="Arial" w:eastAsia="Arial" w:hAnsi="Arial" w:cs="Arial"/>
          <w:color w:val="000000" w:themeColor="text1"/>
          <w:sz w:val="24"/>
          <w:szCs w:val="24"/>
          <w:lang w:val="es-CO"/>
        </w:rPr>
        <w:t xml:space="preserve">Ejecutivo de la Comisión de </w:t>
      </w:r>
      <w:r w:rsidR="000F4F98" w:rsidRPr="00682149">
        <w:rPr>
          <w:rFonts w:ascii="Arial" w:eastAsia="Arial" w:hAnsi="Arial" w:cs="Arial"/>
          <w:color w:val="000000" w:themeColor="text1"/>
          <w:sz w:val="24"/>
          <w:szCs w:val="24"/>
          <w:lang w:val="es-CO"/>
        </w:rPr>
        <w:t>Regulación</w:t>
      </w:r>
      <w:r w:rsidR="00180368" w:rsidRPr="00682149">
        <w:rPr>
          <w:rFonts w:ascii="Arial" w:eastAsia="Arial" w:hAnsi="Arial" w:cs="Arial"/>
          <w:color w:val="000000" w:themeColor="text1"/>
          <w:sz w:val="24"/>
          <w:szCs w:val="24"/>
          <w:lang w:val="es-CO"/>
        </w:rPr>
        <w:t xml:space="preserve"> de Energía y Gas CREG, </w:t>
      </w:r>
      <w:r w:rsidRPr="00682149">
        <w:rPr>
          <w:rFonts w:ascii="Arial" w:eastAsia="Times New Roman" w:hAnsi="Arial" w:cs="Arial"/>
          <w:color w:val="000000" w:themeColor="text1"/>
          <w:sz w:val="24"/>
          <w:szCs w:val="24"/>
          <w:lang w:val="es-CO" w:eastAsia="es-ES_tradnl"/>
        </w:rPr>
        <w:t xml:space="preserve">en los </w:t>
      </w:r>
      <w:r w:rsidR="00403604" w:rsidRPr="00682149">
        <w:rPr>
          <w:rFonts w:ascii="Arial" w:eastAsia="Times New Roman" w:hAnsi="Arial" w:cs="Arial"/>
          <w:color w:val="000000" w:themeColor="text1"/>
          <w:sz w:val="24"/>
          <w:szCs w:val="24"/>
          <w:lang w:val="es-CO" w:eastAsia="es-ES_tradnl"/>
        </w:rPr>
        <w:t>términos de esta providencia.</w:t>
      </w:r>
      <w:r w:rsidRPr="00682149">
        <w:rPr>
          <w:rFonts w:ascii="Arial" w:eastAsia="Times New Roman" w:hAnsi="Arial" w:cs="Arial"/>
          <w:color w:val="000000" w:themeColor="text1"/>
          <w:sz w:val="24"/>
          <w:szCs w:val="24"/>
          <w:lang w:val="es-CO" w:eastAsia="es-ES_tradnl"/>
        </w:rPr>
        <w:t xml:space="preserve"> </w:t>
      </w:r>
    </w:p>
    <w:p w14:paraId="7885A7A1" w14:textId="77777777" w:rsidR="00454900" w:rsidRPr="00682149" w:rsidRDefault="00454900" w:rsidP="001C138F">
      <w:pPr>
        <w:pBdr>
          <w:top w:val="nil"/>
          <w:left w:val="nil"/>
          <w:bottom w:val="nil"/>
          <w:right w:val="nil"/>
          <w:between w:val="nil"/>
        </w:pBdr>
        <w:spacing w:after="0" w:line="276" w:lineRule="auto"/>
        <w:jc w:val="both"/>
        <w:rPr>
          <w:rFonts w:ascii="Arial" w:eastAsia="Arial" w:hAnsi="Arial" w:cs="Arial"/>
          <w:color w:val="000000" w:themeColor="text1"/>
          <w:sz w:val="24"/>
          <w:szCs w:val="24"/>
          <w:lang w:val="es-CO"/>
        </w:rPr>
      </w:pPr>
    </w:p>
    <w:p w14:paraId="3A7CB690" w14:textId="7D4BD1BE" w:rsidR="00454900" w:rsidRDefault="004B3B88" w:rsidP="001C138F">
      <w:pPr>
        <w:pBdr>
          <w:top w:val="nil"/>
          <w:left w:val="nil"/>
          <w:bottom w:val="nil"/>
          <w:right w:val="nil"/>
          <w:between w:val="nil"/>
        </w:pBdr>
        <w:spacing w:after="0" w:line="276" w:lineRule="auto"/>
        <w:jc w:val="both"/>
        <w:rPr>
          <w:rFonts w:ascii="Arial" w:hAnsi="Arial" w:cs="Arial"/>
          <w:bCs/>
          <w:color w:val="000000" w:themeColor="text1"/>
          <w:sz w:val="24"/>
          <w:szCs w:val="24"/>
        </w:rPr>
      </w:pPr>
      <w:r>
        <w:rPr>
          <w:rFonts w:ascii="Arial" w:hAnsi="Arial" w:cs="Arial"/>
          <w:b/>
          <w:bCs/>
          <w:color w:val="000000" w:themeColor="text1"/>
          <w:sz w:val="24"/>
          <w:szCs w:val="24"/>
          <w:lang w:val="es-ES"/>
        </w:rPr>
        <w:lastRenderedPageBreak/>
        <w:t xml:space="preserve">SEGUNDO: </w:t>
      </w:r>
      <w:r w:rsidR="00454900" w:rsidRPr="00682149">
        <w:rPr>
          <w:rFonts w:ascii="Arial" w:hAnsi="Arial" w:cs="Arial"/>
          <w:bCs/>
          <w:color w:val="000000" w:themeColor="text1"/>
          <w:sz w:val="24"/>
          <w:szCs w:val="24"/>
          <w:lang w:val="es-ES"/>
        </w:rPr>
        <w:t>Est</w:t>
      </w:r>
      <w:r w:rsidR="00800B15" w:rsidRPr="00682149">
        <w:rPr>
          <w:rFonts w:ascii="Arial" w:hAnsi="Arial" w:cs="Arial"/>
          <w:bCs/>
          <w:color w:val="000000" w:themeColor="text1"/>
          <w:sz w:val="24"/>
          <w:szCs w:val="24"/>
          <w:lang w:val="es-ES"/>
        </w:rPr>
        <w:t>á</w:t>
      </w:r>
      <w:r w:rsidR="00454900" w:rsidRPr="00682149">
        <w:rPr>
          <w:rFonts w:ascii="Arial" w:hAnsi="Arial" w:cs="Arial"/>
          <w:bCs/>
          <w:color w:val="000000" w:themeColor="text1"/>
          <w:sz w:val="24"/>
          <w:szCs w:val="24"/>
          <w:lang w:val="es-ES"/>
        </w:rPr>
        <w:t xml:space="preserve"> decisión hace tránsito a cosa juzgada relativa, dado que, a través de los medios de control ordinarios, la Resolución 1</w:t>
      </w:r>
      <w:r w:rsidR="00180368" w:rsidRPr="00682149">
        <w:rPr>
          <w:rFonts w:ascii="Arial" w:hAnsi="Arial" w:cs="Arial"/>
          <w:bCs/>
          <w:color w:val="000000" w:themeColor="text1"/>
          <w:sz w:val="24"/>
          <w:szCs w:val="24"/>
          <w:lang w:val="es-ES"/>
        </w:rPr>
        <w:t xml:space="preserve">66 </w:t>
      </w:r>
      <w:r w:rsidR="00454900" w:rsidRPr="00682149">
        <w:rPr>
          <w:rFonts w:ascii="Arial" w:hAnsi="Arial" w:cs="Arial"/>
          <w:bCs/>
          <w:color w:val="000000" w:themeColor="text1"/>
          <w:sz w:val="24"/>
          <w:szCs w:val="24"/>
          <w:lang w:val="es-ES"/>
        </w:rPr>
        <w:t>de 2020, expedida por el Director</w:t>
      </w:r>
      <w:r w:rsidR="00180368" w:rsidRPr="00682149">
        <w:rPr>
          <w:rFonts w:ascii="Arial" w:hAnsi="Arial" w:cs="Arial"/>
          <w:bCs/>
          <w:color w:val="000000" w:themeColor="text1"/>
          <w:sz w:val="24"/>
          <w:szCs w:val="24"/>
          <w:lang w:val="es-ES"/>
        </w:rPr>
        <w:t xml:space="preserve"> Ejecutivo</w:t>
      </w:r>
      <w:r w:rsidR="00180368" w:rsidRPr="00682149">
        <w:rPr>
          <w:rFonts w:ascii="Arial" w:eastAsia="Arial" w:hAnsi="Arial" w:cs="Arial"/>
          <w:color w:val="000000" w:themeColor="text1"/>
          <w:sz w:val="24"/>
          <w:szCs w:val="24"/>
          <w:lang w:val="es-CO"/>
        </w:rPr>
        <w:t xml:space="preserve"> de la Comisión de </w:t>
      </w:r>
      <w:r w:rsidR="000F4F98" w:rsidRPr="00682149">
        <w:rPr>
          <w:rFonts w:ascii="Arial" w:eastAsia="Arial" w:hAnsi="Arial" w:cs="Arial"/>
          <w:color w:val="000000" w:themeColor="text1"/>
          <w:sz w:val="24"/>
          <w:szCs w:val="24"/>
          <w:lang w:val="es-CO"/>
        </w:rPr>
        <w:t>Regulación</w:t>
      </w:r>
      <w:r w:rsidR="00180368" w:rsidRPr="00682149">
        <w:rPr>
          <w:rFonts w:ascii="Arial" w:eastAsia="Arial" w:hAnsi="Arial" w:cs="Arial"/>
          <w:color w:val="000000" w:themeColor="text1"/>
          <w:sz w:val="24"/>
          <w:szCs w:val="24"/>
          <w:lang w:val="es-CO"/>
        </w:rPr>
        <w:t xml:space="preserve"> de Energía y Gas CREG, </w:t>
      </w:r>
      <w:r w:rsidR="00454900" w:rsidRPr="00682149">
        <w:rPr>
          <w:rFonts w:ascii="Arial" w:hAnsi="Arial" w:cs="Arial"/>
          <w:bCs/>
          <w:color w:val="000000" w:themeColor="text1"/>
          <w:sz w:val="24"/>
          <w:szCs w:val="24"/>
          <w:lang w:val="es-ES"/>
        </w:rPr>
        <w:t>podrá ser demandada por</w:t>
      </w:r>
      <w:r w:rsidR="00454900" w:rsidRPr="00682149">
        <w:rPr>
          <w:rFonts w:ascii="Arial" w:hAnsi="Arial" w:cs="Arial"/>
          <w:bCs/>
          <w:color w:val="000000" w:themeColor="text1"/>
          <w:sz w:val="24"/>
          <w:szCs w:val="24"/>
        </w:rPr>
        <w:t xml:space="preserve"> motivos que no hayan sido objeto de pronunciamiento en esta providencia.</w:t>
      </w:r>
    </w:p>
    <w:p w14:paraId="59A92A82" w14:textId="77777777" w:rsidR="0076275F" w:rsidRDefault="0076275F" w:rsidP="001C138F">
      <w:pPr>
        <w:spacing w:after="0" w:line="276" w:lineRule="auto"/>
        <w:jc w:val="center"/>
        <w:rPr>
          <w:rFonts w:ascii="Arial" w:hAnsi="Arial" w:cs="Arial"/>
          <w:b/>
          <w:color w:val="000000" w:themeColor="text1"/>
          <w:sz w:val="24"/>
          <w:szCs w:val="24"/>
        </w:rPr>
      </w:pPr>
    </w:p>
    <w:p w14:paraId="196154ED" w14:textId="77777777" w:rsidR="0076275F" w:rsidRDefault="0076275F" w:rsidP="001C138F">
      <w:pPr>
        <w:spacing w:after="0" w:line="276" w:lineRule="auto"/>
        <w:jc w:val="center"/>
        <w:rPr>
          <w:rFonts w:ascii="Arial" w:hAnsi="Arial" w:cs="Arial"/>
          <w:b/>
          <w:color w:val="000000" w:themeColor="text1"/>
          <w:sz w:val="24"/>
          <w:szCs w:val="24"/>
        </w:rPr>
      </w:pPr>
    </w:p>
    <w:p w14:paraId="32E9E359" w14:textId="272A35DE" w:rsidR="00454900" w:rsidRPr="00682149" w:rsidRDefault="00454900" w:rsidP="001C138F">
      <w:pPr>
        <w:spacing w:after="0" w:line="276" w:lineRule="auto"/>
        <w:jc w:val="center"/>
        <w:rPr>
          <w:rFonts w:ascii="Arial" w:hAnsi="Arial" w:cs="Arial"/>
          <w:b/>
          <w:color w:val="000000" w:themeColor="text1"/>
          <w:sz w:val="24"/>
          <w:szCs w:val="24"/>
        </w:rPr>
      </w:pPr>
      <w:r w:rsidRPr="00682149">
        <w:rPr>
          <w:rFonts w:ascii="Arial" w:hAnsi="Arial" w:cs="Arial"/>
          <w:b/>
          <w:color w:val="000000" w:themeColor="text1"/>
          <w:sz w:val="24"/>
          <w:szCs w:val="24"/>
        </w:rPr>
        <w:t xml:space="preserve">COPIESE, NOTIFÍQUESE Y CÚMPLASE, </w:t>
      </w:r>
    </w:p>
    <w:p w14:paraId="51C3A7C5" w14:textId="77777777" w:rsidR="00454900" w:rsidRPr="00682149" w:rsidRDefault="00454900" w:rsidP="001C138F">
      <w:pPr>
        <w:spacing w:after="0" w:line="276" w:lineRule="auto"/>
        <w:jc w:val="both"/>
        <w:rPr>
          <w:rFonts w:ascii="Arial" w:eastAsia="Times New Roman" w:hAnsi="Arial" w:cs="Arial"/>
          <w:b/>
          <w:color w:val="000000" w:themeColor="text1"/>
          <w:sz w:val="24"/>
          <w:szCs w:val="24"/>
          <w:lang w:val="es-CO" w:eastAsia="es-CO"/>
        </w:rPr>
      </w:pPr>
    </w:p>
    <w:p w14:paraId="5A08139F" w14:textId="77777777" w:rsidR="00454900" w:rsidRPr="00682149" w:rsidRDefault="00454900" w:rsidP="001C138F">
      <w:pPr>
        <w:spacing w:after="0" w:line="276" w:lineRule="auto"/>
        <w:jc w:val="both"/>
        <w:rPr>
          <w:rFonts w:ascii="Arial" w:eastAsia="Times New Roman" w:hAnsi="Arial" w:cs="Arial"/>
          <w:b/>
          <w:color w:val="000000" w:themeColor="text1"/>
          <w:sz w:val="24"/>
          <w:szCs w:val="24"/>
          <w:lang w:val="es-CO" w:eastAsia="es-CO"/>
        </w:rPr>
      </w:pPr>
    </w:p>
    <w:p w14:paraId="02E5998D" w14:textId="77777777" w:rsidR="00454900" w:rsidRPr="00682149" w:rsidRDefault="00454900" w:rsidP="001C138F">
      <w:pPr>
        <w:spacing w:after="0" w:line="276" w:lineRule="auto"/>
        <w:jc w:val="both"/>
        <w:rPr>
          <w:rFonts w:ascii="Arial" w:eastAsia="Times New Roman" w:hAnsi="Arial" w:cs="Arial"/>
          <w:b/>
          <w:color w:val="000000" w:themeColor="text1"/>
          <w:sz w:val="24"/>
          <w:szCs w:val="24"/>
          <w:lang w:val="es-CO" w:eastAsia="es-CO"/>
        </w:rPr>
      </w:pPr>
    </w:p>
    <w:p w14:paraId="3D406115" w14:textId="77777777" w:rsidR="00454900" w:rsidRPr="00682149" w:rsidRDefault="00454900" w:rsidP="001C138F">
      <w:pPr>
        <w:spacing w:after="0" w:line="276" w:lineRule="auto"/>
        <w:jc w:val="both"/>
        <w:rPr>
          <w:rFonts w:ascii="Arial" w:eastAsia="Times New Roman" w:hAnsi="Arial" w:cs="Arial"/>
          <w:color w:val="000000" w:themeColor="text1"/>
          <w:sz w:val="20"/>
          <w:szCs w:val="20"/>
          <w:lang w:val="es-CO" w:eastAsia="es-CO"/>
        </w:rPr>
      </w:pPr>
      <w:r w:rsidRPr="00682149">
        <w:rPr>
          <w:rFonts w:ascii="Arial" w:eastAsia="Times New Roman" w:hAnsi="Arial" w:cs="Arial"/>
          <w:color w:val="000000" w:themeColor="text1"/>
          <w:sz w:val="20"/>
          <w:szCs w:val="20"/>
          <w:lang w:val="es-CO" w:eastAsia="es-CO"/>
        </w:rPr>
        <w:t xml:space="preserve">FIRMADO ELECTRÓNICAMENTE                              FIRMADO ELECTRÓNICAMENTE </w:t>
      </w:r>
    </w:p>
    <w:p w14:paraId="69D93892" w14:textId="77777777" w:rsidR="00454900" w:rsidRPr="00682149" w:rsidRDefault="00454900" w:rsidP="001C138F">
      <w:pPr>
        <w:spacing w:after="0" w:line="276" w:lineRule="auto"/>
        <w:jc w:val="both"/>
        <w:rPr>
          <w:rFonts w:ascii="Arial" w:eastAsia="Times New Roman" w:hAnsi="Arial" w:cs="Arial"/>
          <w:b/>
          <w:color w:val="000000" w:themeColor="text1"/>
          <w:sz w:val="24"/>
          <w:szCs w:val="24"/>
          <w:lang w:val="es-CO" w:eastAsia="es-CO"/>
        </w:rPr>
      </w:pPr>
      <w:r w:rsidRPr="00682149">
        <w:rPr>
          <w:rFonts w:ascii="Arial" w:eastAsia="Times New Roman" w:hAnsi="Arial" w:cs="Arial"/>
          <w:b/>
          <w:color w:val="000000" w:themeColor="text1"/>
          <w:sz w:val="24"/>
          <w:szCs w:val="24"/>
          <w:lang w:val="es-CO" w:eastAsia="es-CO"/>
        </w:rPr>
        <w:t xml:space="preserve">ROCÍO ARAÚJO OÑATE                    </w:t>
      </w:r>
      <w:r w:rsidRPr="00682149">
        <w:rPr>
          <w:rFonts w:ascii="Arial" w:eastAsia="Times New Roman" w:hAnsi="Arial" w:cs="Arial"/>
          <w:b/>
          <w:bCs/>
          <w:color w:val="000000" w:themeColor="text1"/>
          <w:sz w:val="24"/>
          <w:szCs w:val="24"/>
          <w:lang w:val="es-CO"/>
        </w:rPr>
        <w:t>STELLA JEANNETTE CARVAJAL BASTO</w:t>
      </w:r>
    </w:p>
    <w:p w14:paraId="4D5C36FE" w14:textId="77777777" w:rsidR="00454900" w:rsidRPr="00682149" w:rsidRDefault="00454900" w:rsidP="001C138F">
      <w:pPr>
        <w:spacing w:after="0" w:line="276" w:lineRule="auto"/>
        <w:jc w:val="both"/>
        <w:rPr>
          <w:rFonts w:ascii="Arial" w:eastAsia="Times New Roman" w:hAnsi="Arial" w:cs="Arial"/>
          <w:b/>
          <w:color w:val="000000" w:themeColor="text1"/>
          <w:sz w:val="24"/>
          <w:szCs w:val="24"/>
          <w:lang w:val="es-CO" w:eastAsia="es-CO"/>
        </w:rPr>
      </w:pPr>
    </w:p>
    <w:p w14:paraId="65B69513" w14:textId="77777777" w:rsidR="00454900" w:rsidRPr="00682149" w:rsidRDefault="00454900" w:rsidP="001C138F">
      <w:pPr>
        <w:spacing w:after="0" w:line="276" w:lineRule="auto"/>
        <w:jc w:val="both"/>
        <w:rPr>
          <w:rFonts w:ascii="Arial" w:eastAsia="Times New Roman" w:hAnsi="Arial" w:cs="Arial"/>
          <w:b/>
          <w:color w:val="000000" w:themeColor="text1"/>
          <w:sz w:val="24"/>
          <w:szCs w:val="24"/>
          <w:lang w:val="es-CO" w:eastAsia="es-CO"/>
        </w:rPr>
      </w:pPr>
    </w:p>
    <w:p w14:paraId="2881DBD6" w14:textId="77777777" w:rsidR="00454900" w:rsidRPr="00682149" w:rsidRDefault="00454900" w:rsidP="001C138F">
      <w:pPr>
        <w:spacing w:after="0" w:line="276" w:lineRule="auto"/>
        <w:jc w:val="both"/>
        <w:rPr>
          <w:rFonts w:ascii="Arial" w:eastAsia="Times New Roman" w:hAnsi="Arial" w:cs="Arial"/>
          <w:b/>
          <w:color w:val="000000" w:themeColor="text1"/>
          <w:sz w:val="24"/>
          <w:szCs w:val="24"/>
          <w:lang w:val="es-CO" w:eastAsia="es-CO"/>
        </w:rPr>
      </w:pPr>
    </w:p>
    <w:p w14:paraId="18DB63BB" w14:textId="77777777" w:rsidR="00454900" w:rsidRPr="00682149" w:rsidRDefault="00454900" w:rsidP="001C138F">
      <w:pPr>
        <w:spacing w:after="0" w:line="276" w:lineRule="auto"/>
        <w:jc w:val="both"/>
        <w:rPr>
          <w:rFonts w:ascii="Arial" w:eastAsia="Times New Roman" w:hAnsi="Arial" w:cs="Arial"/>
          <w:b/>
          <w:color w:val="000000" w:themeColor="text1"/>
          <w:sz w:val="24"/>
          <w:szCs w:val="24"/>
          <w:lang w:val="es-CO" w:eastAsia="es-CO"/>
        </w:rPr>
      </w:pPr>
    </w:p>
    <w:p w14:paraId="338DBF3F" w14:textId="77777777" w:rsidR="00454900" w:rsidRPr="00682149" w:rsidRDefault="00454900" w:rsidP="001C138F">
      <w:pPr>
        <w:spacing w:after="0" w:line="276" w:lineRule="auto"/>
        <w:jc w:val="both"/>
        <w:rPr>
          <w:rFonts w:ascii="Arial" w:eastAsia="Times New Roman" w:hAnsi="Arial" w:cs="Arial"/>
          <w:color w:val="000000" w:themeColor="text1"/>
          <w:sz w:val="20"/>
          <w:szCs w:val="20"/>
          <w:lang w:val="es-CO" w:eastAsia="es-CO"/>
        </w:rPr>
      </w:pPr>
      <w:r w:rsidRPr="00682149">
        <w:rPr>
          <w:rFonts w:ascii="Arial" w:eastAsia="Times New Roman" w:hAnsi="Arial" w:cs="Arial"/>
          <w:color w:val="000000" w:themeColor="text1"/>
          <w:sz w:val="20"/>
          <w:szCs w:val="20"/>
          <w:lang w:val="es-CO" w:eastAsia="es-CO"/>
        </w:rPr>
        <w:t xml:space="preserve"> FIRMADO ELECTRÓNICAMENTE                              FIRMADO ELECTRÓNICAMENTE </w:t>
      </w:r>
    </w:p>
    <w:p w14:paraId="5FEEA435" w14:textId="77777777" w:rsidR="00454900" w:rsidRPr="00682149" w:rsidRDefault="00454900" w:rsidP="001C138F">
      <w:pPr>
        <w:spacing w:after="0" w:line="276" w:lineRule="auto"/>
        <w:jc w:val="both"/>
        <w:rPr>
          <w:rFonts w:ascii="Arial" w:eastAsia="Times New Roman" w:hAnsi="Arial" w:cs="Arial"/>
          <w:b/>
          <w:color w:val="000000" w:themeColor="text1"/>
          <w:sz w:val="24"/>
          <w:szCs w:val="24"/>
          <w:lang w:val="es-CO" w:eastAsia="es-CO"/>
        </w:rPr>
      </w:pPr>
      <w:r w:rsidRPr="00682149">
        <w:rPr>
          <w:rFonts w:ascii="Arial" w:eastAsia="Times New Roman" w:hAnsi="Arial" w:cs="Arial"/>
          <w:b/>
          <w:color w:val="000000" w:themeColor="text1"/>
          <w:sz w:val="24"/>
          <w:szCs w:val="24"/>
          <w:lang w:val="es-CO" w:eastAsia="es-CO"/>
        </w:rPr>
        <w:t>OSWALDO GIRALDO LÓPEZ                    CARMELO PERDOMO CUETER</w:t>
      </w:r>
    </w:p>
    <w:p w14:paraId="611E7AAA" w14:textId="77777777" w:rsidR="00454900" w:rsidRPr="00682149" w:rsidRDefault="00454900" w:rsidP="001C138F">
      <w:pPr>
        <w:spacing w:after="0" w:line="276" w:lineRule="auto"/>
        <w:jc w:val="center"/>
        <w:rPr>
          <w:rFonts w:ascii="Arial" w:eastAsia="Times New Roman" w:hAnsi="Arial" w:cs="Arial"/>
          <w:b/>
          <w:color w:val="000000" w:themeColor="text1"/>
          <w:sz w:val="24"/>
          <w:szCs w:val="24"/>
          <w:lang w:val="es-CO" w:eastAsia="es-CO"/>
        </w:rPr>
      </w:pPr>
    </w:p>
    <w:p w14:paraId="6954BDCC" w14:textId="77777777" w:rsidR="00454900" w:rsidRPr="00682149" w:rsidRDefault="00454900" w:rsidP="001C138F">
      <w:pPr>
        <w:spacing w:after="0" w:line="276" w:lineRule="auto"/>
        <w:jc w:val="center"/>
        <w:rPr>
          <w:rFonts w:ascii="Arial" w:eastAsia="Times New Roman" w:hAnsi="Arial" w:cs="Arial"/>
          <w:b/>
          <w:color w:val="000000" w:themeColor="text1"/>
          <w:sz w:val="24"/>
          <w:szCs w:val="24"/>
          <w:lang w:val="es-CO" w:eastAsia="es-CO"/>
        </w:rPr>
      </w:pPr>
    </w:p>
    <w:p w14:paraId="7302267B" w14:textId="77777777" w:rsidR="00454900" w:rsidRPr="00682149" w:rsidRDefault="00454900" w:rsidP="001C138F">
      <w:pPr>
        <w:spacing w:after="0" w:line="276" w:lineRule="auto"/>
        <w:jc w:val="center"/>
        <w:rPr>
          <w:rFonts w:ascii="Arial" w:eastAsia="Times New Roman" w:hAnsi="Arial" w:cs="Arial"/>
          <w:b/>
          <w:color w:val="000000" w:themeColor="text1"/>
          <w:sz w:val="24"/>
          <w:szCs w:val="24"/>
          <w:lang w:val="es-CO" w:eastAsia="es-CO"/>
        </w:rPr>
      </w:pPr>
    </w:p>
    <w:p w14:paraId="348B21B0" w14:textId="77777777" w:rsidR="00454900" w:rsidRPr="00682149" w:rsidRDefault="00454900" w:rsidP="001C138F">
      <w:pPr>
        <w:spacing w:after="0" w:line="276" w:lineRule="auto"/>
        <w:jc w:val="center"/>
        <w:rPr>
          <w:rFonts w:ascii="Arial" w:eastAsia="Times New Roman" w:hAnsi="Arial" w:cs="Arial"/>
          <w:b/>
          <w:color w:val="000000" w:themeColor="text1"/>
          <w:sz w:val="24"/>
          <w:szCs w:val="24"/>
          <w:lang w:val="es-CO" w:eastAsia="es-CO"/>
        </w:rPr>
      </w:pPr>
    </w:p>
    <w:p w14:paraId="58983115" w14:textId="77777777" w:rsidR="00454900" w:rsidRPr="00682149" w:rsidRDefault="00454900" w:rsidP="001C138F">
      <w:pPr>
        <w:spacing w:after="0" w:line="276" w:lineRule="auto"/>
        <w:jc w:val="center"/>
        <w:rPr>
          <w:rFonts w:ascii="Arial" w:eastAsia="Times New Roman" w:hAnsi="Arial" w:cs="Arial"/>
          <w:color w:val="000000" w:themeColor="text1"/>
          <w:sz w:val="20"/>
          <w:szCs w:val="20"/>
          <w:lang w:val="es-CO" w:eastAsia="es-CO"/>
        </w:rPr>
      </w:pPr>
      <w:r w:rsidRPr="00682149">
        <w:rPr>
          <w:rFonts w:ascii="Arial" w:eastAsia="Times New Roman" w:hAnsi="Arial" w:cs="Arial"/>
          <w:color w:val="000000" w:themeColor="text1"/>
          <w:sz w:val="20"/>
          <w:szCs w:val="20"/>
          <w:lang w:val="es-CO" w:eastAsia="es-CO"/>
        </w:rPr>
        <w:t>FIRMADO ELECTRÓNICAMENTE</w:t>
      </w:r>
    </w:p>
    <w:p w14:paraId="619FCBCB" w14:textId="77777777" w:rsidR="00454900" w:rsidRPr="00682149" w:rsidRDefault="00454900" w:rsidP="001C138F">
      <w:pPr>
        <w:spacing w:after="0" w:line="276" w:lineRule="auto"/>
        <w:jc w:val="center"/>
        <w:rPr>
          <w:rFonts w:ascii="Arial" w:hAnsi="Arial" w:cs="Arial"/>
          <w:b/>
          <w:color w:val="000000" w:themeColor="text1"/>
          <w:lang w:val="es-CO"/>
        </w:rPr>
      </w:pPr>
      <w:r w:rsidRPr="00682149">
        <w:rPr>
          <w:rFonts w:ascii="Arial" w:eastAsia="Times New Roman" w:hAnsi="Arial" w:cs="Arial"/>
          <w:b/>
          <w:color w:val="000000" w:themeColor="text1"/>
          <w:sz w:val="24"/>
          <w:szCs w:val="24"/>
          <w:lang w:eastAsia="es-CO"/>
        </w:rPr>
        <w:t>JOSÉ ROBERTO SÁCHICA MÉNDEZ</w:t>
      </w:r>
    </w:p>
    <w:p w14:paraId="0903FB1C" w14:textId="77777777" w:rsidR="003778E4" w:rsidRDefault="003778E4" w:rsidP="003778E4">
      <w:pPr>
        <w:spacing w:after="0" w:line="276" w:lineRule="auto"/>
        <w:ind w:right="-374"/>
        <w:jc w:val="both"/>
        <w:rPr>
          <w:rFonts w:ascii="Arial" w:hAnsi="Arial" w:cs="Arial"/>
          <w:snapToGrid w:val="0"/>
          <w:color w:val="000000" w:themeColor="text1"/>
          <w:sz w:val="16"/>
          <w:szCs w:val="16"/>
        </w:rPr>
      </w:pPr>
    </w:p>
    <w:p w14:paraId="6DCD493C" w14:textId="77777777" w:rsidR="00C2164A" w:rsidRPr="00682149" w:rsidRDefault="00C2164A" w:rsidP="00C2164A">
      <w:pPr>
        <w:pBdr>
          <w:top w:val="nil"/>
          <w:left w:val="nil"/>
          <w:bottom w:val="nil"/>
          <w:right w:val="nil"/>
          <w:between w:val="nil"/>
        </w:pBdr>
        <w:spacing w:after="0" w:line="276" w:lineRule="auto"/>
        <w:jc w:val="both"/>
        <w:rPr>
          <w:rFonts w:ascii="Arial" w:eastAsia="Arial" w:hAnsi="Arial" w:cs="Arial"/>
          <w:color w:val="000000" w:themeColor="text1"/>
          <w:sz w:val="24"/>
          <w:szCs w:val="24"/>
          <w:lang w:val="es-CO"/>
        </w:rPr>
      </w:pPr>
    </w:p>
    <w:p w14:paraId="26185E72" w14:textId="77777777" w:rsidR="00C2164A" w:rsidRPr="00C2164A" w:rsidRDefault="00C2164A" w:rsidP="003778E4">
      <w:pPr>
        <w:spacing w:after="0" w:line="276" w:lineRule="auto"/>
        <w:ind w:right="-374"/>
        <w:jc w:val="both"/>
        <w:rPr>
          <w:rFonts w:ascii="Arial" w:hAnsi="Arial" w:cs="Arial"/>
          <w:snapToGrid w:val="0"/>
          <w:color w:val="000000" w:themeColor="text1"/>
          <w:sz w:val="16"/>
          <w:szCs w:val="16"/>
          <w:lang w:val="es-CO"/>
        </w:rPr>
      </w:pPr>
    </w:p>
    <w:p w14:paraId="0FEC0D77" w14:textId="77777777" w:rsidR="00C2164A" w:rsidRDefault="00C2164A" w:rsidP="003778E4">
      <w:pPr>
        <w:spacing w:after="0" w:line="276" w:lineRule="auto"/>
        <w:ind w:right="-374"/>
        <w:jc w:val="both"/>
        <w:rPr>
          <w:rFonts w:ascii="Arial" w:hAnsi="Arial" w:cs="Arial"/>
          <w:snapToGrid w:val="0"/>
          <w:color w:val="000000" w:themeColor="text1"/>
          <w:sz w:val="16"/>
          <w:szCs w:val="16"/>
        </w:rPr>
      </w:pPr>
    </w:p>
    <w:p w14:paraId="1B201942" w14:textId="2012B705" w:rsidR="003778E4" w:rsidRPr="003778E4" w:rsidRDefault="003778E4" w:rsidP="003778E4">
      <w:pPr>
        <w:spacing w:after="0" w:line="276" w:lineRule="auto"/>
        <w:ind w:right="-374"/>
        <w:jc w:val="both"/>
        <w:rPr>
          <w:rFonts w:ascii="Arial" w:hAnsi="Arial" w:cs="Arial"/>
          <w:snapToGrid w:val="0"/>
          <w:color w:val="000000" w:themeColor="text1"/>
          <w:sz w:val="16"/>
          <w:szCs w:val="16"/>
        </w:rPr>
      </w:pPr>
      <w:r w:rsidRPr="003778E4">
        <w:rPr>
          <w:rFonts w:ascii="Arial" w:hAnsi="Arial" w:cs="Arial"/>
          <w:snapToGrid w:val="0"/>
          <w:color w:val="000000" w:themeColor="text1"/>
          <w:sz w:val="16"/>
          <w:szCs w:val="16"/>
        </w:rPr>
        <w:t xml:space="preserve">Nota: Se deja constancia de que esta providencia se suscribe en forma electrónica mediante el aplicativo SAMAI, de manera que el certificado digital que arroja el sistema permite validar la integridad y autenticidad del presente documento en el enlace </w:t>
      </w:r>
      <w:hyperlink r:id="rId11" w:history="1">
        <w:r w:rsidRPr="003778E4">
          <w:rPr>
            <w:rFonts w:ascii="Arial" w:hAnsi="Arial" w:cs="Arial"/>
            <w:snapToGrid w:val="0"/>
            <w:color w:val="000000" w:themeColor="text1"/>
            <w:sz w:val="16"/>
            <w:szCs w:val="16"/>
            <w:u w:val="single"/>
          </w:rPr>
          <w:t>http://relatoria.consejodeestado.gov.co:8081/Vistas/documentos/evalidador</w:t>
        </w:r>
      </w:hyperlink>
    </w:p>
    <w:p w14:paraId="76F79B2C" w14:textId="77777777" w:rsidR="003778E4" w:rsidRPr="003778E4" w:rsidRDefault="003778E4" w:rsidP="003778E4">
      <w:pPr>
        <w:spacing w:after="0" w:line="276" w:lineRule="auto"/>
        <w:jc w:val="both"/>
        <w:rPr>
          <w:rFonts w:ascii="Arial" w:eastAsia="Arial" w:hAnsi="Arial" w:cs="Arial"/>
          <w:color w:val="000000" w:themeColor="text1"/>
          <w:sz w:val="16"/>
          <w:szCs w:val="16"/>
          <w:lang w:val="es-CO"/>
        </w:rPr>
      </w:pPr>
      <w:r w:rsidRPr="003778E4">
        <w:rPr>
          <w:rFonts w:ascii="Arial" w:eastAsia="Arial" w:hAnsi="Arial" w:cs="Arial"/>
          <w:color w:val="000000" w:themeColor="text1"/>
          <w:sz w:val="16"/>
          <w:szCs w:val="16"/>
          <w:lang w:val="es-CO"/>
        </w:rPr>
        <w:t>Lb</w:t>
      </w:r>
    </w:p>
    <w:p w14:paraId="4A5A0A6E" w14:textId="77777777" w:rsidR="00454900" w:rsidRPr="00682149" w:rsidRDefault="00454900" w:rsidP="001C138F">
      <w:pPr>
        <w:spacing w:after="0" w:line="276" w:lineRule="auto"/>
        <w:rPr>
          <w:rFonts w:ascii="Arial" w:hAnsi="Arial" w:cs="Arial"/>
          <w:color w:val="000000" w:themeColor="text1"/>
        </w:rPr>
      </w:pPr>
    </w:p>
    <w:p w14:paraId="13E796D2" w14:textId="77B9A510" w:rsidR="008123B1" w:rsidRPr="00682149" w:rsidRDefault="008123B1" w:rsidP="001C138F">
      <w:pPr>
        <w:spacing w:after="0" w:line="276" w:lineRule="auto"/>
        <w:rPr>
          <w:color w:val="000000" w:themeColor="text1"/>
        </w:rPr>
      </w:pPr>
      <w:r w:rsidRPr="00682149">
        <w:rPr>
          <w:noProof/>
          <w:color w:val="000000" w:themeColor="text1"/>
          <w:lang w:val="es-CO" w:eastAsia="es-CO"/>
        </w:rPr>
        <mc:AlternateContent>
          <mc:Choice Requires="wpg">
            <w:drawing>
              <wp:inline distT="0" distB="0" distL="0" distR="0" wp14:anchorId="704E8260" wp14:editId="79F644C8">
                <wp:extent cx="1828800" cy="10795"/>
                <wp:effectExtent l="0" t="0" r="0" b="0"/>
                <wp:docPr id="70975" name="Group 709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10795"/>
                          <a:chOff x="0" y="0"/>
                          <a:chExt cx="1829054" cy="10668"/>
                        </a:xfrm>
                      </wpg:grpSpPr>
                      <wps:wsp>
                        <wps:cNvPr id="75071" name="Shape 75071"/>
                        <wps:cNvSpPr/>
                        <wps:spPr>
                          <a:xfrm>
                            <a:off x="0" y="0"/>
                            <a:ext cx="1829054" cy="10668"/>
                          </a:xfrm>
                          <a:custGeom>
                            <a:avLst/>
                            <a:gdLst/>
                            <a:ahLst/>
                            <a:cxnLst/>
                            <a:rect l="0" t="0" r="0" b="0"/>
                            <a:pathLst>
                              <a:path w="1829054" h="10668">
                                <a:moveTo>
                                  <a:pt x="0" y="0"/>
                                </a:moveTo>
                                <a:lnTo>
                                  <a:pt x="1829054" y="0"/>
                                </a:lnTo>
                                <a:lnTo>
                                  <a:pt x="1829054" y="10668"/>
                                </a:lnTo>
                                <a:lnTo>
                                  <a:pt x="0" y="10668"/>
                                </a:lnTo>
                                <a:lnTo>
                                  <a:pt x="0" y="0"/>
                                </a:lnTo>
                              </a:path>
                            </a:pathLst>
                          </a:custGeom>
                          <a:solidFill>
                            <a:srgbClr val="000000"/>
                          </a:solidFill>
                          <a:ln w="0" cap="flat">
                            <a:noFill/>
                            <a:miter lim="127000"/>
                          </a:ln>
                          <a:effectLst/>
                        </wps:spPr>
                        <wps:bodyPr/>
                      </wps:wsp>
                    </wpg:wgp>
                  </a:graphicData>
                </a:graphic>
              </wp:inline>
            </w:drawing>
          </mc:Choice>
          <mc:Fallback>
            <w:pict>
              <v:group w14:anchorId="7D6F9B2D" id="Group 70975" o:spid="_x0000_s1026" style="width:2in;height:.85pt;mso-position-horizontal-relative:char;mso-position-vertical-relative:line" coordsize="18290,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">
                <v:shape id="Shape 75071" o:spid="_x0000_s1027" style="position:absolute;width:18290;height:106;visibility:visible;mso-wrap-style:square;v-text-anchor:top" coordsize="182905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" path="m,l1829054,r,10668l,10668,,e" fillcolor="black" stroked="f" strokeweight="0">
                  <v:stroke miterlimit="83231f" joinstyle="miter"/>
                  <v:path arrowok="t" textboxrect="0,0,1829054,10668"/>
                </v:shape>
                <w10:anchorlock/>
              </v:group>
            </w:pict>
          </mc:Fallback>
        </mc:AlternateContent>
      </w:r>
      <w:r w:rsidRPr="00682149">
        <w:rPr>
          <w:rFonts w:ascii="Calibri" w:eastAsia="Calibri" w:hAnsi="Calibri" w:cs="Calibri"/>
          <w:color w:val="000000" w:themeColor="text1"/>
        </w:rPr>
        <w:t xml:space="preserve"> </w:t>
      </w:r>
    </w:p>
    <w:p w14:paraId="3691B47B" w14:textId="302907F6" w:rsidR="008123B1" w:rsidRPr="00682149" w:rsidRDefault="008123B1" w:rsidP="001C138F">
      <w:pPr>
        <w:spacing w:after="0" w:line="276" w:lineRule="auto"/>
        <w:ind w:left="-5"/>
        <w:rPr>
          <w:rFonts w:ascii="Arial" w:hAnsi="Arial" w:cs="Arial"/>
          <w:color w:val="000000" w:themeColor="text1"/>
        </w:rPr>
      </w:pPr>
      <w:r w:rsidRPr="00682149">
        <w:rPr>
          <w:rFonts w:ascii="Arial" w:hAnsi="Arial" w:cs="Arial"/>
          <w:color w:val="000000" w:themeColor="text1"/>
          <w:sz w:val="18"/>
        </w:rPr>
        <w:t xml:space="preserve">10 Corte Constitucional. Sentencia C-371 del 29 de marzo 2000. Magistrado Ponente Carlos Gaviria Díaz, </w:t>
      </w:r>
    </w:p>
    <w:p w14:paraId="74F17933" w14:textId="77777777" w:rsidR="003778E4" w:rsidRDefault="003778E4" w:rsidP="001C138F">
      <w:pPr>
        <w:spacing w:after="0" w:line="276" w:lineRule="auto"/>
        <w:ind w:right="-374"/>
        <w:jc w:val="both"/>
        <w:rPr>
          <w:rFonts w:ascii="Arial" w:hAnsi="Arial" w:cs="Arial"/>
          <w:snapToGrid w:val="0"/>
          <w:color w:val="000000" w:themeColor="text1"/>
        </w:rPr>
      </w:pPr>
    </w:p>
    <w:sectPr w:rsidR="003778E4" w:rsidSect="00F943D7">
      <w:headerReference w:type="default" r:id="rId12"/>
      <w:footerReference w:type="even" r:id="rId13"/>
      <w:footerReference w:type="default" r:id="rId14"/>
      <w:pgSz w:w="12242" w:h="18722" w:code="14"/>
      <w:pgMar w:top="1417" w:right="1701" w:bottom="1417"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FDE71" w16cex:dateUtc="2021-01-18T15:16:00Z"/>
  <w16cex:commentExtensible w16cex:durableId="23B00413" w16cex:dateUtc="2021-01-18T17:56:00Z"/>
  <w16cex:commentExtensible w16cex:durableId="23B0048D" w16cex:dateUtc="2021-01-18T17:5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06B15D" w14:textId="77777777" w:rsidR="00CA5CBB" w:rsidRDefault="00CA5CBB" w:rsidP="00454900">
      <w:pPr>
        <w:spacing w:after="0" w:line="240" w:lineRule="auto"/>
      </w:pPr>
      <w:r>
        <w:separator/>
      </w:r>
    </w:p>
  </w:endnote>
  <w:endnote w:type="continuationSeparator" w:id="0">
    <w:p w14:paraId="7B721271" w14:textId="77777777" w:rsidR="00CA5CBB" w:rsidRDefault="00CA5CBB" w:rsidP="00454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Malgun Gothic"/>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9FFFC" w14:textId="77777777" w:rsidR="00F73446" w:rsidRDefault="00F73446" w:rsidP="00DF692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C7E5597" w14:textId="77777777" w:rsidR="00F73446" w:rsidRDefault="00F73446" w:rsidP="00DF692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80067" w14:textId="02F03C0D" w:rsidR="00F73446" w:rsidRDefault="00F73446" w:rsidP="00DF692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F0B6F">
      <w:rPr>
        <w:rStyle w:val="Nmerodepgina"/>
        <w:noProof/>
      </w:rPr>
      <w:t>47</w:t>
    </w:r>
    <w:r>
      <w:rPr>
        <w:rStyle w:val="Nmerodepgina"/>
      </w:rPr>
      <w:fldChar w:fldCharType="end"/>
    </w:r>
  </w:p>
  <w:p w14:paraId="5E7452B2" w14:textId="77777777" w:rsidR="00F73446" w:rsidRDefault="00F73446" w:rsidP="00DF6924">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BF7DF0" w14:textId="77777777" w:rsidR="00CA5CBB" w:rsidRDefault="00CA5CBB" w:rsidP="00454900">
      <w:pPr>
        <w:spacing w:after="0" w:line="240" w:lineRule="auto"/>
      </w:pPr>
      <w:r>
        <w:separator/>
      </w:r>
    </w:p>
  </w:footnote>
  <w:footnote w:type="continuationSeparator" w:id="0">
    <w:p w14:paraId="55AEA485" w14:textId="77777777" w:rsidR="00CA5CBB" w:rsidRDefault="00CA5CBB" w:rsidP="00454900">
      <w:pPr>
        <w:spacing w:after="0" w:line="240" w:lineRule="auto"/>
      </w:pPr>
      <w:r>
        <w:continuationSeparator/>
      </w:r>
    </w:p>
  </w:footnote>
  <w:footnote w:id="1">
    <w:p w14:paraId="31B74E62" w14:textId="77777777" w:rsidR="00F73446" w:rsidRPr="000B3E8E" w:rsidRDefault="00F73446" w:rsidP="000B3E8E">
      <w:pPr>
        <w:pStyle w:val="Textonotapie"/>
        <w:jc w:val="both"/>
        <w:rPr>
          <w:rFonts w:ascii="Arial" w:hAnsi="Arial" w:cs="Arial"/>
          <w:i/>
          <w:color w:val="000000" w:themeColor="text1"/>
          <w:sz w:val="18"/>
          <w:szCs w:val="18"/>
        </w:rPr>
      </w:pPr>
      <w:r w:rsidRPr="000B3E8E">
        <w:rPr>
          <w:rStyle w:val="Refdenotaalpie"/>
          <w:rFonts w:ascii="Arial" w:hAnsi="Arial" w:cs="Arial"/>
          <w:color w:val="000000" w:themeColor="text1"/>
          <w:sz w:val="18"/>
          <w:szCs w:val="18"/>
        </w:rPr>
        <w:footnoteRef/>
      </w:r>
      <w:r w:rsidRPr="000B3E8E">
        <w:rPr>
          <w:rFonts w:ascii="Arial" w:hAnsi="Arial" w:cs="Arial"/>
          <w:color w:val="000000" w:themeColor="text1"/>
          <w:sz w:val="18"/>
          <w:szCs w:val="18"/>
        </w:rPr>
        <w:t xml:space="preserve"> </w:t>
      </w:r>
      <w:r w:rsidRPr="000B3E8E">
        <w:rPr>
          <w:rFonts w:ascii="Arial" w:hAnsi="Arial" w:cs="Arial"/>
          <w:i/>
          <w:color w:val="000000" w:themeColor="text1"/>
          <w:sz w:val="18"/>
          <w:szCs w:val="18"/>
        </w:rPr>
        <w:t xml:space="preserve">La competencia para decidir sobre la legalidad de los actos administrativos está asignada i) al Consejo de Estado, si se trata de actos expedidos por autoridades del orden nacional y, ii) a los Tribunales Administrativos si los actos son dictados por las autoridades del orden territorial -según el lugar donde se expidan-, de conformidad con las reglas de competencia contenidas en los artículos 149 numerales 1 y 14, y 151 numeral 14 de la misma Ley 1437 de 2011. En ese orden, mediante Acuerdos 321 de 2014 y 080 de 2019 y en sesión No. 10 del 1º de abril de la presente anualidad, la Sala Plena del Consejo de Estado, con fundamento en lo dispuesto en el artículo 107 de la Ley 1437 de 2011, asignó a las Salas Especiales de Decisión la competencia para conocer y decidir sobre los controles inmediatos de legalidad. </w:t>
      </w:r>
    </w:p>
    <w:p w14:paraId="6046D39A" w14:textId="14BDE4DD" w:rsidR="00F73446" w:rsidRPr="000B3E8E" w:rsidRDefault="00F73446" w:rsidP="000B3E8E">
      <w:pPr>
        <w:pStyle w:val="Textonotapie"/>
        <w:jc w:val="both"/>
        <w:rPr>
          <w:rFonts w:ascii="Arial" w:hAnsi="Arial" w:cs="Arial"/>
          <w:i/>
          <w:color w:val="000000" w:themeColor="text1"/>
          <w:sz w:val="18"/>
          <w:szCs w:val="18"/>
        </w:rPr>
      </w:pPr>
      <w:r w:rsidRPr="000B3E8E">
        <w:rPr>
          <w:rFonts w:ascii="Arial" w:hAnsi="Arial" w:cs="Arial"/>
          <w:i/>
          <w:color w:val="000000" w:themeColor="text1"/>
          <w:sz w:val="18"/>
          <w:szCs w:val="18"/>
        </w:rPr>
        <w:t xml:space="preserve"> </w:t>
      </w:r>
      <w:r w:rsidRPr="005B2E7D">
        <w:rPr>
          <w:rFonts w:ascii="Arial" w:hAnsi="Arial" w:cs="Arial"/>
          <w:i/>
          <w:color w:val="000000" w:themeColor="text1"/>
          <w:sz w:val="18"/>
          <w:szCs w:val="18"/>
        </w:rPr>
        <w:t>En consecuencia, y tal como fue definido en el auto q</w:t>
      </w:r>
      <w:r w:rsidRPr="002810BC">
        <w:rPr>
          <w:rFonts w:ascii="Arial" w:hAnsi="Arial" w:cs="Arial"/>
          <w:i/>
          <w:color w:val="000000" w:themeColor="text1"/>
          <w:sz w:val="18"/>
          <w:szCs w:val="18"/>
        </w:rPr>
        <w:t xml:space="preserve">ue AVOCÓ conocimiento, como (i) acto administrativo de carácter general (ii) expedido por la Comisión de Regulación de Energía y Gas, suscrita por su Director Ejecutivo,  en desarrollo de los decretos legislativos, le corresponde al Consejo de Estado el control inmediato de legalidad.  </w:t>
      </w:r>
    </w:p>
  </w:footnote>
  <w:footnote w:id="2">
    <w:p w14:paraId="4FA78820" w14:textId="77777777" w:rsidR="00F73446" w:rsidRPr="000B3E8E" w:rsidRDefault="00F73446" w:rsidP="000B3E8E">
      <w:pPr>
        <w:pStyle w:val="footnotedescription"/>
        <w:spacing w:line="240" w:lineRule="auto"/>
        <w:jc w:val="both"/>
        <w:rPr>
          <w:color w:val="000000" w:themeColor="text1"/>
          <w:szCs w:val="18"/>
          <w:lang w:val="es-ES_tradnl"/>
        </w:rPr>
      </w:pPr>
      <w:r w:rsidRPr="000B3E8E">
        <w:rPr>
          <w:rStyle w:val="footnotemark"/>
          <w:color w:val="000000" w:themeColor="text1"/>
          <w:szCs w:val="18"/>
          <w:lang w:val="es-ES_tradnl"/>
        </w:rPr>
        <w:footnoteRef/>
      </w:r>
      <w:r w:rsidRPr="000B3E8E">
        <w:rPr>
          <w:color w:val="000000" w:themeColor="text1"/>
          <w:szCs w:val="18"/>
          <w:lang w:val="es-ES_tradnl"/>
        </w:rPr>
        <w:t xml:space="preserve"> Fondo de apoyo financiero para la energización de las zonas no interconectadas. </w:t>
      </w:r>
    </w:p>
  </w:footnote>
  <w:footnote w:id="3">
    <w:p w14:paraId="691E1B06" w14:textId="2FA875EF" w:rsidR="00F73446" w:rsidRPr="000B3E8E" w:rsidRDefault="00F73446" w:rsidP="000B3E8E">
      <w:pPr>
        <w:pStyle w:val="footnotedescription"/>
        <w:spacing w:line="240" w:lineRule="auto"/>
        <w:jc w:val="both"/>
        <w:rPr>
          <w:color w:val="000000" w:themeColor="text1"/>
          <w:szCs w:val="18"/>
          <w:lang w:val="es-ES_tradnl"/>
        </w:rPr>
      </w:pPr>
      <w:r w:rsidRPr="000B3E8E">
        <w:rPr>
          <w:rStyle w:val="footnotemark"/>
          <w:color w:val="000000" w:themeColor="text1"/>
          <w:szCs w:val="18"/>
        </w:rPr>
        <w:footnoteRef/>
      </w:r>
      <w:r w:rsidRPr="000B3E8E">
        <w:rPr>
          <w:color w:val="000000" w:themeColor="text1"/>
          <w:szCs w:val="18"/>
          <w:lang w:val="es-ES"/>
        </w:rPr>
        <w:t xml:space="preserve"> </w:t>
      </w:r>
      <w:r w:rsidRPr="000B3E8E">
        <w:rPr>
          <w:color w:val="000000" w:themeColor="text1"/>
          <w:szCs w:val="18"/>
          <w:lang w:val="es-ES_tradnl"/>
        </w:rPr>
        <w:t>Se debe mencionar que, a la fecha la Comisión no ha recibido ninguna solicitud tarifaria por parte de prestadores del servicio que se encuentren at</w:t>
      </w:r>
      <w:r>
        <w:rPr>
          <w:color w:val="000000" w:themeColor="text1"/>
          <w:szCs w:val="18"/>
          <w:lang w:val="es-ES_tradnl"/>
        </w:rPr>
        <w:t xml:space="preserve">endiendo </w:t>
      </w:r>
      <w:r w:rsidRPr="000B3E8E">
        <w:rPr>
          <w:color w:val="000000" w:themeColor="text1"/>
          <w:szCs w:val="18"/>
          <w:lang w:val="es-ES_tradnl"/>
        </w:rPr>
        <w:t xml:space="preserve">usuarios con soluciones individuales AC con potencia instalada mayor a 500W. La Resolución CREG 091 de 2007 establece la posibilidad de esta solicitud. </w:t>
      </w:r>
    </w:p>
  </w:footnote>
  <w:footnote w:id="4">
    <w:p w14:paraId="1EADDEFC" w14:textId="77777777" w:rsidR="00F73446" w:rsidRPr="000B3E8E" w:rsidRDefault="00F73446" w:rsidP="000B3E8E">
      <w:pPr>
        <w:pStyle w:val="footnotedescription"/>
        <w:spacing w:line="240" w:lineRule="auto"/>
        <w:jc w:val="both"/>
        <w:rPr>
          <w:color w:val="000000" w:themeColor="text1"/>
          <w:szCs w:val="18"/>
          <w:lang w:val="es-ES"/>
        </w:rPr>
      </w:pPr>
      <w:r w:rsidRPr="000B3E8E">
        <w:rPr>
          <w:rStyle w:val="footnotemark"/>
          <w:color w:val="000000" w:themeColor="text1"/>
          <w:szCs w:val="18"/>
        </w:rPr>
        <w:footnoteRef/>
      </w:r>
      <w:r w:rsidRPr="000B3E8E">
        <w:rPr>
          <w:color w:val="000000" w:themeColor="text1"/>
          <w:szCs w:val="18"/>
          <w:lang w:val="es-ES"/>
        </w:rPr>
        <w:t xml:space="preserve"> </w:t>
      </w:r>
      <w:r w:rsidRPr="000B3E8E">
        <w:rPr>
          <w:color w:val="000000" w:themeColor="text1"/>
          <w:szCs w:val="18"/>
          <w:lang w:val="es-ES_tradnl"/>
        </w:rPr>
        <w:t>Comunicación con radicado SSPD 20202210007581</w:t>
      </w:r>
      <w:r w:rsidRPr="000B3E8E">
        <w:rPr>
          <w:color w:val="000000" w:themeColor="text1"/>
          <w:szCs w:val="18"/>
          <w:lang w:val="es-ES"/>
        </w:rPr>
        <w:t xml:space="preserve">  </w:t>
      </w:r>
    </w:p>
  </w:footnote>
  <w:footnote w:id="5">
    <w:p w14:paraId="18309829" w14:textId="77777777" w:rsidR="00F73446" w:rsidRPr="000B3E8E" w:rsidRDefault="00F73446" w:rsidP="000B3E8E">
      <w:pPr>
        <w:spacing w:after="0" w:line="240" w:lineRule="auto"/>
        <w:jc w:val="both"/>
        <w:rPr>
          <w:rFonts w:ascii="Arial" w:eastAsia="Times New Roman" w:hAnsi="Arial" w:cs="Arial"/>
          <w:bCs/>
          <w:i/>
          <w:color w:val="000000" w:themeColor="text1"/>
          <w:sz w:val="18"/>
          <w:szCs w:val="18"/>
          <w:lang w:val="es-CO" w:eastAsia="es-ES"/>
        </w:rPr>
      </w:pPr>
      <w:r w:rsidRPr="000B3E8E">
        <w:rPr>
          <w:rStyle w:val="Refdenotaalpie"/>
          <w:rFonts w:ascii="Arial" w:hAnsi="Arial" w:cs="Arial"/>
          <w:i/>
          <w:iCs/>
          <w:color w:val="000000" w:themeColor="text1"/>
          <w:sz w:val="18"/>
          <w:szCs w:val="18"/>
        </w:rPr>
        <w:footnoteRef/>
      </w:r>
      <w:r w:rsidRPr="000B3E8E">
        <w:rPr>
          <w:rFonts w:ascii="Arial" w:hAnsi="Arial" w:cs="Arial"/>
          <w:i/>
          <w:iCs/>
          <w:color w:val="000000" w:themeColor="text1"/>
          <w:sz w:val="18"/>
          <w:szCs w:val="18"/>
          <w:lang w:val="es-CO"/>
        </w:rPr>
        <w:t xml:space="preserve"> </w:t>
      </w:r>
      <w:bookmarkStart w:id="10" w:name="20"/>
      <w:r w:rsidRPr="000B3E8E">
        <w:rPr>
          <w:rFonts w:ascii="Arial" w:hAnsi="Arial" w:cs="Arial"/>
          <w:i/>
          <w:iCs/>
          <w:color w:val="000000" w:themeColor="text1"/>
          <w:sz w:val="18"/>
          <w:szCs w:val="18"/>
          <w:lang w:val="es-CO"/>
        </w:rPr>
        <w:t>“</w:t>
      </w:r>
      <w:r w:rsidRPr="000B3E8E">
        <w:rPr>
          <w:rFonts w:ascii="Arial" w:hAnsi="Arial" w:cs="Arial"/>
          <w:b/>
          <w:bCs/>
          <w:i/>
          <w:iCs/>
          <w:color w:val="000000" w:themeColor="text1"/>
          <w:sz w:val="18"/>
          <w:szCs w:val="18"/>
          <w:lang w:val="es-CO"/>
        </w:rPr>
        <w:t>ARTÍCULO 20. CONTROL DE LEGALIDAD.</w:t>
      </w:r>
      <w:bookmarkEnd w:id="10"/>
      <w:r w:rsidRPr="000B3E8E">
        <w:rPr>
          <w:rFonts w:ascii="Arial" w:hAnsi="Arial" w:cs="Arial"/>
          <w:i/>
          <w:iCs/>
          <w:color w:val="000000" w:themeColor="text1"/>
          <w:sz w:val="18"/>
          <w:szCs w:val="18"/>
          <w:lang w:val="es-CO"/>
        </w:rPr>
        <w:t> Las medidas de carácter general que sean dictadas en ejercicio de la función administrativa y como desarrollo de los decretos legislativos durante los Estados de Excepción, tendrán un control inmediato de legalidad, ejercido por la autoridad de lo contencioso administrativo en el lugar donde se expidan si se tratare de entidades territoriales o del Consejo de Estado si emanaren de autoridades nacionales</w:t>
      </w:r>
      <w:r w:rsidRPr="000B3E8E">
        <w:rPr>
          <w:rFonts w:ascii="Arial" w:eastAsia="Times New Roman" w:hAnsi="Arial" w:cs="Arial"/>
          <w:bCs/>
          <w:i/>
          <w:color w:val="000000" w:themeColor="text1"/>
          <w:sz w:val="18"/>
          <w:szCs w:val="18"/>
          <w:lang w:val="es-CO" w:eastAsia="es-ES"/>
        </w:rPr>
        <w:t>”.</w:t>
      </w:r>
    </w:p>
  </w:footnote>
  <w:footnote w:id="6">
    <w:p w14:paraId="1B4A0EE0" w14:textId="77777777" w:rsidR="00F73446" w:rsidRPr="000B3E8E" w:rsidRDefault="00F73446" w:rsidP="000B3E8E">
      <w:pPr>
        <w:pStyle w:val="NormalWeb"/>
        <w:spacing w:before="0" w:beforeAutospacing="0" w:after="0" w:afterAutospacing="0"/>
        <w:jc w:val="both"/>
        <w:rPr>
          <w:rFonts w:ascii="Arial" w:eastAsia="Times New Roman" w:hAnsi="Arial" w:cs="Arial"/>
          <w:i/>
          <w:iCs/>
          <w:color w:val="000000" w:themeColor="text1"/>
          <w:sz w:val="18"/>
          <w:szCs w:val="18"/>
          <w:lang w:val="es-CO" w:eastAsia="es-CO"/>
        </w:rPr>
      </w:pPr>
      <w:r w:rsidRPr="000B3E8E">
        <w:rPr>
          <w:rStyle w:val="Refdenotaalpie"/>
          <w:rFonts w:ascii="Arial" w:hAnsi="Arial" w:cs="Arial"/>
          <w:i/>
          <w:iCs/>
          <w:color w:val="000000" w:themeColor="text1"/>
          <w:sz w:val="18"/>
          <w:szCs w:val="18"/>
        </w:rPr>
        <w:footnoteRef/>
      </w:r>
      <w:r w:rsidRPr="000B3E8E">
        <w:rPr>
          <w:rFonts w:ascii="Arial" w:hAnsi="Arial" w:cs="Arial"/>
          <w:i/>
          <w:iCs/>
          <w:color w:val="000000" w:themeColor="text1"/>
          <w:sz w:val="18"/>
          <w:szCs w:val="18"/>
          <w:lang w:val="es-CO"/>
        </w:rPr>
        <w:t xml:space="preserve"> </w:t>
      </w:r>
      <w:bookmarkStart w:id="11" w:name="136"/>
      <w:r w:rsidRPr="000B3E8E">
        <w:rPr>
          <w:rFonts w:ascii="Arial" w:hAnsi="Arial" w:cs="Arial"/>
          <w:i/>
          <w:iCs/>
          <w:color w:val="000000" w:themeColor="text1"/>
          <w:sz w:val="18"/>
          <w:szCs w:val="18"/>
          <w:lang w:val="es-CO"/>
        </w:rPr>
        <w:t>“</w:t>
      </w:r>
      <w:r w:rsidRPr="000B3E8E">
        <w:rPr>
          <w:rFonts w:ascii="Arial" w:eastAsia="Times New Roman" w:hAnsi="Arial" w:cs="Arial"/>
          <w:b/>
          <w:bCs/>
          <w:i/>
          <w:iCs/>
          <w:color w:val="000000" w:themeColor="text1"/>
          <w:sz w:val="18"/>
          <w:szCs w:val="18"/>
          <w:lang w:val="es-CO" w:eastAsia="es-CO"/>
        </w:rPr>
        <w:t>ARTÍCULO 136. CONTROL INMEDIATO DE LEGALIDAD.</w:t>
      </w:r>
      <w:bookmarkEnd w:id="11"/>
      <w:r w:rsidRPr="000B3E8E">
        <w:rPr>
          <w:rFonts w:ascii="Arial" w:eastAsia="Times New Roman" w:hAnsi="Arial" w:cs="Arial"/>
          <w:i/>
          <w:iCs/>
          <w:color w:val="000000" w:themeColor="text1"/>
          <w:sz w:val="18"/>
          <w:szCs w:val="18"/>
          <w:lang w:val="es-CO" w:eastAsia="es-CO"/>
        </w:rPr>
        <w:t> Las medidas de carácter general que sean dictadas en ejercicio de la función administrativa y como desarrollo de los decretos legislativos durante los Estados de Excepción, tendrán un control inmediato de legalidad, ejercido por la Jurisdicción de lo Contencioso Administrativo en el lugar donde se expidan, si se tratare de entidades territoriales, o del Consejo de Estado si emanaren de autoridades nacionales, de acuerdo con las reglas de competencia establecidas en este Código.</w:t>
      </w:r>
    </w:p>
    <w:p w14:paraId="032960C6" w14:textId="77777777" w:rsidR="00F73446" w:rsidRPr="000B3E8E" w:rsidRDefault="00F73446" w:rsidP="000B3E8E">
      <w:pPr>
        <w:spacing w:after="0" w:line="240" w:lineRule="auto"/>
        <w:jc w:val="both"/>
        <w:rPr>
          <w:rFonts w:ascii="Arial" w:hAnsi="Arial" w:cs="Arial"/>
          <w:color w:val="000000" w:themeColor="text1"/>
          <w:sz w:val="18"/>
          <w:szCs w:val="18"/>
          <w:lang w:val="es-CO"/>
        </w:rPr>
      </w:pPr>
      <w:r w:rsidRPr="000B3E8E">
        <w:rPr>
          <w:rFonts w:ascii="Arial" w:eastAsia="Times New Roman" w:hAnsi="Arial" w:cs="Arial"/>
          <w:i/>
          <w:iCs/>
          <w:color w:val="000000" w:themeColor="text1"/>
          <w:sz w:val="18"/>
          <w:szCs w:val="18"/>
          <w:lang w:val="es-CO" w:eastAsia="es-CO"/>
        </w:rPr>
        <w:t>Las autoridades competentes que los expidan enviarán los actos administrativos a la autoridad judicial indicada, dentro de las cuarenta y ocho (48) horas siguientes a su expedición. Si no se efectuare el envío, la autoridad judicial competente aprehenderá de oficio su conocimiento”.</w:t>
      </w:r>
    </w:p>
  </w:footnote>
  <w:footnote w:id="7">
    <w:p w14:paraId="744CA7A0" w14:textId="77777777" w:rsidR="00F73446" w:rsidRPr="000B3E8E" w:rsidRDefault="00F73446" w:rsidP="000B3E8E">
      <w:pPr>
        <w:pStyle w:val="Textonotapie"/>
        <w:jc w:val="both"/>
        <w:rPr>
          <w:rFonts w:ascii="Arial" w:hAnsi="Arial" w:cs="Arial"/>
          <w:color w:val="000000" w:themeColor="text1"/>
          <w:sz w:val="18"/>
          <w:szCs w:val="18"/>
        </w:rPr>
      </w:pPr>
      <w:r w:rsidRPr="000B3E8E">
        <w:rPr>
          <w:rStyle w:val="Refdenotaalpie"/>
          <w:rFonts w:ascii="Arial" w:hAnsi="Arial" w:cs="Arial"/>
          <w:color w:val="000000" w:themeColor="text1"/>
          <w:sz w:val="18"/>
          <w:szCs w:val="18"/>
        </w:rPr>
        <w:footnoteRef/>
      </w:r>
      <w:r w:rsidRPr="000B3E8E">
        <w:rPr>
          <w:rFonts w:ascii="Arial" w:hAnsi="Arial" w:cs="Arial"/>
          <w:color w:val="000000" w:themeColor="text1"/>
          <w:sz w:val="18"/>
          <w:szCs w:val="18"/>
        </w:rPr>
        <w:t xml:space="preserve"> Artículos 3 a 7 y 15 de la Ley 137 de 1994.</w:t>
      </w:r>
    </w:p>
  </w:footnote>
  <w:footnote w:id="8">
    <w:p w14:paraId="3BC78DBA" w14:textId="77777777" w:rsidR="00F73446" w:rsidRPr="000B3E8E" w:rsidRDefault="00F73446" w:rsidP="000B3E8E">
      <w:pPr>
        <w:pStyle w:val="Textonotapie"/>
        <w:jc w:val="both"/>
        <w:rPr>
          <w:rFonts w:ascii="Arial" w:hAnsi="Arial" w:cs="Arial"/>
          <w:color w:val="000000" w:themeColor="text1"/>
          <w:sz w:val="18"/>
          <w:szCs w:val="18"/>
        </w:rPr>
      </w:pPr>
      <w:r w:rsidRPr="000B3E8E">
        <w:rPr>
          <w:rStyle w:val="Refdenotaalpie"/>
          <w:rFonts w:ascii="Arial" w:hAnsi="Arial" w:cs="Arial"/>
          <w:color w:val="000000" w:themeColor="text1"/>
          <w:sz w:val="18"/>
          <w:szCs w:val="18"/>
        </w:rPr>
        <w:footnoteRef/>
      </w:r>
      <w:r w:rsidRPr="000B3E8E">
        <w:rPr>
          <w:rFonts w:ascii="Arial" w:hAnsi="Arial" w:cs="Arial"/>
          <w:color w:val="000000" w:themeColor="text1"/>
          <w:sz w:val="18"/>
          <w:szCs w:val="18"/>
        </w:rPr>
        <w:t xml:space="preserve"> Artículos 4 a 8 de la Ley 137 de 1994. </w:t>
      </w:r>
    </w:p>
  </w:footnote>
  <w:footnote w:id="9">
    <w:p w14:paraId="7194E1EC" w14:textId="77777777" w:rsidR="00F73446" w:rsidRPr="000B3E8E" w:rsidRDefault="00F73446" w:rsidP="000B3E8E">
      <w:pPr>
        <w:pStyle w:val="Textonotapie"/>
        <w:jc w:val="both"/>
        <w:rPr>
          <w:rFonts w:ascii="Arial" w:hAnsi="Arial" w:cs="Arial"/>
          <w:color w:val="000000" w:themeColor="text1"/>
          <w:sz w:val="18"/>
          <w:szCs w:val="18"/>
        </w:rPr>
      </w:pPr>
      <w:r w:rsidRPr="000B3E8E">
        <w:rPr>
          <w:rStyle w:val="Refdenotaalpie"/>
          <w:rFonts w:ascii="Arial" w:hAnsi="Arial" w:cs="Arial"/>
          <w:color w:val="000000" w:themeColor="text1"/>
          <w:sz w:val="18"/>
          <w:szCs w:val="18"/>
        </w:rPr>
        <w:footnoteRef/>
      </w:r>
      <w:r w:rsidRPr="000B3E8E">
        <w:rPr>
          <w:rFonts w:ascii="Arial" w:hAnsi="Arial" w:cs="Arial"/>
          <w:color w:val="000000" w:themeColor="text1"/>
          <w:sz w:val="18"/>
          <w:szCs w:val="18"/>
        </w:rPr>
        <w:t xml:space="preserve"> Artículos 9 a 13 de la Ley 137 de 1994.</w:t>
      </w:r>
    </w:p>
  </w:footnote>
  <w:footnote w:id="10">
    <w:p w14:paraId="77AC1444" w14:textId="77777777" w:rsidR="00F73446" w:rsidRPr="000B3E8E" w:rsidRDefault="00F73446" w:rsidP="000B3E8E">
      <w:pPr>
        <w:pStyle w:val="Textonotapie"/>
        <w:jc w:val="both"/>
        <w:rPr>
          <w:rFonts w:ascii="Arial" w:hAnsi="Arial" w:cs="Arial"/>
          <w:color w:val="000000" w:themeColor="text1"/>
          <w:sz w:val="18"/>
          <w:szCs w:val="18"/>
        </w:rPr>
      </w:pPr>
      <w:r w:rsidRPr="000B3E8E">
        <w:rPr>
          <w:rStyle w:val="Refdenotaalpie"/>
          <w:rFonts w:ascii="Arial" w:hAnsi="Arial" w:cs="Arial"/>
          <w:color w:val="000000" w:themeColor="text1"/>
          <w:sz w:val="18"/>
          <w:szCs w:val="18"/>
        </w:rPr>
        <w:footnoteRef/>
      </w:r>
      <w:r w:rsidRPr="000B3E8E">
        <w:rPr>
          <w:rFonts w:ascii="Arial" w:hAnsi="Arial" w:cs="Arial"/>
          <w:color w:val="000000" w:themeColor="text1"/>
          <w:sz w:val="18"/>
          <w:szCs w:val="18"/>
        </w:rPr>
        <w:t xml:space="preserve"> Inciso segundo artículo 13 de la Ley 137 de 1994.</w:t>
      </w:r>
    </w:p>
  </w:footnote>
  <w:footnote w:id="11">
    <w:p w14:paraId="1F926686" w14:textId="77777777" w:rsidR="00F73446" w:rsidRPr="000B3E8E" w:rsidRDefault="00F73446" w:rsidP="000B3E8E">
      <w:pPr>
        <w:pStyle w:val="Textonotapie"/>
        <w:jc w:val="both"/>
        <w:rPr>
          <w:rFonts w:ascii="Arial" w:hAnsi="Arial" w:cs="Arial"/>
          <w:color w:val="000000" w:themeColor="text1"/>
          <w:sz w:val="18"/>
          <w:szCs w:val="18"/>
        </w:rPr>
      </w:pPr>
      <w:r w:rsidRPr="000B3E8E">
        <w:rPr>
          <w:rStyle w:val="Refdenotaalpie"/>
          <w:rFonts w:ascii="Arial" w:hAnsi="Arial" w:cs="Arial"/>
          <w:color w:val="000000" w:themeColor="text1"/>
          <w:sz w:val="18"/>
          <w:szCs w:val="18"/>
        </w:rPr>
        <w:footnoteRef/>
      </w:r>
      <w:r w:rsidRPr="000B3E8E">
        <w:rPr>
          <w:rFonts w:ascii="Arial" w:hAnsi="Arial" w:cs="Arial"/>
          <w:color w:val="000000" w:themeColor="text1"/>
          <w:sz w:val="18"/>
          <w:szCs w:val="18"/>
        </w:rPr>
        <w:t xml:space="preserve"> Artículos 214 –numeral 6- y 215 –parágrafo- de la Constitución Política de 1991.</w:t>
      </w:r>
    </w:p>
  </w:footnote>
  <w:footnote w:id="12">
    <w:p w14:paraId="4E73D2DC" w14:textId="77777777" w:rsidR="00F73446" w:rsidRPr="000B3E8E" w:rsidRDefault="00F73446" w:rsidP="000B3E8E">
      <w:pPr>
        <w:pStyle w:val="Textonotapie"/>
        <w:jc w:val="both"/>
        <w:rPr>
          <w:rFonts w:ascii="Arial" w:hAnsi="Arial" w:cs="Arial"/>
          <w:color w:val="000000" w:themeColor="text1"/>
          <w:sz w:val="18"/>
          <w:szCs w:val="18"/>
          <w:lang w:val="es-MX"/>
        </w:rPr>
      </w:pPr>
      <w:r w:rsidRPr="000B3E8E">
        <w:rPr>
          <w:rStyle w:val="Refdenotaalpie"/>
          <w:rFonts w:ascii="Arial" w:hAnsi="Arial" w:cs="Arial"/>
          <w:color w:val="000000" w:themeColor="text1"/>
          <w:sz w:val="18"/>
          <w:szCs w:val="18"/>
        </w:rPr>
        <w:footnoteRef/>
      </w:r>
      <w:r w:rsidRPr="000B3E8E">
        <w:rPr>
          <w:rFonts w:ascii="Arial" w:hAnsi="Arial" w:cs="Arial"/>
          <w:color w:val="000000" w:themeColor="text1"/>
          <w:sz w:val="18"/>
          <w:szCs w:val="18"/>
        </w:rPr>
        <w:t xml:space="preserve"> </w:t>
      </w:r>
      <w:r w:rsidRPr="000B3E8E">
        <w:rPr>
          <w:rFonts w:ascii="Arial" w:hAnsi="Arial" w:cs="Arial"/>
          <w:color w:val="000000" w:themeColor="text1"/>
          <w:sz w:val="18"/>
          <w:szCs w:val="18"/>
          <w:lang w:val="es-MX"/>
        </w:rPr>
        <w:t>Artículo 20 de la Ley 137 de 1994.</w:t>
      </w:r>
    </w:p>
  </w:footnote>
  <w:footnote w:id="13">
    <w:p w14:paraId="4C6D13E5" w14:textId="77777777" w:rsidR="00F73446" w:rsidRPr="000B3E8E" w:rsidRDefault="00F73446" w:rsidP="000B3E8E">
      <w:pPr>
        <w:pStyle w:val="Cuadrculamedia21"/>
        <w:jc w:val="both"/>
        <w:rPr>
          <w:rFonts w:ascii="Arial" w:hAnsi="Arial" w:cs="Arial"/>
          <w:color w:val="000000" w:themeColor="text1"/>
          <w:sz w:val="18"/>
          <w:szCs w:val="18"/>
        </w:rPr>
      </w:pPr>
      <w:r w:rsidRPr="000B3E8E">
        <w:rPr>
          <w:rStyle w:val="Refdenotaalpie"/>
          <w:rFonts w:ascii="Arial" w:hAnsi="Arial" w:cs="Arial"/>
          <w:color w:val="000000" w:themeColor="text1"/>
          <w:sz w:val="18"/>
          <w:szCs w:val="18"/>
        </w:rPr>
        <w:footnoteRef/>
      </w:r>
      <w:r w:rsidRPr="000B3E8E">
        <w:rPr>
          <w:rFonts w:ascii="Arial" w:hAnsi="Arial" w:cs="Arial"/>
          <w:color w:val="000000" w:themeColor="text1"/>
          <w:sz w:val="18"/>
          <w:szCs w:val="18"/>
        </w:rPr>
        <w:t xml:space="preserve"> Sobre la confrontación de los actos administrativos que son objeto del control inmediato o automático de legalidad con todo el ordenamiento jurídico y sobre la autonomía de ese control, Consejo de Estado, Sala Plena de lo Contencioso Administrativo, sentencia de 3 de mayo de 1999, rad. CA-011, M.P. Ricardo Hoyos Duque. Esta posición ha sido reiterada en varias ocasiones y recientemente en sentencia de 22 de febrero 2011, rad. 11001-03-15-000-2010-00452-00 (CA), M.P. Mauricio Torres Cuervo. Cfr. asimismo Consejo de Estado. Sala de lo Contencioso Administrativo, sentencia de 20 de octubre de 2009, rad. 11001-03-15-000-2009-00549-00 (CA), M.P. Mauricio Fajardo.</w:t>
      </w:r>
    </w:p>
  </w:footnote>
  <w:footnote w:id="14">
    <w:p w14:paraId="0FA10718" w14:textId="77777777" w:rsidR="00F73446" w:rsidRPr="000B3E8E" w:rsidRDefault="00F73446" w:rsidP="000B3E8E">
      <w:pPr>
        <w:pStyle w:val="Textonotapie"/>
        <w:jc w:val="both"/>
        <w:rPr>
          <w:rFonts w:ascii="Arial" w:hAnsi="Arial" w:cs="Arial"/>
          <w:color w:val="000000" w:themeColor="text1"/>
          <w:sz w:val="18"/>
          <w:szCs w:val="18"/>
        </w:rPr>
      </w:pPr>
      <w:r w:rsidRPr="000B3E8E">
        <w:rPr>
          <w:rStyle w:val="Refdenotaalpie"/>
          <w:rFonts w:ascii="Arial" w:hAnsi="Arial" w:cs="Arial"/>
          <w:color w:val="000000" w:themeColor="text1"/>
          <w:sz w:val="18"/>
          <w:szCs w:val="18"/>
        </w:rPr>
        <w:footnoteRef/>
      </w:r>
      <w:r w:rsidRPr="000B3E8E">
        <w:rPr>
          <w:rFonts w:ascii="Arial" w:hAnsi="Arial" w:cs="Arial"/>
          <w:color w:val="000000" w:themeColor="text1"/>
          <w:sz w:val="18"/>
          <w:szCs w:val="18"/>
        </w:rPr>
        <w:t xml:space="preserve"> Cfr. Consejo de Estado, Sala de lo Contencioso Administrativo, sentencia de 20 de octubre de 2009, Rad. 11001-03-15-000-2009-00549-00 (CA), MP. Mauricio Fajardo; sentencia de 22 de febrero de 2011, Rad. 11001-03-15-000-2010-00452-00 (CA), M.P. Mauricio Torres Cuervo.</w:t>
      </w:r>
    </w:p>
  </w:footnote>
  <w:footnote w:id="15">
    <w:p w14:paraId="2F99E176" w14:textId="77777777" w:rsidR="00F73446" w:rsidRPr="000B3E8E" w:rsidRDefault="00F73446" w:rsidP="000B3E8E">
      <w:pPr>
        <w:pStyle w:val="Textonotapie"/>
        <w:jc w:val="both"/>
        <w:rPr>
          <w:rFonts w:ascii="Arial" w:hAnsi="Arial" w:cs="Arial"/>
          <w:color w:val="000000" w:themeColor="text1"/>
          <w:sz w:val="18"/>
          <w:szCs w:val="18"/>
        </w:rPr>
      </w:pPr>
      <w:r w:rsidRPr="000B3E8E">
        <w:rPr>
          <w:rStyle w:val="Refdenotaalpie"/>
          <w:rFonts w:ascii="Arial" w:hAnsi="Arial" w:cs="Arial"/>
          <w:color w:val="000000" w:themeColor="text1"/>
          <w:sz w:val="18"/>
          <w:szCs w:val="18"/>
        </w:rPr>
        <w:footnoteRef/>
      </w:r>
      <w:r w:rsidRPr="000B3E8E">
        <w:rPr>
          <w:rFonts w:ascii="Arial" w:hAnsi="Arial" w:cs="Arial"/>
          <w:color w:val="000000" w:themeColor="text1"/>
          <w:sz w:val="18"/>
          <w:szCs w:val="18"/>
        </w:rPr>
        <w:t xml:space="preserve"> Consejo de Estado, Sala Plena de lo Contencioso Administrativo, sentencia de 25 de febrero de 1997, rad. CA-005, M.P. Carlos Betancur Jaramillo.</w:t>
      </w:r>
    </w:p>
  </w:footnote>
  <w:footnote w:id="16">
    <w:p w14:paraId="3D6B391E" w14:textId="77777777" w:rsidR="00F73446" w:rsidRPr="000B3E8E" w:rsidRDefault="00F73446" w:rsidP="000B3E8E">
      <w:pPr>
        <w:pBdr>
          <w:top w:val="nil"/>
          <w:left w:val="nil"/>
          <w:bottom w:val="nil"/>
          <w:right w:val="nil"/>
          <w:between w:val="nil"/>
        </w:pBdr>
        <w:spacing w:after="0" w:line="240" w:lineRule="auto"/>
        <w:jc w:val="both"/>
        <w:rPr>
          <w:rFonts w:ascii="Arial" w:eastAsia="Times New Roman" w:hAnsi="Arial" w:cs="Arial"/>
          <w:color w:val="000000" w:themeColor="text1"/>
          <w:sz w:val="18"/>
          <w:szCs w:val="18"/>
          <w:lang w:eastAsia="es-ES_tradnl"/>
        </w:rPr>
      </w:pPr>
      <w:r w:rsidRPr="000B3E8E">
        <w:rPr>
          <w:rStyle w:val="Refdenotaalpie"/>
          <w:rFonts w:ascii="Arial" w:hAnsi="Arial" w:cs="Arial"/>
          <w:color w:val="000000" w:themeColor="text1"/>
          <w:sz w:val="18"/>
          <w:szCs w:val="18"/>
        </w:rPr>
        <w:footnoteRef/>
      </w:r>
      <w:r w:rsidRPr="000B3E8E">
        <w:rPr>
          <w:rFonts w:ascii="Arial" w:hAnsi="Arial" w:cs="Arial"/>
          <w:color w:val="000000" w:themeColor="text1"/>
          <w:sz w:val="18"/>
          <w:szCs w:val="18"/>
        </w:rPr>
        <w:t xml:space="preserve"> Corte Constitucional, C-467/17 M.P. Gloria Stella Ortiz, C-466/17.</w:t>
      </w:r>
    </w:p>
  </w:footnote>
  <w:footnote w:id="17">
    <w:p w14:paraId="557B1827" w14:textId="77777777" w:rsidR="00F73446" w:rsidRPr="000B3E8E" w:rsidRDefault="00F73446" w:rsidP="000B3E8E">
      <w:pPr>
        <w:spacing w:after="0" w:line="240" w:lineRule="auto"/>
        <w:jc w:val="both"/>
        <w:rPr>
          <w:rFonts w:ascii="Arial" w:hAnsi="Arial" w:cs="Arial"/>
          <w:color w:val="000000" w:themeColor="text1"/>
          <w:sz w:val="18"/>
          <w:szCs w:val="18"/>
        </w:rPr>
      </w:pPr>
      <w:r w:rsidRPr="000B3E8E">
        <w:rPr>
          <w:rFonts w:ascii="Arial" w:hAnsi="Arial" w:cs="Arial"/>
          <w:color w:val="000000" w:themeColor="text1"/>
          <w:sz w:val="18"/>
          <w:szCs w:val="18"/>
          <w:vertAlign w:val="superscript"/>
        </w:rPr>
        <w:footnoteRef/>
      </w:r>
      <w:r w:rsidRPr="000B3E8E">
        <w:rPr>
          <w:rFonts w:ascii="Arial" w:hAnsi="Arial" w:cs="Arial"/>
          <w:color w:val="000000" w:themeColor="text1"/>
          <w:sz w:val="18"/>
          <w:szCs w:val="18"/>
        </w:rPr>
        <w:t xml:space="preserve"> La Corte Constitucional se ha pronunciado sobre este juicio en las sentencias C-467/17 M.P. Gloria Stella Ortiz, C-466/17 M.P. Carlos Bernal Pulido, C-465/17 M.P. Cristina Pardo Schlesinger, C-437/17 M.P. Antonio José Lizarazo Ocampo y C-434/17 M.P. Diana Fajardo Rivera, entre otras.  </w:t>
      </w:r>
    </w:p>
  </w:footnote>
  <w:footnote w:id="18">
    <w:p w14:paraId="6E5A6B5A" w14:textId="77777777" w:rsidR="00F73446" w:rsidRPr="000B3E8E" w:rsidRDefault="00F73446" w:rsidP="000B3E8E">
      <w:pPr>
        <w:spacing w:after="0" w:line="240" w:lineRule="auto"/>
        <w:jc w:val="both"/>
        <w:rPr>
          <w:rFonts w:ascii="Arial" w:hAnsi="Arial" w:cs="Arial"/>
          <w:color w:val="000000" w:themeColor="text1"/>
          <w:sz w:val="18"/>
          <w:szCs w:val="18"/>
        </w:rPr>
      </w:pPr>
      <w:r w:rsidRPr="000B3E8E">
        <w:rPr>
          <w:rFonts w:ascii="Arial" w:hAnsi="Arial" w:cs="Arial"/>
          <w:color w:val="000000" w:themeColor="text1"/>
          <w:sz w:val="18"/>
          <w:szCs w:val="18"/>
          <w:vertAlign w:val="superscript"/>
        </w:rPr>
        <w:footnoteRef/>
      </w:r>
      <w:r w:rsidRPr="000B3E8E">
        <w:rPr>
          <w:rFonts w:ascii="Arial" w:hAnsi="Arial" w:cs="Arial"/>
          <w:color w:val="000000" w:themeColor="text1"/>
          <w:sz w:val="18"/>
          <w:szCs w:val="18"/>
        </w:rPr>
        <w:t xml:space="preserve"> Ley 137 de 1994. Art. 10. “</w:t>
      </w:r>
      <w:r w:rsidRPr="000B3E8E">
        <w:rPr>
          <w:rFonts w:ascii="Arial" w:hAnsi="Arial" w:cs="Arial"/>
          <w:i/>
          <w:color w:val="000000" w:themeColor="text1"/>
          <w:sz w:val="18"/>
          <w:szCs w:val="18"/>
        </w:rPr>
        <w:t>Finalidad. Cada una de las medidas adoptadas en los decretos legislativos deberá estar directa y específicamente encaminada a conjurar las causas de la perturbación y a impedir la extensión de sus efectos.</w:t>
      </w:r>
      <w:r w:rsidRPr="000B3E8E">
        <w:rPr>
          <w:rFonts w:ascii="Arial" w:hAnsi="Arial" w:cs="Arial"/>
          <w:color w:val="000000" w:themeColor="text1"/>
          <w:sz w:val="18"/>
          <w:szCs w:val="18"/>
        </w:rPr>
        <w:t>”</w:t>
      </w:r>
    </w:p>
  </w:footnote>
  <w:footnote w:id="19">
    <w:p w14:paraId="1DD55E13" w14:textId="77777777" w:rsidR="00F73446" w:rsidRPr="000B3E8E" w:rsidRDefault="00F73446" w:rsidP="000B3E8E">
      <w:pPr>
        <w:spacing w:after="0" w:line="240" w:lineRule="auto"/>
        <w:jc w:val="both"/>
        <w:rPr>
          <w:rFonts w:ascii="Arial" w:hAnsi="Arial" w:cs="Arial"/>
          <w:color w:val="000000" w:themeColor="text1"/>
          <w:sz w:val="18"/>
          <w:szCs w:val="18"/>
        </w:rPr>
      </w:pPr>
      <w:r w:rsidRPr="000B3E8E">
        <w:rPr>
          <w:rFonts w:ascii="Arial" w:hAnsi="Arial" w:cs="Arial"/>
          <w:color w:val="000000" w:themeColor="text1"/>
          <w:sz w:val="18"/>
          <w:szCs w:val="18"/>
          <w:vertAlign w:val="superscript"/>
        </w:rPr>
        <w:footnoteRef/>
      </w:r>
      <w:r w:rsidRPr="000B3E8E">
        <w:rPr>
          <w:rFonts w:ascii="Arial" w:hAnsi="Arial" w:cs="Arial"/>
          <w:color w:val="000000" w:themeColor="text1"/>
          <w:sz w:val="18"/>
          <w:szCs w:val="18"/>
        </w:rPr>
        <w:t xml:space="preserve"> Sentencia C-724/15 M.P. Luis Ernesto Vargas. “</w:t>
      </w:r>
      <w:r w:rsidRPr="000B3E8E">
        <w:rPr>
          <w:rFonts w:ascii="Arial" w:hAnsi="Arial" w:cs="Arial"/>
          <w:i/>
          <w:color w:val="000000" w:themeColor="text1"/>
          <w:sz w:val="18"/>
          <w:szCs w:val="18"/>
        </w:rPr>
        <w:t>Las medidas adoptadas por el Gobierno al amparo de la declaratoria de emergencia económica, social y ecológica (i) deben estar destinadas exclusivamente a conjurar la crisis y a impedir la extensión de sus efectos; y (ii) deberán referirse a asuntos que tengan relación directa y específica con el estado de emergencia</w:t>
      </w:r>
      <w:r w:rsidRPr="000B3E8E">
        <w:rPr>
          <w:rFonts w:ascii="Arial" w:hAnsi="Arial" w:cs="Arial"/>
          <w:color w:val="000000" w:themeColor="text1"/>
          <w:sz w:val="18"/>
          <w:szCs w:val="18"/>
        </w:rPr>
        <w:t xml:space="preserve">”. Sentencia C-700/15, M.P. Gloria Stella Ortiz. El juicio de finalidad “(...) </w:t>
      </w:r>
      <w:r w:rsidRPr="000B3E8E">
        <w:rPr>
          <w:rFonts w:ascii="Arial" w:hAnsi="Arial" w:cs="Arial"/>
          <w:i/>
          <w:color w:val="000000" w:themeColor="text1"/>
          <w:sz w:val="18"/>
          <w:szCs w:val="18"/>
        </w:rPr>
        <w:t>es una exigencia constitucional de que todas las medidas adoptadas estén dirigidas a solucionar los problemas que dieron origen a la declaratoria de los estados de excepción. En otras palabras, es necesario que el articulado cumpla con una finalidad específica y cierta</w:t>
      </w:r>
      <w:r w:rsidRPr="000B3E8E">
        <w:rPr>
          <w:rFonts w:ascii="Arial" w:hAnsi="Arial" w:cs="Arial"/>
          <w:color w:val="000000" w:themeColor="text1"/>
          <w:sz w:val="18"/>
          <w:szCs w:val="18"/>
        </w:rPr>
        <w:t>”.</w:t>
      </w:r>
    </w:p>
  </w:footnote>
  <w:footnote w:id="20">
    <w:p w14:paraId="1D86B47A" w14:textId="77777777" w:rsidR="00F73446" w:rsidRPr="000B3E8E" w:rsidRDefault="00F73446" w:rsidP="000B3E8E">
      <w:pPr>
        <w:spacing w:after="0" w:line="240" w:lineRule="auto"/>
        <w:jc w:val="both"/>
        <w:rPr>
          <w:rFonts w:ascii="Arial" w:hAnsi="Arial" w:cs="Arial"/>
          <w:color w:val="000000" w:themeColor="text1"/>
          <w:sz w:val="18"/>
          <w:szCs w:val="18"/>
        </w:rPr>
      </w:pPr>
      <w:r w:rsidRPr="000B3E8E">
        <w:rPr>
          <w:rFonts w:ascii="Arial" w:hAnsi="Arial" w:cs="Arial"/>
          <w:color w:val="000000" w:themeColor="text1"/>
          <w:sz w:val="18"/>
          <w:szCs w:val="18"/>
          <w:vertAlign w:val="superscript"/>
        </w:rPr>
        <w:footnoteRef/>
      </w:r>
      <w:r w:rsidRPr="000B3E8E">
        <w:rPr>
          <w:rFonts w:ascii="Arial" w:hAnsi="Arial" w:cs="Arial"/>
          <w:color w:val="000000" w:themeColor="text1"/>
          <w:sz w:val="18"/>
          <w:szCs w:val="18"/>
        </w:rPr>
        <w:t xml:space="preserve"> La Corte Constitucional se ha pronunciado sobre este juicio en las sentencias C-517/17 M.P. Iván </w:t>
      </w:r>
      <w:proofErr w:type="spellStart"/>
      <w:r w:rsidRPr="000B3E8E">
        <w:rPr>
          <w:rFonts w:ascii="Arial" w:hAnsi="Arial" w:cs="Arial"/>
          <w:color w:val="000000" w:themeColor="text1"/>
          <w:sz w:val="18"/>
          <w:szCs w:val="18"/>
        </w:rPr>
        <w:t>Escrucería</w:t>
      </w:r>
      <w:proofErr w:type="spellEnd"/>
      <w:r w:rsidRPr="000B3E8E">
        <w:rPr>
          <w:rFonts w:ascii="Arial" w:hAnsi="Arial" w:cs="Arial"/>
          <w:color w:val="000000" w:themeColor="text1"/>
          <w:sz w:val="18"/>
          <w:szCs w:val="18"/>
        </w:rPr>
        <w:t xml:space="preserve"> Mayolo, C-467/17 M.P. Gloria Stella Ortiz, C-466/17 M.P. Carlos Bernal Pulido, C-437/17 M.P. Antonio José Lizarazo Ocampo y C-409/17 M.P. Alejandro Linares Cantillo, entre otras. </w:t>
      </w:r>
    </w:p>
  </w:footnote>
  <w:footnote w:id="21">
    <w:p w14:paraId="53C6814A" w14:textId="77777777" w:rsidR="00F73446" w:rsidRPr="000B3E8E" w:rsidRDefault="00F73446" w:rsidP="000B3E8E">
      <w:pPr>
        <w:spacing w:after="0" w:line="240" w:lineRule="auto"/>
        <w:jc w:val="both"/>
        <w:rPr>
          <w:rFonts w:ascii="Arial" w:hAnsi="Arial" w:cs="Arial"/>
          <w:color w:val="000000" w:themeColor="text1"/>
          <w:sz w:val="18"/>
          <w:szCs w:val="18"/>
        </w:rPr>
      </w:pPr>
      <w:r w:rsidRPr="000B3E8E">
        <w:rPr>
          <w:rFonts w:ascii="Arial" w:hAnsi="Arial" w:cs="Arial"/>
          <w:color w:val="000000" w:themeColor="text1"/>
          <w:sz w:val="18"/>
          <w:szCs w:val="18"/>
          <w:vertAlign w:val="superscript"/>
        </w:rPr>
        <w:footnoteRef/>
      </w:r>
      <w:r w:rsidRPr="000B3E8E">
        <w:rPr>
          <w:rFonts w:ascii="Arial" w:hAnsi="Arial" w:cs="Arial"/>
          <w:color w:val="000000" w:themeColor="text1"/>
          <w:sz w:val="18"/>
          <w:szCs w:val="18"/>
        </w:rPr>
        <w:t xml:space="preserve"> Constitución Política. Art. 215. “</w:t>
      </w:r>
      <w:r w:rsidRPr="000B3E8E">
        <w:rPr>
          <w:rFonts w:ascii="Arial" w:hAnsi="Arial" w:cs="Arial"/>
          <w:i/>
          <w:color w:val="000000" w:themeColor="text1"/>
          <w:sz w:val="18"/>
          <w:szCs w:val="18"/>
        </w:rPr>
        <w:t>Estos decretos deberán referirse a materias que tengan relación directa y específica con el estado de emergencia, y podrán, en forma transitoria, establecer nuevos tributos o modificar los existentes</w:t>
      </w:r>
      <w:r w:rsidRPr="000B3E8E">
        <w:rPr>
          <w:rFonts w:ascii="Arial" w:hAnsi="Arial" w:cs="Arial"/>
          <w:color w:val="000000" w:themeColor="text1"/>
          <w:sz w:val="18"/>
          <w:szCs w:val="18"/>
        </w:rPr>
        <w:t xml:space="preserve">”. </w:t>
      </w:r>
    </w:p>
  </w:footnote>
  <w:footnote w:id="22">
    <w:p w14:paraId="015ACCFA" w14:textId="77777777" w:rsidR="00F73446" w:rsidRPr="000B3E8E" w:rsidRDefault="00F73446" w:rsidP="000B3E8E">
      <w:pPr>
        <w:spacing w:after="0" w:line="240" w:lineRule="auto"/>
        <w:jc w:val="both"/>
        <w:rPr>
          <w:rFonts w:ascii="Arial" w:hAnsi="Arial" w:cs="Arial"/>
          <w:color w:val="000000" w:themeColor="text1"/>
          <w:sz w:val="18"/>
          <w:szCs w:val="18"/>
        </w:rPr>
      </w:pPr>
      <w:r w:rsidRPr="000B3E8E">
        <w:rPr>
          <w:rFonts w:ascii="Arial" w:hAnsi="Arial" w:cs="Arial"/>
          <w:color w:val="000000" w:themeColor="text1"/>
          <w:sz w:val="18"/>
          <w:szCs w:val="18"/>
          <w:vertAlign w:val="superscript"/>
        </w:rPr>
        <w:footnoteRef/>
      </w:r>
      <w:r w:rsidRPr="000B3E8E">
        <w:rPr>
          <w:rFonts w:ascii="Arial" w:hAnsi="Arial" w:cs="Arial"/>
          <w:color w:val="000000" w:themeColor="text1"/>
          <w:sz w:val="18"/>
          <w:szCs w:val="18"/>
        </w:rPr>
        <w:t xml:space="preserve"> Ley 137 de 1994. Art. 47. “</w:t>
      </w:r>
      <w:r w:rsidRPr="000B3E8E">
        <w:rPr>
          <w:rFonts w:ascii="Arial" w:hAnsi="Arial" w:cs="Arial"/>
          <w:i/>
          <w:color w:val="000000" w:themeColor="text1"/>
          <w:sz w:val="18"/>
          <w:szCs w:val="18"/>
        </w:rPr>
        <w:t>Facultades. En virtud de la declaración del Estado de Emergencia, el Gobierno podrá dictar decretos con fuerza de ley, destinados exclusivamente a conjurar la crisis y a impedir la extensión de sus efectos. Los decretos deberán referirse a materias que tengan relación directa y específica con dicho Estado</w:t>
      </w:r>
      <w:r w:rsidRPr="000B3E8E">
        <w:rPr>
          <w:rFonts w:ascii="Arial" w:hAnsi="Arial" w:cs="Arial"/>
          <w:color w:val="000000" w:themeColor="text1"/>
          <w:sz w:val="18"/>
          <w:szCs w:val="18"/>
        </w:rPr>
        <w:t>”.</w:t>
      </w:r>
    </w:p>
  </w:footnote>
  <w:footnote w:id="23">
    <w:p w14:paraId="1376452D" w14:textId="77777777" w:rsidR="00F73446" w:rsidRPr="000B3E8E" w:rsidRDefault="00F73446" w:rsidP="000B3E8E">
      <w:pPr>
        <w:spacing w:after="0" w:line="240" w:lineRule="auto"/>
        <w:jc w:val="both"/>
        <w:rPr>
          <w:rFonts w:ascii="Arial" w:hAnsi="Arial" w:cs="Arial"/>
          <w:color w:val="000000" w:themeColor="text1"/>
          <w:sz w:val="18"/>
          <w:szCs w:val="18"/>
        </w:rPr>
      </w:pPr>
      <w:r w:rsidRPr="000B3E8E">
        <w:rPr>
          <w:rFonts w:ascii="Arial" w:hAnsi="Arial" w:cs="Arial"/>
          <w:color w:val="000000" w:themeColor="text1"/>
          <w:sz w:val="18"/>
          <w:szCs w:val="18"/>
          <w:vertAlign w:val="superscript"/>
        </w:rPr>
        <w:footnoteRef/>
      </w:r>
      <w:r w:rsidRPr="000B3E8E">
        <w:rPr>
          <w:rFonts w:ascii="Arial" w:hAnsi="Arial" w:cs="Arial"/>
          <w:color w:val="000000" w:themeColor="text1"/>
          <w:sz w:val="18"/>
          <w:szCs w:val="18"/>
        </w:rPr>
        <w:t xml:space="preserve"> Sentencia C-409/17. M.P. Alejandro Linares Cantillo. “</w:t>
      </w:r>
      <w:r w:rsidRPr="000B3E8E">
        <w:rPr>
          <w:rFonts w:ascii="Arial" w:hAnsi="Arial" w:cs="Arial"/>
          <w:i/>
          <w:color w:val="000000" w:themeColor="text1"/>
          <w:sz w:val="18"/>
          <w:szCs w:val="18"/>
        </w:rPr>
        <w:t>La conexidad interna refiere a que las medidas adoptadas estén intrínsecamente vinculadas con las consideraciones expresadas por el Gobierno Nacional para motivar el decreto de desarrollo correspondiente</w:t>
      </w:r>
      <w:r w:rsidRPr="000B3E8E">
        <w:rPr>
          <w:rFonts w:ascii="Arial" w:hAnsi="Arial" w:cs="Arial"/>
          <w:color w:val="000000" w:themeColor="text1"/>
          <w:sz w:val="18"/>
          <w:szCs w:val="18"/>
        </w:rPr>
        <w:t xml:space="preserve">”. En este sentido, ver, también, la sentencia C-434/17 M.P. Diana Fajardo Rivera. </w:t>
      </w:r>
    </w:p>
  </w:footnote>
  <w:footnote w:id="24">
    <w:p w14:paraId="3B488539" w14:textId="77777777" w:rsidR="00F73446" w:rsidRPr="000B3E8E" w:rsidRDefault="00F73446" w:rsidP="000B3E8E">
      <w:pPr>
        <w:pBdr>
          <w:top w:val="nil"/>
          <w:left w:val="nil"/>
          <w:bottom w:val="nil"/>
          <w:right w:val="nil"/>
          <w:between w:val="nil"/>
        </w:pBdr>
        <w:spacing w:after="0" w:line="240" w:lineRule="auto"/>
        <w:jc w:val="both"/>
        <w:rPr>
          <w:rFonts w:ascii="Arial" w:hAnsi="Arial" w:cs="Arial"/>
          <w:color w:val="000000" w:themeColor="text1"/>
          <w:sz w:val="18"/>
          <w:szCs w:val="18"/>
        </w:rPr>
      </w:pPr>
      <w:r w:rsidRPr="000B3E8E">
        <w:rPr>
          <w:rFonts w:ascii="Arial" w:hAnsi="Arial" w:cs="Arial"/>
          <w:color w:val="000000" w:themeColor="text1"/>
          <w:sz w:val="18"/>
          <w:szCs w:val="18"/>
          <w:vertAlign w:val="superscript"/>
        </w:rPr>
        <w:footnoteRef/>
      </w:r>
      <w:r w:rsidRPr="000B3E8E">
        <w:rPr>
          <w:rFonts w:ascii="Arial" w:hAnsi="Arial" w:cs="Arial"/>
          <w:color w:val="000000" w:themeColor="text1"/>
          <w:sz w:val="18"/>
          <w:szCs w:val="18"/>
        </w:rPr>
        <w:t xml:space="preserve"> El juicio de motivación suficiente de las medidas ha sido desarrollado por esta Corte en las sentencias C-467/17 M.P. Gloria Stella Ortiz Delgado, C-466/17 M.P. Carlos Bernal Pulido, C-434/17 M.P. Diana Fajardo Rivera, C-409/17 M.P. Alejandro Linares Cantillo, C-241/11 M.P. Humberto Antonio Sierra Porto, C-227/11 M.P. Juan Carlos Henao Pérez, C-224/11 M.P. Luis Ernesto Vargas Silva y C-223/11 M.P. Luis Ernesto Vargas Silva.</w:t>
      </w:r>
    </w:p>
  </w:footnote>
  <w:footnote w:id="25">
    <w:p w14:paraId="682BB1AF" w14:textId="77777777" w:rsidR="00F73446" w:rsidRPr="000B3E8E" w:rsidRDefault="00F73446" w:rsidP="000B3E8E">
      <w:pPr>
        <w:spacing w:after="0" w:line="240" w:lineRule="auto"/>
        <w:jc w:val="both"/>
        <w:rPr>
          <w:rFonts w:ascii="Arial" w:hAnsi="Arial" w:cs="Arial"/>
          <w:color w:val="000000" w:themeColor="text1"/>
          <w:sz w:val="18"/>
          <w:szCs w:val="18"/>
        </w:rPr>
      </w:pPr>
      <w:r w:rsidRPr="000B3E8E">
        <w:rPr>
          <w:rFonts w:ascii="Arial" w:hAnsi="Arial" w:cs="Arial"/>
          <w:color w:val="000000" w:themeColor="text1"/>
          <w:sz w:val="18"/>
          <w:szCs w:val="18"/>
          <w:vertAlign w:val="superscript"/>
        </w:rPr>
        <w:footnoteRef/>
      </w:r>
      <w:r w:rsidRPr="000B3E8E">
        <w:rPr>
          <w:rFonts w:ascii="Arial" w:hAnsi="Arial" w:cs="Arial"/>
          <w:color w:val="000000" w:themeColor="text1"/>
          <w:sz w:val="18"/>
          <w:szCs w:val="18"/>
        </w:rPr>
        <w:t xml:space="preserve"> Sentencia C-466/17 M.P. Carlos Bernal Pulido. En la providencia se reiteran las consideraciones de las sentencias</w:t>
      </w:r>
      <w:r w:rsidRPr="000B3E8E">
        <w:rPr>
          <w:rFonts w:ascii="Arial" w:hAnsi="Arial" w:cs="Arial"/>
          <w:color w:val="000000" w:themeColor="text1"/>
          <w:sz w:val="18"/>
          <w:szCs w:val="18"/>
          <w:highlight w:val="white"/>
        </w:rPr>
        <w:t xml:space="preserve"> C-722/15 M.P. Myriam Ávila Roldán y C-194/11 M.P. Humberto Antonio Sierra Porto.</w:t>
      </w:r>
    </w:p>
  </w:footnote>
  <w:footnote w:id="26">
    <w:p w14:paraId="6F4C8427" w14:textId="77777777" w:rsidR="00F73446" w:rsidRPr="000B3E8E" w:rsidRDefault="00F73446" w:rsidP="000B3E8E">
      <w:pPr>
        <w:spacing w:after="0" w:line="240" w:lineRule="auto"/>
        <w:jc w:val="both"/>
        <w:rPr>
          <w:rFonts w:ascii="Arial" w:hAnsi="Arial" w:cs="Arial"/>
          <w:color w:val="000000" w:themeColor="text1"/>
          <w:sz w:val="18"/>
          <w:szCs w:val="18"/>
        </w:rPr>
      </w:pPr>
      <w:r w:rsidRPr="000B3E8E">
        <w:rPr>
          <w:rFonts w:ascii="Arial" w:hAnsi="Arial" w:cs="Arial"/>
          <w:color w:val="000000" w:themeColor="text1"/>
          <w:sz w:val="18"/>
          <w:szCs w:val="18"/>
          <w:vertAlign w:val="superscript"/>
        </w:rPr>
        <w:footnoteRef/>
      </w:r>
      <w:r w:rsidRPr="000B3E8E">
        <w:rPr>
          <w:rFonts w:ascii="Arial" w:hAnsi="Arial" w:cs="Arial"/>
          <w:color w:val="000000" w:themeColor="text1"/>
          <w:sz w:val="18"/>
          <w:szCs w:val="18"/>
        </w:rPr>
        <w:t xml:space="preserve"> Sobre el juicio de proporcionalidad es posible consultar las sentencias: C-467/17 M.P. Gloria Stella Ortiz Delgado, C-466/17 M.P. Carlos Bernal Pulido, C-227/11 M.P. Juan Carlos Henao Pérez, C-225/11 M.P. Gabriel Eduardo Mendoza Martelo, C-911/10 M.P. Jorge Ignacio Pretelt Chaljub, C-224/09 M.P. Jorge Iván Palacio </w:t>
      </w:r>
      <w:proofErr w:type="spellStart"/>
      <w:r w:rsidRPr="000B3E8E">
        <w:rPr>
          <w:rFonts w:ascii="Arial" w:hAnsi="Arial" w:cs="Arial"/>
          <w:color w:val="000000" w:themeColor="text1"/>
          <w:sz w:val="18"/>
          <w:szCs w:val="18"/>
        </w:rPr>
        <w:t>Palacio</w:t>
      </w:r>
      <w:proofErr w:type="spellEnd"/>
      <w:r w:rsidRPr="000B3E8E">
        <w:rPr>
          <w:rFonts w:ascii="Arial" w:hAnsi="Arial" w:cs="Arial"/>
          <w:color w:val="000000" w:themeColor="text1"/>
          <w:sz w:val="18"/>
          <w:szCs w:val="18"/>
        </w:rPr>
        <w:t xml:space="preserve">, C-145/09 M.P. Nilson Pinilla </w:t>
      </w:r>
      <w:proofErr w:type="spellStart"/>
      <w:r w:rsidRPr="000B3E8E">
        <w:rPr>
          <w:rFonts w:ascii="Arial" w:hAnsi="Arial" w:cs="Arial"/>
          <w:color w:val="000000" w:themeColor="text1"/>
          <w:sz w:val="18"/>
          <w:szCs w:val="18"/>
        </w:rPr>
        <w:t>Pinilla</w:t>
      </w:r>
      <w:proofErr w:type="spellEnd"/>
      <w:r w:rsidRPr="000B3E8E">
        <w:rPr>
          <w:rFonts w:ascii="Arial" w:hAnsi="Arial" w:cs="Arial"/>
          <w:color w:val="000000" w:themeColor="text1"/>
          <w:sz w:val="18"/>
          <w:szCs w:val="18"/>
        </w:rPr>
        <w:t xml:space="preserve"> y C-136/09 M.P. Jaime Araújo Rentería.</w:t>
      </w:r>
    </w:p>
  </w:footnote>
  <w:footnote w:id="27">
    <w:p w14:paraId="6576B67D" w14:textId="77777777" w:rsidR="00F73446" w:rsidRPr="000B3E8E" w:rsidRDefault="00F73446" w:rsidP="000B3E8E">
      <w:pPr>
        <w:spacing w:after="0" w:line="240" w:lineRule="auto"/>
        <w:jc w:val="both"/>
        <w:rPr>
          <w:rFonts w:ascii="Arial" w:hAnsi="Arial" w:cs="Arial"/>
          <w:color w:val="000000" w:themeColor="text1"/>
          <w:sz w:val="18"/>
          <w:szCs w:val="18"/>
        </w:rPr>
      </w:pPr>
      <w:r w:rsidRPr="000B3E8E">
        <w:rPr>
          <w:rFonts w:ascii="Arial" w:hAnsi="Arial" w:cs="Arial"/>
          <w:color w:val="000000" w:themeColor="text1"/>
          <w:sz w:val="18"/>
          <w:szCs w:val="18"/>
          <w:vertAlign w:val="superscript"/>
        </w:rPr>
        <w:footnoteRef/>
      </w:r>
      <w:r w:rsidRPr="000B3E8E">
        <w:rPr>
          <w:rFonts w:ascii="Arial" w:hAnsi="Arial" w:cs="Arial"/>
          <w:color w:val="000000" w:themeColor="text1"/>
          <w:sz w:val="18"/>
          <w:szCs w:val="18"/>
        </w:rPr>
        <w:t xml:space="preserve"> Al respecto, se pueden consultar, entre otras, las sentencias C-467/17 M.P. Gloria Stella Ortiz Delgado, C-466/17 M.P. Carlos Bernal Pulido, C-701 de 2015 M.P. Luis Guillermo Guerrero Pérez, C-672/15 M.P. Gabriel Eduardo Mendoza Martelo, C-671/15 M.P. Alberto Rojas Ríos, C-227/11 M.P. Juan Carlos Henao Pérez, C-224/11 M.P. Luis Ernesto Vargas Silva y C-136/09 M.P. Jaime Araújo Rentería.</w:t>
      </w:r>
    </w:p>
  </w:footnote>
  <w:footnote w:id="28">
    <w:p w14:paraId="1643D006" w14:textId="77777777" w:rsidR="00F73446" w:rsidRPr="000B3E8E" w:rsidRDefault="00F73446" w:rsidP="000B3E8E">
      <w:pPr>
        <w:spacing w:after="0" w:line="240" w:lineRule="auto"/>
        <w:jc w:val="both"/>
        <w:rPr>
          <w:rFonts w:ascii="Arial" w:hAnsi="Arial" w:cs="Arial"/>
          <w:color w:val="000000" w:themeColor="text1"/>
          <w:sz w:val="18"/>
          <w:szCs w:val="18"/>
        </w:rPr>
      </w:pPr>
      <w:r w:rsidRPr="000B3E8E">
        <w:rPr>
          <w:rFonts w:ascii="Arial" w:hAnsi="Arial" w:cs="Arial"/>
          <w:color w:val="000000" w:themeColor="text1"/>
          <w:sz w:val="18"/>
          <w:szCs w:val="18"/>
          <w:vertAlign w:val="superscript"/>
        </w:rPr>
        <w:footnoteRef/>
      </w:r>
      <w:r w:rsidRPr="000B3E8E">
        <w:rPr>
          <w:rFonts w:ascii="Arial" w:hAnsi="Arial" w:cs="Arial"/>
          <w:color w:val="000000" w:themeColor="text1"/>
          <w:sz w:val="18"/>
          <w:szCs w:val="18"/>
        </w:rPr>
        <w:t xml:space="preserve"> </w:t>
      </w:r>
      <w:r w:rsidRPr="000B3E8E">
        <w:rPr>
          <w:rFonts w:ascii="Arial" w:hAnsi="Arial" w:cs="Arial"/>
          <w:i/>
          <w:color w:val="000000" w:themeColor="text1"/>
          <w:sz w:val="18"/>
          <w:szCs w:val="18"/>
        </w:rPr>
        <w:t>“Artículo 14. No discriminación. Las medidas adoptadas con ocasión de los Estados de Excepción, no pueden entrañar discriminación alguna, fundada en razones de raza, lengua, religión, origen nacional o familiar, opinión política o filosófica (…)”</w:t>
      </w:r>
      <w:r w:rsidRPr="000B3E8E">
        <w:rPr>
          <w:rFonts w:ascii="Arial" w:hAnsi="Arial" w:cs="Arial"/>
          <w:color w:val="000000" w:themeColor="text1"/>
          <w:sz w:val="18"/>
          <w:szCs w:val="18"/>
        </w:rPr>
        <w:t>.</w:t>
      </w:r>
    </w:p>
  </w:footnote>
  <w:footnote w:id="29">
    <w:p w14:paraId="42903E43" w14:textId="77777777" w:rsidR="00F73446" w:rsidRPr="000B3E8E" w:rsidRDefault="00F73446" w:rsidP="000B3E8E">
      <w:pPr>
        <w:spacing w:after="0" w:line="240" w:lineRule="auto"/>
        <w:jc w:val="both"/>
        <w:rPr>
          <w:rFonts w:ascii="Arial" w:hAnsi="Arial" w:cs="Arial"/>
          <w:color w:val="000000" w:themeColor="text1"/>
          <w:sz w:val="18"/>
          <w:szCs w:val="18"/>
        </w:rPr>
      </w:pPr>
      <w:r w:rsidRPr="000B3E8E">
        <w:rPr>
          <w:rFonts w:ascii="Arial" w:hAnsi="Arial" w:cs="Arial"/>
          <w:color w:val="000000" w:themeColor="text1"/>
          <w:sz w:val="18"/>
          <w:szCs w:val="18"/>
          <w:vertAlign w:val="superscript"/>
        </w:rPr>
        <w:footnoteRef/>
      </w:r>
      <w:r w:rsidRPr="000B3E8E">
        <w:rPr>
          <w:rFonts w:ascii="Arial" w:hAnsi="Arial" w:cs="Arial"/>
          <w:color w:val="000000" w:themeColor="text1"/>
          <w:sz w:val="18"/>
          <w:szCs w:val="18"/>
        </w:rPr>
        <w:t xml:space="preserve"> Sobre el particular, cabe resaltar que dicho listado de categorías sospechosas no es taxativo, pues de conformidad con el artículo 26 del Pacto Internacional de Derechos Civiles y Políticos “</w:t>
      </w:r>
      <w:r w:rsidRPr="000B3E8E">
        <w:rPr>
          <w:rFonts w:ascii="Arial" w:hAnsi="Arial" w:cs="Arial"/>
          <w:i/>
          <w:color w:val="000000" w:themeColor="text1"/>
          <w:sz w:val="18"/>
          <w:szCs w:val="18"/>
        </w:rPr>
        <w:t>la ley prohibirá toda discriminación</w:t>
      </w:r>
      <w:r w:rsidRPr="000B3E8E">
        <w:rPr>
          <w:rFonts w:ascii="Arial" w:hAnsi="Arial" w:cs="Arial"/>
          <w:color w:val="000000" w:themeColor="text1"/>
          <w:sz w:val="18"/>
          <w:szCs w:val="18"/>
        </w:rPr>
        <w:t>”.</w:t>
      </w:r>
    </w:p>
  </w:footnote>
  <w:footnote w:id="30">
    <w:p w14:paraId="32B16024" w14:textId="77777777" w:rsidR="00F73446" w:rsidRPr="000B3E8E" w:rsidRDefault="00F73446" w:rsidP="000B3E8E">
      <w:pPr>
        <w:spacing w:after="0" w:line="240" w:lineRule="auto"/>
        <w:jc w:val="both"/>
        <w:rPr>
          <w:rFonts w:ascii="Arial" w:hAnsi="Arial" w:cs="Arial"/>
          <w:color w:val="000000" w:themeColor="text1"/>
          <w:sz w:val="18"/>
          <w:szCs w:val="18"/>
        </w:rPr>
      </w:pPr>
      <w:r w:rsidRPr="000B3E8E">
        <w:rPr>
          <w:rFonts w:ascii="Arial" w:hAnsi="Arial" w:cs="Arial"/>
          <w:color w:val="000000" w:themeColor="text1"/>
          <w:sz w:val="18"/>
          <w:szCs w:val="18"/>
          <w:vertAlign w:val="superscript"/>
        </w:rPr>
        <w:footnoteRef/>
      </w:r>
      <w:r w:rsidRPr="000B3E8E">
        <w:rPr>
          <w:rFonts w:ascii="Arial" w:hAnsi="Arial" w:cs="Arial"/>
          <w:color w:val="000000" w:themeColor="text1"/>
          <w:sz w:val="18"/>
          <w:szCs w:val="18"/>
        </w:rPr>
        <w:t xml:space="preserve"> En este sentido, en la Sentencia C-156/11 M.P. Mauricio González Cuervo, esta Sala explicó que el juicio de no discriminación pretende hacer efectivo </w:t>
      </w:r>
      <w:r w:rsidRPr="000B3E8E">
        <w:rPr>
          <w:rFonts w:ascii="Arial" w:hAnsi="Arial" w:cs="Arial"/>
          <w:i/>
          <w:color w:val="000000" w:themeColor="text1"/>
          <w:sz w:val="18"/>
          <w:szCs w:val="18"/>
        </w:rPr>
        <w:t xml:space="preserve">“el principio de igualdad ante la ley del artículo 13 de la Constitución Política, en el sentido de establecer que todas las personas recibirán el mismo trato y no se harán distinciones basadas en criterios de raza, lengua, religión, origen familiar, creencias políticas o filosóficas”.     </w:t>
      </w:r>
    </w:p>
  </w:footnote>
  <w:footnote w:id="31">
    <w:p w14:paraId="7154305A" w14:textId="62542218" w:rsidR="00F73446" w:rsidRPr="000B3E8E" w:rsidRDefault="00F73446" w:rsidP="000B3E8E">
      <w:pPr>
        <w:pStyle w:val="Textonotapie"/>
        <w:jc w:val="both"/>
        <w:rPr>
          <w:rFonts w:ascii="Arial" w:hAnsi="Arial" w:cs="Arial"/>
          <w:color w:val="000000" w:themeColor="text1"/>
          <w:sz w:val="18"/>
          <w:szCs w:val="18"/>
          <w:lang w:val="es-ES_tradnl"/>
        </w:rPr>
      </w:pPr>
      <w:r w:rsidRPr="000B3E8E">
        <w:rPr>
          <w:rStyle w:val="Refdenotaalpie"/>
          <w:rFonts w:ascii="Arial" w:hAnsi="Arial" w:cs="Arial"/>
          <w:color w:val="000000" w:themeColor="text1"/>
          <w:sz w:val="18"/>
          <w:szCs w:val="18"/>
        </w:rPr>
        <w:footnoteRef/>
      </w:r>
      <w:r w:rsidRPr="000B3E8E">
        <w:rPr>
          <w:rFonts w:ascii="Arial" w:hAnsi="Arial" w:cs="Arial"/>
          <w:color w:val="000000" w:themeColor="text1"/>
          <w:sz w:val="18"/>
          <w:szCs w:val="18"/>
        </w:rPr>
        <w:t xml:space="preserve"> A través de la Resolución 006 de 12 de enero de 2020 se designó como Director Ejecutivo de la Comisión de Regulación de Energía y Gas CREG al señor Jorge Alberto Valencia Marín, seleccionado por el Comité de Expertos Comisionados en los términos del artículo 21 de la Ley 143 de 1994 y artículo 15 del Reglamento interno.</w:t>
      </w:r>
    </w:p>
  </w:footnote>
  <w:footnote w:id="32">
    <w:p w14:paraId="2D6F6FE2" w14:textId="15F24F76" w:rsidR="00F73446" w:rsidRPr="000B3E8E" w:rsidRDefault="00F73446" w:rsidP="000B3E8E">
      <w:pPr>
        <w:pStyle w:val="Textonotapie"/>
        <w:jc w:val="both"/>
        <w:rPr>
          <w:rFonts w:ascii="Arial" w:hAnsi="Arial" w:cs="Arial"/>
          <w:color w:val="000000" w:themeColor="text1"/>
          <w:sz w:val="18"/>
          <w:szCs w:val="18"/>
          <w:lang w:val="es-ES_tradnl"/>
        </w:rPr>
      </w:pPr>
      <w:r w:rsidRPr="000B3E8E">
        <w:rPr>
          <w:rStyle w:val="Refdenotaalpie"/>
          <w:rFonts w:ascii="Arial" w:hAnsi="Arial" w:cs="Arial"/>
          <w:color w:val="000000" w:themeColor="text1"/>
          <w:sz w:val="18"/>
          <w:szCs w:val="18"/>
        </w:rPr>
        <w:footnoteRef/>
      </w:r>
      <w:r w:rsidRPr="000B3E8E">
        <w:rPr>
          <w:rFonts w:ascii="Arial" w:hAnsi="Arial" w:cs="Arial"/>
          <w:color w:val="000000" w:themeColor="text1"/>
          <w:sz w:val="18"/>
          <w:szCs w:val="18"/>
        </w:rPr>
        <w:t xml:space="preserve"> </w:t>
      </w:r>
      <w:r w:rsidRPr="000B3E8E">
        <w:rPr>
          <w:rFonts w:ascii="Arial" w:hAnsi="Arial" w:cs="Arial"/>
          <w:color w:val="000000" w:themeColor="text1"/>
          <w:sz w:val="18"/>
          <w:szCs w:val="18"/>
          <w:lang w:val="es-ES_tradnl"/>
        </w:rPr>
        <w:t>Ley 142 de 1994 “Por la cual se establece el régimen de servicios públicos domiciliarios y se establecen otras disposiciones.</w:t>
      </w:r>
    </w:p>
  </w:footnote>
  <w:footnote w:id="33">
    <w:p w14:paraId="0E5958F5" w14:textId="0B99FA8F" w:rsidR="00F73446" w:rsidRPr="000B3E8E" w:rsidRDefault="00F73446" w:rsidP="000B3E8E">
      <w:pPr>
        <w:pStyle w:val="Textonotapie"/>
        <w:jc w:val="both"/>
        <w:rPr>
          <w:rFonts w:ascii="Arial" w:hAnsi="Arial" w:cs="Arial"/>
          <w:color w:val="000000" w:themeColor="text1"/>
          <w:sz w:val="18"/>
          <w:szCs w:val="18"/>
          <w:lang w:val="es-ES_tradnl"/>
        </w:rPr>
      </w:pPr>
      <w:r w:rsidRPr="000B3E8E">
        <w:rPr>
          <w:rStyle w:val="Refdenotaalpie"/>
          <w:rFonts w:ascii="Arial" w:hAnsi="Arial" w:cs="Arial"/>
          <w:color w:val="000000" w:themeColor="text1"/>
          <w:sz w:val="18"/>
          <w:szCs w:val="18"/>
        </w:rPr>
        <w:footnoteRef/>
      </w:r>
      <w:r w:rsidRPr="000B3E8E">
        <w:rPr>
          <w:rFonts w:ascii="Arial" w:hAnsi="Arial" w:cs="Arial"/>
          <w:color w:val="000000" w:themeColor="text1"/>
          <w:sz w:val="18"/>
          <w:szCs w:val="18"/>
        </w:rPr>
        <w:t xml:space="preserve"> Ley 143 de 1994. </w:t>
      </w:r>
      <w:r w:rsidRPr="000B3E8E">
        <w:rPr>
          <w:rFonts w:ascii="Arial" w:eastAsiaTheme="minorEastAsia" w:hAnsi="Arial" w:cs="Arial"/>
          <w:iCs/>
          <w:color w:val="000000" w:themeColor="text1"/>
          <w:sz w:val="18"/>
          <w:szCs w:val="18"/>
        </w:rPr>
        <w:t>por la cual se establece el régimen para la generación, interconexión, transmisión, distribución y comercialización de electricidad en el territorio nacional, se conceden unas autorizaciones y se dictan otras disposiciones en materia energética. por la cual se establece el régimen para la generación, interconexión, transmisión, distribución y comercialización de electricidad en el territorio nacional, se conceden unas autorizaciones y se dictan otras disposiciones en materia energética.</w:t>
      </w:r>
    </w:p>
  </w:footnote>
  <w:footnote w:id="34">
    <w:p w14:paraId="3EB95DE4" w14:textId="163D5E91" w:rsidR="00F73446" w:rsidRPr="000B3E8E" w:rsidRDefault="00F73446" w:rsidP="000B3E8E">
      <w:pPr>
        <w:pStyle w:val="Textonotapie"/>
        <w:jc w:val="both"/>
        <w:rPr>
          <w:rFonts w:ascii="Arial" w:hAnsi="Arial" w:cs="Arial"/>
          <w:color w:val="000000" w:themeColor="text1"/>
          <w:sz w:val="18"/>
          <w:szCs w:val="18"/>
          <w:lang w:val="es-ES_tradnl"/>
        </w:rPr>
      </w:pPr>
      <w:r w:rsidRPr="000B3E8E">
        <w:rPr>
          <w:rStyle w:val="Refdenotaalpie"/>
          <w:rFonts w:ascii="Arial" w:hAnsi="Arial" w:cs="Arial"/>
          <w:color w:val="000000" w:themeColor="text1"/>
          <w:sz w:val="18"/>
          <w:szCs w:val="18"/>
        </w:rPr>
        <w:footnoteRef/>
      </w:r>
      <w:r w:rsidRPr="000B3E8E">
        <w:rPr>
          <w:rFonts w:ascii="Arial" w:hAnsi="Arial" w:cs="Arial"/>
          <w:color w:val="000000" w:themeColor="text1"/>
          <w:sz w:val="18"/>
          <w:szCs w:val="18"/>
        </w:rPr>
        <w:t xml:space="preserve"> Decreto 1524 de 1994 “</w:t>
      </w:r>
      <w:r w:rsidRPr="000B3E8E">
        <w:rPr>
          <w:rFonts w:ascii="Arial" w:eastAsiaTheme="minorEastAsia" w:hAnsi="Arial" w:cs="Arial"/>
          <w:bCs/>
          <w:color w:val="000000" w:themeColor="text1"/>
          <w:sz w:val="18"/>
          <w:szCs w:val="18"/>
        </w:rPr>
        <w:t>Por el cual se delegan las funciones presidenciales de señalar políticas generales de administración y control de eficiencia en los servicios públicos domiciliarios, y se dictan otras disposiciones</w:t>
      </w:r>
    </w:p>
  </w:footnote>
  <w:footnote w:id="35">
    <w:p w14:paraId="6711D1BF" w14:textId="4AD5E209" w:rsidR="00F73446" w:rsidRPr="000B3E8E" w:rsidRDefault="00F73446" w:rsidP="000B3E8E">
      <w:pPr>
        <w:pStyle w:val="Textonotapie"/>
        <w:jc w:val="both"/>
        <w:rPr>
          <w:rFonts w:ascii="Arial" w:hAnsi="Arial" w:cs="Arial"/>
          <w:color w:val="000000" w:themeColor="text1"/>
          <w:sz w:val="18"/>
          <w:szCs w:val="18"/>
          <w:lang w:val="es-ES_tradnl"/>
        </w:rPr>
      </w:pPr>
      <w:r w:rsidRPr="000B3E8E">
        <w:rPr>
          <w:rStyle w:val="Refdenotaalpie"/>
          <w:rFonts w:ascii="Arial" w:hAnsi="Arial" w:cs="Arial"/>
          <w:color w:val="000000" w:themeColor="text1"/>
          <w:sz w:val="18"/>
          <w:szCs w:val="18"/>
        </w:rPr>
        <w:footnoteRef/>
      </w:r>
      <w:r w:rsidRPr="000B3E8E">
        <w:rPr>
          <w:rFonts w:ascii="Arial" w:hAnsi="Arial" w:cs="Arial"/>
          <w:color w:val="000000" w:themeColor="text1"/>
          <w:sz w:val="18"/>
          <w:szCs w:val="18"/>
        </w:rPr>
        <w:t xml:space="preserve"> </w:t>
      </w:r>
      <w:r w:rsidRPr="000B3E8E">
        <w:rPr>
          <w:rFonts w:ascii="Arial" w:hAnsi="Arial" w:cs="Arial"/>
          <w:color w:val="000000" w:themeColor="text1"/>
          <w:sz w:val="18"/>
          <w:szCs w:val="18"/>
          <w:lang w:val="es-ES_tradnl"/>
        </w:rPr>
        <w:t>Decreto 2253 “Por el cual se delegan funciones presidenciales en la Comisión de Regulación de Energía y Gas”</w:t>
      </w:r>
    </w:p>
  </w:footnote>
  <w:footnote w:id="36">
    <w:p w14:paraId="088C3670" w14:textId="1E454F31" w:rsidR="00F73446" w:rsidRPr="000B3E8E" w:rsidRDefault="00F73446" w:rsidP="000B3E8E">
      <w:pPr>
        <w:pStyle w:val="Textonotapie"/>
        <w:jc w:val="both"/>
        <w:rPr>
          <w:rFonts w:ascii="Arial" w:hAnsi="Arial" w:cs="Arial"/>
          <w:color w:val="000000" w:themeColor="text1"/>
          <w:sz w:val="18"/>
          <w:szCs w:val="18"/>
          <w:lang w:val="es-ES_tradnl"/>
        </w:rPr>
      </w:pPr>
      <w:r w:rsidRPr="000B3E8E">
        <w:rPr>
          <w:rStyle w:val="Refdenotaalpie"/>
          <w:rFonts w:ascii="Arial" w:hAnsi="Arial" w:cs="Arial"/>
          <w:color w:val="000000" w:themeColor="text1"/>
          <w:sz w:val="18"/>
          <w:szCs w:val="18"/>
        </w:rPr>
        <w:footnoteRef/>
      </w:r>
      <w:r w:rsidRPr="000B3E8E">
        <w:rPr>
          <w:rFonts w:ascii="Arial" w:hAnsi="Arial" w:cs="Arial"/>
          <w:color w:val="000000" w:themeColor="text1"/>
          <w:sz w:val="18"/>
          <w:szCs w:val="18"/>
        </w:rPr>
        <w:t xml:space="preserve"> </w:t>
      </w:r>
      <w:r w:rsidRPr="000B3E8E">
        <w:rPr>
          <w:rFonts w:ascii="Arial" w:hAnsi="Arial" w:cs="Arial"/>
          <w:color w:val="000000" w:themeColor="text1"/>
          <w:sz w:val="18"/>
          <w:szCs w:val="18"/>
          <w:lang w:val="es-ES_tradnl"/>
        </w:rPr>
        <w:t xml:space="preserve">Decreto 1260 de 2013. </w:t>
      </w:r>
      <w:r w:rsidRPr="000B3E8E">
        <w:rPr>
          <w:rFonts w:ascii="Arial" w:eastAsiaTheme="minorEastAsia" w:hAnsi="Arial" w:cs="Arial"/>
          <w:bCs/>
          <w:color w:val="000000" w:themeColor="text1"/>
          <w:sz w:val="18"/>
          <w:szCs w:val="18"/>
        </w:rPr>
        <w:t>Por el cual se modifica la estructura de la Comisión de Regulación de Energía y Gas (CREG).</w:t>
      </w:r>
    </w:p>
  </w:footnote>
  <w:footnote w:id="37">
    <w:p w14:paraId="480077AD" w14:textId="79043A01" w:rsidR="00F73446" w:rsidRPr="000B3E8E" w:rsidRDefault="00F73446" w:rsidP="000B3E8E">
      <w:pPr>
        <w:widowControl w:val="0"/>
        <w:autoSpaceDE w:val="0"/>
        <w:autoSpaceDN w:val="0"/>
        <w:adjustRightInd w:val="0"/>
        <w:spacing w:after="0" w:line="240" w:lineRule="auto"/>
        <w:jc w:val="both"/>
        <w:rPr>
          <w:rFonts w:ascii="Arial" w:eastAsiaTheme="minorEastAsia" w:hAnsi="Arial" w:cs="Arial"/>
          <w:color w:val="000000" w:themeColor="text1"/>
          <w:sz w:val="18"/>
          <w:szCs w:val="18"/>
          <w:lang w:val="es-ES" w:eastAsia="es-ES"/>
        </w:rPr>
      </w:pPr>
      <w:r w:rsidRPr="000B3E8E">
        <w:rPr>
          <w:rStyle w:val="Refdenotaalpie"/>
          <w:rFonts w:ascii="Arial" w:hAnsi="Arial" w:cs="Arial"/>
          <w:color w:val="000000" w:themeColor="text1"/>
          <w:sz w:val="18"/>
          <w:szCs w:val="18"/>
        </w:rPr>
        <w:footnoteRef/>
      </w:r>
      <w:r w:rsidRPr="000B3E8E">
        <w:rPr>
          <w:rFonts w:ascii="Arial" w:hAnsi="Arial" w:cs="Arial"/>
          <w:color w:val="000000" w:themeColor="text1"/>
          <w:sz w:val="18"/>
          <w:szCs w:val="18"/>
        </w:rPr>
        <w:t xml:space="preserve"> C.P. </w:t>
      </w:r>
      <w:r w:rsidRPr="000B3E8E">
        <w:rPr>
          <w:rFonts w:ascii="Arial" w:eastAsiaTheme="minorEastAsia" w:hAnsi="Arial" w:cs="Arial"/>
          <w:b/>
          <w:bCs/>
          <w:color w:val="000000" w:themeColor="text1"/>
          <w:sz w:val="18"/>
          <w:szCs w:val="18"/>
          <w:lang w:val="es-ES" w:eastAsia="es-ES"/>
        </w:rPr>
        <w:t xml:space="preserve">ARTICULO 367. </w:t>
      </w:r>
      <w:r w:rsidRPr="000B3E8E">
        <w:rPr>
          <w:rFonts w:ascii="Arial" w:eastAsiaTheme="minorEastAsia" w:hAnsi="Arial" w:cs="Arial"/>
          <w:color w:val="000000" w:themeColor="text1"/>
          <w:sz w:val="18"/>
          <w:szCs w:val="18"/>
          <w:lang w:val="es-ES" w:eastAsia="es-ES"/>
        </w:rPr>
        <w:t>La ley fijará las competencias y responsabilidades relativas a la prestación de los servicios públicos domiciliarios, su cobertura, calidad y financiación, y el régimen tarifario que tendrá en cuenta además de los criterios de costos, los de solidaridad y redistribución de ingresos.</w:t>
      </w:r>
    </w:p>
    <w:p w14:paraId="54FBF147" w14:textId="77777777" w:rsidR="00F73446" w:rsidRPr="000B3E8E" w:rsidRDefault="00F73446" w:rsidP="000B3E8E">
      <w:pPr>
        <w:widowControl w:val="0"/>
        <w:autoSpaceDE w:val="0"/>
        <w:autoSpaceDN w:val="0"/>
        <w:adjustRightInd w:val="0"/>
        <w:spacing w:after="0" w:line="240" w:lineRule="auto"/>
        <w:jc w:val="both"/>
        <w:rPr>
          <w:rFonts w:ascii="Arial" w:eastAsiaTheme="minorEastAsia" w:hAnsi="Arial" w:cs="Arial"/>
          <w:color w:val="000000" w:themeColor="text1"/>
          <w:sz w:val="18"/>
          <w:szCs w:val="18"/>
          <w:lang w:val="es-ES" w:eastAsia="es-ES"/>
        </w:rPr>
      </w:pPr>
      <w:r w:rsidRPr="000B3E8E">
        <w:rPr>
          <w:rFonts w:ascii="Arial" w:eastAsiaTheme="minorEastAsia" w:hAnsi="Arial" w:cs="Arial"/>
          <w:color w:val="000000" w:themeColor="text1"/>
          <w:sz w:val="18"/>
          <w:szCs w:val="18"/>
          <w:lang w:val="es-ES" w:eastAsia="es-ES"/>
        </w:rPr>
        <w:t>Los servicios públicos domiciliarios se prestarán directamente por cada municipio cuando las características técnicas y económicas del servicio y las conveniencias generales lo permitan y aconsejen, y los departamentos cumplirán funciones de apoyo y coordinación.</w:t>
      </w:r>
    </w:p>
    <w:p w14:paraId="519143F1" w14:textId="3372DAA3" w:rsidR="00F73446" w:rsidRPr="000B3E8E" w:rsidRDefault="00F73446" w:rsidP="004F7C0E">
      <w:pPr>
        <w:widowControl w:val="0"/>
        <w:autoSpaceDE w:val="0"/>
        <w:autoSpaceDN w:val="0"/>
        <w:adjustRightInd w:val="0"/>
        <w:spacing w:after="0" w:line="240" w:lineRule="auto"/>
        <w:jc w:val="both"/>
        <w:rPr>
          <w:rFonts w:ascii="Arial" w:hAnsi="Arial" w:cs="Arial"/>
          <w:color w:val="000000" w:themeColor="text1"/>
          <w:sz w:val="18"/>
          <w:szCs w:val="18"/>
        </w:rPr>
      </w:pPr>
      <w:r w:rsidRPr="000B3E8E">
        <w:rPr>
          <w:rFonts w:ascii="Arial" w:eastAsiaTheme="minorEastAsia" w:hAnsi="Arial" w:cs="Arial"/>
          <w:color w:val="000000" w:themeColor="text1"/>
          <w:sz w:val="18"/>
          <w:szCs w:val="18"/>
          <w:lang w:val="es-ES" w:eastAsia="es-ES"/>
        </w:rPr>
        <w:t>La ley determinará las entidades competentes para fijar las tarifas.</w:t>
      </w:r>
    </w:p>
  </w:footnote>
  <w:footnote w:id="38">
    <w:p w14:paraId="36D4D099" w14:textId="77777777" w:rsidR="00F73446" w:rsidRPr="000B3E8E" w:rsidRDefault="00F73446" w:rsidP="000B3E8E">
      <w:pPr>
        <w:widowControl w:val="0"/>
        <w:autoSpaceDE w:val="0"/>
        <w:autoSpaceDN w:val="0"/>
        <w:adjustRightInd w:val="0"/>
        <w:spacing w:after="0" w:line="240" w:lineRule="auto"/>
        <w:jc w:val="both"/>
        <w:rPr>
          <w:rFonts w:ascii="Arial" w:hAnsi="Arial" w:cs="Arial"/>
          <w:color w:val="000000" w:themeColor="text1"/>
          <w:sz w:val="18"/>
          <w:szCs w:val="18"/>
          <w:lang w:val="es-ES"/>
        </w:rPr>
      </w:pPr>
      <w:r w:rsidRPr="000B3E8E">
        <w:rPr>
          <w:rStyle w:val="Refdenotaalpie"/>
          <w:rFonts w:ascii="Arial" w:hAnsi="Arial" w:cs="Arial"/>
          <w:color w:val="000000" w:themeColor="text1"/>
          <w:sz w:val="18"/>
          <w:szCs w:val="18"/>
        </w:rPr>
        <w:footnoteRef/>
      </w:r>
      <w:r w:rsidRPr="000B3E8E">
        <w:rPr>
          <w:rFonts w:ascii="Arial" w:hAnsi="Arial" w:cs="Arial"/>
          <w:color w:val="000000" w:themeColor="text1"/>
          <w:sz w:val="18"/>
          <w:szCs w:val="18"/>
        </w:rPr>
        <w:t xml:space="preserve"> Ley 142 de 1994 </w:t>
      </w:r>
      <w:r w:rsidRPr="000B3E8E">
        <w:rPr>
          <w:rFonts w:ascii="Arial" w:hAnsi="Arial" w:cs="Arial"/>
          <w:bCs/>
          <w:color w:val="000000" w:themeColor="text1"/>
          <w:sz w:val="18"/>
          <w:szCs w:val="18"/>
          <w:lang w:val="es-ES"/>
        </w:rPr>
        <w:t>ARTÍCULO 73. FUNCIONES Y FACULTADES GENERALES.</w:t>
      </w:r>
      <w:r w:rsidRPr="000B3E8E">
        <w:rPr>
          <w:rFonts w:ascii="Arial" w:hAnsi="Arial" w:cs="Arial"/>
          <w:color w:val="000000" w:themeColor="text1"/>
          <w:sz w:val="18"/>
          <w:szCs w:val="18"/>
          <w:lang w:val="es-ES"/>
        </w:rPr>
        <w:t xml:space="preserve"> &lt;Las comisiones de regulación tienen la función de regular los monopolios en la prestación de los servicios públicos, cuando la competencia no sea, de hecho, posible; y, en los demás casos, la de promover la competencia entre quienes presten servicios públicos, para que las operaciones de los monopolistas o de los competidores sean económicamente eficientes, no impliquen abuso de la posición dominante, y produzcan servicios de calidad. Para ello tendrán las siguientes funciones y facultades especiales:</w:t>
      </w:r>
    </w:p>
    <w:p w14:paraId="1D535327" w14:textId="77777777" w:rsidR="00F73446" w:rsidRPr="000B3E8E" w:rsidRDefault="00F73446" w:rsidP="000B3E8E">
      <w:pPr>
        <w:spacing w:after="0" w:line="240" w:lineRule="auto"/>
        <w:jc w:val="both"/>
        <w:rPr>
          <w:rFonts w:ascii="Arial" w:hAnsi="Arial" w:cs="Arial"/>
          <w:color w:val="000000" w:themeColor="text1"/>
          <w:sz w:val="18"/>
          <w:szCs w:val="18"/>
          <w:lang w:val="es-ES"/>
        </w:rPr>
      </w:pPr>
      <w:r w:rsidRPr="000B3E8E">
        <w:rPr>
          <w:rFonts w:ascii="Arial" w:hAnsi="Arial" w:cs="Arial"/>
          <w:color w:val="000000" w:themeColor="text1"/>
          <w:sz w:val="18"/>
          <w:szCs w:val="18"/>
          <w:lang w:val="es-ES"/>
        </w:rPr>
        <w:t xml:space="preserve">3.11. Establecer fórmulas para la fijación de las tarifas de los servicios públicos, cuando ello corresponda según lo previsto en el artículo </w:t>
      </w:r>
      <w:hyperlink r:id="rId1" w:anchor="88" w:history="1">
        <w:r w:rsidRPr="000B3E8E">
          <w:rPr>
            <w:rFonts w:ascii="Arial" w:hAnsi="Arial" w:cs="Arial"/>
            <w:color w:val="000000" w:themeColor="text1"/>
            <w:sz w:val="18"/>
            <w:szCs w:val="18"/>
            <w:lang w:val="es-ES"/>
          </w:rPr>
          <w:t>88</w:t>
        </w:r>
      </w:hyperlink>
      <w:r w:rsidRPr="000B3E8E">
        <w:rPr>
          <w:rFonts w:ascii="Arial" w:hAnsi="Arial" w:cs="Arial"/>
          <w:color w:val="000000" w:themeColor="text1"/>
          <w:sz w:val="18"/>
          <w:szCs w:val="18"/>
          <w:lang w:val="es-ES"/>
        </w:rPr>
        <w:t>; y señalar cuándo hay suficiente competencia como para que la fijación de las tarifas sea libre.</w:t>
      </w:r>
    </w:p>
  </w:footnote>
  <w:footnote w:id="39">
    <w:p w14:paraId="2BB558E8" w14:textId="5505A4B5" w:rsidR="00F73446" w:rsidRPr="000B3E8E" w:rsidRDefault="00F73446" w:rsidP="000B3E8E">
      <w:pPr>
        <w:widowControl w:val="0"/>
        <w:autoSpaceDE w:val="0"/>
        <w:autoSpaceDN w:val="0"/>
        <w:adjustRightInd w:val="0"/>
        <w:spacing w:after="0" w:line="240" w:lineRule="auto"/>
        <w:jc w:val="both"/>
        <w:rPr>
          <w:rFonts w:ascii="Arial" w:hAnsi="Arial" w:cs="Arial"/>
          <w:i/>
          <w:color w:val="000000" w:themeColor="text1"/>
          <w:sz w:val="18"/>
          <w:szCs w:val="18"/>
          <w:lang w:val="es-ES"/>
        </w:rPr>
      </w:pPr>
      <w:r w:rsidRPr="000B3E8E">
        <w:rPr>
          <w:rStyle w:val="Refdenotaalpie"/>
          <w:rFonts w:ascii="Arial" w:hAnsi="Arial" w:cs="Arial"/>
          <w:color w:val="000000" w:themeColor="text1"/>
          <w:sz w:val="18"/>
          <w:szCs w:val="18"/>
        </w:rPr>
        <w:footnoteRef/>
      </w:r>
      <w:r w:rsidRPr="000B3E8E">
        <w:rPr>
          <w:rFonts w:ascii="Arial" w:hAnsi="Arial" w:cs="Arial"/>
          <w:color w:val="000000" w:themeColor="text1"/>
          <w:sz w:val="18"/>
          <w:szCs w:val="18"/>
        </w:rPr>
        <w:t xml:space="preserve"> Ley 142 de 1994. Artículo 87</w:t>
      </w:r>
      <w:r w:rsidRPr="000B3E8E">
        <w:rPr>
          <w:rFonts w:ascii="Arial" w:hAnsi="Arial" w:cs="Arial"/>
          <w:b/>
          <w:bCs/>
          <w:color w:val="000000" w:themeColor="text1"/>
          <w:sz w:val="18"/>
          <w:szCs w:val="18"/>
          <w:lang w:val="es-ES"/>
        </w:rPr>
        <w:t xml:space="preserve"> </w:t>
      </w:r>
      <w:r w:rsidRPr="000B3E8E">
        <w:rPr>
          <w:rFonts w:ascii="Arial" w:hAnsi="Arial" w:cs="Arial"/>
          <w:bCs/>
          <w:color w:val="000000" w:themeColor="text1"/>
          <w:sz w:val="18"/>
          <w:szCs w:val="18"/>
          <w:lang w:val="es-ES"/>
        </w:rPr>
        <w:t>y artículo 44 de la Ley 143 de 1994 “</w:t>
      </w:r>
      <w:r w:rsidRPr="000B3E8E">
        <w:rPr>
          <w:rFonts w:ascii="Arial" w:hAnsi="Arial" w:cs="Arial"/>
          <w:i/>
          <w:color w:val="000000" w:themeColor="text1"/>
          <w:sz w:val="18"/>
          <w:szCs w:val="18"/>
          <w:lang w:val="es-ES"/>
        </w:rPr>
        <w:t>El régimen tarifario para usuarios finales regulados de una misma empresa estará orientado por los criterios de eficiencia económica, suficiencia financiera, neutralidad, solidaridad y redistribución del ingreso, simplicidad y transparencia.</w:t>
      </w:r>
    </w:p>
  </w:footnote>
  <w:footnote w:id="40">
    <w:p w14:paraId="67207526" w14:textId="77777777" w:rsidR="00F73446" w:rsidRPr="000B3E8E" w:rsidRDefault="00F73446" w:rsidP="000B3E8E">
      <w:pPr>
        <w:widowControl w:val="0"/>
        <w:autoSpaceDE w:val="0"/>
        <w:autoSpaceDN w:val="0"/>
        <w:adjustRightInd w:val="0"/>
        <w:spacing w:after="0" w:line="240" w:lineRule="auto"/>
        <w:jc w:val="both"/>
        <w:rPr>
          <w:rFonts w:ascii="Arial" w:hAnsi="Arial" w:cs="Arial"/>
          <w:color w:val="000000" w:themeColor="text1"/>
          <w:sz w:val="18"/>
          <w:szCs w:val="18"/>
          <w:lang w:val="es-ES"/>
        </w:rPr>
      </w:pPr>
      <w:r w:rsidRPr="000B3E8E">
        <w:rPr>
          <w:rStyle w:val="Refdenotaalpie"/>
          <w:rFonts w:ascii="Arial" w:hAnsi="Arial" w:cs="Arial"/>
          <w:color w:val="000000" w:themeColor="text1"/>
          <w:sz w:val="18"/>
          <w:szCs w:val="18"/>
        </w:rPr>
        <w:footnoteRef/>
      </w:r>
      <w:r w:rsidRPr="000B3E8E">
        <w:rPr>
          <w:rFonts w:ascii="Arial" w:hAnsi="Arial" w:cs="Arial"/>
          <w:color w:val="000000" w:themeColor="text1"/>
          <w:sz w:val="18"/>
          <w:szCs w:val="18"/>
        </w:rPr>
        <w:t xml:space="preserve"> Ley 142 de 1994. </w:t>
      </w:r>
      <w:r w:rsidRPr="000B3E8E">
        <w:rPr>
          <w:rFonts w:ascii="Arial" w:hAnsi="Arial" w:cs="Arial"/>
          <w:bCs/>
          <w:color w:val="000000" w:themeColor="text1"/>
          <w:sz w:val="18"/>
          <w:szCs w:val="18"/>
          <w:lang w:val="es-ES"/>
        </w:rPr>
        <w:t>ARTÍCULO 90. ELEMENTOS DE LAS FORMULAS DE TARIFAS.</w:t>
      </w:r>
      <w:r w:rsidRPr="000B3E8E">
        <w:rPr>
          <w:rFonts w:ascii="Arial" w:hAnsi="Arial" w:cs="Arial"/>
          <w:color w:val="000000" w:themeColor="text1"/>
          <w:sz w:val="18"/>
          <w:szCs w:val="18"/>
          <w:lang w:val="es-ES"/>
        </w:rPr>
        <w:t xml:space="preserve"> Sin perjuicio de otras alternativas que puedan definir las comisiones de regulación, podrán incluirse los siguientes cargos:  </w:t>
      </w:r>
    </w:p>
    <w:p w14:paraId="633B2DD6" w14:textId="77777777" w:rsidR="00F73446" w:rsidRPr="000B3E8E" w:rsidRDefault="00F73446" w:rsidP="000B3E8E">
      <w:pPr>
        <w:widowControl w:val="0"/>
        <w:autoSpaceDE w:val="0"/>
        <w:autoSpaceDN w:val="0"/>
        <w:adjustRightInd w:val="0"/>
        <w:spacing w:after="0" w:line="240" w:lineRule="auto"/>
        <w:jc w:val="both"/>
        <w:rPr>
          <w:rFonts w:ascii="Arial" w:hAnsi="Arial" w:cs="Arial"/>
          <w:color w:val="000000" w:themeColor="text1"/>
          <w:sz w:val="18"/>
          <w:szCs w:val="18"/>
          <w:lang w:val="es-ES"/>
        </w:rPr>
      </w:pPr>
      <w:r w:rsidRPr="000B3E8E">
        <w:rPr>
          <w:rFonts w:ascii="Arial" w:hAnsi="Arial" w:cs="Arial"/>
          <w:color w:val="000000" w:themeColor="text1"/>
          <w:sz w:val="18"/>
          <w:szCs w:val="18"/>
          <w:lang w:val="es-ES"/>
        </w:rPr>
        <w:t xml:space="preserve">90.1. Un cargo por unidad de consumo, que refleje siempre tanto el nivel y la estructura de los costos económicos que varíen con el nivel de consumo </w:t>
      </w:r>
      <w:r w:rsidRPr="000B3E8E">
        <w:rPr>
          <w:rFonts w:ascii="Arial" w:hAnsi="Arial" w:cs="Arial"/>
          <w:color w:val="000000" w:themeColor="text1"/>
          <w:sz w:val="18"/>
          <w:szCs w:val="18"/>
          <w:u w:val="single"/>
          <w:lang w:val="es-ES"/>
        </w:rPr>
        <w:t>como la demanda por el servicio</w:t>
      </w:r>
      <w:r w:rsidRPr="000B3E8E">
        <w:rPr>
          <w:rFonts w:ascii="Arial" w:hAnsi="Arial" w:cs="Arial"/>
          <w:color w:val="000000" w:themeColor="text1"/>
          <w:sz w:val="18"/>
          <w:szCs w:val="18"/>
          <w:lang w:val="es-ES"/>
        </w:rPr>
        <w:t xml:space="preserve">; </w:t>
      </w:r>
    </w:p>
    <w:p w14:paraId="705A4E52" w14:textId="77777777" w:rsidR="00F73446" w:rsidRPr="000B3E8E" w:rsidRDefault="00F73446" w:rsidP="000B3E8E">
      <w:pPr>
        <w:widowControl w:val="0"/>
        <w:autoSpaceDE w:val="0"/>
        <w:autoSpaceDN w:val="0"/>
        <w:adjustRightInd w:val="0"/>
        <w:spacing w:after="0" w:line="240" w:lineRule="auto"/>
        <w:jc w:val="both"/>
        <w:rPr>
          <w:rFonts w:ascii="Arial" w:hAnsi="Arial" w:cs="Arial"/>
          <w:color w:val="000000" w:themeColor="text1"/>
          <w:sz w:val="18"/>
          <w:szCs w:val="18"/>
          <w:lang w:val="es-ES"/>
        </w:rPr>
      </w:pPr>
      <w:r w:rsidRPr="000B3E8E">
        <w:rPr>
          <w:rFonts w:ascii="Arial" w:hAnsi="Arial" w:cs="Arial"/>
          <w:color w:val="000000" w:themeColor="text1"/>
          <w:sz w:val="18"/>
          <w:szCs w:val="18"/>
          <w:lang w:val="es-ES"/>
        </w:rPr>
        <w:t>90.2. Un cargo fijo, que refleje los costos económicos involucrados en garantizar la disponibilidad permanente del servicio para el usuario, independientemente del nivel de uso.</w:t>
      </w:r>
    </w:p>
    <w:p w14:paraId="537B88FD" w14:textId="77777777" w:rsidR="00F73446" w:rsidRPr="000B3E8E" w:rsidRDefault="00F73446" w:rsidP="000B3E8E">
      <w:pPr>
        <w:widowControl w:val="0"/>
        <w:autoSpaceDE w:val="0"/>
        <w:autoSpaceDN w:val="0"/>
        <w:adjustRightInd w:val="0"/>
        <w:spacing w:after="0" w:line="240" w:lineRule="auto"/>
        <w:jc w:val="both"/>
        <w:rPr>
          <w:rFonts w:ascii="Arial" w:hAnsi="Arial" w:cs="Arial"/>
          <w:color w:val="000000" w:themeColor="text1"/>
          <w:sz w:val="18"/>
          <w:szCs w:val="18"/>
          <w:lang w:val="es-ES"/>
        </w:rPr>
      </w:pPr>
      <w:r w:rsidRPr="000B3E8E">
        <w:rPr>
          <w:rFonts w:ascii="Arial" w:hAnsi="Arial" w:cs="Arial"/>
          <w:color w:val="000000" w:themeColor="text1"/>
          <w:sz w:val="18"/>
          <w:szCs w:val="18"/>
          <w:lang w:val="es-ES"/>
        </w:rPr>
        <w:t xml:space="preserve">Se considerarán como costos necesarios para garantizar la disponibilidad permanente del suministro aquellos denominados costos fijos de clientela, entre los cuales se incluyen los gastos adecuados de administración, facturación, medición y los demás servicios permanentes que, de acuerdo a definiciones </w:t>
      </w:r>
      <w:r w:rsidRPr="000B3E8E">
        <w:rPr>
          <w:rFonts w:ascii="Arial" w:hAnsi="Arial" w:cs="Arial"/>
          <w:color w:val="000000" w:themeColor="text1"/>
          <w:sz w:val="18"/>
          <w:szCs w:val="18"/>
          <w:u w:val="single"/>
          <w:lang w:val="es-ES"/>
        </w:rPr>
        <w:t>que realicen las respectivas comisiones de regulación</w:t>
      </w:r>
      <w:r w:rsidRPr="000B3E8E">
        <w:rPr>
          <w:rFonts w:ascii="Arial" w:hAnsi="Arial" w:cs="Arial"/>
          <w:color w:val="000000" w:themeColor="text1"/>
          <w:sz w:val="18"/>
          <w:szCs w:val="18"/>
          <w:lang w:val="es-ES"/>
        </w:rPr>
        <w:t xml:space="preserve">, son necesarios para garantizar que el usuario pueda disponer del servicio sin solución de continuidad y con eficiencia. </w:t>
      </w:r>
    </w:p>
    <w:p w14:paraId="45432CA6" w14:textId="77777777" w:rsidR="00F73446" w:rsidRPr="000B3E8E" w:rsidRDefault="00F73446" w:rsidP="000B3E8E">
      <w:pPr>
        <w:widowControl w:val="0"/>
        <w:autoSpaceDE w:val="0"/>
        <w:autoSpaceDN w:val="0"/>
        <w:adjustRightInd w:val="0"/>
        <w:spacing w:after="0" w:line="240" w:lineRule="auto"/>
        <w:jc w:val="both"/>
        <w:rPr>
          <w:rFonts w:ascii="Arial" w:hAnsi="Arial" w:cs="Arial"/>
          <w:color w:val="000000" w:themeColor="text1"/>
          <w:sz w:val="18"/>
          <w:szCs w:val="18"/>
          <w:lang w:val="es-ES"/>
        </w:rPr>
      </w:pPr>
      <w:r w:rsidRPr="000B3E8E">
        <w:rPr>
          <w:rFonts w:ascii="Arial" w:hAnsi="Arial" w:cs="Arial"/>
          <w:color w:val="000000" w:themeColor="text1"/>
          <w:sz w:val="18"/>
          <w:szCs w:val="18"/>
          <w:lang w:val="es-ES"/>
        </w:rPr>
        <w:t xml:space="preserve">90.3. Un cargo por aportes de conexión el cual podrá cubrir los costos involucrados en la conexión del usuario al servicio. </w:t>
      </w:r>
      <w:r w:rsidRPr="000B3E8E">
        <w:rPr>
          <w:rFonts w:ascii="Arial" w:hAnsi="Arial" w:cs="Arial"/>
          <w:color w:val="000000" w:themeColor="text1"/>
          <w:sz w:val="18"/>
          <w:szCs w:val="18"/>
          <w:u w:val="single"/>
          <w:lang w:val="es-ES"/>
        </w:rPr>
        <w:t>También podrá cobrarse cuando, por razones de suficiencia financiera, sea necesario acelerar la recuperación de las inversiones en infraestructura, siempre y cuando estas correspondan a un plan de expansión de costo mínimo. La fórmula podrá distribuir estos costos en alícuotas partes anuales</w:t>
      </w:r>
      <w:r w:rsidRPr="000B3E8E">
        <w:rPr>
          <w:rFonts w:ascii="Arial" w:hAnsi="Arial" w:cs="Arial"/>
          <w:color w:val="000000" w:themeColor="text1"/>
          <w:sz w:val="18"/>
          <w:szCs w:val="18"/>
          <w:lang w:val="es-ES"/>
        </w:rPr>
        <w:t xml:space="preserve">. </w:t>
      </w:r>
    </w:p>
    <w:p w14:paraId="3D14B4DF" w14:textId="77777777" w:rsidR="00F73446" w:rsidRPr="000B3E8E" w:rsidRDefault="00F73446" w:rsidP="000B3E8E">
      <w:pPr>
        <w:widowControl w:val="0"/>
        <w:autoSpaceDE w:val="0"/>
        <w:autoSpaceDN w:val="0"/>
        <w:adjustRightInd w:val="0"/>
        <w:spacing w:after="0" w:line="240" w:lineRule="auto"/>
        <w:jc w:val="both"/>
        <w:rPr>
          <w:rFonts w:ascii="Arial" w:hAnsi="Arial" w:cs="Arial"/>
          <w:color w:val="000000" w:themeColor="text1"/>
          <w:sz w:val="18"/>
          <w:szCs w:val="18"/>
          <w:lang w:val="es-ES"/>
        </w:rPr>
      </w:pPr>
      <w:r w:rsidRPr="000B3E8E">
        <w:rPr>
          <w:rFonts w:ascii="Arial" w:hAnsi="Arial" w:cs="Arial"/>
          <w:color w:val="000000" w:themeColor="text1"/>
          <w:sz w:val="18"/>
          <w:szCs w:val="18"/>
          <w:lang w:val="es-ES"/>
        </w:rPr>
        <w:t xml:space="preserve">El cobro de estos cargos en ningún caso podrá contradecir el principio de la eficiencia, ni trasladar al usuario los costos de una gestión ineficiente o extraer beneficios de posiciones dominantes o de monopolio. </w:t>
      </w:r>
    </w:p>
    <w:p w14:paraId="5E6B9D4F" w14:textId="77777777" w:rsidR="00F73446" w:rsidRPr="000B3E8E" w:rsidRDefault="00F73446" w:rsidP="000B3E8E">
      <w:pPr>
        <w:widowControl w:val="0"/>
        <w:autoSpaceDE w:val="0"/>
        <w:autoSpaceDN w:val="0"/>
        <w:adjustRightInd w:val="0"/>
        <w:spacing w:after="0" w:line="240" w:lineRule="auto"/>
        <w:jc w:val="both"/>
        <w:rPr>
          <w:rFonts w:ascii="Arial" w:hAnsi="Arial" w:cs="Arial"/>
          <w:color w:val="000000" w:themeColor="text1"/>
          <w:sz w:val="18"/>
          <w:szCs w:val="18"/>
          <w:lang w:val="es-ES"/>
        </w:rPr>
      </w:pPr>
      <w:r w:rsidRPr="000B3E8E">
        <w:rPr>
          <w:rFonts w:ascii="Arial" w:hAnsi="Arial" w:cs="Arial"/>
          <w:color w:val="000000" w:themeColor="text1"/>
          <w:sz w:val="18"/>
          <w:szCs w:val="18"/>
          <w:lang w:val="es-ES"/>
        </w:rPr>
        <w:t xml:space="preserve">Las comisiones de regulación siempre podrán diseñar y hacer públicas diversas opciones tarifarias que tomen en cuenta diseños óptimos de tarifas. Cualquier usuario podrá exigir la aplicación de una de estas opciones, si asume los costos de los equipos de medición necesarios. </w:t>
      </w:r>
    </w:p>
  </w:footnote>
  <w:footnote w:id="41">
    <w:p w14:paraId="4A71C7F0" w14:textId="6649E099" w:rsidR="00F73446" w:rsidRPr="000B3E8E" w:rsidRDefault="00F73446" w:rsidP="000B3E8E">
      <w:pPr>
        <w:widowControl w:val="0"/>
        <w:autoSpaceDE w:val="0"/>
        <w:autoSpaceDN w:val="0"/>
        <w:adjustRightInd w:val="0"/>
        <w:spacing w:after="0" w:line="240" w:lineRule="auto"/>
        <w:jc w:val="both"/>
        <w:rPr>
          <w:rFonts w:ascii="Arial" w:hAnsi="Arial" w:cs="Arial"/>
          <w:i/>
          <w:color w:val="000000" w:themeColor="text1"/>
          <w:sz w:val="18"/>
          <w:szCs w:val="18"/>
          <w:lang w:val="es-ES"/>
        </w:rPr>
      </w:pPr>
      <w:r w:rsidRPr="000B3E8E">
        <w:rPr>
          <w:rStyle w:val="Refdenotaalpie"/>
          <w:rFonts w:ascii="Arial" w:hAnsi="Arial" w:cs="Arial"/>
          <w:color w:val="000000" w:themeColor="text1"/>
          <w:sz w:val="18"/>
          <w:szCs w:val="18"/>
        </w:rPr>
        <w:footnoteRef/>
      </w:r>
      <w:r w:rsidRPr="000B3E8E">
        <w:rPr>
          <w:rFonts w:ascii="Arial" w:hAnsi="Arial" w:cs="Arial"/>
          <w:color w:val="000000" w:themeColor="text1"/>
          <w:sz w:val="18"/>
          <w:szCs w:val="18"/>
        </w:rPr>
        <w:t xml:space="preserve">  Ley 143 de 1994.</w:t>
      </w:r>
      <w:r w:rsidRPr="000B3E8E">
        <w:rPr>
          <w:rFonts w:ascii="Arial" w:hAnsi="Arial" w:cs="Arial"/>
          <w:b/>
          <w:bCs/>
          <w:i/>
          <w:color w:val="000000" w:themeColor="text1"/>
          <w:sz w:val="18"/>
          <w:szCs w:val="18"/>
          <w:lang w:val="es-ES"/>
        </w:rPr>
        <w:t xml:space="preserve"> “ARTÍCULO 46.</w:t>
      </w:r>
      <w:r w:rsidRPr="000B3E8E">
        <w:rPr>
          <w:rFonts w:ascii="Arial" w:hAnsi="Arial" w:cs="Arial"/>
          <w:i/>
          <w:color w:val="000000" w:themeColor="text1"/>
          <w:sz w:val="18"/>
          <w:szCs w:val="18"/>
          <w:lang w:val="es-ES"/>
        </w:rPr>
        <w:t xml:space="preserve"> La Comisión de Regulación de Energía y Gas tendrá en cuenta los siguientes componentes en la estructura de tarifas:</w:t>
      </w:r>
    </w:p>
    <w:p w14:paraId="0A1031E9" w14:textId="77777777" w:rsidR="00F73446" w:rsidRPr="000B3E8E" w:rsidRDefault="00F73446" w:rsidP="000B3E8E">
      <w:pPr>
        <w:widowControl w:val="0"/>
        <w:autoSpaceDE w:val="0"/>
        <w:autoSpaceDN w:val="0"/>
        <w:adjustRightInd w:val="0"/>
        <w:spacing w:after="0" w:line="240" w:lineRule="auto"/>
        <w:jc w:val="both"/>
        <w:rPr>
          <w:rFonts w:ascii="Arial" w:hAnsi="Arial" w:cs="Arial"/>
          <w:i/>
          <w:color w:val="000000" w:themeColor="text1"/>
          <w:sz w:val="18"/>
          <w:szCs w:val="18"/>
          <w:lang w:val="es-ES"/>
        </w:rPr>
      </w:pPr>
      <w:r w:rsidRPr="000B3E8E">
        <w:rPr>
          <w:rFonts w:ascii="Arial" w:hAnsi="Arial" w:cs="Arial"/>
          <w:i/>
          <w:color w:val="000000" w:themeColor="text1"/>
          <w:sz w:val="18"/>
          <w:szCs w:val="18"/>
          <w:lang w:val="es-ES"/>
        </w:rPr>
        <w:t>a) Una tarifa por unidad de consumo de energía;</w:t>
      </w:r>
    </w:p>
    <w:p w14:paraId="2A576474" w14:textId="77777777" w:rsidR="00F73446" w:rsidRPr="000B3E8E" w:rsidRDefault="00F73446" w:rsidP="000B3E8E">
      <w:pPr>
        <w:widowControl w:val="0"/>
        <w:autoSpaceDE w:val="0"/>
        <w:autoSpaceDN w:val="0"/>
        <w:adjustRightInd w:val="0"/>
        <w:spacing w:after="0" w:line="240" w:lineRule="auto"/>
        <w:jc w:val="both"/>
        <w:rPr>
          <w:rFonts w:ascii="Arial" w:hAnsi="Arial" w:cs="Arial"/>
          <w:i/>
          <w:color w:val="000000" w:themeColor="text1"/>
          <w:sz w:val="18"/>
          <w:szCs w:val="18"/>
          <w:lang w:val="es-ES"/>
        </w:rPr>
      </w:pPr>
      <w:r w:rsidRPr="000B3E8E">
        <w:rPr>
          <w:rFonts w:ascii="Arial" w:hAnsi="Arial" w:cs="Arial"/>
          <w:i/>
          <w:color w:val="000000" w:themeColor="text1"/>
          <w:sz w:val="18"/>
          <w:szCs w:val="18"/>
          <w:lang w:val="es-ES"/>
        </w:rPr>
        <w:t>b) Una tarifa por unidad de potencia, utilizada en las horas de máxima demanda;</w:t>
      </w:r>
    </w:p>
    <w:p w14:paraId="75B58171" w14:textId="77777777" w:rsidR="00F73446" w:rsidRPr="000B3E8E" w:rsidRDefault="00F73446" w:rsidP="000B3E8E">
      <w:pPr>
        <w:widowControl w:val="0"/>
        <w:autoSpaceDE w:val="0"/>
        <w:autoSpaceDN w:val="0"/>
        <w:adjustRightInd w:val="0"/>
        <w:spacing w:after="0" w:line="240" w:lineRule="auto"/>
        <w:jc w:val="both"/>
        <w:rPr>
          <w:rFonts w:ascii="Arial" w:hAnsi="Arial" w:cs="Arial"/>
          <w:i/>
          <w:color w:val="000000" w:themeColor="text1"/>
          <w:sz w:val="18"/>
          <w:szCs w:val="18"/>
          <w:lang w:val="es-ES"/>
        </w:rPr>
      </w:pPr>
      <w:r w:rsidRPr="000B3E8E">
        <w:rPr>
          <w:rFonts w:ascii="Arial" w:hAnsi="Arial" w:cs="Arial"/>
          <w:i/>
          <w:color w:val="000000" w:themeColor="text1"/>
          <w:sz w:val="18"/>
          <w:szCs w:val="18"/>
          <w:lang w:val="es-ES"/>
        </w:rPr>
        <w:t>c) Un cargo fijo que refleje los costos económicos involucrados en garantizar la disponibilidad del servicio para el usuario, independientemente del nivel de consumo;</w:t>
      </w:r>
    </w:p>
    <w:p w14:paraId="4F33BAF2" w14:textId="77777777" w:rsidR="00F73446" w:rsidRPr="000B3E8E" w:rsidRDefault="00F73446" w:rsidP="000B3E8E">
      <w:pPr>
        <w:widowControl w:val="0"/>
        <w:autoSpaceDE w:val="0"/>
        <w:autoSpaceDN w:val="0"/>
        <w:adjustRightInd w:val="0"/>
        <w:spacing w:after="0" w:line="240" w:lineRule="auto"/>
        <w:jc w:val="both"/>
        <w:rPr>
          <w:rFonts w:ascii="Arial" w:hAnsi="Arial" w:cs="Arial"/>
          <w:i/>
          <w:color w:val="000000" w:themeColor="text1"/>
          <w:sz w:val="18"/>
          <w:szCs w:val="18"/>
          <w:lang w:val="es-ES"/>
        </w:rPr>
      </w:pPr>
      <w:r w:rsidRPr="000B3E8E">
        <w:rPr>
          <w:rFonts w:ascii="Arial" w:hAnsi="Arial" w:cs="Arial"/>
          <w:i/>
          <w:color w:val="000000" w:themeColor="text1"/>
          <w:sz w:val="18"/>
          <w:szCs w:val="18"/>
          <w:lang w:val="es-ES"/>
        </w:rPr>
        <w:t>d) Un cargo de conexión que cubrirá los costos de la conexión cada vez que el usuario se conecte al servicio de electricidad.</w:t>
      </w:r>
    </w:p>
    <w:p w14:paraId="0E97A92A" w14:textId="77777777" w:rsidR="00F73446" w:rsidRPr="000B3E8E" w:rsidRDefault="00F73446" w:rsidP="000B3E8E">
      <w:pPr>
        <w:widowControl w:val="0"/>
        <w:autoSpaceDE w:val="0"/>
        <w:autoSpaceDN w:val="0"/>
        <w:adjustRightInd w:val="0"/>
        <w:spacing w:after="0" w:line="240" w:lineRule="auto"/>
        <w:jc w:val="both"/>
        <w:rPr>
          <w:rFonts w:ascii="Arial" w:hAnsi="Arial" w:cs="Arial"/>
          <w:i/>
          <w:color w:val="000000" w:themeColor="text1"/>
          <w:sz w:val="18"/>
          <w:szCs w:val="18"/>
          <w:lang w:val="es-ES"/>
        </w:rPr>
      </w:pPr>
      <w:r w:rsidRPr="000B3E8E">
        <w:rPr>
          <w:rFonts w:ascii="Arial" w:hAnsi="Arial" w:cs="Arial"/>
          <w:b/>
          <w:bCs/>
          <w:i/>
          <w:color w:val="000000" w:themeColor="text1"/>
          <w:sz w:val="18"/>
          <w:szCs w:val="18"/>
          <w:lang w:val="es-ES"/>
        </w:rPr>
        <w:t>PARÁGRAFO 1o.</w:t>
      </w:r>
      <w:r w:rsidRPr="000B3E8E">
        <w:rPr>
          <w:rFonts w:ascii="Arial" w:hAnsi="Arial" w:cs="Arial"/>
          <w:i/>
          <w:color w:val="000000" w:themeColor="text1"/>
          <w:sz w:val="18"/>
          <w:szCs w:val="18"/>
          <w:lang w:val="es-ES"/>
        </w:rPr>
        <w:t xml:space="preserve"> Para el cálculo de cada componente se tendrán en cuenta los costos y cargos establecidos por la Comisión de Regulación de Energía y Gas.</w:t>
      </w:r>
    </w:p>
    <w:p w14:paraId="5DE18A59" w14:textId="3B3A49AA" w:rsidR="00F73446" w:rsidRPr="000B3E8E" w:rsidRDefault="00F73446" w:rsidP="000B3E8E">
      <w:pPr>
        <w:spacing w:after="0" w:line="240" w:lineRule="auto"/>
        <w:jc w:val="both"/>
        <w:rPr>
          <w:rFonts w:ascii="Arial" w:hAnsi="Arial" w:cs="Arial"/>
          <w:i/>
          <w:color w:val="000000" w:themeColor="text1"/>
          <w:sz w:val="18"/>
          <w:szCs w:val="18"/>
          <w:lang w:val="es-ES"/>
        </w:rPr>
      </w:pPr>
      <w:r w:rsidRPr="000B3E8E">
        <w:rPr>
          <w:rFonts w:ascii="Arial" w:hAnsi="Arial" w:cs="Arial"/>
          <w:b/>
          <w:bCs/>
          <w:i/>
          <w:color w:val="000000" w:themeColor="text1"/>
          <w:sz w:val="18"/>
          <w:szCs w:val="18"/>
          <w:lang w:val="es-ES"/>
        </w:rPr>
        <w:t>PARÁGRAFO 2o.</w:t>
      </w:r>
      <w:r w:rsidRPr="000B3E8E">
        <w:rPr>
          <w:rFonts w:ascii="Arial" w:hAnsi="Arial" w:cs="Arial"/>
          <w:i/>
          <w:color w:val="000000" w:themeColor="text1"/>
          <w:sz w:val="18"/>
          <w:szCs w:val="18"/>
          <w:lang w:val="es-ES"/>
        </w:rPr>
        <w:t xml:space="preserve"> La Comisión de Regulación de Energía y Gas podrá diseñar y hacer públicas diversas opciones tarifarias.</w:t>
      </w:r>
    </w:p>
  </w:footnote>
  <w:footnote w:id="42">
    <w:p w14:paraId="617ED8C8" w14:textId="77777777" w:rsidR="00F73446" w:rsidRPr="000B3E8E" w:rsidRDefault="00F73446" w:rsidP="000B3E8E">
      <w:pPr>
        <w:widowControl w:val="0"/>
        <w:autoSpaceDE w:val="0"/>
        <w:autoSpaceDN w:val="0"/>
        <w:adjustRightInd w:val="0"/>
        <w:spacing w:after="0" w:line="240" w:lineRule="auto"/>
        <w:jc w:val="both"/>
        <w:rPr>
          <w:rFonts w:ascii="Arial" w:hAnsi="Arial" w:cs="Arial"/>
          <w:color w:val="000000" w:themeColor="text1"/>
          <w:sz w:val="18"/>
          <w:szCs w:val="18"/>
          <w:lang w:val="es-ES"/>
        </w:rPr>
      </w:pPr>
      <w:r w:rsidRPr="000B3E8E">
        <w:rPr>
          <w:rStyle w:val="Refdenotaalpie"/>
          <w:rFonts w:ascii="Arial" w:hAnsi="Arial" w:cs="Arial"/>
          <w:color w:val="000000" w:themeColor="text1"/>
          <w:sz w:val="18"/>
          <w:szCs w:val="18"/>
        </w:rPr>
        <w:footnoteRef/>
      </w:r>
      <w:r w:rsidRPr="000B3E8E">
        <w:rPr>
          <w:rFonts w:ascii="Arial" w:hAnsi="Arial" w:cs="Arial"/>
          <w:color w:val="000000" w:themeColor="text1"/>
          <w:sz w:val="18"/>
          <w:szCs w:val="18"/>
        </w:rPr>
        <w:t xml:space="preserve"> Ley 142 de 1994. A</w:t>
      </w:r>
      <w:r w:rsidRPr="000B3E8E">
        <w:rPr>
          <w:rFonts w:ascii="Arial" w:hAnsi="Arial" w:cs="Arial"/>
          <w:bCs/>
          <w:color w:val="000000" w:themeColor="text1"/>
          <w:sz w:val="18"/>
          <w:szCs w:val="18"/>
          <w:lang w:val="es-ES"/>
        </w:rPr>
        <w:t>RTÍCULO 124. ACTUACIÓN ADMINISTRATIVA.</w:t>
      </w:r>
      <w:r w:rsidRPr="000B3E8E">
        <w:rPr>
          <w:rFonts w:ascii="Arial" w:hAnsi="Arial" w:cs="Arial"/>
          <w:color w:val="000000" w:themeColor="text1"/>
          <w:sz w:val="18"/>
          <w:szCs w:val="18"/>
          <w:lang w:val="es-ES"/>
        </w:rPr>
        <w:t xml:space="preserve"> Para determinar las fórmulas tarifarias se aplicarán las normas sobre régimen tarifario de las empresas de servicios públicos previstas en esta Ley, las normas del Código Contencioso Administrativo, y las siguientes reglas especiales:  </w:t>
      </w:r>
    </w:p>
    <w:p w14:paraId="5A4F5EE0" w14:textId="77777777" w:rsidR="00F73446" w:rsidRPr="000B3E8E" w:rsidRDefault="00F73446" w:rsidP="000B3E8E">
      <w:pPr>
        <w:widowControl w:val="0"/>
        <w:autoSpaceDE w:val="0"/>
        <w:autoSpaceDN w:val="0"/>
        <w:adjustRightInd w:val="0"/>
        <w:spacing w:after="0" w:line="240" w:lineRule="auto"/>
        <w:jc w:val="both"/>
        <w:rPr>
          <w:rFonts w:ascii="Arial" w:hAnsi="Arial" w:cs="Arial"/>
          <w:color w:val="000000" w:themeColor="text1"/>
          <w:sz w:val="18"/>
          <w:szCs w:val="18"/>
          <w:lang w:val="es-ES"/>
        </w:rPr>
      </w:pPr>
      <w:r w:rsidRPr="000B3E8E">
        <w:rPr>
          <w:rFonts w:ascii="Arial" w:hAnsi="Arial" w:cs="Arial"/>
          <w:color w:val="000000" w:themeColor="text1"/>
          <w:sz w:val="18"/>
          <w:szCs w:val="18"/>
          <w:lang w:val="es-ES"/>
        </w:rPr>
        <w:t>124.1. La coordinación ejecutiva de la comisión de regulación respectiva impulsará toda la actuación; sin embargo, cuando corresponda a la comisión como autoridad nombrar peritos, el nombramiento corresponderá a la comisión misma.  </w:t>
      </w:r>
    </w:p>
    <w:p w14:paraId="31F798A2" w14:textId="77777777" w:rsidR="00F73446" w:rsidRPr="000B3E8E" w:rsidRDefault="00F73446" w:rsidP="000B3E8E">
      <w:pPr>
        <w:widowControl w:val="0"/>
        <w:autoSpaceDE w:val="0"/>
        <w:autoSpaceDN w:val="0"/>
        <w:adjustRightInd w:val="0"/>
        <w:spacing w:after="0" w:line="240" w:lineRule="auto"/>
        <w:jc w:val="both"/>
        <w:rPr>
          <w:rFonts w:ascii="Arial" w:hAnsi="Arial" w:cs="Arial"/>
          <w:bCs/>
          <w:color w:val="000000" w:themeColor="text1"/>
          <w:sz w:val="18"/>
          <w:szCs w:val="18"/>
          <w:lang w:val="es-ES"/>
        </w:rPr>
      </w:pPr>
      <w:r w:rsidRPr="000B3E8E">
        <w:rPr>
          <w:rFonts w:ascii="Arial" w:hAnsi="Arial" w:cs="Arial"/>
          <w:color w:val="000000" w:themeColor="text1"/>
          <w:sz w:val="18"/>
          <w:szCs w:val="18"/>
          <w:lang w:val="es-ES"/>
        </w:rPr>
        <w:t>124.2. Si la actuación se inicia de oficio, la comisión debe disponer de estudios suficientes para definir la fórmula de que se trate; si se inicia por petición de una empresa de servicios públicos, el solicitante debe acompañar tales estudios. Son estudios suficientes, los que tengan la misma clase y cantidad de información que haya empleado cualquier comisión de regulación para determinar una fórmula tarifaria.</w:t>
      </w:r>
      <w:r w:rsidRPr="000B3E8E">
        <w:rPr>
          <w:rFonts w:ascii="Arial" w:hAnsi="Arial" w:cs="Arial"/>
          <w:bCs/>
          <w:color w:val="000000" w:themeColor="text1"/>
          <w:sz w:val="18"/>
          <w:szCs w:val="18"/>
          <w:lang w:val="es-ES"/>
        </w:rPr>
        <w:t xml:space="preserve"> </w:t>
      </w:r>
    </w:p>
    <w:p w14:paraId="02A74FDA" w14:textId="77777777" w:rsidR="00F73446" w:rsidRPr="000B3E8E" w:rsidRDefault="00F73446" w:rsidP="000B3E8E">
      <w:pPr>
        <w:widowControl w:val="0"/>
        <w:autoSpaceDE w:val="0"/>
        <w:autoSpaceDN w:val="0"/>
        <w:adjustRightInd w:val="0"/>
        <w:spacing w:after="0" w:line="240" w:lineRule="auto"/>
        <w:jc w:val="both"/>
        <w:rPr>
          <w:rFonts w:ascii="Arial" w:hAnsi="Arial" w:cs="Arial"/>
          <w:color w:val="000000" w:themeColor="text1"/>
          <w:sz w:val="18"/>
          <w:szCs w:val="18"/>
          <w:lang w:val="es-ES"/>
        </w:rPr>
      </w:pPr>
      <w:r w:rsidRPr="000B3E8E">
        <w:rPr>
          <w:rFonts w:ascii="Arial" w:hAnsi="Arial" w:cs="Arial"/>
          <w:bCs/>
          <w:color w:val="000000" w:themeColor="text1"/>
          <w:sz w:val="18"/>
          <w:szCs w:val="18"/>
          <w:lang w:val="es-ES"/>
        </w:rPr>
        <w:t>ARTÍCULO 126. VIGENCIA DE LAS FÓRMULAS DE TARIFAS.</w:t>
      </w:r>
      <w:r w:rsidRPr="000B3E8E">
        <w:rPr>
          <w:rFonts w:ascii="Arial" w:hAnsi="Arial" w:cs="Arial"/>
          <w:color w:val="000000" w:themeColor="text1"/>
          <w:sz w:val="18"/>
          <w:szCs w:val="18"/>
          <w:lang w:val="es-ES"/>
        </w:rPr>
        <w:t xml:space="preserve"> Las fórmulas tarifarias tendrán una vigencia de cinco años, salvo que antes haya acuerdo entre la empresa de servicios públicos y la comisión para modificarlas o prorrogarlas por un período igual. Excepcionalmente podrán modificarse, de oficio o a petición de parte, antes del plazo indicado cuando sea evidente que se cometieron graves errores en su cálculo, que lesionan injustamente los intereses de los usuarios o de la empresa; o que ha habido razones de caso fortuito o fuerza mayor que comprometen en forma grave la capacidad financiera de la empresa para continuar prestando el servicio en las condiciones tarifarias previstas.  </w:t>
      </w:r>
    </w:p>
    <w:p w14:paraId="67AF1F3B" w14:textId="77777777" w:rsidR="00F73446" w:rsidRPr="000B3E8E" w:rsidRDefault="00F73446" w:rsidP="000B3E8E">
      <w:pPr>
        <w:spacing w:after="0" w:line="240" w:lineRule="auto"/>
        <w:jc w:val="both"/>
        <w:rPr>
          <w:rFonts w:ascii="Arial" w:hAnsi="Arial" w:cs="Arial"/>
          <w:color w:val="000000" w:themeColor="text1"/>
          <w:sz w:val="18"/>
          <w:szCs w:val="18"/>
          <w:lang w:val="es-ES"/>
        </w:rPr>
      </w:pPr>
      <w:r w:rsidRPr="000B3E8E">
        <w:rPr>
          <w:rFonts w:ascii="Arial" w:hAnsi="Arial" w:cs="Arial"/>
          <w:color w:val="000000" w:themeColor="text1"/>
          <w:sz w:val="18"/>
          <w:szCs w:val="18"/>
          <w:lang w:val="es-ES"/>
        </w:rPr>
        <w:t>Vencido el período de vigencia de las fórmulas tarifarias, continuarán rigiendo mientras la comisión no fije las nuevas.</w:t>
      </w:r>
    </w:p>
  </w:footnote>
  <w:footnote w:id="43">
    <w:p w14:paraId="444E0DC0" w14:textId="04C486B4" w:rsidR="00F73446" w:rsidRPr="000B3E8E" w:rsidRDefault="00F73446" w:rsidP="000B3E8E">
      <w:pPr>
        <w:widowControl w:val="0"/>
        <w:autoSpaceDE w:val="0"/>
        <w:autoSpaceDN w:val="0"/>
        <w:adjustRightInd w:val="0"/>
        <w:spacing w:after="0" w:line="240" w:lineRule="auto"/>
        <w:jc w:val="both"/>
        <w:rPr>
          <w:rFonts w:ascii="Arial" w:eastAsiaTheme="minorEastAsia" w:hAnsi="Arial" w:cs="Arial"/>
          <w:color w:val="000000" w:themeColor="text1"/>
          <w:sz w:val="18"/>
          <w:szCs w:val="18"/>
          <w:lang w:val="es-ES" w:eastAsia="es-ES"/>
        </w:rPr>
      </w:pPr>
      <w:r w:rsidRPr="000B3E8E">
        <w:rPr>
          <w:rStyle w:val="Refdenotaalpie"/>
          <w:rFonts w:ascii="Arial" w:hAnsi="Arial" w:cs="Arial"/>
          <w:color w:val="000000" w:themeColor="text1"/>
          <w:sz w:val="18"/>
          <w:szCs w:val="18"/>
        </w:rPr>
        <w:footnoteRef/>
      </w:r>
      <w:r w:rsidRPr="000B3E8E">
        <w:rPr>
          <w:rFonts w:ascii="Arial" w:hAnsi="Arial" w:cs="Arial"/>
          <w:color w:val="000000" w:themeColor="text1"/>
          <w:sz w:val="18"/>
          <w:szCs w:val="18"/>
        </w:rPr>
        <w:t xml:space="preserve"> Ley 1151 de 2007 </w:t>
      </w:r>
      <w:r w:rsidRPr="000B3E8E">
        <w:rPr>
          <w:rFonts w:ascii="Arial" w:eastAsiaTheme="minorEastAsia" w:hAnsi="Arial" w:cs="Arial"/>
          <w:bCs/>
          <w:color w:val="000000" w:themeColor="text1"/>
          <w:sz w:val="18"/>
          <w:szCs w:val="18"/>
          <w:lang w:val="es-ES" w:eastAsia="es-ES"/>
        </w:rPr>
        <w:t>ARTÍCULO 65. SERVICIO DE ENERGÍA ELÉCTRICA EN ZONAS NO INTERCONECTADAS.</w:t>
      </w:r>
      <w:r w:rsidRPr="000B3E8E">
        <w:rPr>
          <w:rFonts w:ascii="Arial" w:eastAsiaTheme="minorEastAsia" w:hAnsi="Arial" w:cs="Arial"/>
          <w:color w:val="000000" w:themeColor="text1"/>
          <w:sz w:val="18"/>
          <w:szCs w:val="18"/>
          <w:lang w:val="es-ES" w:eastAsia="es-ES"/>
        </w:rPr>
        <w:t xml:space="preserve"> &lt;Artículo derogado por el artículo </w:t>
      </w:r>
      <w:hyperlink r:id="rId2" w:anchor="276" w:history="1">
        <w:r w:rsidRPr="000B3E8E">
          <w:rPr>
            <w:rFonts w:ascii="Arial" w:eastAsiaTheme="minorEastAsia" w:hAnsi="Arial" w:cs="Arial"/>
            <w:color w:val="000000" w:themeColor="text1"/>
            <w:sz w:val="18"/>
            <w:szCs w:val="18"/>
            <w:lang w:val="es-ES" w:eastAsia="es-ES"/>
          </w:rPr>
          <w:t>276</w:t>
        </w:r>
      </w:hyperlink>
      <w:r w:rsidRPr="000B3E8E">
        <w:rPr>
          <w:rFonts w:ascii="Arial" w:eastAsiaTheme="minorEastAsia" w:hAnsi="Arial" w:cs="Arial"/>
          <w:color w:val="000000" w:themeColor="text1"/>
          <w:sz w:val="18"/>
          <w:szCs w:val="18"/>
          <w:lang w:val="es-ES" w:eastAsia="es-ES"/>
        </w:rPr>
        <w:t xml:space="preserve"> de la Ley 1450 de 2011. Ver Notas de Vigencia&gt; El Ministerio de Minas y Energía diseñará esquemas sostenibles de gestión para la prestación del servicio de energía eléctrica en las Zonas No Interconectadas. Para este propósito, podrá establecer áreas de servicio exclusivo para todas las actividades involucradas en el servicio de energía eléctrica.</w:t>
      </w:r>
    </w:p>
    <w:p w14:paraId="01725E23" w14:textId="77777777" w:rsidR="00F73446" w:rsidRPr="000B3E8E" w:rsidRDefault="00F73446" w:rsidP="000B3E8E">
      <w:pPr>
        <w:widowControl w:val="0"/>
        <w:autoSpaceDE w:val="0"/>
        <w:autoSpaceDN w:val="0"/>
        <w:adjustRightInd w:val="0"/>
        <w:spacing w:after="0" w:line="240" w:lineRule="auto"/>
        <w:jc w:val="both"/>
        <w:rPr>
          <w:rFonts w:ascii="Arial" w:eastAsiaTheme="minorEastAsia" w:hAnsi="Arial" w:cs="Arial"/>
          <w:color w:val="000000" w:themeColor="text1"/>
          <w:sz w:val="18"/>
          <w:szCs w:val="18"/>
          <w:lang w:val="es-ES" w:eastAsia="es-ES"/>
        </w:rPr>
      </w:pPr>
      <w:r w:rsidRPr="000B3E8E">
        <w:rPr>
          <w:rFonts w:ascii="Arial" w:eastAsiaTheme="minorEastAsia" w:hAnsi="Arial" w:cs="Arial"/>
          <w:color w:val="000000" w:themeColor="text1"/>
          <w:sz w:val="18"/>
          <w:szCs w:val="18"/>
          <w:lang w:val="es-ES" w:eastAsia="es-ES"/>
        </w:rPr>
        <w:t xml:space="preserve">Adicionalmente, en las Zonas No Interconectadas la contribución especial en el sector eléctrico, de que trata el artículo </w:t>
      </w:r>
      <w:hyperlink r:id="rId3" w:anchor="47" w:history="1">
        <w:r w:rsidRPr="000B3E8E">
          <w:rPr>
            <w:rFonts w:ascii="Arial" w:eastAsiaTheme="minorEastAsia" w:hAnsi="Arial" w:cs="Arial"/>
            <w:color w:val="000000" w:themeColor="text1"/>
            <w:sz w:val="18"/>
            <w:szCs w:val="18"/>
            <w:lang w:val="es-ES" w:eastAsia="es-ES"/>
          </w:rPr>
          <w:t>47</w:t>
        </w:r>
      </w:hyperlink>
      <w:r w:rsidRPr="000B3E8E">
        <w:rPr>
          <w:rFonts w:ascii="Arial" w:eastAsiaTheme="minorEastAsia" w:hAnsi="Arial" w:cs="Arial"/>
          <w:color w:val="000000" w:themeColor="text1"/>
          <w:sz w:val="18"/>
          <w:szCs w:val="18"/>
          <w:lang w:val="es-ES" w:eastAsia="es-ES"/>
        </w:rPr>
        <w:t xml:space="preserve"> de la Ley 143 de 1994, no se aplicará a usuarios no residenciales y a usuarios no regulados.</w:t>
      </w:r>
    </w:p>
    <w:p w14:paraId="1B9220F6" w14:textId="77777777" w:rsidR="00F73446" w:rsidRPr="000B3E8E" w:rsidRDefault="00F73446" w:rsidP="000B3E8E">
      <w:pPr>
        <w:widowControl w:val="0"/>
        <w:autoSpaceDE w:val="0"/>
        <w:autoSpaceDN w:val="0"/>
        <w:adjustRightInd w:val="0"/>
        <w:spacing w:after="0" w:line="240" w:lineRule="auto"/>
        <w:jc w:val="both"/>
        <w:rPr>
          <w:rFonts w:ascii="Arial" w:eastAsiaTheme="minorEastAsia" w:hAnsi="Arial" w:cs="Arial"/>
          <w:color w:val="000000" w:themeColor="text1"/>
          <w:sz w:val="18"/>
          <w:szCs w:val="18"/>
          <w:lang w:val="es-ES" w:eastAsia="es-ES"/>
        </w:rPr>
      </w:pPr>
      <w:r w:rsidRPr="000B3E8E">
        <w:rPr>
          <w:rFonts w:ascii="Arial" w:eastAsiaTheme="minorEastAsia" w:hAnsi="Arial" w:cs="Arial"/>
          <w:color w:val="000000" w:themeColor="text1"/>
          <w:sz w:val="18"/>
          <w:szCs w:val="18"/>
          <w:lang w:val="es-ES" w:eastAsia="es-ES"/>
        </w:rPr>
        <w:t>El Gobierno Nacional establecerá una metodología de estratificación exclusiva para el servicio de energía eléctrica en las Zonas No Interconectadas.</w:t>
      </w:r>
    </w:p>
    <w:p w14:paraId="50073258" w14:textId="77777777" w:rsidR="00F73446" w:rsidRPr="000B3E8E" w:rsidRDefault="00F73446" w:rsidP="000B3E8E">
      <w:pPr>
        <w:widowControl w:val="0"/>
        <w:autoSpaceDE w:val="0"/>
        <w:autoSpaceDN w:val="0"/>
        <w:adjustRightInd w:val="0"/>
        <w:spacing w:after="0" w:line="240" w:lineRule="auto"/>
        <w:jc w:val="both"/>
        <w:rPr>
          <w:rFonts w:ascii="Arial" w:eastAsiaTheme="minorEastAsia" w:hAnsi="Arial" w:cs="Arial"/>
          <w:color w:val="000000" w:themeColor="text1"/>
          <w:sz w:val="18"/>
          <w:szCs w:val="18"/>
          <w:lang w:val="es-ES" w:eastAsia="es-ES"/>
        </w:rPr>
      </w:pPr>
      <w:r w:rsidRPr="000B3E8E">
        <w:rPr>
          <w:rFonts w:ascii="Arial" w:eastAsiaTheme="minorEastAsia" w:hAnsi="Arial" w:cs="Arial"/>
          <w:bCs/>
          <w:color w:val="000000" w:themeColor="text1"/>
          <w:sz w:val="18"/>
          <w:szCs w:val="18"/>
          <w:lang w:val="es-ES" w:eastAsia="es-ES"/>
        </w:rPr>
        <w:t>PARÁGRAFO.</w:t>
      </w:r>
      <w:r w:rsidRPr="000B3E8E">
        <w:rPr>
          <w:rFonts w:ascii="Arial" w:eastAsiaTheme="minorEastAsia" w:hAnsi="Arial" w:cs="Arial"/>
          <w:color w:val="000000" w:themeColor="text1"/>
          <w:sz w:val="18"/>
          <w:szCs w:val="18"/>
          <w:lang w:val="es-ES" w:eastAsia="es-ES"/>
        </w:rPr>
        <w:t xml:space="preserve"> Para el otorgamiento de subsidios al costo de prestación del servicio público domiciliario de energía eléctrica en las Zonas No Interconectadas, se pueden tener en cuenta la capacidad de pago de los usuarios en estas zonas, el costo de prestación del servicio y el nivel de consumo.</w:t>
      </w:r>
    </w:p>
    <w:p w14:paraId="3F23290E" w14:textId="77777777" w:rsidR="00F73446" w:rsidRPr="000B3E8E" w:rsidRDefault="00F73446" w:rsidP="000B3E8E">
      <w:pPr>
        <w:widowControl w:val="0"/>
        <w:autoSpaceDE w:val="0"/>
        <w:autoSpaceDN w:val="0"/>
        <w:adjustRightInd w:val="0"/>
        <w:spacing w:after="0" w:line="240" w:lineRule="auto"/>
        <w:jc w:val="both"/>
        <w:rPr>
          <w:rFonts w:ascii="Arial" w:eastAsiaTheme="minorEastAsia" w:hAnsi="Arial" w:cs="Arial"/>
          <w:color w:val="000000" w:themeColor="text1"/>
          <w:sz w:val="18"/>
          <w:szCs w:val="18"/>
          <w:lang w:val="es-ES" w:eastAsia="es-ES"/>
        </w:rPr>
      </w:pPr>
      <w:r w:rsidRPr="000B3E8E">
        <w:rPr>
          <w:rFonts w:ascii="Arial" w:eastAsiaTheme="minorEastAsia" w:hAnsi="Arial" w:cs="Arial"/>
          <w:color w:val="000000" w:themeColor="text1"/>
          <w:sz w:val="18"/>
          <w:szCs w:val="18"/>
          <w:lang w:val="es-ES" w:eastAsia="es-ES"/>
        </w:rPr>
        <w:t xml:space="preserve">Además, en los términos de la Ley 1151 de 2007, para dar solución a las zonas no interconectadas </w:t>
      </w:r>
    </w:p>
    <w:p w14:paraId="42EAE064" w14:textId="77777777" w:rsidR="00F73446" w:rsidRPr="000B3E8E" w:rsidRDefault="00F73446" w:rsidP="000B3E8E">
      <w:pPr>
        <w:widowControl w:val="0"/>
        <w:autoSpaceDE w:val="0"/>
        <w:autoSpaceDN w:val="0"/>
        <w:adjustRightInd w:val="0"/>
        <w:spacing w:after="0" w:line="240" w:lineRule="auto"/>
        <w:jc w:val="both"/>
        <w:rPr>
          <w:rFonts w:ascii="Arial" w:eastAsiaTheme="minorEastAsia" w:hAnsi="Arial" w:cs="Arial"/>
          <w:color w:val="000000" w:themeColor="text1"/>
          <w:sz w:val="18"/>
          <w:szCs w:val="18"/>
          <w:lang w:val="es-ES" w:eastAsia="es-ES"/>
        </w:rPr>
      </w:pPr>
      <w:r w:rsidRPr="000B3E8E">
        <w:rPr>
          <w:rFonts w:ascii="Arial" w:eastAsiaTheme="minorEastAsia" w:hAnsi="Arial" w:cs="Arial"/>
          <w:bCs/>
          <w:color w:val="000000" w:themeColor="text1"/>
          <w:sz w:val="18"/>
          <w:szCs w:val="18"/>
          <w:lang w:val="es-ES" w:eastAsia="es-ES"/>
        </w:rPr>
        <w:t>ARTÍCULO 66. FORTALECIMIENTO DEL IPSE.</w:t>
      </w:r>
      <w:r w:rsidRPr="000B3E8E">
        <w:rPr>
          <w:rFonts w:ascii="Arial" w:eastAsiaTheme="minorEastAsia" w:hAnsi="Arial" w:cs="Arial"/>
          <w:color w:val="000000" w:themeColor="text1"/>
          <w:sz w:val="18"/>
          <w:szCs w:val="18"/>
          <w:lang w:val="es-ES" w:eastAsia="es-ES"/>
        </w:rPr>
        <w:t xml:space="preserve"> &lt;Artículo derogado por el artículo </w:t>
      </w:r>
      <w:hyperlink r:id="rId4" w:anchor="276" w:history="1">
        <w:r w:rsidRPr="000B3E8E">
          <w:rPr>
            <w:rFonts w:ascii="Arial" w:eastAsiaTheme="minorEastAsia" w:hAnsi="Arial" w:cs="Arial"/>
            <w:color w:val="000000" w:themeColor="text1"/>
            <w:sz w:val="18"/>
            <w:szCs w:val="18"/>
            <w:lang w:val="es-ES" w:eastAsia="es-ES"/>
          </w:rPr>
          <w:t>276</w:t>
        </w:r>
      </w:hyperlink>
      <w:r w:rsidRPr="000B3E8E">
        <w:rPr>
          <w:rFonts w:ascii="Arial" w:eastAsiaTheme="minorEastAsia" w:hAnsi="Arial" w:cs="Arial"/>
          <w:color w:val="000000" w:themeColor="text1"/>
          <w:sz w:val="18"/>
          <w:szCs w:val="18"/>
          <w:lang w:val="es-ES" w:eastAsia="es-ES"/>
        </w:rPr>
        <w:t xml:space="preserve"> de la Ley 1450 de 2011&gt; Con el objeto de buscar una óptima consecución de las metas del Gobierno Nacional en la problemática de las Zonas No Interconectadas (ZNI), se fortalecerá el Instituto de Planificación de Soluciones Energéticas para las Zonas No Interconectadas (IPSE) como una entidad especializada en la estructuración e interventoría de proyectos de energización de las ZNI, administración de la información energética, desarrollo e implementación de soluciones energéticas, como energías renovables y/o limpias, desarrollo de programas de uso racional de la energía, consecución de recursos de cooperación internacional para cofinanciación de proyectos energéticos, transferencia de tecnologías y desarrollo de una gestión efectiva de la normatividad y regulación aplicable a las ZNI, para actuar anticipada y proactivamente ante los diferentes entes u organismos encargados de legislar, reglamentar y promulgar actos administrativos. Los proyectos de las ZNI serán viabilizados por el IPSE.</w:t>
      </w:r>
    </w:p>
    <w:p w14:paraId="267B0225" w14:textId="5AFFFD4B" w:rsidR="00F73446" w:rsidRPr="000B3E8E" w:rsidRDefault="00F73446" w:rsidP="000B3E8E">
      <w:pPr>
        <w:widowControl w:val="0"/>
        <w:autoSpaceDE w:val="0"/>
        <w:autoSpaceDN w:val="0"/>
        <w:adjustRightInd w:val="0"/>
        <w:spacing w:after="0" w:line="240" w:lineRule="auto"/>
        <w:jc w:val="both"/>
        <w:rPr>
          <w:rFonts w:ascii="Arial" w:hAnsi="Arial" w:cs="Arial"/>
          <w:color w:val="000000" w:themeColor="text1"/>
          <w:sz w:val="18"/>
          <w:szCs w:val="18"/>
        </w:rPr>
      </w:pPr>
      <w:r w:rsidRPr="000B3E8E">
        <w:rPr>
          <w:rFonts w:ascii="Arial" w:eastAsiaTheme="minorEastAsia" w:hAnsi="Arial" w:cs="Arial"/>
          <w:bCs/>
          <w:color w:val="000000" w:themeColor="text1"/>
          <w:sz w:val="18"/>
          <w:szCs w:val="18"/>
          <w:lang w:val="es-ES" w:eastAsia="es-ES"/>
        </w:rPr>
        <w:t>PARÁGRAFO.</w:t>
      </w:r>
      <w:r w:rsidRPr="000B3E8E">
        <w:rPr>
          <w:rFonts w:ascii="Arial" w:eastAsiaTheme="minorEastAsia" w:hAnsi="Arial" w:cs="Arial"/>
          <w:color w:val="000000" w:themeColor="text1"/>
          <w:sz w:val="18"/>
          <w:szCs w:val="18"/>
          <w:lang w:val="es-ES" w:eastAsia="es-ES"/>
        </w:rPr>
        <w:t xml:space="preserve"> Con el propósito de aumentar la cobertura de energía eléctrica de las Zonas No Interconectadas mediante el aprovechamiento de la oferta de energía eléctrica de proyectos desarrollados por países fronterizos, facúltese a los Operadores de Red de los departamentos fronterizos para adelantar las transacciones de energía pertinentes con los Operadores de Red de las entidades territoriales vecinas. Estas transacciones deben tener en cuenta los lineamientos impartidos por el Ministerio de Minas y Energía y deben respetar las condiciones de las Transacciones Internacionales de Energía definidas por las entidades regulatorias competentes.</w:t>
      </w:r>
    </w:p>
  </w:footnote>
  <w:footnote w:id="44">
    <w:p w14:paraId="2C916FD8" w14:textId="4D1A0D90" w:rsidR="00F73446" w:rsidRPr="000B3E8E" w:rsidRDefault="00F73446" w:rsidP="000B3E8E">
      <w:pPr>
        <w:pBdr>
          <w:top w:val="nil"/>
          <w:left w:val="nil"/>
          <w:bottom w:val="nil"/>
          <w:right w:val="nil"/>
          <w:between w:val="nil"/>
        </w:pBdr>
        <w:spacing w:after="0" w:line="240" w:lineRule="auto"/>
        <w:jc w:val="both"/>
        <w:rPr>
          <w:rFonts w:ascii="Arial" w:eastAsiaTheme="minorEastAsia" w:hAnsi="Arial" w:cs="Arial"/>
          <w:color w:val="000000" w:themeColor="text1"/>
          <w:sz w:val="18"/>
          <w:szCs w:val="18"/>
          <w:lang w:val="es-ES" w:eastAsia="es-ES"/>
        </w:rPr>
      </w:pPr>
      <w:r w:rsidRPr="000B3E8E">
        <w:rPr>
          <w:rStyle w:val="Refdenotaalpie"/>
          <w:rFonts w:ascii="Arial" w:hAnsi="Arial" w:cs="Arial"/>
          <w:color w:val="000000" w:themeColor="text1"/>
          <w:sz w:val="18"/>
          <w:szCs w:val="18"/>
        </w:rPr>
        <w:footnoteRef/>
      </w:r>
      <w:r w:rsidRPr="000B3E8E">
        <w:rPr>
          <w:rFonts w:ascii="Arial" w:hAnsi="Arial" w:cs="Arial"/>
          <w:color w:val="000000" w:themeColor="text1"/>
          <w:sz w:val="18"/>
          <w:szCs w:val="18"/>
        </w:rPr>
        <w:t xml:space="preserve"> Ley 1715 de 2014 </w:t>
      </w:r>
      <w:r w:rsidRPr="000B3E8E">
        <w:rPr>
          <w:rFonts w:ascii="Arial" w:eastAsiaTheme="minorEastAsia" w:hAnsi="Arial" w:cs="Arial"/>
          <w:bCs/>
          <w:color w:val="000000" w:themeColor="text1"/>
          <w:sz w:val="18"/>
          <w:szCs w:val="18"/>
          <w:lang w:val="es-ES" w:eastAsia="es-ES"/>
        </w:rPr>
        <w:t>ARTÍCULO 2o. FINALIDAD DE LA LEY.</w:t>
      </w:r>
      <w:r w:rsidRPr="000B3E8E">
        <w:rPr>
          <w:rFonts w:ascii="Arial" w:eastAsiaTheme="minorEastAsia" w:hAnsi="Arial" w:cs="Arial"/>
          <w:color w:val="000000" w:themeColor="text1"/>
          <w:sz w:val="18"/>
          <w:szCs w:val="18"/>
          <w:lang w:val="es-ES" w:eastAsia="es-ES"/>
        </w:rPr>
        <w:t xml:space="preserve"> La finalidad de la presente ley es establecer el marco legal y los instrumentos para la promoción del aprovechamiento de las fuentes no convencionales de energía, principalmente aquellas de carácter renovable, lo mismo que para el fomento de la inversión, investigación y desarrollo de tecnologías limpias para producción de energía, la eficiencia energética y la respuesta de la demanda, en el marco de la política energética nacional. Igualmente, tiene por objeto establecer líneas de acción para el cumplimento de compromisos asumidos por Colombia en materia de energías renovables, gestión eficiente de la energía y reducción de emisiones de gases de efecto invernadero, tales como aquellos adquiridos a través de la aprobación del estatuto de la Agencia Internacional de Energías Renovables (</w:t>
      </w:r>
      <w:proofErr w:type="spellStart"/>
      <w:r w:rsidRPr="000B3E8E">
        <w:rPr>
          <w:rFonts w:ascii="Arial" w:eastAsiaTheme="minorEastAsia" w:hAnsi="Arial" w:cs="Arial"/>
          <w:color w:val="000000" w:themeColor="text1"/>
          <w:sz w:val="18"/>
          <w:szCs w:val="18"/>
          <w:lang w:val="es-ES" w:eastAsia="es-ES"/>
        </w:rPr>
        <w:t>Irena</w:t>
      </w:r>
      <w:proofErr w:type="spellEnd"/>
      <w:r w:rsidRPr="000B3E8E">
        <w:rPr>
          <w:rFonts w:ascii="Arial" w:eastAsiaTheme="minorEastAsia" w:hAnsi="Arial" w:cs="Arial"/>
          <w:color w:val="000000" w:themeColor="text1"/>
          <w:sz w:val="18"/>
          <w:szCs w:val="18"/>
          <w:lang w:val="es-ES" w:eastAsia="es-ES"/>
        </w:rPr>
        <w:t xml:space="preserve">) mediante la Ley </w:t>
      </w:r>
      <w:hyperlink r:id="rId5" w:anchor="Inicio" w:history="1">
        <w:r w:rsidRPr="000B3E8E">
          <w:rPr>
            <w:rFonts w:ascii="Arial" w:eastAsiaTheme="minorEastAsia" w:hAnsi="Arial" w:cs="Arial"/>
            <w:color w:val="000000" w:themeColor="text1"/>
            <w:sz w:val="18"/>
            <w:szCs w:val="18"/>
            <w:lang w:val="es-ES" w:eastAsia="es-ES"/>
          </w:rPr>
          <w:t>1665</w:t>
        </w:r>
      </w:hyperlink>
      <w:r w:rsidRPr="000B3E8E">
        <w:rPr>
          <w:rFonts w:ascii="Arial" w:eastAsiaTheme="minorEastAsia" w:hAnsi="Arial" w:cs="Arial"/>
          <w:color w:val="000000" w:themeColor="text1"/>
          <w:sz w:val="18"/>
          <w:szCs w:val="18"/>
          <w:lang w:val="es-ES" w:eastAsia="es-ES"/>
        </w:rPr>
        <w:t xml:space="preserve"> de 2013.</w:t>
      </w:r>
    </w:p>
  </w:footnote>
  <w:footnote w:id="45">
    <w:p w14:paraId="627C7FD8" w14:textId="0BE0F0B0" w:rsidR="00F73446" w:rsidRPr="000B3E8E" w:rsidRDefault="00F73446" w:rsidP="000B3E8E">
      <w:pPr>
        <w:widowControl w:val="0"/>
        <w:autoSpaceDE w:val="0"/>
        <w:autoSpaceDN w:val="0"/>
        <w:adjustRightInd w:val="0"/>
        <w:spacing w:after="0" w:line="240" w:lineRule="auto"/>
        <w:jc w:val="both"/>
        <w:rPr>
          <w:rFonts w:ascii="Arial" w:eastAsiaTheme="minorEastAsia" w:hAnsi="Arial" w:cs="Arial"/>
          <w:color w:val="000000" w:themeColor="text1"/>
          <w:sz w:val="18"/>
          <w:szCs w:val="18"/>
          <w:lang w:val="es-ES" w:eastAsia="es-ES"/>
        </w:rPr>
      </w:pPr>
      <w:r w:rsidRPr="000B3E8E">
        <w:rPr>
          <w:rStyle w:val="Refdenotaalpie"/>
          <w:rFonts w:ascii="Arial" w:hAnsi="Arial" w:cs="Arial"/>
          <w:color w:val="000000" w:themeColor="text1"/>
          <w:sz w:val="18"/>
          <w:szCs w:val="18"/>
        </w:rPr>
        <w:footnoteRef/>
      </w:r>
      <w:r w:rsidRPr="000B3E8E">
        <w:rPr>
          <w:rFonts w:ascii="Arial" w:hAnsi="Arial" w:cs="Arial"/>
          <w:color w:val="000000" w:themeColor="text1"/>
          <w:sz w:val="18"/>
          <w:szCs w:val="18"/>
        </w:rPr>
        <w:t xml:space="preserve"> Ley 1715 de 2014 ARTÍCULO</w:t>
      </w:r>
      <w:r w:rsidRPr="000B3E8E">
        <w:rPr>
          <w:rFonts w:ascii="Arial" w:eastAsiaTheme="minorEastAsia" w:hAnsi="Arial" w:cs="Arial"/>
          <w:b/>
          <w:bCs/>
          <w:color w:val="000000" w:themeColor="text1"/>
          <w:sz w:val="18"/>
          <w:szCs w:val="18"/>
          <w:lang w:val="es-ES" w:eastAsia="es-ES"/>
        </w:rPr>
        <w:t xml:space="preserve"> 5o. DEFINICIONES.</w:t>
      </w:r>
      <w:r w:rsidRPr="000B3E8E">
        <w:rPr>
          <w:rFonts w:ascii="Arial" w:eastAsiaTheme="minorEastAsia" w:hAnsi="Arial" w:cs="Arial"/>
          <w:color w:val="000000" w:themeColor="text1"/>
          <w:sz w:val="18"/>
          <w:szCs w:val="18"/>
          <w:lang w:val="es-ES" w:eastAsia="es-ES"/>
        </w:rPr>
        <w:t xml:space="preserve"> Para efectos de interpretar y aplicar la presente ley, se entiende por:</w:t>
      </w:r>
    </w:p>
    <w:p w14:paraId="5D415B28" w14:textId="77777777" w:rsidR="00F73446" w:rsidRPr="000B3E8E" w:rsidRDefault="00F73446" w:rsidP="000B3E8E">
      <w:pPr>
        <w:widowControl w:val="0"/>
        <w:autoSpaceDE w:val="0"/>
        <w:autoSpaceDN w:val="0"/>
        <w:adjustRightInd w:val="0"/>
        <w:spacing w:after="0" w:line="240" w:lineRule="auto"/>
        <w:jc w:val="both"/>
        <w:rPr>
          <w:rFonts w:ascii="Arial" w:eastAsiaTheme="minorEastAsia" w:hAnsi="Arial" w:cs="Arial"/>
          <w:color w:val="000000" w:themeColor="text1"/>
          <w:sz w:val="18"/>
          <w:szCs w:val="18"/>
          <w:lang w:val="es-ES" w:eastAsia="es-ES"/>
        </w:rPr>
      </w:pPr>
      <w:r w:rsidRPr="000B3E8E">
        <w:rPr>
          <w:rFonts w:ascii="Arial" w:eastAsiaTheme="minorEastAsia" w:hAnsi="Arial" w:cs="Arial"/>
          <w:color w:val="000000" w:themeColor="text1"/>
          <w:sz w:val="18"/>
          <w:szCs w:val="18"/>
          <w:lang w:val="es-ES" w:eastAsia="es-ES"/>
        </w:rPr>
        <w:t>1. Autogeneración. Aquella actividad realizada por personas naturales o jurídicas que producen energía eléctrica principalmente, para atender sus propias necesidades. En el evento en que se generen excedentes de energía eléctrica a partir de tal actividad, estos podrán entregarse a la red, en los términos que establezca la Comisión de Regulación de Energía y Gas (CREG) para tal fin.</w:t>
      </w:r>
    </w:p>
    <w:p w14:paraId="2F52F7A2" w14:textId="77777777" w:rsidR="00F73446" w:rsidRPr="000B3E8E" w:rsidRDefault="00F73446" w:rsidP="000B3E8E">
      <w:pPr>
        <w:widowControl w:val="0"/>
        <w:autoSpaceDE w:val="0"/>
        <w:autoSpaceDN w:val="0"/>
        <w:adjustRightInd w:val="0"/>
        <w:spacing w:after="0" w:line="240" w:lineRule="auto"/>
        <w:jc w:val="both"/>
        <w:rPr>
          <w:rFonts w:ascii="Arial" w:eastAsiaTheme="minorEastAsia" w:hAnsi="Arial" w:cs="Arial"/>
          <w:color w:val="000000" w:themeColor="text1"/>
          <w:sz w:val="18"/>
          <w:szCs w:val="18"/>
          <w:lang w:val="es-ES" w:eastAsia="es-ES"/>
        </w:rPr>
      </w:pPr>
      <w:r w:rsidRPr="000B3E8E">
        <w:rPr>
          <w:rFonts w:ascii="Arial" w:eastAsiaTheme="minorEastAsia" w:hAnsi="Arial" w:cs="Arial"/>
          <w:color w:val="000000" w:themeColor="text1"/>
          <w:sz w:val="18"/>
          <w:szCs w:val="18"/>
          <w:lang w:val="es-ES" w:eastAsia="es-ES"/>
        </w:rPr>
        <w:t>2. Autogeneración a gran escala. Autogeneración cuya potencia máxima supera el límite establecido por la Unidad de Planeación Minero-Energética (UPME).</w:t>
      </w:r>
    </w:p>
    <w:p w14:paraId="1CF2BD1F" w14:textId="77777777" w:rsidR="00F73446" w:rsidRPr="000B3E8E" w:rsidRDefault="00F73446" w:rsidP="000B3E8E">
      <w:pPr>
        <w:pBdr>
          <w:top w:val="nil"/>
          <w:left w:val="nil"/>
          <w:bottom w:val="nil"/>
          <w:right w:val="nil"/>
          <w:between w:val="nil"/>
        </w:pBdr>
        <w:spacing w:after="0" w:line="240" w:lineRule="auto"/>
        <w:jc w:val="both"/>
        <w:rPr>
          <w:rFonts w:ascii="Arial" w:eastAsiaTheme="minorEastAsia" w:hAnsi="Arial" w:cs="Arial"/>
          <w:color w:val="000000" w:themeColor="text1"/>
          <w:sz w:val="18"/>
          <w:szCs w:val="18"/>
          <w:lang w:val="es-ES" w:eastAsia="es-ES"/>
        </w:rPr>
      </w:pPr>
      <w:r w:rsidRPr="000B3E8E">
        <w:rPr>
          <w:rFonts w:ascii="Arial" w:eastAsiaTheme="minorEastAsia" w:hAnsi="Arial" w:cs="Arial"/>
          <w:color w:val="000000" w:themeColor="text1"/>
          <w:sz w:val="18"/>
          <w:szCs w:val="18"/>
          <w:lang w:val="es-ES" w:eastAsia="es-ES"/>
        </w:rPr>
        <w:t>3. Autogeneración a pequeña escala. Autogeneración cuya potencia máxima no supera el límite establecido por la Unidad de Planeación Minero-Energética (UPME).</w:t>
      </w:r>
    </w:p>
    <w:p w14:paraId="274E1BBD" w14:textId="77777777" w:rsidR="00F73446" w:rsidRPr="000B3E8E" w:rsidRDefault="00F73446" w:rsidP="000B3E8E">
      <w:pPr>
        <w:widowControl w:val="0"/>
        <w:autoSpaceDE w:val="0"/>
        <w:autoSpaceDN w:val="0"/>
        <w:adjustRightInd w:val="0"/>
        <w:spacing w:after="0" w:line="240" w:lineRule="auto"/>
        <w:jc w:val="both"/>
        <w:rPr>
          <w:rFonts w:ascii="Arial" w:eastAsiaTheme="minorEastAsia" w:hAnsi="Arial" w:cs="Arial"/>
          <w:color w:val="000000" w:themeColor="text1"/>
          <w:sz w:val="18"/>
          <w:szCs w:val="18"/>
          <w:lang w:val="es-ES" w:eastAsia="es-ES"/>
        </w:rPr>
      </w:pPr>
      <w:r w:rsidRPr="000B3E8E">
        <w:rPr>
          <w:rFonts w:ascii="Arial" w:eastAsiaTheme="minorEastAsia" w:hAnsi="Arial" w:cs="Arial"/>
          <w:color w:val="000000" w:themeColor="text1"/>
          <w:sz w:val="18"/>
          <w:szCs w:val="18"/>
          <w:lang w:val="es-ES" w:eastAsia="es-ES"/>
        </w:rPr>
        <w:t>(…)</w:t>
      </w:r>
    </w:p>
    <w:p w14:paraId="7A8AF474" w14:textId="77777777" w:rsidR="00F73446" w:rsidRPr="000B3E8E" w:rsidRDefault="00F73446" w:rsidP="000B3E8E">
      <w:pPr>
        <w:widowControl w:val="0"/>
        <w:autoSpaceDE w:val="0"/>
        <w:autoSpaceDN w:val="0"/>
        <w:adjustRightInd w:val="0"/>
        <w:spacing w:after="0" w:line="240" w:lineRule="auto"/>
        <w:jc w:val="both"/>
        <w:rPr>
          <w:rFonts w:ascii="Arial" w:eastAsiaTheme="minorEastAsia" w:hAnsi="Arial" w:cs="Arial"/>
          <w:color w:val="000000" w:themeColor="text1"/>
          <w:sz w:val="18"/>
          <w:szCs w:val="18"/>
          <w:lang w:val="es-ES" w:eastAsia="es-ES"/>
        </w:rPr>
      </w:pPr>
      <w:r w:rsidRPr="000B3E8E">
        <w:rPr>
          <w:rFonts w:ascii="Arial" w:eastAsiaTheme="minorEastAsia" w:hAnsi="Arial" w:cs="Arial"/>
          <w:color w:val="000000" w:themeColor="text1"/>
          <w:sz w:val="18"/>
          <w:szCs w:val="18"/>
          <w:lang w:val="es-ES" w:eastAsia="es-ES"/>
        </w:rPr>
        <w:t>10. Energía de pequeños aprovechamientos hidroeléctricos. Energía obtenida a partir de aquella fuente no convencional de energía renovable que se basa en los cuerpos de agua a pequeña escala.</w:t>
      </w:r>
    </w:p>
    <w:p w14:paraId="63DAB20A" w14:textId="7B8723A0" w:rsidR="00F73446" w:rsidRPr="000B3E8E" w:rsidRDefault="00F73446" w:rsidP="000B3E8E">
      <w:pPr>
        <w:pBdr>
          <w:top w:val="nil"/>
          <w:left w:val="nil"/>
          <w:bottom w:val="nil"/>
          <w:right w:val="nil"/>
          <w:between w:val="nil"/>
        </w:pBdr>
        <w:spacing w:after="0" w:line="240" w:lineRule="auto"/>
        <w:jc w:val="both"/>
        <w:rPr>
          <w:rFonts w:ascii="Arial" w:eastAsiaTheme="minorEastAsia" w:hAnsi="Arial" w:cs="Arial"/>
          <w:color w:val="000000" w:themeColor="text1"/>
          <w:sz w:val="18"/>
          <w:szCs w:val="18"/>
          <w:lang w:val="es-ES" w:eastAsia="es-ES"/>
        </w:rPr>
      </w:pPr>
      <w:r w:rsidRPr="000B3E8E">
        <w:rPr>
          <w:rFonts w:ascii="Arial" w:eastAsiaTheme="minorEastAsia" w:hAnsi="Arial" w:cs="Arial"/>
          <w:color w:val="000000" w:themeColor="text1"/>
          <w:sz w:val="18"/>
          <w:szCs w:val="18"/>
          <w:lang w:val="es-ES" w:eastAsia="es-ES"/>
        </w:rPr>
        <w:t>11. Energía eólica. Energía obtenida a partir de aquella fuente no convencional de energía renovable que consiste en el movimiento de las masas de aire.</w:t>
      </w:r>
    </w:p>
  </w:footnote>
  <w:footnote w:id="46">
    <w:p w14:paraId="57ED0D83" w14:textId="77777777" w:rsidR="00F73446" w:rsidRPr="000B3E8E" w:rsidRDefault="00F73446" w:rsidP="000B3E8E">
      <w:pPr>
        <w:widowControl w:val="0"/>
        <w:autoSpaceDE w:val="0"/>
        <w:autoSpaceDN w:val="0"/>
        <w:adjustRightInd w:val="0"/>
        <w:spacing w:after="0" w:line="240" w:lineRule="auto"/>
        <w:jc w:val="both"/>
        <w:rPr>
          <w:rFonts w:ascii="Arial" w:eastAsiaTheme="minorEastAsia" w:hAnsi="Arial" w:cs="Arial"/>
          <w:color w:val="000000" w:themeColor="text1"/>
          <w:sz w:val="18"/>
          <w:szCs w:val="18"/>
          <w:lang w:val="es-ES" w:eastAsia="es-ES"/>
        </w:rPr>
      </w:pPr>
      <w:r w:rsidRPr="000B3E8E">
        <w:rPr>
          <w:rStyle w:val="Refdenotaalpie"/>
          <w:rFonts w:ascii="Arial" w:hAnsi="Arial" w:cs="Arial"/>
          <w:color w:val="000000" w:themeColor="text1"/>
          <w:sz w:val="18"/>
          <w:szCs w:val="18"/>
        </w:rPr>
        <w:footnoteRef/>
      </w:r>
      <w:r w:rsidRPr="000B3E8E">
        <w:rPr>
          <w:rFonts w:ascii="Arial" w:hAnsi="Arial" w:cs="Arial"/>
          <w:color w:val="000000" w:themeColor="text1"/>
          <w:sz w:val="18"/>
          <w:szCs w:val="18"/>
        </w:rPr>
        <w:t xml:space="preserve"> Ley 1955 de 2019 </w:t>
      </w:r>
      <w:r w:rsidRPr="000B3E8E">
        <w:rPr>
          <w:rFonts w:ascii="Arial" w:eastAsiaTheme="minorEastAsia" w:hAnsi="Arial" w:cs="Arial"/>
          <w:bCs/>
          <w:color w:val="000000" w:themeColor="text1"/>
          <w:sz w:val="18"/>
          <w:szCs w:val="18"/>
          <w:lang w:val="es-ES" w:eastAsia="es-ES"/>
        </w:rPr>
        <w:t>ARTÍCULO 287. SERVICIO PÚBLICO DOMICILIARIO DE ENERGÍA ELÉCTRICA EN ZONAS NO INTERCONECTADAS (ZNI).</w:t>
      </w:r>
      <w:r w:rsidRPr="000B3E8E">
        <w:rPr>
          <w:rFonts w:ascii="Arial" w:eastAsiaTheme="minorEastAsia" w:hAnsi="Arial" w:cs="Arial"/>
          <w:color w:val="000000" w:themeColor="text1"/>
          <w:sz w:val="18"/>
          <w:szCs w:val="18"/>
          <w:lang w:val="es-ES" w:eastAsia="es-ES"/>
        </w:rPr>
        <w:t xml:space="preserve"> El Servicio Público Domiciliario de Energía Eléctrica en ZNI es el transporte de energía eléctrica desde la barra de entrega de energía de un Generador al Sistema de Distribución hasta el domicilio del usuario final, incluida su conexión y medición. El suministro de energía eléctrica a un domicilio mediante soluciones individuales de generación también se considera, servicio público domiciliario de energía eléctrica en ZNI.</w:t>
      </w:r>
    </w:p>
    <w:p w14:paraId="3C2C394D" w14:textId="77777777" w:rsidR="00F73446" w:rsidRPr="000B3E8E" w:rsidRDefault="00F73446" w:rsidP="000B3E8E">
      <w:pPr>
        <w:widowControl w:val="0"/>
        <w:autoSpaceDE w:val="0"/>
        <w:autoSpaceDN w:val="0"/>
        <w:adjustRightInd w:val="0"/>
        <w:spacing w:after="0" w:line="240" w:lineRule="auto"/>
        <w:jc w:val="both"/>
        <w:rPr>
          <w:rFonts w:ascii="Arial" w:eastAsiaTheme="minorEastAsia" w:hAnsi="Arial" w:cs="Arial"/>
          <w:color w:val="000000" w:themeColor="text1"/>
          <w:sz w:val="18"/>
          <w:szCs w:val="18"/>
          <w:lang w:val="es-ES" w:eastAsia="es-ES"/>
        </w:rPr>
      </w:pPr>
      <w:r w:rsidRPr="000B3E8E">
        <w:rPr>
          <w:rFonts w:ascii="Arial" w:eastAsiaTheme="minorEastAsia" w:hAnsi="Arial" w:cs="Arial"/>
          <w:color w:val="000000" w:themeColor="text1"/>
          <w:sz w:val="18"/>
          <w:szCs w:val="18"/>
          <w:lang w:val="es-ES" w:eastAsia="es-ES"/>
        </w:rPr>
        <w:t>Los recursos del Fondo de Apoyo Financiero para la Energización de las Zonas No Interconectadas (</w:t>
      </w:r>
      <w:proofErr w:type="spellStart"/>
      <w:r w:rsidRPr="000B3E8E">
        <w:rPr>
          <w:rFonts w:ascii="Arial" w:eastAsiaTheme="minorEastAsia" w:hAnsi="Arial" w:cs="Arial"/>
          <w:color w:val="000000" w:themeColor="text1"/>
          <w:sz w:val="18"/>
          <w:szCs w:val="18"/>
          <w:lang w:val="es-ES" w:eastAsia="es-ES"/>
        </w:rPr>
        <w:t>Fazni</w:t>
      </w:r>
      <w:proofErr w:type="spellEnd"/>
      <w:r w:rsidRPr="000B3E8E">
        <w:rPr>
          <w:rFonts w:ascii="Arial" w:eastAsiaTheme="minorEastAsia" w:hAnsi="Arial" w:cs="Arial"/>
          <w:color w:val="000000" w:themeColor="text1"/>
          <w:sz w:val="18"/>
          <w:szCs w:val="18"/>
          <w:lang w:val="es-ES" w:eastAsia="es-ES"/>
        </w:rPr>
        <w:t>), y del Fondo de Apoyo Financiero para la Energización de las Zonas Rurales Interconectadas (FAER) se podrán utilizar para la reposición de los activos necesarios para la prestación de este servicio.</w:t>
      </w:r>
    </w:p>
    <w:p w14:paraId="079F093B" w14:textId="77777777" w:rsidR="00F73446" w:rsidRPr="000B3E8E" w:rsidRDefault="00F73446" w:rsidP="000B3E8E">
      <w:pPr>
        <w:pBdr>
          <w:top w:val="nil"/>
          <w:left w:val="nil"/>
          <w:bottom w:val="nil"/>
          <w:right w:val="nil"/>
          <w:between w:val="nil"/>
        </w:pBdr>
        <w:spacing w:after="0" w:line="240" w:lineRule="auto"/>
        <w:jc w:val="both"/>
        <w:rPr>
          <w:rFonts w:ascii="Arial" w:eastAsia="Times New Roman" w:hAnsi="Arial" w:cs="Arial"/>
          <w:color w:val="000000" w:themeColor="text1"/>
          <w:sz w:val="18"/>
          <w:szCs w:val="18"/>
          <w:lang w:val="es-CO" w:eastAsia="es-ES_tradnl"/>
        </w:rPr>
      </w:pPr>
      <w:r w:rsidRPr="000B3E8E">
        <w:rPr>
          <w:rFonts w:ascii="Arial" w:eastAsiaTheme="minorEastAsia" w:hAnsi="Arial" w:cs="Arial"/>
          <w:color w:val="000000" w:themeColor="text1"/>
          <w:sz w:val="18"/>
          <w:szCs w:val="18"/>
          <w:lang w:val="es-ES" w:eastAsia="es-ES"/>
        </w:rPr>
        <w:t>El Fondo de Energías no Convencionales y Gestión Eficiente de la Energía (</w:t>
      </w:r>
      <w:proofErr w:type="spellStart"/>
      <w:r w:rsidRPr="000B3E8E">
        <w:rPr>
          <w:rFonts w:ascii="Arial" w:eastAsiaTheme="minorEastAsia" w:hAnsi="Arial" w:cs="Arial"/>
          <w:color w:val="000000" w:themeColor="text1"/>
          <w:sz w:val="18"/>
          <w:szCs w:val="18"/>
          <w:lang w:val="es-ES" w:eastAsia="es-ES"/>
        </w:rPr>
        <w:t>Fenoge</w:t>
      </w:r>
      <w:proofErr w:type="spellEnd"/>
      <w:r w:rsidRPr="000B3E8E">
        <w:rPr>
          <w:rFonts w:ascii="Arial" w:eastAsiaTheme="minorEastAsia" w:hAnsi="Arial" w:cs="Arial"/>
          <w:color w:val="000000" w:themeColor="text1"/>
          <w:sz w:val="18"/>
          <w:szCs w:val="18"/>
          <w:lang w:val="es-ES" w:eastAsia="es-ES"/>
        </w:rPr>
        <w:t xml:space="preserve">) podrá financiar proyectos de gestión eficiente de la energía y sistemas individuales de autogeneración con FNCE en ZNI y en el Sistema Interconectado Nacional, incluyendo el mantenimiento y reposición de equipos y la transferencia del dominio de los activos a los beneficiarios de los respectivos proyectos. Estas soluciones no serán objeto de asignación de subsidios de los que trata el artículo </w:t>
      </w:r>
      <w:hyperlink r:id="rId6" w:anchor="99" w:history="1">
        <w:r w:rsidRPr="000B3E8E">
          <w:rPr>
            <w:rFonts w:ascii="Arial" w:eastAsiaTheme="minorEastAsia" w:hAnsi="Arial" w:cs="Arial"/>
            <w:color w:val="000000" w:themeColor="text1"/>
            <w:sz w:val="18"/>
            <w:szCs w:val="18"/>
            <w:lang w:val="es-ES" w:eastAsia="es-ES"/>
          </w:rPr>
          <w:t>99</w:t>
        </w:r>
      </w:hyperlink>
      <w:r w:rsidRPr="000B3E8E">
        <w:rPr>
          <w:rFonts w:ascii="Arial" w:eastAsiaTheme="minorEastAsia" w:hAnsi="Arial" w:cs="Arial"/>
          <w:color w:val="000000" w:themeColor="text1"/>
          <w:sz w:val="18"/>
          <w:szCs w:val="18"/>
          <w:lang w:val="es-ES" w:eastAsia="es-ES"/>
        </w:rPr>
        <w:t xml:space="preserve"> de la Ley 142 de 1994.</w:t>
      </w:r>
    </w:p>
    <w:p w14:paraId="7B31D021" w14:textId="77777777" w:rsidR="00F73446" w:rsidRPr="000B3E8E" w:rsidRDefault="00F73446" w:rsidP="000B3E8E">
      <w:pPr>
        <w:pStyle w:val="Textonotapie"/>
        <w:jc w:val="both"/>
        <w:rPr>
          <w:rFonts w:ascii="Arial" w:hAnsi="Arial" w:cs="Arial"/>
          <w:color w:val="000000" w:themeColor="text1"/>
          <w:sz w:val="18"/>
          <w:szCs w:val="18"/>
          <w:lang w:val="es-ES_tradnl"/>
        </w:rPr>
      </w:pPr>
    </w:p>
  </w:footnote>
  <w:footnote w:id="47">
    <w:p w14:paraId="5D9332BE" w14:textId="77777777" w:rsidR="00F73446" w:rsidRPr="000B3E8E" w:rsidRDefault="00F73446" w:rsidP="000B3E8E">
      <w:pPr>
        <w:widowControl w:val="0"/>
        <w:autoSpaceDE w:val="0"/>
        <w:autoSpaceDN w:val="0"/>
        <w:adjustRightInd w:val="0"/>
        <w:spacing w:after="0" w:line="240" w:lineRule="auto"/>
        <w:jc w:val="both"/>
        <w:rPr>
          <w:rFonts w:ascii="Arial" w:eastAsiaTheme="minorEastAsia" w:hAnsi="Arial" w:cs="Arial"/>
          <w:i/>
          <w:color w:val="000000" w:themeColor="text1"/>
          <w:sz w:val="18"/>
          <w:szCs w:val="18"/>
          <w:lang w:val="es-ES" w:eastAsia="es-ES"/>
        </w:rPr>
      </w:pPr>
      <w:r w:rsidRPr="000B3E8E">
        <w:rPr>
          <w:rStyle w:val="Refdenotaalpie"/>
          <w:rFonts w:ascii="Arial" w:hAnsi="Arial" w:cs="Arial"/>
          <w:color w:val="000000" w:themeColor="text1"/>
          <w:sz w:val="18"/>
          <w:szCs w:val="18"/>
        </w:rPr>
        <w:footnoteRef/>
      </w:r>
      <w:r w:rsidRPr="000B3E8E">
        <w:rPr>
          <w:rFonts w:ascii="Arial" w:hAnsi="Arial" w:cs="Arial"/>
          <w:color w:val="000000" w:themeColor="text1"/>
          <w:sz w:val="18"/>
          <w:szCs w:val="18"/>
        </w:rPr>
        <w:t xml:space="preserve"> Ley 142 de 1994 </w:t>
      </w:r>
      <w:r w:rsidRPr="000B3E8E">
        <w:rPr>
          <w:rFonts w:ascii="Arial" w:hAnsi="Arial" w:cs="Arial"/>
          <w:i/>
          <w:color w:val="000000" w:themeColor="text1"/>
          <w:sz w:val="18"/>
          <w:szCs w:val="18"/>
        </w:rPr>
        <w:t>“</w:t>
      </w:r>
      <w:r w:rsidRPr="000B3E8E">
        <w:rPr>
          <w:rFonts w:ascii="Arial" w:eastAsiaTheme="minorEastAsia" w:hAnsi="Arial" w:cs="Arial"/>
          <w:b/>
          <w:bCs/>
          <w:i/>
          <w:color w:val="000000" w:themeColor="text1"/>
          <w:sz w:val="18"/>
          <w:szCs w:val="18"/>
          <w:lang w:val="es-ES" w:eastAsia="es-ES"/>
        </w:rPr>
        <w:t>ARTÍCULO 126. VIGENCIA DE LAS FÓRMULAS DE TARIFAS.</w:t>
      </w:r>
      <w:r w:rsidRPr="000B3E8E">
        <w:rPr>
          <w:rFonts w:ascii="Arial" w:eastAsiaTheme="minorEastAsia" w:hAnsi="Arial" w:cs="Arial"/>
          <w:i/>
          <w:color w:val="000000" w:themeColor="text1"/>
          <w:sz w:val="18"/>
          <w:szCs w:val="18"/>
          <w:lang w:val="es-ES" w:eastAsia="es-ES"/>
        </w:rPr>
        <w:t xml:space="preserve"> Las fórmulas tarifarias tendrán una vigencia de cinco años, salvo que antes haya acuerdo entre la empresa de servicios públicos y la comisión para modificarlas o prorrogarlas por un período igual. Excepcionalmente podrán modificarse, de oficio o a petición de parte, antes del plazo indicado cuando sea evidente que se cometieron graves errores en su cálculo, que lesionan injustamente los intereses de los usuarios o de la empresa; o que ha habido razones de caso fortuito o fuerza mayor que comprometen en forma grave la capacidad financiera de la empresa para continuar prestando el servicio en las condiciones tarifarias previstas.  </w:t>
      </w:r>
    </w:p>
    <w:p w14:paraId="12D5428A" w14:textId="37731954" w:rsidR="00F73446" w:rsidRPr="000B3E8E" w:rsidRDefault="00F73446" w:rsidP="000B3E8E">
      <w:pPr>
        <w:widowControl w:val="0"/>
        <w:autoSpaceDE w:val="0"/>
        <w:autoSpaceDN w:val="0"/>
        <w:adjustRightInd w:val="0"/>
        <w:spacing w:after="0" w:line="240" w:lineRule="auto"/>
        <w:jc w:val="both"/>
        <w:rPr>
          <w:rFonts w:ascii="Arial" w:eastAsiaTheme="minorEastAsia" w:hAnsi="Arial" w:cs="Arial"/>
          <w:i/>
          <w:color w:val="000000" w:themeColor="text1"/>
          <w:sz w:val="18"/>
          <w:szCs w:val="18"/>
          <w:lang w:val="es-ES" w:eastAsia="es-ES"/>
        </w:rPr>
      </w:pPr>
      <w:r w:rsidRPr="000B3E8E">
        <w:rPr>
          <w:rFonts w:ascii="Arial" w:eastAsiaTheme="minorEastAsia" w:hAnsi="Arial" w:cs="Arial"/>
          <w:i/>
          <w:color w:val="000000" w:themeColor="text1"/>
          <w:sz w:val="18"/>
          <w:szCs w:val="18"/>
          <w:lang w:val="es-ES" w:eastAsia="es-ES"/>
        </w:rPr>
        <w:t>Vencido el período de vigencia de las fórmulas tarifarias, continuarán rigiendo mientras la comisión no fije las nuevas.</w:t>
      </w:r>
    </w:p>
    <w:p w14:paraId="658A2DAF" w14:textId="4747F7D2" w:rsidR="00F73446" w:rsidRPr="000B3E8E" w:rsidRDefault="00F73446" w:rsidP="000B3E8E">
      <w:pPr>
        <w:spacing w:after="0" w:line="240" w:lineRule="auto"/>
        <w:jc w:val="both"/>
        <w:rPr>
          <w:rFonts w:ascii="Arial" w:hAnsi="Arial" w:cs="Arial"/>
          <w:i/>
          <w:color w:val="000000" w:themeColor="text1"/>
          <w:sz w:val="18"/>
          <w:szCs w:val="18"/>
        </w:rPr>
      </w:pPr>
      <w:r w:rsidRPr="000B3E8E">
        <w:rPr>
          <w:rFonts w:ascii="Arial" w:eastAsiaTheme="minorEastAsia" w:hAnsi="Arial" w:cs="Arial"/>
          <w:b/>
          <w:bCs/>
          <w:i/>
          <w:color w:val="000000" w:themeColor="text1"/>
          <w:sz w:val="18"/>
          <w:szCs w:val="18"/>
          <w:lang w:val="es-ES" w:eastAsia="es-ES"/>
        </w:rPr>
        <w:t>ARTÍCULO 127. INICIO DE LA ACTUACIÓN ADMINISTRATIVA PARA FIJAR NUEVAS TARIFAS.</w:t>
      </w:r>
      <w:r w:rsidRPr="000B3E8E">
        <w:rPr>
          <w:rFonts w:ascii="Arial" w:eastAsiaTheme="minorEastAsia" w:hAnsi="Arial" w:cs="Arial"/>
          <w:i/>
          <w:color w:val="000000" w:themeColor="text1"/>
          <w:sz w:val="18"/>
          <w:szCs w:val="18"/>
          <w:lang w:val="es-ES" w:eastAsia="es-ES"/>
        </w:rPr>
        <w:t xml:space="preserve"> Antes de doce meses de la fecha prevista para que termine la vigencia de las fórmulas tarifarias, la comisión deberá poner en conocimiento de las empresas de servicios públicos las bases sobre las cuales efectuará el estudio para determinar las fórmulas del período siguiente. Después, se aplicará lo previsto en el artículo </w:t>
      </w:r>
      <w:hyperlink r:id="rId7" w:anchor="124" w:history="1">
        <w:r w:rsidRPr="000B3E8E">
          <w:rPr>
            <w:rFonts w:ascii="Arial" w:eastAsiaTheme="minorEastAsia" w:hAnsi="Arial" w:cs="Arial"/>
            <w:i/>
            <w:color w:val="000000" w:themeColor="text1"/>
            <w:sz w:val="18"/>
            <w:szCs w:val="18"/>
            <w:lang w:val="es-ES" w:eastAsia="es-ES"/>
          </w:rPr>
          <w:t>124</w:t>
        </w:r>
      </w:hyperlink>
      <w:r w:rsidRPr="000B3E8E">
        <w:rPr>
          <w:rFonts w:ascii="Arial" w:eastAsiaTheme="minorEastAsia" w:hAnsi="Arial" w:cs="Arial"/>
          <w:i/>
          <w:color w:val="000000" w:themeColor="text1"/>
          <w:sz w:val="18"/>
          <w:szCs w:val="18"/>
          <w:lang w:val="es-ES" w:eastAsia="es-ES"/>
        </w:rPr>
        <w:t>.”</w:t>
      </w:r>
    </w:p>
  </w:footnote>
  <w:footnote w:id="48">
    <w:p w14:paraId="18A28478" w14:textId="627BB010" w:rsidR="00F73446" w:rsidRPr="000B3E8E" w:rsidRDefault="00F73446" w:rsidP="000B3E8E">
      <w:pPr>
        <w:widowControl w:val="0"/>
        <w:autoSpaceDE w:val="0"/>
        <w:autoSpaceDN w:val="0"/>
        <w:adjustRightInd w:val="0"/>
        <w:spacing w:after="0" w:line="240" w:lineRule="auto"/>
        <w:jc w:val="both"/>
        <w:rPr>
          <w:rFonts w:ascii="Arial" w:eastAsiaTheme="minorEastAsia" w:hAnsi="Arial" w:cs="Arial"/>
          <w:i/>
          <w:color w:val="000000" w:themeColor="text1"/>
          <w:sz w:val="18"/>
          <w:szCs w:val="18"/>
          <w:lang w:val="es-ES" w:eastAsia="es-ES"/>
        </w:rPr>
      </w:pPr>
      <w:r w:rsidRPr="000B3E8E">
        <w:rPr>
          <w:rStyle w:val="Refdenotaalpie"/>
          <w:rFonts w:ascii="Arial" w:hAnsi="Arial" w:cs="Arial"/>
          <w:color w:val="000000" w:themeColor="text1"/>
          <w:sz w:val="18"/>
          <w:szCs w:val="18"/>
        </w:rPr>
        <w:footnoteRef/>
      </w:r>
      <w:r w:rsidRPr="000B3E8E">
        <w:rPr>
          <w:rFonts w:ascii="Arial" w:hAnsi="Arial" w:cs="Arial"/>
          <w:color w:val="000000" w:themeColor="text1"/>
          <w:sz w:val="18"/>
          <w:szCs w:val="18"/>
        </w:rPr>
        <w:t xml:space="preserve"> Resolución CREG 039 de 2017. </w:t>
      </w:r>
      <w:r w:rsidRPr="000B3E8E">
        <w:rPr>
          <w:rFonts w:ascii="Arial" w:hAnsi="Arial" w:cs="Arial"/>
          <w:i/>
          <w:color w:val="000000" w:themeColor="text1"/>
          <w:sz w:val="18"/>
          <w:szCs w:val="18"/>
        </w:rPr>
        <w:t>“</w:t>
      </w:r>
      <w:r w:rsidRPr="000B3E8E">
        <w:rPr>
          <w:rFonts w:ascii="Arial" w:eastAsiaTheme="minorEastAsia" w:hAnsi="Arial" w:cs="Arial"/>
          <w:b/>
          <w:bCs/>
          <w:i/>
          <w:color w:val="000000" w:themeColor="text1"/>
          <w:sz w:val="18"/>
          <w:szCs w:val="18"/>
          <w:lang w:val="es-ES" w:eastAsia="es-ES"/>
        </w:rPr>
        <w:t xml:space="preserve">Artículo 35o. </w:t>
      </w:r>
      <w:r w:rsidRPr="000B3E8E">
        <w:rPr>
          <w:rFonts w:ascii="Arial" w:eastAsiaTheme="minorEastAsia" w:hAnsi="Arial" w:cs="Arial"/>
          <w:i/>
          <w:color w:val="000000" w:themeColor="text1"/>
          <w:sz w:val="18"/>
          <w:szCs w:val="18"/>
          <w:lang w:val="es-ES" w:eastAsia="es-ES"/>
        </w:rPr>
        <w:t>Reglas especiales de difusión para la adopción de fórmulas tarifarias con una vigencia de cinco (5) años. Cuando la Comisión adopte fórmulas tarifarias con una vigencia de cinco años, para los servicios de energía eléctrica y gas combustible, de acuerdo con lo establecido en los artículos 126 y 127 de la Ley 142 de 1994, deberá observar las siguientes reglas:</w:t>
      </w:r>
    </w:p>
    <w:p w14:paraId="2DC0BD26" w14:textId="77777777" w:rsidR="00F73446" w:rsidRPr="000B3E8E" w:rsidRDefault="00F73446" w:rsidP="000B3E8E">
      <w:pPr>
        <w:widowControl w:val="0"/>
        <w:autoSpaceDE w:val="0"/>
        <w:autoSpaceDN w:val="0"/>
        <w:adjustRightInd w:val="0"/>
        <w:spacing w:after="0" w:line="240" w:lineRule="auto"/>
        <w:jc w:val="both"/>
        <w:rPr>
          <w:rFonts w:ascii="Arial" w:eastAsiaTheme="minorEastAsia" w:hAnsi="Arial" w:cs="Arial"/>
          <w:i/>
          <w:color w:val="000000" w:themeColor="text1"/>
          <w:sz w:val="18"/>
          <w:szCs w:val="18"/>
          <w:lang w:val="es-ES" w:eastAsia="es-ES"/>
        </w:rPr>
      </w:pPr>
      <w:r w:rsidRPr="000B3E8E">
        <w:rPr>
          <w:rFonts w:ascii="Arial" w:eastAsiaTheme="minorEastAsia" w:hAnsi="Arial" w:cs="Arial"/>
          <w:i/>
          <w:color w:val="000000" w:themeColor="text1"/>
          <w:sz w:val="18"/>
          <w:szCs w:val="18"/>
          <w:lang w:val="es-ES" w:eastAsia="es-ES"/>
        </w:rPr>
        <w:t>1. Antes de doce (12) meses de la fecha prevista para que termine la vigencia de las fórmulas tarifarias, la Comisión deberá poner en conocimiento de las entidades prestadoras y de los usuarios, las bases sobre las cuales efectuará el estudio para determinar las fórmulas del período siguiente.</w:t>
      </w:r>
    </w:p>
    <w:p w14:paraId="68580E1B" w14:textId="247B2B74" w:rsidR="00F73446" w:rsidRPr="000B3E8E" w:rsidRDefault="00F73446" w:rsidP="000B3E8E">
      <w:pPr>
        <w:widowControl w:val="0"/>
        <w:autoSpaceDE w:val="0"/>
        <w:autoSpaceDN w:val="0"/>
        <w:adjustRightInd w:val="0"/>
        <w:spacing w:after="0" w:line="240" w:lineRule="auto"/>
        <w:jc w:val="both"/>
        <w:rPr>
          <w:rFonts w:ascii="Arial" w:eastAsiaTheme="minorEastAsia" w:hAnsi="Arial" w:cs="Arial"/>
          <w:i/>
          <w:color w:val="000000" w:themeColor="text1"/>
          <w:sz w:val="18"/>
          <w:szCs w:val="18"/>
          <w:lang w:val="es-ES" w:eastAsia="es-ES"/>
        </w:rPr>
      </w:pPr>
      <w:r w:rsidRPr="000B3E8E">
        <w:rPr>
          <w:rFonts w:ascii="Arial" w:eastAsiaTheme="minorEastAsia" w:hAnsi="Arial" w:cs="Arial"/>
          <w:i/>
          <w:color w:val="000000" w:themeColor="text1"/>
          <w:sz w:val="18"/>
          <w:szCs w:val="18"/>
          <w:lang w:val="es-ES" w:eastAsia="es-ES"/>
        </w:rPr>
        <w:t>2. Las bases sobre las cuales se efectuará el estudio para determinar las fórmulas deberán cubrir como mínimo los siguientes puntos:</w:t>
      </w:r>
    </w:p>
    <w:p w14:paraId="545DF9DD" w14:textId="31DD23AB" w:rsidR="00F73446" w:rsidRPr="000B3E8E" w:rsidRDefault="00F73446" w:rsidP="000B3E8E">
      <w:pPr>
        <w:widowControl w:val="0"/>
        <w:tabs>
          <w:tab w:val="left" w:pos="220"/>
          <w:tab w:val="left" w:pos="720"/>
        </w:tabs>
        <w:autoSpaceDE w:val="0"/>
        <w:autoSpaceDN w:val="0"/>
        <w:adjustRightInd w:val="0"/>
        <w:spacing w:after="0" w:line="240" w:lineRule="auto"/>
        <w:jc w:val="both"/>
        <w:rPr>
          <w:rFonts w:ascii="Arial" w:eastAsiaTheme="minorEastAsia" w:hAnsi="Arial" w:cs="Arial"/>
          <w:i/>
          <w:color w:val="000000" w:themeColor="text1"/>
          <w:sz w:val="18"/>
          <w:szCs w:val="18"/>
          <w:lang w:val="es-ES" w:eastAsia="es-ES"/>
        </w:rPr>
      </w:pPr>
      <w:r w:rsidRPr="000B3E8E">
        <w:rPr>
          <w:rFonts w:ascii="Arial" w:eastAsiaTheme="minorEastAsia" w:hAnsi="Arial" w:cs="Arial"/>
          <w:i/>
          <w:color w:val="000000" w:themeColor="text1"/>
          <w:sz w:val="18"/>
          <w:szCs w:val="18"/>
          <w:lang w:val="es-ES" w:eastAsia="es-ES"/>
        </w:rPr>
        <w:t xml:space="preserve">i).- Aspectos generales del tipo de regulación a aplicar; ii) Aspectos básicos del criterio de eficiencia; </w:t>
      </w:r>
      <w:r w:rsidRPr="000B3E8E">
        <w:rPr>
          <w:rFonts w:ascii="Tahoma" w:eastAsiaTheme="minorEastAsia" w:hAnsi="Tahoma" w:cs="Tahoma"/>
          <w:i/>
          <w:color w:val="000000" w:themeColor="text1"/>
          <w:sz w:val="18"/>
          <w:szCs w:val="18"/>
          <w:lang w:val="es-ES" w:eastAsia="es-ES"/>
        </w:rPr>
        <w:t> </w:t>
      </w:r>
      <w:r w:rsidRPr="000B3E8E">
        <w:rPr>
          <w:rFonts w:ascii="Arial" w:eastAsiaTheme="minorEastAsia" w:hAnsi="Arial" w:cs="Arial"/>
          <w:i/>
          <w:color w:val="000000" w:themeColor="text1"/>
          <w:sz w:val="18"/>
          <w:szCs w:val="18"/>
          <w:lang w:val="es-ES" w:eastAsia="es-ES"/>
        </w:rPr>
        <w:t xml:space="preserve">iii) Criterios para temas relacionados con costos y gastos; </w:t>
      </w:r>
      <w:r w:rsidRPr="000B3E8E">
        <w:rPr>
          <w:rFonts w:ascii="Tahoma" w:eastAsiaTheme="minorEastAsia" w:hAnsi="Tahoma" w:cs="Tahoma"/>
          <w:i/>
          <w:color w:val="000000" w:themeColor="text1"/>
          <w:sz w:val="18"/>
          <w:szCs w:val="18"/>
          <w:lang w:val="es-ES" w:eastAsia="es-ES"/>
        </w:rPr>
        <w:t> </w:t>
      </w:r>
      <w:r w:rsidRPr="000B3E8E">
        <w:rPr>
          <w:rFonts w:ascii="Arial" w:eastAsiaTheme="minorEastAsia" w:hAnsi="Arial" w:cs="Arial"/>
          <w:i/>
          <w:color w:val="000000" w:themeColor="text1"/>
          <w:sz w:val="18"/>
          <w:szCs w:val="18"/>
          <w:lang w:val="es-ES" w:eastAsia="es-ES"/>
        </w:rPr>
        <w:t xml:space="preserve">iv) Criterios relacionados con calidad del servicio; </w:t>
      </w:r>
      <w:r w:rsidRPr="000B3E8E">
        <w:rPr>
          <w:rFonts w:ascii="Tahoma" w:eastAsiaTheme="minorEastAsia" w:hAnsi="Tahoma" w:cs="Tahoma"/>
          <w:i/>
          <w:color w:val="000000" w:themeColor="text1"/>
          <w:sz w:val="18"/>
          <w:szCs w:val="18"/>
          <w:lang w:val="es-ES" w:eastAsia="es-ES"/>
        </w:rPr>
        <w:t> </w:t>
      </w:r>
      <w:r w:rsidRPr="000B3E8E">
        <w:rPr>
          <w:rFonts w:ascii="Arial" w:eastAsiaTheme="minorEastAsia" w:hAnsi="Arial" w:cs="Arial"/>
          <w:i/>
          <w:color w:val="000000" w:themeColor="text1"/>
          <w:sz w:val="18"/>
          <w:szCs w:val="18"/>
          <w:lang w:val="es-ES" w:eastAsia="es-ES"/>
        </w:rPr>
        <w:t xml:space="preserve">v) Criterios para remunerar el patrimonio de los accionistas; </w:t>
      </w:r>
      <w:r w:rsidRPr="000B3E8E">
        <w:rPr>
          <w:rFonts w:ascii="Tahoma" w:eastAsiaTheme="minorEastAsia" w:hAnsi="Tahoma" w:cs="Tahoma"/>
          <w:i/>
          <w:color w:val="000000" w:themeColor="text1"/>
          <w:sz w:val="18"/>
          <w:szCs w:val="18"/>
          <w:lang w:val="es-ES" w:eastAsia="es-ES"/>
        </w:rPr>
        <w:t> </w:t>
      </w:r>
      <w:r w:rsidRPr="000B3E8E">
        <w:rPr>
          <w:rFonts w:ascii="Arial" w:eastAsiaTheme="minorEastAsia" w:hAnsi="Arial" w:cs="Arial"/>
          <w:i/>
          <w:color w:val="000000" w:themeColor="text1"/>
          <w:sz w:val="18"/>
          <w:szCs w:val="18"/>
          <w:lang w:val="es-ES" w:eastAsia="es-ES"/>
        </w:rPr>
        <w:t>vi) Los demás criterios tarifarios contenidos en la ley.</w:t>
      </w:r>
    </w:p>
    <w:p w14:paraId="34477033" w14:textId="77777777" w:rsidR="00F73446" w:rsidRPr="000B3E8E" w:rsidRDefault="00F73446" w:rsidP="000B3E8E">
      <w:pPr>
        <w:widowControl w:val="0"/>
        <w:autoSpaceDE w:val="0"/>
        <w:autoSpaceDN w:val="0"/>
        <w:adjustRightInd w:val="0"/>
        <w:spacing w:after="0" w:line="240" w:lineRule="auto"/>
        <w:jc w:val="both"/>
        <w:rPr>
          <w:rFonts w:ascii="Arial" w:eastAsiaTheme="minorEastAsia" w:hAnsi="Arial" w:cs="Arial"/>
          <w:i/>
          <w:color w:val="000000" w:themeColor="text1"/>
          <w:sz w:val="18"/>
          <w:szCs w:val="18"/>
          <w:lang w:val="es-ES" w:eastAsia="es-ES"/>
        </w:rPr>
      </w:pPr>
      <w:r w:rsidRPr="000B3E8E">
        <w:rPr>
          <w:rFonts w:ascii="Arial" w:eastAsiaTheme="minorEastAsia" w:hAnsi="Arial" w:cs="Arial"/>
          <w:i/>
          <w:color w:val="000000" w:themeColor="text1"/>
          <w:sz w:val="18"/>
          <w:szCs w:val="18"/>
          <w:lang w:val="es-ES" w:eastAsia="es-ES"/>
        </w:rPr>
        <w:t>3. Los resultados obtenidos del estudio que se adelante para la adopción de las fórmulas a las que se refiere el presente artículo, se harán públicos a medida que sean recibidos por la Comisión, advirtiendo que son elementos de juicio para esta y que, en consecuencia, no la comprometen.</w:t>
      </w:r>
    </w:p>
    <w:p w14:paraId="33A810FF" w14:textId="77777777" w:rsidR="00F73446" w:rsidRPr="000B3E8E" w:rsidRDefault="00F73446" w:rsidP="000B3E8E">
      <w:pPr>
        <w:widowControl w:val="0"/>
        <w:autoSpaceDE w:val="0"/>
        <w:autoSpaceDN w:val="0"/>
        <w:adjustRightInd w:val="0"/>
        <w:spacing w:after="0" w:line="240" w:lineRule="auto"/>
        <w:jc w:val="both"/>
        <w:rPr>
          <w:rFonts w:ascii="Arial" w:eastAsiaTheme="minorEastAsia" w:hAnsi="Arial" w:cs="Arial"/>
          <w:i/>
          <w:color w:val="000000" w:themeColor="text1"/>
          <w:sz w:val="18"/>
          <w:szCs w:val="18"/>
          <w:lang w:val="es-ES" w:eastAsia="es-ES"/>
        </w:rPr>
      </w:pPr>
      <w:r w:rsidRPr="000B3E8E">
        <w:rPr>
          <w:rFonts w:ascii="Arial" w:eastAsiaTheme="minorEastAsia" w:hAnsi="Arial" w:cs="Arial"/>
          <w:i/>
          <w:color w:val="000000" w:themeColor="text1"/>
          <w:sz w:val="18"/>
          <w:szCs w:val="18"/>
          <w:lang w:val="es-ES" w:eastAsia="es-ES"/>
        </w:rPr>
        <w:t>4. Tres (3) meses antes de la fecha prevista para que inicie el periodo de vigencia de las fórmulas tarifarias, se deberán hacer públicos en la página Web de la Comisión los proyectos de metodologías y de fórmulas, los estudios respectivos y los textos de los proyectos de resoluciones.</w:t>
      </w:r>
    </w:p>
    <w:p w14:paraId="51A0D084" w14:textId="77777777" w:rsidR="00F73446" w:rsidRPr="000B3E8E" w:rsidRDefault="00F73446" w:rsidP="000B3E8E">
      <w:pPr>
        <w:widowControl w:val="0"/>
        <w:autoSpaceDE w:val="0"/>
        <w:autoSpaceDN w:val="0"/>
        <w:adjustRightInd w:val="0"/>
        <w:spacing w:after="0" w:line="240" w:lineRule="auto"/>
        <w:jc w:val="both"/>
        <w:rPr>
          <w:rFonts w:ascii="Arial" w:eastAsiaTheme="minorEastAsia" w:hAnsi="Arial" w:cs="Arial"/>
          <w:i/>
          <w:color w:val="000000" w:themeColor="text1"/>
          <w:sz w:val="18"/>
          <w:szCs w:val="18"/>
          <w:lang w:val="es-ES" w:eastAsia="es-ES"/>
        </w:rPr>
      </w:pPr>
      <w:r w:rsidRPr="000B3E8E">
        <w:rPr>
          <w:rFonts w:ascii="Arial" w:eastAsiaTheme="minorEastAsia" w:hAnsi="Arial" w:cs="Arial"/>
          <w:i/>
          <w:color w:val="000000" w:themeColor="text1"/>
          <w:sz w:val="18"/>
          <w:szCs w:val="18"/>
          <w:lang w:val="es-ES" w:eastAsia="es-ES"/>
        </w:rPr>
        <w:t>5. Adicionalmente, el Comité de Expertos deberá preparar un documento con una explicación en lenguaje sencillo sobre el alcance de la propuesta de fórmulas tarifarias. Este documento se remitirá a los Gobernadores, quienes se encargarán de divulgarlo. Este documento deberá contener una invitación para que los interesados consulten a través de la página Web de la Comisión, los proyectos de metodologías y de fórmulas, los estudios respectivos y los textos de los proyectos de resoluciones.</w:t>
      </w:r>
    </w:p>
    <w:p w14:paraId="216C358A" w14:textId="77777777" w:rsidR="00F73446" w:rsidRPr="000B3E8E" w:rsidRDefault="00F73446" w:rsidP="000B3E8E">
      <w:pPr>
        <w:widowControl w:val="0"/>
        <w:autoSpaceDE w:val="0"/>
        <w:autoSpaceDN w:val="0"/>
        <w:adjustRightInd w:val="0"/>
        <w:spacing w:after="0" w:line="240" w:lineRule="auto"/>
        <w:jc w:val="both"/>
        <w:rPr>
          <w:rFonts w:ascii="Arial" w:eastAsiaTheme="minorEastAsia" w:hAnsi="Arial" w:cs="Arial"/>
          <w:i/>
          <w:color w:val="000000" w:themeColor="text1"/>
          <w:sz w:val="18"/>
          <w:szCs w:val="18"/>
          <w:lang w:val="es-ES" w:eastAsia="es-ES"/>
        </w:rPr>
      </w:pPr>
      <w:r w:rsidRPr="000B3E8E">
        <w:rPr>
          <w:rFonts w:ascii="Arial" w:eastAsiaTheme="minorEastAsia" w:hAnsi="Arial" w:cs="Arial"/>
          <w:i/>
          <w:color w:val="000000" w:themeColor="text1"/>
          <w:sz w:val="18"/>
          <w:szCs w:val="18"/>
          <w:lang w:val="es-ES" w:eastAsia="es-ES"/>
        </w:rPr>
        <w:t>6. La Comisión organizará consultas públicas, en distintos distritos y municipios, durante un período que comience en la misma fecha en que se remita la información a los Gobernadores y termine dos (2) meses después. Las consultas públicas tendrán entre sus propósitos el de lograr la participación de los usuarios.</w:t>
      </w:r>
    </w:p>
    <w:p w14:paraId="1BC032CC" w14:textId="2DCEABFE" w:rsidR="00F73446" w:rsidRPr="000B3E8E" w:rsidRDefault="00F73446" w:rsidP="00A22767">
      <w:pPr>
        <w:widowControl w:val="0"/>
        <w:autoSpaceDE w:val="0"/>
        <w:autoSpaceDN w:val="0"/>
        <w:adjustRightInd w:val="0"/>
        <w:spacing w:after="0" w:line="240" w:lineRule="auto"/>
        <w:jc w:val="both"/>
        <w:rPr>
          <w:rFonts w:ascii="Arial" w:eastAsiaTheme="minorEastAsia" w:hAnsi="Arial" w:cs="Arial"/>
          <w:i/>
          <w:color w:val="000000" w:themeColor="text1"/>
          <w:sz w:val="18"/>
          <w:szCs w:val="18"/>
          <w:lang w:val="es-ES" w:eastAsia="es-ES"/>
        </w:rPr>
      </w:pPr>
      <w:r w:rsidRPr="000B3E8E">
        <w:rPr>
          <w:rFonts w:ascii="Arial" w:eastAsiaTheme="minorEastAsia" w:hAnsi="Arial" w:cs="Arial"/>
          <w:i/>
          <w:color w:val="000000" w:themeColor="text1"/>
          <w:sz w:val="18"/>
          <w:szCs w:val="18"/>
          <w:lang w:val="es-ES" w:eastAsia="es-ES"/>
        </w:rPr>
        <w:t>La asistencia y las reglas para estas consultas son:</w:t>
      </w:r>
    </w:p>
    <w:p w14:paraId="376976B4" w14:textId="77777777" w:rsidR="00F73446" w:rsidRPr="000B3E8E" w:rsidRDefault="00F73446" w:rsidP="000B3E8E">
      <w:pPr>
        <w:widowControl w:val="0"/>
        <w:tabs>
          <w:tab w:val="left" w:pos="220"/>
          <w:tab w:val="left" w:pos="720"/>
        </w:tabs>
        <w:autoSpaceDE w:val="0"/>
        <w:autoSpaceDN w:val="0"/>
        <w:adjustRightInd w:val="0"/>
        <w:spacing w:after="0" w:line="240" w:lineRule="auto"/>
        <w:jc w:val="both"/>
        <w:rPr>
          <w:rFonts w:ascii="Arial" w:eastAsiaTheme="minorEastAsia" w:hAnsi="Arial" w:cs="Arial"/>
          <w:i/>
          <w:color w:val="000000" w:themeColor="text1"/>
          <w:sz w:val="18"/>
          <w:szCs w:val="18"/>
          <w:lang w:val="es-ES" w:eastAsia="es-ES"/>
        </w:rPr>
      </w:pPr>
      <w:r w:rsidRPr="000B3E8E">
        <w:rPr>
          <w:rFonts w:ascii="Arial" w:eastAsiaTheme="minorEastAsia" w:hAnsi="Arial" w:cs="Arial"/>
          <w:i/>
          <w:color w:val="000000" w:themeColor="text1"/>
          <w:sz w:val="18"/>
          <w:szCs w:val="18"/>
          <w:lang w:val="es-ES" w:eastAsia="es-ES"/>
        </w:rPr>
        <w:t xml:space="preserve">a.- Serán convocadas por el Director Ejecutivo de la Comisión por lo menos con 10 días de antelación, indicando el tema, la metodología, el día, la hora, el lugar de realización, el plazo y los requisitos de inscripción. b. Podrán intervenir los representantes de las personas prestadoras de los servicios objeto de la decisión; los vocales de los comités de control social de los servicios públicos que fueren debidamente acreditados; los representantes legales de las ligas o de las asociaciones de consumidores; los representantes legales de las organizaciones gremiales; y los delegados de las universidades y centros de investigación y los usuarios. </w:t>
      </w:r>
      <w:r w:rsidRPr="000B3E8E">
        <w:rPr>
          <w:rFonts w:ascii="Tahoma" w:eastAsiaTheme="minorEastAsia" w:hAnsi="Tahoma" w:cs="Tahoma"/>
          <w:i/>
          <w:color w:val="000000" w:themeColor="text1"/>
          <w:sz w:val="18"/>
          <w:szCs w:val="18"/>
          <w:lang w:val="es-ES" w:eastAsia="es-ES"/>
        </w:rPr>
        <w:t> </w:t>
      </w:r>
      <w:r w:rsidRPr="000B3E8E">
        <w:rPr>
          <w:rFonts w:ascii="Arial" w:eastAsiaTheme="minorEastAsia" w:hAnsi="Arial" w:cs="Arial"/>
          <w:i/>
          <w:color w:val="000000" w:themeColor="text1"/>
          <w:sz w:val="18"/>
          <w:szCs w:val="18"/>
          <w:lang w:val="es-ES" w:eastAsia="es-ES"/>
        </w:rPr>
        <w:t xml:space="preserve">c. Para intervenir, los interesados deberán inscribirse y radicar con una anticipación no inferior a dos (2) días hábiles a su realización, el documento que servirá de base para su exposición, el cual deberá relacionarse directamente con la materia objeto de la consulta pública. </w:t>
      </w:r>
      <w:r w:rsidRPr="000B3E8E">
        <w:rPr>
          <w:rFonts w:ascii="Tahoma" w:eastAsiaTheme="minorEastAsia" w:hAnsi="Tahoma" w:cs="Tahoma"/>
          <w:i/>
          <w:color w:val="000000" w:themeColor="text1"/>
          <w:sz w:val="18"/>
          <w:szCs w:val="18"/>
          <w:lang w:val="es-ES" w:eastAsia="es-ES"/>
        </w:rPr>
        <w:t> </w:t>
      </w:r>
      <w:r w:rsidRPr="000B3E8E">
        <w:rPr>
          <w:rFonts w:ascii="Arial" w:eastAsiaTheme="minorEastAsia" w:hAnsi="Arial" w:cs="Arial"/>
          <w:i/>
          <w:color w:val="000000" w:themeColor="text1"/>
          <w:sz w:val="18"/>
          <w:szCs w:val="18"/>
          <w:lang w:val="es-ES" w:eastAsia="es-ES"/>
        </w:rPr>
        <w:t xml:space="preserve">d. La consulta será grabada y esta grabación se conservará como memoria de lo ocurrido. </w:t>
      </w:r>
      <w:r w:rsidRPr="000B3E8E">
        <w:rPr>
          <w:rFonts w:ascii="Tahoma" w:eastAsiaTheme="minorEastAsia" w:hAnsi="Tahoma" w:cs="Tahoma"/>
          <w:i/>
          <w:color w:val="000000" w:themeColor="text1"/>
          <w:sz w:val="18"/>
          <w:szCs w:val="18"/>
          <w:lang w:val="es-ES" w:eastAsia="es-ES"/>
        </w:rPr>
        <w:t> </w:t>
      </w:r>
      <w:r w:rsidRPr="000B3E8E">
        <w:rPr>
          <w:rFonts w:ascii="Arial" w:eastAsiaTheme="minorEastAsia" w:hAnsi="Arial" w:cs="Arial"/>
          <w:i/>
          <w:color w:val="000000" w:themeColor="text1"/>
          <w:sz w:val="18"/>
          <w:szCs w:val="18"/>
          <w:lang w:val="es-ES" w:eastAsia="es-ES"/>
        </w:rPr>
        <w:t>e. Una vez terminada la consulta, el Secretario levantará una memoria escrita en la cual se incorporarán los documentos presentados y los principales puntos que fueron objeto de debate.</w:t>
      </w:r>
    </w:p>
    <w:p w14:paraId="63FBB2E0" w14:textId="77777777" w:rsidR="00F73446" w:rsidRPr="000B3E8E" w:rsidRDefault="00F73446" w:rsidP="000B3E8E">
      <w:pPr>
        <w:widowControl w:val="0"/>
        <w:autoSpaceDE w:val="0"/>
        <w:autoSpaceDN w:val="0"/>
        <w:adjustRightInd w:val="0"/>
        <w:spacing w:after="0" w:line="240" w:lineRule="auto"/>
        <w:jc w:val="both"/>
        <w:rPr>
          <w:rFonts w:ascii="Arial" w:eastAsiaTheme="minorEastAsia" w:hAnsi="Arial" w:cs="Arial"/>
          <w:i/>
          <w:color w:val="000000" w:themeColor="text1"/>
          <w:sz w:val="18"/>
          <w:szCs w:val="18"/>
          <w:lang w:val="es-ES" w:eastAsia="es-ES"/>
        </w:rPr>
      </w:pPr>
      <w:r w:rsidRPr="000B3E8E">
        <w:rPr>
          <w:rFonts w:ascii="Arial" w:eastAsiaTheme="minorEastAsia" w:hAnsi="Arial" w:cs="Arial"/>
          <w:i/>
          <w:color w:val="000000" w:themeColor="text1"/>
          <w:sz w:val="18"/>
          <w:szCs w:val="18"/>
          <w:lang w:val="es-ES" w:eastAsia="es-ES"/>
        </w:rPr>
        <w:t>7. El Comité de Expertos deberá elaborar el documento final que servirá de base para la toma de la decisión y los integrantes de la Comisión evaluarán este documento, las memorias escritas de las consultas públicas, los comentarios, las informaciones, los estudios y las propuestas allegadas al procedimiento.</w:t>
      </w:r>
    </w:p>
    <w:p w14:paraId="4A0A3343" w14:textId="77777777" w:rsidR="00F73446" w:rsidRPr="000B3E8E" w:rsidRDefault="00F73446" w:rsidP="000B3E8E">
      <w:pPr>
        <w:widowControl w:val="0"/>
        <w:autoSpaceDE w:val="0"/>
        <w:autoSpaceDN w:val="0"/>
        <w:adjustRightInd w:val="0"/>
        <w:spacing w:after="0" w:line="240" w:lineRule="auto"/>
        <w:jc w:val="both"/>
        <w:rPr>
          <w:rFonts w:ascii="Arial" w:eastAsiaTheme="minorEastAsia" w:hAnsi="Arial" w:cs="Arial"/>
          <w:i/>
          <w:color w:val="000000" w:themeColor="text1"/>
          <w:sz w:val="18"/>
          <w:szCs w:val="18"/>
          <w:lang w:val="es-ES" w:eastAsia="es-ES"/>
        </w:rPr>
      </w:pPr>
      <w:r w:rsidRPr="000B3E8E">
        <w:rPr>
          <w:rFonts w:ascii="Arial" w:eastAsiaTheme="minorEastAsia" w:hAnsi="Arial" w:cs="Arial"/>
          <w:i/>
          <w:color w:val="000000" w:themeColor="text1"/>
          <w:sz w:val="18"/>
          <w:szCs w:val="18"/>
          <w:lang w:val="es-ES" w:eastAsia="es-ES"/>
        </w:rPr>
        <w:t>8. El documento que elaborará el Comité de Expertos de la Comisión contendrá las razones por las cuales se aceptan o rechazan las propuestas formuladas y evaluará las memorias escritas de las consultas públicas. Para tal efecto podrá agrupar las observaciones, sugerencias y propuestas alternativas en categorías de argumentos.</w:t>
      </w:r>
    </w:p>
    <w:p w14:paraId="045D5CCC" w14:textId="77777777" w:rsidR="00F73446" w:rsidRPr="000B3E8E" w:rsidRDefault="00F73446" w:rsidP="000B3E8E">
      <w:pPr>
        <w:spacing w:after="0" w:line="240" w:lineRule="auto"/>
        <w:jc w:val="both"/>
        <w:rPr>
          <w:rFonts w:ascii="Arial" w:hAnsi="Arial" w:cs="Arial"/>
          <w:i/>
          <w:color w:val="000000" w:themeColor="text1"/>
          <w:sz w:val="18"/>
          <w:szCs w:val="18"/>
        </w:rPr>
      </w:pPr>
      <w:r w:rsidRPr="000B3E8E">
        <w:rPr>
          <w:rFonts w:ascii="Arial" w:eastAsiaTheme="minorEastAsia" w:hAnsi="Arial" w:cs="Arial"/>
          <w:i/>
          <w:color w:val="000000" w:themeColor="text1"/>
          <w:sz w:val="18"/>
          <w:szCs w:val="18"/>
          <w:lang w:val="es-ES" w:eastAsia="es-ES"/>
        </w:rPr>
        <w:t xml:space="preserve">9. Cuando se expidan las resoluciones, en la parte motiva se hará mención del documento en el cual la Comisión revisó los comentarios recibidos y expuso las razones para desechar las observaciones, reparos y sugerencias que no se hayan incorporado. Durante el día hábil siguiente al de la publicación de la resolución correspondiente en el </w:t>
      </w:r>
      <w:r w:rsidRPr="000B3E8E">
        <w:rPr>
          <w:rFonts w:ascii="Arial" w:eastAsiaTheme="minorEastAsia" w:hAnsi="Arial" w:cs="Arial"/>
          <w:i/>
          <w:iCs/>
          <w:color w:val="000000" w:themeColor="text1"/>
          <w:sz w:val="18"/>
          <w:szCs w:val="18"/>
          <w:lang w:val="es-ES" w:eastAsia="es-ES"/>
        </w:rPr>
        <w:t>Diario Oficial</w:t>
      </w:r>
      <w:r w:rsidRPr="000B3E8E">
        <w:rPr>
          <w:rFonts w:ascii="Arial" w:eastAsiaTheme="minorEastAsia" w:hAnsi="Arial" w:cs="Arial"/>
          <w:i/>
          <w:color w:val="000000" w:themeColor="text1"/>
          <w:sz w:val="18"/>
          <w:szCs w:val="18"/>
          <w:lang w:val="es-ES" w:eastAsia="es-ES"/>
        </w:rPr>
        <w:t>, se hará público el documento al que se refiere este numeral.”</w:t>
      </w:r>
    </w:p>
    <w:p w14:paraId="0CBDAE38" w14:textId="77777777" w:rsidR="00F73446" w:rsidRPr="000B3E8E" w:rsidRDefault="00F73446" w:rsidP="000B3E8E">
      <w:pPr>
        <w:pStyle w:val="Textonotapie"/>
        <w:jc w:val="both"/>
        <w:rPr>
          <w:rFonts w:ascii="Arial" w:hAnsi="Arial" w:cs="Arial"/>
          <w:i/>
          <w:color w:val="000000" w:themeColor="text1"/>
          <w:sz w:val="18"/>
          <w:szCs w:val="18"/>
          <w:lang w:val="es-ES_tradnl"/>
        </w:rPr>
      </w:pPr>
    </w:p>
  </w:footnote>
  <w:footnote w:id="49">
    <w:p w14:paraId="63D13EFB" w14:textId="77777777" w:rsidR="00F73446" w:rsidRPr="000B3E8E" w:rsidRDefault="00F73446" w:rsidP="000B3E8E">
      <w:pPr>
        <w:spacing w:after="0" w:line="240" w:lineRule="auto"/>
        <w:jc w:val="both"/>
        <w:rPr>
          <w:rFonts w:ascii="Arial" w:hAnsi="Arial" w:cs="Arial"/>
          <w:i/>
          <w:color w:val="000000" w:themeColor="text1"/>
          <w:sz w:val="18"/>
          <w:szCs w:val="18"/>
        </w:rPr>
      </w:pPr>
      <w:r w:rsidRPr="000B3E8E">
        <w:rPr>
          <w:rStyle w:val="Refdenotaalpie"/>
          <w:rFonts w:ascii="Arial" w:hAnsi="Arial" w:cs="Arial"/>
          <w:color w:val="000000" w:themeColor="text1"/>
          <w:sz w:val="18"/>
          <w:szCs w:val="18"/>
        </w:rPr>
        <w:footnoteRef/>
      </w:r>
      <w:r w:rsidRPr="000B3E8E">
        <w:rPr>
          <w:rFonts w:ascii="Arial" w:hAnsi="Arial" w:cs="Arial"/>
          <w:color w:val="000000" w:themeColor="text1"/>
          <w:sz w:val="18"/>
          <w:szCs w:val="18"/>
        </w:rPr>
        <w:t xml:space="preserve"> </w:t>
      </w:r>
      <w:r w:rsidRPr="000B3E8E">
        <w:rPr>
          <w:rFonts w:ascii="Arial" w:hAnsi="Arial" w:cs="Arial"/>
          <w:i/>
          <w:color w:val="000000" w:themeColor="text1"/>
          <w:sz w:val="18"/>
          <w:szCs w:val="18"/>
        </w:rPr>
        <w:t xml:space="preserve">Resolución CREG 039 de 2017. </w:t>
      </w:r>
      <w:r w:rsidRPr="000B3E8E">
        <w:rPr>
          <w:rFonts w:ascii="Arial" w:eastAsiaTheme="minorEastAsia" w:hAnsi="Arial" w:cs="Arial"/>
          <w:b/>
          <w:bCs/>
          <w:i/>
          <w:color w:val="000000" w:themeColor="text1"/>
          <w:sz w:val="18"/>
          <w:szCs w:val="18"/>
          <w:lang w:val="es-ES" w:eastAsia="es-ES"/>
        </w:rPr>
        <w:t xml:space="preserve">Artículo 31o. Informe a la Superintendencia de Industria y Comercio. </w:t>
      </w:r>
      <w:r w:rsidRPr="000B3E8E">
        <w:rPr>
          <w:rFonts w:ascii="Arial" w:eastAsiaTheme="minorEastAsia" w:hAnsi="Arial" w:cs="Arial"/>
          <w:i/>
          <w:color w:val="000000" w:themeColor="text1"/>
          <w:sz w:val="18"/>
          <w:szCs w:val="18"/>
          <w:lang w:val="es-ES" w:eastAsia="es-ES"/>
        </w:rPr>
        <w:t>El Director Ejecutivo informará a la Superintendencia de Industria y Comercio los actos administrativos de carácter general que pretenda expedir la Comisión que puedan tener incidencia en la competencia, en los términos establecidos en la Ley 1340 de 2009 y las normas reglamentarias de la materia. Si la Superintendencia de Industria y Comercio rinde concepto previo sobre el proyecto específico de regulación, la Comisión podrá acogerlo o apartarse del mismo, pero en el segundo caso manifestará de manera expresa dentro de las consideraciones de la decisión los motivos por los cuales se aparta.</w:t>
      </w:r>
    </w:p>
    <w:p w14:paraId="6D6A1C91" w14:textId="77777777" w:rsidR="00F73446" w:rsidRPr="000B3E8E" w:rsidRDefault="00F73446" w:rsidP="000B3E8E">
      <w:pPr>
        <w:pStyle w:val="Textonotapie"/>
        <w:jc w:val="both"/>
        <w:rPr>
          <w:rFonts w:ascii="Arial" w:hAnsi="Arial" w:cs="Arial"/>
          <w:i/>
          <w:color w:val="000000" w:themeColor="text1"/>
          <w:sz w:val="18"/>
          <w:szCs w:val="18"/>
          <w:lang w:val="es-ES_tradnl"/>
        </w:rPr>
      </w:pPr>
    </w:p>
  </w:footnote>
  <w:footnote w:id="50">
    <w:p w14:paraId="7C965A31" w14:textId="148040EF" w:rsidR="00F73446" w:rsidRPr="000B3E8E" w:rsidRDefault="00F73446" w:rsidP="000B3E8E">
      <w:pPr>
        <w:pStyle w:val="Textonotapie"/>
        <w:jc w:val="both"/>
        <w:rPr>
          <w:rFonts w:ascii="Arial" w:hAnsi="Arial" w:cs="Arial"/>
          <w:color w:val="000000" w:themeColor="text1"/>
          <w:sz w:val="18"/>
          <w:szCs w:val="18"/>
          <w:lang w:val="es-ES_tradnl"/>
        </w:rPr>
      </w:pPr>
      <w:r w:rsidRPr="000B3E8E">
        <w:rPr>
          <w:rStyle w:val="Refdenotaalpie"/>
          <w:rFonts w:ascii="Arial" w:hAnsi="Arial" w:cs="Arial"/>
          <w:color w:val="000000" w:themeColor="text1"/>
          <w:sz w:val="18"/>
          <w:szCs w:val="18"/>
        </w:rPr>
        <w:footnoteRef/>
      </w:r>
      <w:r w:rsidRPr="000B3E8E">
        <w:rPr>
          <w:rFonts w:ascii="Arial" w:hAnsi="Arial" w:cs="Arial"/>
          <w:color w:val="000000" w:themeColor="text1"/>
          <w:sz w:val="18"/>
          <w:szCs w:val="18"/>
        </w:rPr>
        <w:t xml:space="preserve"> </w:t>
      </w:r>
      <w:r w:rsidRPr="000B3E8E">
        <w:rPr>
          <w:rFonts w:ascii="Arial" w:hAnsi="Arial" w:cs="Arial"/>
          <w:color w:val="000000" w:themeColor="text1"/>
          <w:sz w:val="18"/>
          <w:szCs w:val="18"/>
          <w:lang w:val="es-ES_tradnl"/>
        </w:rPr>
        <w:t>Berrocal Guerrero, Luis E. Manual de Derecho Administrativo, Librería Ediciones “El Profesional Ltda., Séptima dicción 2016, págs. 125.</w:t>
      </w:r>
    </w:p>
  </w:footnote>
  <w:footnote w:id="51">
    <w:p w14:paraId="5DAB1751" w14:textId="6C581E53" w:rsidR="00F73446" w:rsidRPr="000B3E8E" w:rsidRDefault="00F73446" w:rsidP="000B3E8E">
      <w:pPr>
        <w:pStyle w:val="Textonotapie"/>
        <w:jc w:val="both"/>
        <w:rPr>
          <w:rFonts w:ascii="Arial" w:hAnsi="Arial" w:cs="Arial"/>
          <w:color w:val="000000" w:themeColor="text1"/>
          <w:sz w:val="18"/>
          <w:szCs w:val="18"/>
          <w:lang w:val="es-ES_tradnl"/>
        </w:rPr>
      </w:pPr>
      <w:r w:rsidRPr="000B3E8E">
        <w:rPr>
          <w:rStyle w:val="Refdenotaalpie"/>
          <w:rFonts w:ascii="Arial" w:hAnsi="Arial" w:cs="Arial"/>
          <w:color w:val="000000" w:themeColor="text1"/>
          <w:sz w:val="18"/>
          <w:szCs w:val="18"/>
        </w:rPr>
        <w:footnoteRef/>
      </w:r>
      <w:r w:rsidRPr="000B3E8E">
        <w:rPr>
          <w:rFonts w:ascii="Arial" w:hAnsi="Arial" w:cs="Arial"/>
          <w:color w:val="000000" w:themeColor="text1"/>
          <w:sz w:val="18"/>
          <w:szCs w:val="18"/>
        </w:rPr>
        <w:t xml:space="preserve"> </w:t>
      </w:r>
      <w:r w:rsidRPr="000B3E8E">
        <w:rPr>
          <w:rFonts w:ascii="Arial" w:hAnsi="Arial" w:cs="Arial"/>
          <w:color w:val="000000" w:themeColor="text1"/>
          <w:sz w:val="18"/>
          <w:szCs w:val="18"/>
          <w:lang w:val="es-ES_tradnl"/>
        </w:rPr>
        <w:t>Corte Constitucional, Sentencia C-187 de 18 de junio de 2020. M.P. Cristina Pardo Schlesinger</w:t>
      </w:r>
    </w:p>
  </w:footnote>
  <w:footnote w:id="52">
    <w:p w14:paraId="1DA2DCC7" w14:textId="0C456F3B" w:rsidR="00F73446" w:rsidRPr="000B3E8E" w:rsidRDefault="00F73446" w:rsidP="000B3E8E">
      <w:pPr>
        <w:widowControl w:val="0"/>
        <w:autoSpaceDE w:val="0"/>
        <w:autoSpaceDN w:val="0"/>
        <w:adjustRightInd w:val="0"/>
        <w:spacing w:after="0" w:line="240" w:lineRule="auto"/>
        <w:jc w:val="both"/>
        <w:rPr>
          <w:rFonts w:ascii="Arial" w:eastAsiaTheme="minorEastAsia" w:hAnsi="Arial" w:cs="Arial"/>
          <w:color w:val="000000" w:themeColor="text1"/>
          <w:sz w:val="18"/>
          <w:szCs w:val="18"/>
          <w:lang w:val="es-ES" w:eastAsia="es-ES"/>
        </w:rPr>
      </w:pPr>
      <w:r w:rsidRPr="000B3E8E">
        <w:rPr>
          <w:rStyle w:val="Refdenotaalpie"/>
          <w:rFonts w:ascii="Arial" w:hAnsi="Arial" w:cs="Arial"/>
          <w:color w:val="000000" w:themeColor="text1"/>
          <w:sz w:val="18"/>
          <w:szCs w:val="18"/>
        </w:rPr>
        <w:footnoteRef/>
      </w:r>
      <w:r w:rsidRPr="000B3E8E">
        <w:rPr>
          <w:rFonts w:ascii="Arial" w:hAnsi="Arial" w:cs="Arial"/>
          <w:color w:val="000000" w:themeColor="text1"/>
          <w:sz w:val="18"/>
          <w:szCs w:val="18"/>
        </w:rPr>
        <w:t xml:space="preserve"> Ley 1715 de 2014 </w:t>
      </w:r>
      <w:r w:rsidRPr="000B3E8E">
        <w:rPr>
          <w:rFonts w:ascii="Arial" w:eastAsiaTheme="minorEastAsia" w:hAnsi="Arial" w:cs="Arial"/>
          <w:b/>
          <w:bCs/>
          <w:color w:val="000000" w:themeColor="text1"/>
          <w:sz w:val="18"/>
          <w:szCs w:val="18"/>
          <w:lang w:val="es-ES" w:eastAsia="es-ES"/>
        </w:rPr>
        <w:t>ARTÍCULO 5o. DEFINICIONES.</w:t>
      </w:r>
      <w:r w:rsidRPr="000B3E8E">
        <w:rPr>
          <w:rFonts w:ascii="Arial" w:eastAsiaTheme="minorEastAsia" w:hAnsi="Arial" w:cs="Arial"/>
          <w:color w:val="000000" w:themeColor="text1"/>
          <w:sz w:val="18"/>
          <w:szCs w:val="18"/>
          <w:lang w:val="es-ES" w:eastAsia="es-ES"/>
        </w:rPr>
        <w:t xml:space="preserve"> Para efectos de interpretar y aplicar la presente ley, se entiende por:</w:t>
      </w:r>
    </w:p>
    <w:p w14:paraId="4AE95AFC" w14:textId="77777777" w:rsidR="00F73446" w:rsidRPr="000B3E8E" w:rsidRDefault="00F73446" w:rsidP="000B3E8E">
      <w:pPr>
        <w:widowControl w:val="0"/>
        <w:autoSpaceDE w:val="0"/>
        <w:autoSpaceDN w:val="0"/>
        <w:adjustRightInd w:val="0"/>
        <w:spacing w:after="0" w:line="240" w:lineRule="auto"/>
        <w:jc w:val="both"/>
        <w:rPr>
          <w:rFonts w:ascii="Arial" w:eastAsiaTheme="minorEastAsia" w:hAnsi="Arial" w:cs="Arial"/>
          <w:color w:val="000000" w:themeColor="text1"/>
          <w:sz w:val="18"/>
          <w:szCs w:val="18"/>
          <w:lang w:val="es-ES" w:eastAsia="es-ES"/>
        </w:rPr>
      </w:pPr>
      <w:r w:rsidRPr="000B3E8E">
        <w:rPr>
          <w:rFonts w:ascii="Arial" w:eastAsiaTheme="minorEastAsia" w:hAnsi="Arial" w:cs="Arial"/>
          <w:color w:val="000000" w:themeColor="text1"/>
          <w:sz w:val="18"/>
          <w:szCs w:val="18"/>
          <w:lang w:val="es-ES" w:eastAsia="es-ES"/>
        </w:rPr>
        <w:t>1. Autogeneración. Aquella actividad realizada por personas naturales o jurídicas que producen energía eléctrica principalmente, para atender sus propias necesidades. En el evento en que se generen excedentes de energía eléctrica a partir de tal actividad, estos podrán entregarse a la red, en los términos que establezca la Comisión de Regulación de Energía y Gas (CREG) para tal fin.</w:t>
      </w:r>
    </w:p>
    <w:p w14:paraId="75544C16" w14:textId="77777777" w:rsidR="00F73446" w:rsidRPr="000B3E8E" w:rsidRDefault="00F73446" w:rsidP="000B3E8E">
      <w:pPr>
        <w:widowControl w:val="0"/>
        <w:autoSpaceDE w:val="0"/>
        <w:autoSpaceDN w:val="0"/>
        <w:adjustRightInd w:val="0"/>
        <w:spacing w:after="0" w:line="240" w:lineRule="auto"/>
        <w:jc w:val="both"/>
        <w:rPr>
          <w:rFonts w:ascii="Arial" w:eastAsiaTheme="minorEastAsia" w:hAnsi="Arial" w:cs="Arial"/>
          <w:color w:val="000000" w:themeColor="text1"/>
          <w:sz w:val="18"/>
          <w:szCs w:val="18"/>
          <w:lang w:val="es-ES" w:eastAsia="es-ES"/>
        </w:rPr>
      </w:pPr>
      <w:r w:rsidRPr="000B3E8E">
        <w:rPr>
          <w:rFonts w:ascii="Arial" w:eastAsiaTheme="minorEastAsia" w:hAnsi="Arial" w:cs="Arial"/>
          <w:color w:val="000000" w:themeColor="text1"/>
          <w:sz w:val="18"/>
          <w:szCs w:val="18"/>
          <w:lang w:val="es-ES" w:eastAsia="es-ES"/>
        </w:rPr>
        <w:t>2. Autogeneración a gran escala. Autogeneración cuya potencia máxima supera el límite establecido por la Unidad de Planeación Minero-Energética (UPME).</w:t>
      </w:r>
    </w:p>
    <w:p w14:paraId="3DF7E054" w14:textId="77777777" w:rsidR="00F73446" w:rsidRPr="000B3E8E" w:rsidRDefault="00F73446" w:rsidP="000B3E8E">
      <w:pPr>
        <w:widowControl w:val="0"/>
        <w:autoSpaceDE w:val="0"/>
        <w:autoSpaceDN w:val="0"/>
        <w:adjustRightInd w:val="0"/>
        <w:spacing w:after="0" w:line="240" w:lineRule="auto"/>
        <w:jc w:val="both"/>
        <w:rPr>
          <w:rFonts w:ascii="Arial" w:eastAsiaTheme="minorEastAsia" w:hAnsi="Arial" w:cs="Arial"/>
          <w:color w:val="000000" w:themeColor="text1"/>
          <w:sz w:val="18"/>
          <w:szCs w:val="18"/>
          <w:lang w:val="es-ES" w:eastAsia="es-ES"/>
        </w:rPr>
      </w:pPr>
      <w:r w:rsidRPr="000B3E8E">
        <w:rPr>
          <w:rFonts w:ascii="Arial" w:eastAsiaTheme="minorEastAsia" w:hAnsi="Arial" w:cs="Arial"/>
          <w:color w:val="000000" w:themeColor="text1"/>
          <w:sz w:val="18"/>
          <w:szCs w:val="18"/>
          <w:lang w:val="es-ES" w:eastAsia="es-ES"/>
        </w:rPr>
        <w:t>3. Autogeneración a pequeña escala. Autogeneración cuya potencia máxima no supera el límite establecido por la Unidad de Planeación Minero-Energética (UPME).</w:t>
      </w:r>
    </w:p>
    <w:p w14:paraId="6965C590" w14:textId="77777777" w:rsidR="00F73446" w:rsidRPr="000B3E8E" w:rsidRDefault="00F73446" w:rsidP="000B3E8E">
      <w:pPr>
        <w:widowControl w:val="0"/>
        <w:autoSpaceDE w:val="0"/>
        <w:autoSpaceDN w:val="0"/>
        <w:adjustRightInd w:val="0"/>
        <w:spacing w:after="0" w:line="240" w:lineRule="auto"/>
        <w:jc w:val="both"/>
        <w:rPr>
          <w:rFonts w:ascii="Arial" w:eastAsiaTheme="minorEastAsia" w:hAnsi="Arial" w:cs="Arial"/>
          <w:color w:val="000000" w:themeColor="text1"/>
          <w:sz w:val="18"/>
          <w:szCs w:val="18"/>
          <w:lang w:val="es-ES" w:eastAsia="es-ES"/>
        </w:rPr>
      </w:pPr>
      <w:r w:rsidRPr="000B3E8E">
        <w:rPr>
          <w:rFonts w:ascii="Arial" w:eastAsiaTheme="minorEastAsia" w:hAnsi="Arial" w:cs="Arial"/>
          <w:color w:val="000000" w:themeColor="text1"/>
          <w:sz w:val="18"/>
          <w:szCs w:val="18"/>
          <w:lang w:val="es-ES" w:eastAsia="es-ES"/>
        </w:rPr>
        <w:t>4. Cogeneración. Producción combinada de energía eléctrica y energía térmica que hace parte integrante de una actividad productiva.</w:t>
      </w:r>
    </w:p>
    <w:p w14:paraId="0059175C" w14:textId="77777777" w:rsidR="00F73446" w:rsidRPr="000B3E8E" w:rsidRDefault="00F73446" w:rsidP="000B3E8E">
      <w:pPr>
        <w:widowControl w:val="0"/>
        <w:autoSpaceDE w:val="0"/>
        <w:autoSpaceDN w:val="0"/>
        <w:adjustRightInd w:val="0"/>
        <w:spacing w:after="0" w:line="240" w:lineRule="auto"/>
        <w:jc w:val="both"/>
        <w:rPr>
          <w:rFonts w:ascii="Arial" w:eastAsiaTheme="minorEastAsia" w:hAnsi="Arial" w:cs="Arial"/>
          <w:color w:val="000000" w:themeColor="text1"/>
          <w:sz w:val="18"/>
          <w:szCs w:val="18"/>
          <w:lang w:val="es-ES" w:eastAsia="es-ES"/>
        </w:rPr>
      </w:pPr>
      <w:r w:rsidRPr="000B3E8E">
        <w:rPr>
          <w:rFonts w:ascii="Arial" w:eastAsiaTheme="minorEastAsia" w:hAnsi="Arial" w:cs="Arial"/>
          <w:color w:val="000000" w:themeColor="text1"/>
          <w:sz w:val="18"/>
          <w:szCs w:val="18"/>
          <w:lang w:val="es-ES" w:eastAsia="es-ES"/>
        </w:rPr>
        <w:t>5. Contador Bidireccional. Contador que acumula la diferencia entre los pulsos recibidos por sus entradas de cuenta ascendente y cuenta descendente.</w:t>
      </w:r>
    </w:p>
    <w:p w14:paraId="7F059F72" w14:textId="3F79136D" w:rsidR="00F73446" w:rsidRPr="000B3E8E" w:rsidRDefault="00F73446" w:rsidP="000B3E8E">
      <w:pPr>
        <w:widowControl w:val="0"/>
        <w:autoSpaceDE w:val="0"/>
        <w:autoSpaceDN w:val="0"/>
        <w:adjustRightInd w:val="0"/>
        <w:spacing w:after="0" w:line="240" w:lineRule="auto"/>
        <w:jc w:val="both"/>
        <w:rPr>
          <w:rFonts w:ascii="Arial" w:eastAsiaTheme="minorEastAsia" w:hAnsi="Arial" w:cs="Arial"/>
          <w:color w:val="000000" w:themeColor="text1"/>
          <w:sz w:val="18"/>
          <w:szCs w:val="18"/>
          <w:lang w:val="es-ES" w:eastAsia="es-ES"/>
        </w:rPr>
      </w:pPr>
      <w:r w:rsidRPr="000B3E8E">
        <w:rPr>
          <w:rFonts w:ascii="Arial" w:eastAsiaTheme="minorEastAsia" w:hAnsi="Arial" w:cs="Arial"/>
          <w:color w:val="000000" w:themeColor="text1"/>
          <w:sz w:val="18"/>
          <w:szCs w:val="18"/>
          <w:lang w:val="es-ES" w:eastAsia="es-ES"/>
        </w:rPr>
        <w:t>(…)</w:t>
      </w:r>
    </w:p>
    <w:p w14:paraId="29AEEF3E" w14:textId="77777777" w:rsidR="00F73446" w:rsidRPr="000B3E8E" w:rsidRDefault="00F73446" w:rsidP="000B3E8E">
      <w:pPr>
        <w:widowControl w:val="0"/>
        <w:autoSpaceDE w:val="0"/>
        <w:autoSpaceDN w:val="0"/>
        <w:adjustRightInd w:val="0"/>
        <w:spacing w:after="0" w:line="240" w:lineRule="auto"/>
        <w:jc w:val="both"/>
        <w:rPr>
          <w:rFonts w:ascii="Arial" w:eastAsiaTheme="minorEastAsia" w:hAnsi="Arial" w:cs="Arial"/>
          <w:color w:val="000000" w:themeColor="text1"/>
          <w:sz w:val="18"/>
          <w:szCs w:val="18"/>
          <w:lang w:val="es-ES" w:eastAsia="es-ES"/>
        </w:rPr>
      </w:pPr>
      <w:r w:rsidRPr="000B3E8E">
        <w:rPr>
          <w:rFonts w:ascii="Arial" w:eastAsiaTheme="minorEastAsia" w:hAnsi="Arial" w:cs="Arial"/>
          <w:color w:val="000000" w:themeColor="text1"/>
          <w:sz w:val="18"/>
          <w:szCs w:val="18"/>
          <w:lang w:val="es-ES" w:eastAsia="es-ES"/>
        </w:rPr>
        <w:t>8. Energía de biomasa. Energía obtenida a partir de aquella fuente no convencional de energía renovable que se basa en la degradación espontánea o inducida de cualquier tipo de materia orgánica que ha tenido su origen inmediato como consecuencia de un proceso biológico y toda materia vegetal originada por el proceso de fotosíntesis, así como de los procesos metabólicos de los organismos heterótrofos, y que no contiene o hayan estado en contacto con trazas de elementos que confieren algún grado de peligrosidad.</w:t>
      </w:r>
    </w:p>
    <w:p w14:paraId="371CF1E5" w14:textId="77777777" w:rsidR="00F73446" w:rsidRPr="000B3E8E" w:rsidRDefault="00F73446" w:rsidP="000B3E8E">
      <w:pPr>
        <w:widowControl w:val="0"/>
        <w:autoSpaceDE w:val="0"/>
        <w:autoSpaceDN w:val="0"/>
        <w:adjustRightInd w:val="0"/>
        <w:spacing w:after="0" w:line="240" w:lineRule="auto"/>
        <w:jc w:val="both"/>
        <w:rPr>
          <w:rFonts w:ascii="Arial" w:eastAsiaTheme="minorEastAsia" w:hAnsi="Arial" w:cs="Arial"/>
          <w:color w:val="000000" w:themeColor="text1"/>
          <w:sz w:val="18"/>
          <w:szCs w:val="18"/>
          <w:lang w:val="es-ES" w:eastAsia="es-ES"/>
        </w:rPr>
      </w:pPr>
      <w:r w:rsidRPr="000B3E8E">
        <w:rPr>
          <w:rFonts w:ascii="Arial" w:eastAsiaTheme="minorEastAsia" w:hAnsi="Arial" w:cs="Arial"/>
          <w:color w:val="000000" w:themeColor="text1"/>
          <w:sz w:val="18"/>
          <w:szCs w:val="18"/>
          <w:lang w:val="es-ES" w:eastAsia="es-ES"/>
        </w:rPr>
        <w:t>9. Energía de los mares. Energía obtenida a partir de aquella fuente no convencional de energía renovable que comprende fenómenos naturales marinos como lo son las mareas, el oleaje, las corrientes marinas, los gradientes térmicos oceánicos y los gradientes de salinidad, entre otros posibles.</w:t>
      </w:r>
    </w:p>
    <w:p w14:paraId="6C78A5E5" w14:textId="77777777" w:rsidR="00F73446" w:rsidRPr="000B3E8E" w:rsidRDefault="00F73446" w:rsidP="000B3E8E">
      <w:pPr>
        <w:widowControl w:val="0"/>
        <w:autoSpaceDE w:val="0"/>
        <w:autoSpaceDN w:val="0"/>
        <w:adjustRightInd w:val="0"/>
        <w:spacing w:after="0" w:line="240" w:lineRule="auto"/>
        <w:jc w:val="both"/>
        <w:rPr>
          <w:rFonts w:ascii="Arial" w:eastAsiaTheme="minorEastAsia" w:hAnsi="Arial" w:cs="Arial"/>
          <w:color w:val="000000" w:themeColor="text1"/>
          <w:sz w:val="18"/>
          <w:szCs w:val="18"/>
          <w:lang w:val="es-ES" w:eastAsia="es-ES"/>
        </w:rPr>
      </w:pPr>
      <w:r w:rsidRPr="000B3E8E">
        <w:rPr>
          <w:rFonts w:ascii="Arial" w:eastAsiaTheme="minorEastAsia" w:hAnsi="Arial" w:cs="Arial"/>
          <w:color w:val="000000" w:themeColor="text1"/>
          <w:sz w:val="18"/>
          <w:szCs w:val="18"/>
          <w:lang w:val="es-ES" w:eastAsia="es-ES"/>
        </w:rPr>
        <w:t>10. Energía de pequeños aprovechamientos hidroeléctricos. Energía obtenida a partir de aquella fuente no convencional de energía renovable que se basa en los cuerpos de agua a pequeña escala.</w:t>
      </w:r>
    </w:p>
    <w:p w14:paraId="6B813BDF" w14:textId="77777777" w:rsidR="00F73446" w:rsidRPr="000B3E8E" w:rsidRDefault="00F73446" w:rsidP="000B3E8E">
      <w:pPr>
        <w:widowControl w:val="0"/>
        <w:autoSpaceDE w:val="0"/>
        <w:autoSpaceDN w:val="0"/>
        <w:adjustRightInd w:val="0"/>
        <w:spacing w:after="0" w:line="240" w:lineRule="auto"/>
        <w:jc w:val="both"/>
        <w:rPr>
          <w:rFonts w:ascii="Arial" w:eastAsiaTheme="minorEastAsia" w:hAnsi="Arial" w:cs="Arial"/>
          <w:color w:val="000000" w:themeColor="text1"/>
          <w:sz w:val="18"/>
          <w:szCs w:val="18"/>
          <w:lang w:val="es-ES" w:eastAsia="es-ES"/>
        </w:rPr>
      </w:pPr>
      <w:r w:rsidRPr="000B3E8E">
        <w:rPr>
          <w:rFonts w:ascii="Arial" w:eastAsiaTheme="minorEastAsia" w:hAnsi="Arial" w:cs="Arial"/>
          <w:color w:val="000000" w:themeColor="text1"/>
          <w:sz w:val="18"/>
          <w:szCs w:val="18"/>
          <w:lang w:val="es-ES" w:eastAsia="es-ES"/>
        </w:rPr>
        <w:t>11. Energía eólica. Energía obtenida a partir de aquella fuente no convencional de energía renovable que consiste en el movimiento de las masas de aire.</w:t>
      </w:r>
    </w:p>
    <w:p w14:paraId="57E2D99D" w14:textId="77777777" w:rsidR="00F73446" w:rsidRPr="000B3E8E" w:rsidRDefault="00F73446" w:rsidP="000B3E8E">
      <w:pPr>
        <w:widowControl w:val="0"/>
        <w:autoSpaceDE w:val="0"/>
        <w:autoSpaceDN w:val="0"/>
        <w:adjustRightInd w:val="0"/>
        <w:spacing w:after="0" w:line="240" w:lineRule="auto"/>
        <w:jc w:val="both"/>
        <w:rPr>
          <w:rFonts w:ascii="Arial" w:eastAsiaTheme="minorEastAsia" w:hAnsi="Arial" w:cs="Arial"/>
          <w:color w:val="000000" w:themeColor="text1"/>
          <w:sz w:val="18"/>
          <w:szCs w:val="18"/>
          <w:lang w:val="es-ES" w:eastAsia="es-ES"/>
        </w:rPr>
      </w:pPr>
      <w:r w:rsidRPr="000B3E8E">
        <w:rPr>
          <w:rFonts w:ascii="Arial" w:eastAsiaTheme="minorEastAsia" w:hAnsi="Arial" w:cs="Arial"/>
          <w:color w:val="000000" w:themeColor="text1"/>
          <w:sz w:val="18"/>
          <w:szCs w:val="18"/>
          <w:lang w:val="es-ES" w:eastAsia="es-ES"/>
        </w:rPr>
        <w:t>12. Energía geotérmica. Energía obtenida a partir de aquella fuente no convencional de energía renovable que consiste en el calor que yace del subsuelo terrestre.</w:t>
      </w:r>
    </w:p>
    <w:p w14:paraId="34C342C3" w14:textId="77777777" w:rsidR="00F73446" w:rsidRPr="000B3E8E" w:rsidRDefault="00F73446" w:rsidP="000B3E8E">
      <w:pPr>
        <w:widowControl w:val="0"/>
        <w:autoSpaceDE w:val="0"/>
        <w:autoSpaceDN w:val="0"/>
        <w:adjustRightInd w:val="0"/>
        <w:spacing w:after="0" w:line="240" w:lineRule="auto"/>
        <w:jc w:val="both"/>
        <w:rPr>
          <w:rFonts w:ascii="Arial" w:eastAsiaTheme="minorEastAsia" w:hAnsi="Arial" w:cs="Arial"/>
          <w:color w:val="000000" w:themeColor="text1"/>
          <w:sz w:val="18"/>
          <w:szCs w:val="18"/>
          <w:lang w:val="es-ES" w:eastAsia="es-ES"/>
        </w:rPr>
      </w:pPr>
      <w:r w:rsidRPr="000B3E8E">
        <w:rPr>
          <w:rFonts w:ascii="Arial" w:eastAsiaTheme="minorEastAsia" w:hAnsi="Arial" w:cs="Arial"/>
          <w:color w:val="000000" w:themeColor="text1"/>
          <w:sz w:val="18"/>
          <w:szCs w:val="18"/>
          <w:lang w:val="es-ES" w:eastAsia="es-ES"/>
        </w:rPr>
        <w:t>13. Energía solar. Energía obtenida a partir de aquella fuente no convencional de energía renovable que consiste de la radiación electromagnética proveniente del sol.</w:t>
      </w:r>
    </w:p>
    <w:p w14:paraId="41E50DCE" w14:textId="77777777" w:rsidR="00F73446" w:rsidRPr="000B3E8E" w:rsidRDefault="00F73446" w:rsidP="000B3E8E">
      <w:pPr>
        <w:widowControl w:val="0"/>
        <w:autoSpaceDE w:val="0"/>
        <w:autoSpaceDN w:val="0"/>
        <w:adjustRightInd w:val="0"/>
        <w:spacing w:after="0" w:line="240" w:lineRule="auto"/>
        <w:jc w:val="both"/>
        <w:rPr>
          <w:rFonts w:ascii="Arial" w:eastAsiaTheme="minorEastAsia" w:hAnsi="Arial" w:cs="Arial"/>
          <w:color w:val="000000" w:themeColor="text1"/>
          <w:sz w:val="18"/>
          <w:szCs w:val="18"/>
          <w:lang w:val="es-ES" w:eastAsia="es-ES"/>
        </w:rPr>
      </w:pPr>
      <w:r w:rsidRPr="000B3E8E">
        <w:rPr>
          <w:rFonts w:ascii="Arial" w:eastAsiaTheme="minorEastAsia" w:hAnsi="Arial" w:cs="Arial"/>
          <w:color w:val="000000" w:themeColor="text1"/>
          <w:sz w:val="18"/>
          <w:szCs w:val="18"/>
          <w:lang w:val="es-ES" w:eastAsia="es-ES"/>
        </w:rPr>
        <w:t>14. Excedente de energía. La energía sobrante una vez cubiertas las necesidades de consumo propias, producto de una actividad de autogeneración o cogeneración.</w:t>
      </w:r>
    </w:p>
    <w:p w14:paraId="22EB1876" w14:textId="713F6718" w:rsidR="00F73446" w:rsidRPr="000B3E8E" w:rsidRDefault="00F73446" w:rsidP="000B3E8E">
      <w:pPr>
        <w:widowControl w:val="0"/>
        <w:autoSpaceDE w:val="0"/>
        <w:autoSpaceDN w:val="0"/>
        <w:adjustRightInd w:val="0"/>
        <w:spacing w:after="0" w:line="240" w:lineRule="auto"/>
        <w:jc w:val="both"/>
        <w:rPr>
          <w:rFonts w:ascii="Arial" w:eastAsiaTheme="minorEastAsia" w:hAnsi="Arial" w:cs="Arial"/>
          <w:color w:val="000000" w:themeColor="text1"/>
          <w:sz w:val="18"/>
          <w:szCs w:val="18"/>
          <w:lang w:val="es-ES" w:eastAsia="es-ES"/>
        </w:rPr>
      </w:pPr>
      <w:r w:rsidRPr="000B3E8E">
        <w:rPr>
          <w:rFonts w:ascii="Arial" w:eastAsiaTheme="minorEastAsia" w:hAnsi="Arial" w:cs="Arial"/>
          <w:color w:val="000000" w:themeColor="text1"/>
          <w:sz w:val="18"/>
          <w:szCs w:val="18"/>
          <w:lang w:val="es-ES" w:eastAsia="es-ES"/>
        </w:rPr>
        <w:t>(…)</w:t>
      </w:r>
    </w:p>
    <w:p w14:paraId="7EFA2BD9" w14:textId="77777777" w:rsidR="00F73446" w:rsidRPr="000B3E8E" w:rsidRDefault="00F73446" w:rsidP="000B3E8E">
      <w:pPr>
        <w:widowControl w:val="0"/>
        <w:autoSpaceDE w:val="0"/>
        <w:autoSpaceDN w:val="0"/>
        <w:adjustRightInd w:val="0"/>
        <w:spacing w:after="0" w:line="240" w:lineRule="auto"/>
        <w:jc w:val="both"/>
        <w:rPr>
          <w:rFonts w:ascii="Arial" w:eastAsiaTheme="minorEastAsia" w:hAnsi="Arial" w:cs="Arial"/>
          <w:color w:val="000000" w:themeColor="text1"/>
          <w:sz w:val="18"/>
          <w:szCs w:val="18"/>
          <w:lang w:val="es-ES" w:eastAsia="es-ES"/>
        </w:rPr>
      </w:pPr>
      <w:r w:rsidRPr="000B3E8E">
        <w:rPr>
          <w:rFonts w:ascii="Arial" w:eastAsiaTheme="minorEastAsia" w:hAnsi="Arial" w:cs="Arial"/>
          <w:color w:val="000000" w:themeColor="text1"/>
          <w:sz w:val="18"/>
          <w:szCs w:val="18"/>
          <w:lang w:val="es-ES" w:eastAsia="es-ES"/>
        </w:rPr>
        <w:t>16. Fuentes No Convencionales de Energía (FNCE). Son aquellos recursos de energía disponibles a nivel mundial que son ambientalmente sostenibles, pero que en el país no son empleados o son utilizados de manera marginal y no se comercializan ampliamente. Se consideran FNCE la energía nuclear o atómica y las FNCER. Otras fuentes podrán ser consideradas como FNCE según lo determine la UPME.</w:t>
      </w:r>
    </w:p>
    <w:p w14:paraId="5E711E0A" w14:textId="77777777" w:rsidR="00F73446" w:rsidRPr="000B3E8E" w:rsidRDefault="00F73446" w:rsidP="000B3E8E">
      <w:pPr>
        <w:widowControl w:val="0"/>
        <w:autoSpaceDE w:val="0"/>
        <w:autoSpaceDN w:val="0"/>
        <w:adjustRightInd w:val="0"/>
        <w:spacing w:after="0" w:line="240" w:lineRule="auto"/>
        <w:jc w:val="both"/>
        <w:rPr>
          <w:rFonts w:ascii="Arial" w:eastAsiaTheme="minorEastAsia" w:hAnsi="Arial" w:cs="Arial"/>
          <w:color w:val="000000" w:themeColor="text1"/>
          <w:sz w:val="18"/>
          <w:szCs w:val="18"/>
          <w:lang w:val="es-ES" w:eastAsia="es-ES"/>
        </w:rPr>
      </w:pPr>
      <w:r w:rsidRPr="000B3E8E">
        <w:rPr>
          <w:rFonts w:ascii="Arial" w:eastAsiaTheme="minorEastAsia" w:hAnsi="Arial" w:cs="Arial"/>
          <w:color w:val="000000" w:themeColor="text1"/>
          <w:sz w:val="18"/>
          <w:szCs w:val="18"/>
          <w:lang w:val="es-ES" w:eastAsia="es-ES"/>
        </w:rPr>
        <w:t>17. Fuentes No Convencionales de Energía Renovable (FNCER). Son aquellos recursos de energía renovable disponibles a nivel mundial que son ambientalmente sostenibles, pero que en el país no son empleados o son utilizados de manera marginal y no se comercializan ampliamente. Se consideran FNCER la biomasa, los pequeños aprovechamientos hidroeléctricos, la eólica, la geotérmica, la solar y los mares. Otras fuentes podrán ser consideradas como FNCER según lo determine la UPME.</w:t>
      </w:r>
    </w:p>
    <w:p w14:paraId="60E7094F" w14:textId="77777777" w:rsidR="00F73446" w:rsidRPr="000B3E8E" w:rsidRDefault="00F73446" w:rsidP="000B3E8E">
      <w:pPr>
        <w:pStyle w:val="Textonotapie"/>
        <w:jc w:val="both"/>
        <w:rPr>
          <w:rFonts w:ascii="Arial" w:eastAsiaTheme="minorEastAsia" w:hAnsi="Arial" w:cs="Arial"/>
          <w:color w:val="000000" w:themeColor="text1"/>
          <w:sz w:val="18"/>
          <w:szCs w:val="18"/>
        </w:rPr>
      </w:pPr>
      <w:r w:rsidRPr="000B3E8E">
        <w:rPr>
          <w:rFonts w:ascii="Arial" w:eastAsiaTheme="minorEastAsia" w:hAnsi="Arial" w:cs="Arial"/>
          <w:color w:val="000000" w:themeColor="text1"/>
          <w:sz w:val="18"/>
          <w:szCs w:val="18"/>
        </w:rPr>
        <w:t>(…)</w:t>
      </w:r>
    </w:p>
    <w:p w14:paraId="4686AC4A" w14:textId="1A5CF803" w:rsidR="00F73446" w:rsidRPr="000B3E8E" w:rsidRDefault="00F73446" w:rsidP="000B3E8E">
      <w:pPr>
        <w:pStyle w:val="Textonotapie"/>
        <w:jc w:val="both"/>
        <w:rPr>
          <w:rFonts w:ascii="Arial" w:hAnsi="Arial" w:cs="Arial"/>
          <w:color w:val="000000" w:themeColor="text1"/>
          <w:sz w:val="18"/>
          <w:szCs w:val="18"/>
          <w:lang w:val="es-ES_tradnl"/>
        </w:rPr>
      </w:pPr>
      <w:r w:rsidRPr="000B3E8E">
        <w:rPr>
          <w:rFonts w:ascii="Arial" w:eastAsiaTheme="minorEastAsia" w:hAnsi="Arial" w:cs="Arial"/>
          <w:color w:val="000000" w:themeColor="text1"/>
          <w:sz w:val="18"/>
          <w:szCs w:val="18"/>
        </w:rPr>
        <w:t>22. Zonas No Interconectadas (ZNI). Se entiende por Zonas No Interconectadas a los municipios, corregimientos, localidades y caseríos no conectadas al Sistema Interconectado Nacional (SIN).</w:t>
      </w:r>
    </w:p>
  </w:footnote>
  <w:footnote w:id="53">
    <w:p w14:paraId="1303789C" w14:textId="316FDA6C" w:rsidR="00F73446" w:rsidRPr="000B3E8E" w:rsidRDefault="00F73446" w:rsidP="000B3E8E">
      <w:pPr>
        <w:pStyle w:val="Textonotapie"/>
        <w:jc w:val="both"/>
        <w:rPr>
          <w:rFonts w:ascii="Arial" w:hAnsi="Arial" w:cs="Arial"/>
          <w:color w:val="000000" w:themeColor="text1"/>
          <w:sz w:val="18"/>
          <w:szCs w:val="18"/>
          <w:lang w:val="es-ES_tradnl"/>
        </w:rPr>
      </w:pPr>
      <w:r w:rsidRPr="000B3E8E">
        <w:rPr>
          <w:rStyle w:val="Refdenotaalpie"/>
          <w:rFonts w:ascii="Arial" w:hAnsi="Arial" w:cs="Arial"/>
          <w:color w:val="000000" w:themeColor="text1"/>
          <w:sz w:val="18"/>
          <w:szCs w:val="18"/>
        </w:rPr>
        <w:footnoteRef/>
      </w:r>
      <w:r w:rsidRPr="000B3E8E">
        <w:rPr>
          <w:rFonts w:ascii="Arial" w:hAnsi="Arial" w:cs="Arial"/>
          <w:color w:val="000000" w:themeColor="text1"/>
          <w:sz w:val="18"/>
          <w:szCs w:val="18"/>
        </w:rPr>
        <w:t xml:space="preserve"> </w:t>
      </w:r>
      <w:r w:rsidRPr="000B3E8E">
        <w:rPr>
          <w:rFonts w:ascii="Arial" w:hAnsi="Arial" w:cs="Arial"/>
          <w:color w:val="000000" w:themeColor="text1"/>
          <w:sz w:val="18"/>
          <w:szCs w:val="18"/>
          <w:lang w:val="es-ES_tradnl"/>
        </w:rPr>
        <w:t>Ley 1715 de 2014. Artículos 7º y 8º.</w:t>
      </w:r>
    </w:p>
  </w:footnote>
  <w:footnote w:id="54">
    <w:p w14:paraId="2C2E6091" w14:textId="53F15CBB" w:rsidR="00F73446" w:rsidRPr="000B3E8E" w:rsidRDefault="00F73446" w:rsidP="003778E4">
      <w:pPr>
        <w:widowControl w:val="0"/>
        <w:autoSpaceDE w:val="0"/>
        <w:autoSpaceDN w:val="0"/>
        <w:adjustRightInd w:val="0"/>
        <w:spacing w:after="0" w:line="240" w:lineRule="auto"/>
        <w:jc w:val="both"/>
        <w:rPr>
          <w:rFonts w:ascii="Arial" w:hAnsi="Arial" w:cs="Arial"/>
          <w:color w:val="000000" w:themeColor="text1"/>
          <w:sz w:val="18"/>
          <w:szCs w:val="18"/>
        </w:rPr>
      </w:pPr>
      <w:r w:rsidRPr="000B3E8E">
        <w:rPr>
          <w:rStyle w:val="Refdenotaalpie"/>
          <w:rFonts w:ascii="Arial" w:hAnsi="Arial" w:cs="Arial"/>
          <w:color w:val="000000" w:themeColor="text1"/>
          <w:sz w:val="18"/>
          <w:szCs w:val="18"/>
        </w:rPr>
        <w:footnoteRef/>
      </w:r>
      <w:r w:rsidRPr="000B3E8E">
        <w:rPr>
          <w:rFonts w:ascii="Arial" w:hAnsi="Arial" w:cs="Arial"/>
          <w:color w:val="000000" w:themeColor="text1"/>
          <w:sz w:val="18"/>
          <w:szCs w:val="18"/>
        </w:rPr>
        <w:t xml:space="preserve">  Ley 142 de 1994 </w:t>
      </w:r>
      <w:r w:rsidRPr="000B3E8E">
        <w:rPr>
          <w:rFonts w:ascii="Arial" w:eastAsiaTheme="minorEastAsia" w:hAnsi="Arial" w:cs="Arial"/>
          <w:bCs/>
          <w:color w:val="000000" w:themeColor="text1"/>
          <w:sz w:val="18"/>
          <w:szCs w:val="18"/>
          <w:lang w:val="es-ES" w:eastAsia="es-ES"/>
        </w:rPr>
        <w:t>14.10. “</w:t>
      </w:r>
      <w:r w:rsidRPr="000B3E8E">
        <w:rPr>
          <w:rFonts w:ascii="Arial" w:eastAsiaTheme="minorEastAsia" w:hAnsi="Arial" w:cs="Arial"/>
          <w:bCs/>
          <w:i/>
          <w:color w:val="000000" w:themeColor="text1"/>
          <w:sz w:val="18"/>
          <w:szCs w:val="18"/>
          <w:lang w:val="es-ES" w:eastAsia="es-ES"/>
        </w:rPr>
        <w:t>LIBERTAD REGULADA.</w:t>
      </w:r>
      <w:r w:rsidRPr="000B3E8E">
        <w:rPr>
          <w:rFonts w:ascii="Arial" w:eastAsiaTheme="minorEastAsia" w:hAnsi="Arial" w:cs="Arial"/>
          <w:i/>
          <w:color w:val="000000" w:themeColor="text1"/>
          <w:sz w:val="18"/>
          <w:szCs w:val="18"/>
          <w:lang w:val="es-ES" w:eastAsia="es-ES"/>
        </w:rPr>
        <w:t xml:space="preserve"> Régimen de tarifas mediante el cual </w:t>
      </w:r>
      <w:r w:rsidRPr="000B3E8E">
        <w:rPr>
          <w:rFonts w:ascii="Arial" w:eastAsiaTheme="minorEastAsia" w:hAnsi="Arial" w:cs="Arial"/>
          <w:i/>
          <w:color w:val="000000" w:themeColor="text1"/>
          <w:sz w:val="18"/>
          <w:szCs w:val="18"/>
          <w:u w:val="single"/>
          <w:lang w:val="es-ES" w:eastAsia="es-ES"/>
        </w:rPr>
        <w:t>la comisión de regulación respectiva</w:t>
      </w:r>
      <w:r w:rsidRPr="000B3E8E">
        <w:rPr>
          <w:rFonts w:ascii="Arial" w:eastAsiaTheme="minorEastAsia" w:hAnsi="Arial" w:cs="Arial"/>
          <w:i/>
          <w:color w:val="000000" w:themeColor="text1"/>
          <w:sz w:val="18"/>
          <w:szCs w:val="18"/>
          <w:lang w:val="es-ES" w:eastAsia="es-ES"/>
        </w:rPr>
        <w:t xml:space="preserve"> fijará los criterios y la metodología con arreglo a los cuales las empresas de servicios públicos domiciliarios pueden determinar o modificar los precios máximos para los servicios ofrecidos al usuario o consumidor.”</w:t>
      </w:r>
    </w:p>
  </w:footnote>
  <w:footnote w:id="55">
    <w:p w14:paraId="116E6AD0" w14:textId="0B31257A" w:rsidR="00F73446" w:rsidRPr="000B3E8E" w:rsidRDefault="00F73446" w:rsidP="000B3E8E">
      <w:pPr>
        <w:widowControl w:val="0"/>
        <w:autoSpaceDE w:val="0"/>
        <w:autoSpaceDN w:val="0"/>
        <w:adjustRightInd w:val="0"/>
        <w:spacing w:after="0" w:line="240" w:lineRule="auto"/>
        <w:jc w:val="both"/>
        <w:rPr>
          <w:rFonts w:ascii="Arial" w:eastAsiaTheme="minorEastAsia" w:hAnsi="Arial" w:cs="Arial"/>
          <w:i/>
          <w:color w:val="000000" w:themeColor="text1"/>
          <w:sz w:val="18"/>
          <w:szCs w:val="18"/>
          <w:lang w:val="es-ES" w:eastAsia="es-ES"/>
        </w:rPr>
      </w:pPr>
      <w:r w:rsidRPr="000B3E8E">
        <w:rPr>
          <w:rStyle w:val="Refdenotaalpie"/>
          <w:rFonts w:ascii="Arial" w:hAnsi="Arial" w:cs="Arial"/>
          <w:color w:val="000000" w:themeColor="text1"/>
          <w:sz w:val="18"/>
          <w:szCs w:val="18"/>
        </w:rPr>
        <w:footnoteRef/>
      </w:r>
      <w:r w:rsidRPr="000B3E8E">
        <w:rPr>
          <w:rFonts w:ascii="Arial" w:hAnsi="Arial" w:cs="Arial"/>
          <w:color w:val="000000" w:themeColor="text1"/>
          <w:sz w:val="18"/>
          <w:szCs w:val="18"/>
        </w:rPr>
        <w:t xml:space="preserve"> Ley 142 de 1994. </w:t>
      </w:r>
      <w:r w:rsidRPr="000B3E8E">
        <w:rPr>
          <w:rFonts w:ascii="Arial" w:hAnsi="Arial" w:cs="Arial"/>
          <w:i/>
          <w:color w:val="000000" w:themeColor="text1"/>
          <w:sz w:val="18"/>
          <w:szCs w:val="18"/>
        </w:rPr>
        <w:t>“A</w:t>
      </w:r>
      <w:r w:rsidRPr="000B3E8E">
        <w:rPr>
          <w:rFonts w:ascii="Arial" w:eastAsiaTheme="minorEastAsia" w:hAnsi="Arial" w:cs="Arial"/>
          <w:b/>
          <w:bCs/>
          <w:i/>
          <w:color w:val="000000" w:themeColor="text1"/>
          <w:sz w:val="18"/>
          <w:szCs w:val="18"/>
          <w:lang w:val="es-ES" w:eastAsia="es-ES"/>
        </w:rPr>
        <w:t>RTÍCULO 88. REGULACIÓN Y LIBERTAD DE TARIFAS.</w:t>
      </w:r>
      <w:r w:rsidRPr="000B3E8E">
        <w:rPr>
          <w:rFonts w:ascii="Arial" w:eastAsiaTheme="minorEastAsia" w:hAnsi="Arial" w:cs="Arial"/>
          <w:i/>
          <w:color w:val="000000" w:themeColor="text1"/>
          <w:sz w:val="18"/>
          <w:szCs w:val="18"/>
          <w:lang w:val="es-ES" w:eastAsia="es-ES"/>
        </w:rPr>
        <w:t xml:space="preserve"> Al fijar sus tarifas, las empresas de servicios públicos se someterán al régimen de regulación, el cual podrá incluir las modalidades de libertad regulada y libertad vigilada, o un régimen de libertad, de acuerdo a las siguientes reglas:</w:t>
      </w:r>
    </w:p>
    <w:p w14:paraId="392AB959" w14:textId="5CF587BF" w:rsidR="00F73446" w:rsidRPr="000B3E8E" w:rsidRDefault="00F73446" w:rsidP="000B3E8E">
      <w:pPr>
        <w:widowControl w:val="0"/>
        <w:autoSpaceDE w:val="0"/>
        <w:autoSpaceDN w:val="0"/>
        <w:adjustRightInd w:val="0"/>
        <w:spacing w:after="0" w:line="240" w:lineRule="auto"/>
        <w:jc w:val="both"/>
        <w:rPr>
          <w:rFonts w:ascii="Arial" w:eastAsiaTheme="minorEastAsia" w:hAnsi="Arial" w:cs="Arial"/>
          <w:i/>
          <w:color w:val="000000" w:themeColor="text1"/>
          <w:sz w:val="18"/>
          <w:szCs w:val="18"/>
          <w:lang w:val="es-ES" w:eastAsia="es-ES"/>
        </w:rPr>
      </w:pPr>
      <w:r w:rsidRPr="000B3E8E">
        <w:rPr>
          <w:rFonts w:ascii="Arial" w:eastAsiaTheme="minorEastAsia" w:hAnsi="Arial" w:cs="Arial"/>
          <w:i/>
          <w:color w:val="000000" w:themeColor="text1"/>
          <w:sz w:val="18"/>
          <w:szCs w:val="18"/>
          <w:lang w:val="es-ES" w:eastAsia="es-ES"/>
        </w:rPr>
        <w:t>88.1. Las empresas deberán ceñirse a las fórmulas que defina periódicamente la respectiva comisión para fijar sus tarifas, salvo en los casos excepcionales que se enumeran adelante. De acuerdo con los estudios de costos, la comisión reguladora podrá establecer topes máximos y mínimos tarifarios, de obligatorio cumplimiento por parte de las empresas; igualmente, podrá definir las metodologías para determinación de tarifas si conviene en aplicar el régimen de libertad regulada o vigilada.</w:t>
      </w:r>
    </w:p>
    <w:p w14:paraId="7852237E" w14:textId="3A0E1492" w:rsidR="00F73446" w:rsidRPr="000B3E8E" w:rsidRDefault="00F73446" w:rsidP="000B3E8E">
      <w:pPr>
        <w:widowControl w:val="0"/>
        <w:autoSpaceDE w:val="0"/>
        <w:autoSpaceDN w:val="0"/>
        <w:adjustRightInd w:val="0"/>
        <w:spacing w:after="0" w:line="240" w:lineRule="auto"/>
        <w:jc w:val="both"/>
        <w:rPr>
          <w:rFonts w:ascii="Arial" w:eastAsiaTheme="minorEastAsia" w:hAnsi="Arial" w:cs="Arial"/>
          <w:i/>
          <w:color w:val="000000" w:themeColor="text1"/>
          <w:sz w:val="18"/>
          <w:szCs w:val="18"/>
          <w:lang w:val="es-ES" w:eastAsia="es-ES"/>
        </w:rPr>
      </w:pPr>
      <w:r w:rsidRPr="000B3E8E">
        <w:rPr>
          <w:rFonts w:ascii="Arial" w:eastAsiaTheme="minorEastAsia" w:hAnsi="Arial" w:cs="Arial"/>
          <w:i/>
          <w:color w:val="000000" w:themeColor="text1"/>
          <w:sz w:val="18"/>
          <w:szCs w:val="18"/>
          <w:lang w:val="es-ES" w:eastAsia="es-ES"/>
        </w:rPr>
        <w:t>88.2. Las empresas tendrán libertad para fijar tarifas cuando no tengan una posición dominante en su mercado, según análisis que hará la comisión respectiva, con base en los criterios y definiciones de esta Ley.</w:t>
      </w:r>
    </w:p>
    <w:p w14:paraId="27FD84B5" w14:textId="573FCA58" w:rsidR="00F73446" w:rsidRPr="000B3E8E" w:rsidRDefault="00F73446" w:rsidP="003778E4">
      <w:pPr>
        <w:spacing w:after="0" w:line="240" w:lineRule="auto"/>
        <w:jc w:val="both"/>
        <w:rPr>
          <w:rFonts w:ascii="Arial" w:hAnsi="Arial" w:cs="Arial"/>
          <w:i/>
          <w:color w:val="000000" w:themeColor="text1"/>
          <w:sz w:val="18"/>
          <w:szCs w:val="18"/>
        </w:rPr>
      </w:pPr>
      <w:r w:rsidRPr="000B3E8E">
        <w:rPr>
          <w:rFonts w:ascii="Arial" w:eastAsiaTheme="minorEastAsia" w:hAnsi="Arial" w:cs="Arial"/>
          <w:i/>
          <w:color w:val="000000" w:themeColor="text1"/>
          <w:sz w:val="18"/>
          <w:szCs w:val="18"/>
          <w:lang w:val="es-ES" w:eastAsia="es-ES"/>
        </w:rPr>
        <w:t>88.3. Las empresas tendrán libertad para fijar tarifas, cuando exista competencia entre proveedores. Corresponde a las comisiones de regulación, periódicamente, determinar cuándo se dan estas condiciones, con base en los criterios y definiciones de esta Ley.”</w:t>
      </w:r>
    </w:p>
  </w:footnote>
  <w:footnote w:id="56">
    <w:p w14:paraId="2E15AE04" w14:textId="16CA4616" w:rsidR="00F73446" w:rsidRPr="000B3E8E" w:rsidRDefault="00F73446" w:rsidP="000B3E8E">
      <w:pPr>
        <w:pStyle w:val="Textonotapie"/>
        <w:jc w:val="both"/>
        <w:rPr>
          <w:rFonts w:ascii="Arial" w:hAnsi="Arial" w:cs="Arial"/>
          <w:color w:val="000000" w:themeColor="text1"/>
          <w:sz w:val="18"/>
          <w:szCs w:val="18"/>
          <w:lang w:val="es-ES_tradnl"/>
        </w:rPr>
      </w:pPr>
      <w:r w:rsidRPr="000B3E8E">
        <w:rPr>
          <w:rStyle w:val="Refdenotaalpie"/>
          <w:rFonts w:ascii="Arial" w:hAnsi="Arial" w:cs="Arial"/>
          <w:color w:val="000000" w:themeColor="text1"/>
          <w:sz w:val="18"/>
          <w:szCs w:val="18"/>
        </w:rPr>
        <w:footnoteRef/>
      </w:r>
      <w:r w:rsidRPr="000B3E8E">
        <w:rPr>
          <w:rFonts w:ascii="Arial" w:hAnsi="Arial" w:cs="Arial"/>
          <w:color w:val="000000" w:themeColor="text1"/>
          <w:sz w:val="18"/>
          <w:szCs w:val="18"/>
        </w:rPr>
        <w:t xml:space="preserve">  Ley 142 de 1994 </w:t>
      </w:r>
      <w:r w:rsidRPr="000B3E8E">
        <w:rPr>
          <w:rFonts w:ascii="Arial" w:eastAsiaTheme="minorEastAsia" w:hAnsi="Arial" w:cs="Arial"/>
          <w:bCs/>
          <w:color w:val="000000" w:themeColor="text1"/>
          <w:sz w:val="18"/>
          <w:szCs w:val="18"/>
        </w:rPr>
        <w:t>14.11. “</w:t>
      </w:r>
      <w:r w:rsidRPr="000B3E8E">
        <w:rPr>
          <w:rFonts w:ascii="Arial" w:eastAsiaTheme="minorEastAsia" w:hAnsi="Arial" w:cs="Arial"/>
          <w:bCs/>
          <w:i/>
          <w:color w:val="000000" w:themeColor="text1"/>
          <w:sz w:val="18"/>
          <w:szCs w:val="18"/>
        </w:rPr>
        <w:t>LIBERTAD VIGILADA.</w:t>
      </w:r>
      <w:r w:rsidRPr="000B3E8E">
        <w:rPr>
          <w:rFonts w:ascii="Arial" w:eastAsiaTheme="minorEastAsia" w:hAnsi="Arial" w:cs="Arial"/>
          <w:i/>
          <w:color w:val="000000" w:themeColor="text1"/>
          <w:sz w:val="18"/>
          <w:szCs w:val="18"/>
        </w:rPr>
        <w:t xml:space="preserve"> Régimen de tarifas mediante el cual las empresas de servicios públicos domiciliarios pueden determinar libremente las tarifas de venta a medianos y pequeños consumidores, con la obligación de informar por escrito a las comisiones de regulación, sobre las decisiones tomadas sobre esta materia</w:t>
      </w:r>
      <w:r>
        <w:rPr>
          <w:rFonts w:ascii="Arial" w:eastAsiaTheme="minorEastAsia" w:hAnsi="Arial" w:cs="Arial"/>
          <w:i/>
          <w:color w:val="000000" w:themeColor="text1"/>
          <w:sz w:val="18"/>
          <w:szCs w:val="18"/>
        </w:rPr>
        <w:t>.</w:t>
      </w:r>
    </w:p>
  </w:footnote>
  <w:footnote w:id="57">
    <w:p w14:paraId="19C0CC12" w14:textId="77777777" w:rsidR="00F73446" w:rsidRPr="000B3E8E" w:rsidRDefault="00F73446" w:rsidP="000B3E8E">
      <w:pPr>
        <w:pStyle w:val="Textonotapie"/>
        <w:jc w:val="both"/>
        <w:rPr>
          <w:rFonts w:ascii="Arial" w:hAnsi="Arial" w:cs="Arial"/>
          <w:color w:val="000000" w:themeColor="text1"/>
          <w:sz w:val="18"/>
          <w:szCs w:val="18"/>
          <w:lang w:val="es-ES_tradnl"/>
        </w:rPr>
      </w:pPr>
      <w:r w:rsidRPr="000B3E8E">
        <w:rPr>
          <w:rStyle w:val="Refdenotaalpie"/>
          <w:rFonts w:ascii="Arial" w:hAnsi="Arial" w:cs="Arial"/>
          <w:color w:val="000000" w:themeColor="text1"/>
          <w:sz w:val="18"/>
          <w:szCs w:val="18"/>
        </w:rPr>
        <w:footnoteRef/>
      </w:r>
      <w:r w:rsidRPr="000B3E8E">
        <w:rPr>
          <w:rFonts w:ascii="Arial" w:hAnsi="Arial" w:cs="Arial"/>
          <w:color w:val="000000" w:themeColor="text1"/>
          <w:sz w:val="18"/>
          <w:szCs w:val="18"/>
        </w:rPr>
        <w:t xml:space="preserve"> Ley 143 de 1994. “</w:t>
      </w:r>
      <w:r w:rsidRPr="000B3E8E">
        <w:rPr>
          <w:rFonts w:ascii="Arial" w:eastAsiaTheme="minorEastAsia" w:hAnsi="Arial" w:cs="Arial"/>
          <w:bCs/>
          <w:color w:val="000000" w:themeColor="text1"/>
          <w:sz w:val="18"/>
          <w:szCs w:val="18"/>
        </w:rPr>
        <w:t>Artículo 45.</w:t>
      </w:r>
      <w:r w:rsidRPr="000B3E8E">
        <w:rPr>
          <w:rFonts w:ascii="Arial" w:eastAsiaTheme="minorEastAsia" w:hAnsi="Arial" w:cs="Arial"/>
          <w:color w:val="000000" w:themeColor="text1"/>
          <w:sz w:val="18"/>
          <w:szCs w:val="18"/>
        </w:rPr>
        <w:t xml:space="preserve"> Los costos de distribución que servirán de base para la definición de tarifas a los usuarios regulados del servicio de electricidad, por parte de la Comisión de Regulación de Energía y Gas tendrán en cuenta empresas eficientes de referencia según áreas de distribución comparables, teniendo en cuenta las características propias de la región, tomarán en cuenta los costos de inversión de las redes de distribución, incluido el costo de oportunidad de capital y los costos de administración, operación y mantenimiento por unidad de potencia máxima suministrada. Además, tendrán en cuenta niveles de pérdidas de energía y potencia característicos de empresas eficientes comparables.”</w:t>
      </w:r>
    </w:p>
  </w:footnote>
  <w:footnote w:id="58">
    <w:p w14:paraId="14618670" w14:textId="172F27C8" w:rsidR="00F73446" w:rsidRPr="000B3E8E" w:rsidRDefault="00F73446" w:rsidP="000B3E8E">
      <w:pPr>
        <w:widowControl w:val="0"/>
        <w:autoSpaceDE w:val="0"/>
        <w:autoSpaceDN w:val="0"/>
        <w:adjustRightInd w:val="0"/>
        <w:spacing w:after="0" w:line="240" w:lineRule="auto"/>
        <w:jc w:val="both"/>
        <w:rPr>
          <w:rFonts w:ascii="Arial" w:hAnsi="Arial" w:cs="Arial"/>
          <w:color w:val="000000" w:themeColor="text1"/>
          <w:sz w:val="18"/>
          <w:szCs w:val="18"/>
          <w:lang w:val="es-ES"/>
        </w:rPr>
      </w:pPr>
      <w:r w:rsidRPr="000B3E8E">
        <w:rPr>
          <w:rStyle w:val="Refdenotaalpie"/>
          <w:rFonts w:ascii="Arial" w:hAnsi="Arial" w:cs="Arial"/>
          <w:color w:val="000000" w:themeColor="text1"/>
          <w:sz w:val="18"/>
          <w:szCs w:val="18"/>
        </w:rPr>
        <w:footnoteRef/>
      </w:r>
      <w:r>
        <w:rPr>
          <w:rFonts w:ascii="Arial" w:hAnsi="Arial" w:cs="Arial"/>
          <w:bCs/>
          <w:color w:val="000000" w:themeColor="text1"/>
          <w:sz w:val="18"/>
          <w:szCs w:val="18"/>
          <w:lang w:val="es-ES"/>
        </w:rPr>
        <w:t>Ley 143 de 1994</w:t>
      </w:r>
      <w:r w:rsidRPr="000B3E8E">
        <w:rPr>
          <w:rFonts w:ascii="Arial" w:hAnsi="Arial" w:cs="Arial"/>
          <w:bCs/>
          <w:color w:val="000000" w:themeColor="text1"/>
          <w:sz w:val="18"/>
          <w:szCs w:val="18"/>
          <w:lang w:val="es-ES"/>
        </w:rPr>
        <w:t>. “Artículo 46.</w:t>
      </w:r>
      <w:r w:rsidRPr="000B3E8E">
        <w:rPr>
          <w:rFonts w:ascii="Arial" w:hAnsi="Arial" w:cs="Arial"/>
          <w:color w:val="000000" w:themeColor="text1"/>
          <w:sz w:val="18"/>
          <w:szCs w:val="18"/>
          <w:lang w:val="es-ES"/>
        </w:rPr>
        <w:t xml:space="preserve"> La Comisión de Regulación de Energía y Gas tendrá en cuenta los siguientes componentes en la estructura de tarifas:</w:t>
      </w:r>
    </w:p>
    <w:p w14:paraId="7C6F3D7E" w14:textId="77777777" w:rsidR="00F73446" w:rsidRPr="000B3E8E" w:rsidRDefault="00F73446" w:rsidP="000B3E8E">
      <w:pPr>
        <w:widowControl w:val="0"/>
        <w:autoSpaceDE w:val="0"/>
        <w:autoSpaceDN w:val="0"/>
        <w:adjustRightInd w:val="0"/>
        <w:spacing w:after="0" w:line="240" w:lineRule="auto"/>
        <w:jc w:val="both"/>
        <w:rPr>
          <w:rFonts w:ascii="Arial" w:hAnsi="Arial" w:cs="Arial"/>
          <w:color w:val="000000" w:themeColor="text1"/>
          <w:sz w:val="18"/>
          <w:szCs w:val="18"/>
          <w:lang w:val="es-ES"/>
        </w:rPr>
      </w:pPr>
      <w:r w:rsidRPr="000B3E8E">
        <w:rPr>
          <w:rFonts w:ascii="Arial" w:hAnsi="Arial" w:cs="Arial"/>
          <w:color w:val="000000" w:themeColor="text1"/>
          <w:sz w:val="18"/>
          <w:szCs w:val="18"/>
          <w:lang w:val="es-ES"/>
        </w:rPr>
        <w:t>a) Una tarifa por unidad de consumo de energía;</w:t>
      </w:r>
    </w:p>
    <w:p w14:paraId="5296FD90" w14:textId="77777777" w:rsidR="00F73446" w:rsidRPr="000B3E8E" w:rsidRDefault="00F73446" w:rsidP="000B3E8E">
      <w:pPr>
        <w:widowControl w:val="0"/>
        <w:autoSpaceDE w:val="0"/>
        <w:autoSpaceDN w:val="0"/>
        <w:adjustRightInd w:val="0"/>
        <w:spacing w:after="0" w:line="240" w:lineRule="auto"/>
        <w:jc w:val="both"/>
        <w:rPr>
          <w:rFonts w:ascii="Arial" w:hAnsi="Arial" w:cs="Arial"/>
          <w:color w:val="000000" w:themeColor="text1"/>
          <w:sz w:val="18"/>
          <w:szCs w:val="18"/>
          <w:lang w:val="es-ES"/>
        </w:rPr>
      </w:pPr>
      <w:r w:rsidRPr="000B3E8E">
        <w:rPr>
          <w:rFonts w:ascii="Arial" w:hAnsi="Arial" w:cs="Arial"/>
          <w:color w:val="000000" w:themeColor="text1"/>
          <w:sz w:val="18"/>
          <w:szCs w:val="18"/>
          <w:lang w:val="es-ES"/>
        </w:rPr>
        <w:t>b) Una tarifa por unidad de potencia, utilizada en las horas de máxima demanda;</w:t>
      </w:r>
    </w:p>
    <w:p w14:paraId="058A61A5" w14:textId="77777777" w:rsidR="00F73446" w:rsidRPr="000B3E8E" w:rsidRDefault="00F73446" w:rsidP="000B3E8E">
      <w:pPr>
        <w:widowControl w:val="0"/>
        <w:autoSpaceDE w:val="0"/>
        <w:autoSpaceDN w:val="0"/>
        <w:adjustRightInd w:val="0"/>
        <w:spacing w:after="0" w:line="240" w:lineRule="auto"/>
        <w:jc w:val="both"/>
        <w:rPr>
          <w:rFonts w:ascii="Arial" w:hAnsi="Arial" w:cs="Arial"/>
          <w:color w:val="000000" w:themeColor="text1"/>
          <w:sz w:val="18"/>
          <w:szCs w:val="18"/>
          <w:lang w:val="es-ES"/>
        </w:rPr>
      </w:pPr>
      <w:r w:rsidRPr="000B3E8E">
        <w:rPr>
          <w:rFonts w:ascii="Arial" w:hAnsi="Arial" w:cs="Arial"/>
          <w:color w:val="000000" w:themeColor="text1"/>
          <w:sz w:val="18"/>
          <w:szCs w:val="18"/>
          <w:lang w:val="es-ES"/>
        </w:rPr>
        <w:t>c) Un cargo fijo que refleje los costos económicos involucrados en garantizar la disponibilidad del servicio para el usuario, independientemente del nivel de consumo;</w:t>
      </w:r>
    </w:p>
    <w:p w14:paraId="28D0B2BC" w14:textId="77777777" w:rsidR="00F73446" w:rsidRPr="000B3E8E" w:rsidRDefault="00F73446" w:rsidP="000B3E8E">
      <w:pPr>
        <w:widowControl w:val="0"/>
        <w:autoSpaceDE w:val="0"/>
        <w:autoSpaceDN w:val="0"/>
        <w:adjustRightInd w:val="0"/>
        <w:spacing w:after="0" w:line="240" w:lineRule="auto"/>
        <w:jc w:val="both"/>
        <w:rPr>
          <w:rFonts w:ascii="Arial" w:hAnsi="Arial" w:cs="Arial"/>
          <w:color w:val="000000" w:themeColor="text1"/>
          <w:sz w:val="18"/>
          <w:szCs w:val="18"/>
          <w:lang w:val="es-ES"/>
        </w:rPr>
      </w:pPr>
      <w:r w:rsidRPr="000B3E8E">
        <w:rPr>
          <w:rFonts w:ascii="Arial" w:hAnsi="Arial" w:cs="Arial"/>
          <w:color w:val="000000" w:themeColor="text1"/>
          <w:sz w:val="18"/>
          <w:szCs w:val="18"/>
          <w:lang w:val="es-ES"/>
        </w:rPr>
        <w:t>d) Un cargo de conexión que cubrirá los costos de la conexión cada vez que el usuario se conecte al servicio de electricidad.</w:t>
      </w:r>
    </w:p>
    <w:p w14:paraId="6965AE30" w14:textId="77777777" w:rsidR="00F73446" w:rsidRPr="000B3E8E" w:rsidRDefault="00F73446" w:rsidP="000B3E8E">
      <w:pPr>
        <w:widowControl w:val="0"/>
        <w:autoSpaceDE w:val="0"/>
        <w:autoSpaceDN w:val="0"/>
        <w:adjustRightInd w:val="0"/>
        <w:spacing w:after="0" w:line="240" w:lineRule="auto"/>
        <w:jc w:val="both"/>
        <w:rPr>
          <w:rFonts w:ascii="Arial" w:hAnsi="Arial" w:cs="Arial"/>
          <w:color w:val="000000" w:themeColor="text1"/>
          <w:sz w:val="18"/>
          <w:szCs w:val="18"/>
          <w:lang w:val="es-ES"/>
        </w:rPr>
      </w:pPr>
      <w:r w:rsidRPr="000B3E8E">
        <w:rPr>
          <w:rFonts w:ascii="Arial" w:hAnsi="Arial" w:cs="Arial"/>
          <w:bCs/>
          <w:color w:val="000000" w:themeColor="text1"/>
          <w:sz w:val="18"/>
          <w:szCs w:val="18"/>
          <w:lang w:val="es-ES"/>
        </w:rPr>
        <w:t>PARÁGRAFO 1o.</w:t>
      </w:r>
      <w:r w:rsidRPr="000B3E8E">
        <w:rPr>
          <w:rFonts w:ascii="Arial" w:hAnsi="Arial" w:cs="Arial"/>
          <w:color w:val="000000" w:themeColor="text1"/>
          <w:sz w:val="18"/>
          <w:szCs w:val="18"/>
          <w:lang w:val="es-ES"/>
        </w:rPr>
        <w:t xml:space="preserve"> Para el cálculo de cada componente se tendrán en cuenta los costos y cargos establecidos por la Comisión de Regulación de Energía y Gas.</w:t>
      </w:r>
    </w:p>
    <w:p w14:paraId="7CD843BF" w14:textId="77777777" w:rsidR="00F73446" w:rsidRPr="000B3E8E" w:rsidRDefault="00F73446" w:rsidP="000B3E8E">
      <w:pPr>
        <w:spacing w:after="0" w:line="240" w:lineRule="auto"/>
        <w:jc w:val="both"/>
        <w:rPr>
          <w:rFonts w:ascii="Arial" w:hAnsi="Arial" w:cs="Arial"/>
          <w:color w:val="000000" w:themeColor="text1"/>
          <w:sz w:val="18"/>
          <w:szCs w:val="18"/>
          <w:lang w:val="es-ES"/>
        </w:rPr>
      </w:pPr>
      <w:r w:rsidRPr="000B3E8E">
        <w:rPr>
          <w:rFonts w:ascii="Arial" w:hAnsi="Arial" w:cs="Arial"/>
          <w:bCs/>
          <w:color w:val="000000" w:themeColor="text1"/>
          <w:sz w:val="18"/>
          <w:szCs w:val="18"/>
          <w:lang w:val="es-ES"/>
        </w:rPr>
        <w:t>PARÁGRAFO 2o.</w:t>
      </w:r>
      <w:r w:rsidRPr="000B3E8E">
        <w:rPr>
          <w:rFonts w:ascii="Arial" w:hAnsi="Arial" w:cs="Arial"/>
          <w:color w:val="000000" w:themeColor="text1"/>
          <w:sz w:val="18"/>
          <w:szCs w:val="18"/>
          <w:lang w:val="es-ES"/>
        </w:rPr>
        <w:t xml:space="preserve"> La Comisión de Regulación de Energía y Gas podrá diseñar y hacer públicas diversas opciones tarifarias.”</w:t>
      </w:r>
    </w:p>
    <w:p w14:paraId="0FABEE33" w14:textId="77777777" w:rsidR="00F73446" w:rsidRPr="000B3E8E" w:rsidRDefault="00F73446" w:rsidP="000B3E8E">
      <w:pPr>
        <w:pStyle w:val="Textonotapie"/>
        <w:jc w:val="both"/>
        <w:rPr>
          <w:rFonts w:ascii="Arial" w:hAnsi="Arial" w:cs="Arial"/>
          <w:i/>
          <w:color w:val="000000" w:themeColor="text1"/>
          <w:sz w:val="18"/>
          <w:szCs w:val="18"/>
          <w:lang w:val="es-ES_tradnl"/>
        </w:rPr>
      </w:pPr>
      <w:r w:rsidRPr="000B3E8E">
        <w:rPr>
          <w:rFonts w:ascii="Arial" w:hAnsi="Arial" w:cs="Arial"/>
          <w:i/>
          <w:color w:val="000000" w:themeColor="text1"/>
          <w:sz w:val="18"/>
          <w:szCs w:val="18"/>
        </w:rPr>
        <w:t xml:space="preserve"> </w:t>
      </w:r>
    </w:p>
  </w:footnote>
  <w:footnote w:id="59">
    <w:p w14:paraId="77EA92CF" w14:textId="3310DCB8" w:rsidR="00F73446" w:rsidRPr="000B3E8E" w:rsidRDefault="00F73446" w:rsidP="000B3E8E">
      <w:pPr>
        <w:pStyle w:val="Textonotapie"/>
        <w:jc w:val="both"/>
        <w:rPr>
          <w:rFonts w:ascii="Arial" w:hAnsi="Arial" w:cs="Arial"/>
          <w:color w:val="000000" w:themeColor="text1"/>
          <w:sz w:val="18"/>
          <w:szCs w:val="18"/>
          <w:lang w:val="es-ES_tradnl"/>
        </w:rPr>
      </w:pPr>
      <w:r w:rsidRPr="000B3E8E">
        <w:rPr>
          <w:rStyle w:val="Refdenotaalpie"/>
          <w:rFonts w:ascii="Arial" w:hAnsi="Arial" w:cs="Arial"/>
          <w:color w:val="000000" w:themeColor="text1"/>
          <w:sz w:val="18"/>
          <w:szCs w:val="18"/>
        </w:rPr>
        <w:footnoteRef/>
      </w:r>
      <w:r w:rsidRPr="000B3E8E">
        <w:rPr>
          <w:rFonts w:ascii="Arial" w:hAnsi="Arial" w:cs="Arial"/>
          <w:color w:val="000000" w:themeColor="text1"/>
          <w:sz w:val="18"/>
          <w:szCs w:val="18"/>
        </w:rPr>
        <w:t xml:space="preserve"> </w:t>
      </w:r>
      <w:r w:rsidRPr="000B3E8E">
        <w:rPr>
          <w:rFonts w:ascii="Arial" w:hAnsi="Arial" w:cs="Arial"/>
          <w:color w:val="000000" w:themeColor="text1"/>
          <w:sz w:val="18"/>
          <w:szCs w:val="18"/>
          <w:lang w:val="es-ES_tradnl"/>
        </w:rPr>
        <w:t xml:space="preserve">Berrocal Guerrero, Luis, Manuel de Derecho Administrativo, Librería “El Profesional Ltda.”, Séptima Edición, Bogotá 2016, pág. 271 y siguientes </w:t>
      </w:r>
    </w:p>
  </w:footnote>
  <w:footnote w:id="60">
    <w:p w14:paraId="48580BB9" w14:textId="7B825DC3" w:rsidR="00F73446" w:rsidRPr="000B3E8E" w:rsidRDefault="00F73446" w:rsidP="000B3E8E">
      <w:pPr>
        <w:pStyle w:val="Textonotapie"/>
        <w:jc w:val="both"/>
        <w:rPr>
          <w:rFonts w:ascii="Arial" w:hAnsi="Arial" w:cs="Arial"/>
          <w:color w:val="000000" w:themeColor="text1"/>
          <w:sz w:val="18"/>
          <w:szCs w:val="18"/>
        </w:rPr>
      </w:pPr>
      <w:r w:rsidRPr="000B3E8E">
        <w:rPr>
          <w:rStyle w:val="Refdenotaalpie"/>
          <w:rFonts w:ascii="Arial" w:hAnsi="Arial" w:cs="Arial"/>
          <w:color w:val="000000" w:themeColor="text1"/>
          <w:sz w:val="18"/>
          <w:szCs w:val="18"/>
        </w:rPr>
        <w:footnoteRef/>
      </w:r>
      <w:r w:rsidRPr="000B3E8E">
        <w:rPr>
          <w:rFonts w:ascii="Arial" w:hAnsi="Arial" w:cs="Arial"/>
          <w:color w:val="000000" w:themeColor="text1"/>
          <w:sz w:val="18"/>
          <w:szCs w:val="18"/>
        </w:rPr>
        <w:t xml:space="preserve"> </w:t>
      </w:r>
      <w:r w:rsidRPr="000B3E8E">
        <w:rPr>
          <w:rFonts w:ascii="Arial" w:hAnsi="Arial" w:cs="Arial"/>
          <w:color w:val="000000" w:themeColor="text1"/>
          <w:sz w:val="18"/>
          <w:szCs w:val="18"/>
          <w:lang w:val="es-ES_tradnl"/>
        </w:rPr>
        <w:t>Berrocal Guerrero, Luis, Manual de Derecho Administrativo, Librería “El Profesional Ltda.”, Séptima edición, Bogotá, 2016, pág. 369 y siguientes.</w:t>
      </w:r>
    </w:p>
  </w:footnote>
  <w:footnote w:id="61">
    <w:p w14:paraId="164B655C" w14:textId="0300449C" w:rsidR="00F73446" w:rsidRPr="000B3E8E" w:rsidRDefault="00F73446" w:rsidP="000B3E8E">
      <w:pPr>
        <w:pStyle w:val="Textonotapie"/>
        <w:jc w:val="both"/>
        <w:rPr>
          <w:rFonts w:ascii="Arial" w:hAnsi="Arial" w:cs="Arial"/>
          <w:color w:val="000000" w:themeColor="text1"/>
          <w:sz w:val="18"/>
          <w:szCs w:val="18"/>
          <w:lang w:val="es-ES_tradnl"/>
        </w:rPr>
      </w:pPr>
      <w:r w:rsidRPr="000B3E8E">
        <w:rPr>
          <w:rStyle w:val="Refdenotaalpie"/>
          <w:rFonts w:ascii="Arial" w:hAnsi="Arial" w:cs="Arial"/>
          <w:color w:val="000000" w:themeColor="text1"/>
          <w:sz w:val="18"/>
          <w:szCs w:val="18"/>
        </w:rPr>
        <w:footnoteRef/>
      </w:r>
      <w:r w:rsidRPr="000B3E8E">
        <w:rPr>
          <w:rFonts w:ascii="Arial" w:hAnsi="Arial" w:cs="Arial"/>
          <w:color w:val="000000" w:themeColor="text1"/>
          <w:sz w:val="18"/>
          <w:szCs w:val="18"/>
        </w:rPr>
        <w:t xml:space="preserve"> </w:t>
      </w:r>
      <w:r w:rsidRPr="000B3E8E">
        <w:rPr>
          <w:rFonts w:ascii="Arial" w:hAnsi="Arial" w:cs="Arial"/>
          <w:color w:val="000000" w:themeColor="text1"/>
          <w:sz w:val="18"/>
          <w:szCs w:val="18"/>
          <w:lang w:val="es-ES_tradnl"/>
        </w:rPr>
        <w:t>Ley 142. Artículo 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414DC" w14:textId="38AE2CA8" w:rsidR="00F73446" w:rsidRPr="00395116" w:rsidRDefault="00F73446" w:rsidP="00395116">
    <w:pPr>
      <w:tabs>
        <w:tab w:val="center" w:pos="4252"/>
        <w:tab w:val="right" w:pos="8504"/>
      </w:tabs>
      <w:overflowPunct w:val="0"/>
      <w:autoSpaceDE w:val="0"/>
      <w:autoSpaceDN w:val="0"/>
      <w:adjustRightInd w:val="0"/>
      <w:spacing w:after="0" w:line="276" w:lineRule="auto"/>
      <w:ind w:left="5160"/>
      <w:jc w:val="both"/>
      <w:rPr>
        <w:rFonts w:ascii="Arial" w:eastAsia="Times New Roman" w:hAnsi="Arial" w:cs="Arial"/>
        <w:sz w:val="18"/>
        <w:szCs w:val="18"/>
        <w:lang w:val="es-ES" w:eastAsia="es-ES"/>
      </w:rPr>
    </w:pPr>
    <w:r w:rsidRPr="00395116">
      <w:rPr>
        <w:rFonts w:ascii="Arial" w:eastAsia="Times New Roman" w:hAnsi="Arial" w:cs="Arial"/>
        <w:bCs/>
        <w:sz w:val="18"/>
        <w:szCs w:val="18"/>
        <w:lang w:val="es-ES" w:eastAsia="es-ES"/>
      </w:rPr>
      <w:t>Radicación</w:t>
    </w:r>
    <w:r w:rsidRPr="00395116">
      <w:rPr>
        <w:rFonts w:ascii="Arial" w:eastAsia="Times New Roman" w:hAnsi="Arial" w:cs="Arial"/>
        <w:sz w:val="18"/>
        <w:szCs w:val="18"/>
        <w:lang w:val="es-ES" w:eastAsia="es-ES"/>
      </w:rPr>
      <w:t>:11001031500020200397800</w:t>
    </w:r>
  </w:p>
  <w:p w14:paraId="6890DCBD" w14:textId="44E5E03E" w:rsidR="00F73446" w:rsidRPr="00395116" w:rsidRDefault="00F73446" w:rsidP="00395116">
    <w:pPr>
      <w:tabs>
        <w:tab w:val="left" w:pos="2835"/>
        <w:tab w:val="center" w:pos="4252"/>
        <w:tab w:val="right" w:pos="8504"/>
      </w:tabs>
      <w:overflowPunct w:val="0"/>
      <w:autoSpaceDE w:val="0"/>
      <w:autoSpaceDN w:val="0"/>
      <w:adjustRightInd w:val="0"/>
      <w:spacing w:after="0" w:line="276" w:lineRule="auto"/>
      <w:ind w:left="5160" w:hanging="2835"/>
      <w:jc w:val="both"/>
      <w:rPr>
        <w:rFonts w:ascii="Arial" w:eastAsia="Times New Roman" w:hAnsi="Arial" w:cs="Arial"/>
        <w:sz w:val="18"/>
        <w:szCs w:val="18"/>
        <w:lang w:val="es-ES" w:eastAsia="es-ES"/>
      </w:rPr>
    </w:pPr>
    <w:r w:rsidRPr="00395116">
      <w:rPr>
        <w:rFonts w:ascii="Arial" w:eastAsia="Times New Roman" w:hAnsi="Arial" w:cs="Arial"/>
        <w:sz w:val="18"/>
        <w:szCs w:val="18"/>
        <w:lang w:val="es-ES" w:eastAsia="es-ES"/>
      </w:rPr>
      <w:tab/>
    </w:r>
    <w:r w:rsidRPr="00395116">
      <w:rPr>
        <w:rFonts w:ascii="Arial" w:eastAsia="Times New Roman" w:hAnsi="Arial" w:cs="Arial"/>
        <w:sz w:val="18"/>
        <w:szCs w:val="18"/>
        <w:lang w:val="es-ES" w:eastAsia="es-ES"/>
      </w:rPr>
      <w:tab/>
    </w:r>
    <w:r w:rsidRPr="00395116">
      <w:rPr>
        <w:rFonts w:ascii="Arial" w:eastAsia="Times New Roman" w:hAnsi="Arial" w:cs="Arial"/>
        <w:sz w:val="18"/>
        <w:szCs w:val="18"/>
        <w:lang w:val="es-ES" w:eastAsia="es-ES"/>
      </w:rPr>
      <w:tab/>
      <w:t xml:space="preserve">Objeto de control:      </w:t>
    </w:r>
    <w:r w:rsidRPr="00395116">
      <w:rPr>
        <w:rFonts w:ascii="Arial" w:eastAsia="Times New Roman" w:hAnsi="Arial" w:cs="Arial"/>
        <w:sz w:val="18"/>
        <w:szCs w:val="18"/>
        <w:lang w:val="es-ES" w:eastAsia="es-ES"/>
      </w:rPr>
      <w:tab/>
      <w:t xml:space="preserve">Resolución 166 </w:t>
    </w:r>
    <w:r w:rsidRPr="00395116">
      <w:rPr>
        <w:rFonts w:ascii="Arial" w:eastAsia="Times New Roman" w:hAnsi="Arial" w:cs="Arial"/>
        <w:sz w:val="18"/>
        <w:szCs w:val="18"/>
        <w:lang w:eastAsia="es-ES"/>
      </w:rPr>
      <w:t xml:space="preserve">de </w:t>
    </w:r>
    <w:r w:rsidRPr="00395116">
      <w:rPr>
        <w:rFonts w:ascii="Arial" w:eastAsia="Times New Roman" w:hAnsi="Arial" w:cs="Arial"/>
        <w:sz w:val="18"/>
        <w:szCs w:val="18"/>
        <w:lang w:val="es-ES" w:eastAsia="es-ES"/>
      </w:rPr>
      <w:t>3 de septiembre de 2020 CREG</w:t>
    </w:r>
  </w:p>
  <w:p w14:paraId="18712DEE" w14:textId="68ACFEC2" w:rsidR="00F73446" w:rsidRPr="00395116" w:rsidRDefault="00F73446" w:rsidP="00395116">
    <w:pPr>
      <w:spacing w:after="0" w:line="276" w:lineRule="auto"/>
      <w:ind w:left="5160"/>
      <w:jc w:val="both"/>
      <w:rPr>
        <w:rFonts w:ascii="Arial" w:eastAsia="Times New Roman" w:hAnsi="Arial" w:cs="Arial"/>
        <w:sz w:val="18"/>
        <w:szCs w:val="18"/>
        <w:lang w:val="es-ES" w:eastAsia="es-ES"/>
      </w:rPr>
    </w:pPr>
    <w:r w:rsidRPr="00395116">
      <w:rPr>
        <w:rFonts w:ascii="Arial" w:eastAsia="Times New Roman" w:hAnsi="Arial" w:cs="Arial"/>
        <w:bCs/>
        <w:sz w:val="18"/>
        <w:szCs w:val="18"/>
        <w:lang w:val="es-ES" w:eastAsia="es-ES"/>
      </w:rPr>
      <w:t>Referencia Control inmediato de legalidad</w:t>
    </w:r>
  </w:p>
  <w:p w14:paraId="75C95EA9" w14:textId="5F589253" w:rsidR="00F73446" w:rsidRDefault="00F73446" w:rsidP="00AE3FC9">
    <w:pPr>
      <w:spacing w:after="0" w:line="276" w:lineRule="auto"/>
      <w:ind w:left="4452" w:firstLine="708"/>
      <w:jc w:val="both"/>
      <w:rPr>
        <w:rFonts w:ascii="Arial" w:eastAsia="Times New Roman" w:hAnsi="Arial" w:cs="Arial"/>
        <w:bCs/>
        <w:sz w:val="18"/>
        <w:szCs w:val="18"/>
        <w:lang w:val="es-ES" w:eastAsia="es-ES"/>
      </w:rPr>
    </w:pPr>
    <w:r w:rsidRPr="00395116">
      <w:rPr>
        <w:rFonts w:ascii="Arial" w:eastAsia="Times New Roman" w:hAnsi="Arial" w:cs="Arial"/>
        <w:bCs/>
        <w:sz w:val="18"/>
        <w:szCs w:val="18"/>
        <w:lang w:val="es-ES" w:eastAsia="es-ES"/>
      </w:rPr>
      <w:t>Asunto: Sentencia</w:t>
    </w:r>
  </w:p>
  <w:p w14:paraId="63F251E4" w14:textId="77777777" w:rsidR="00F73446" w:rsidRPr="00395116" w:rsidRDefault="00F73446" w:rsidP="00AE3FC9">
    <w:pPr>
      <w:spacing w:after="0" w:line="276" w:lineRule="auto"/>
      <w:ind w:left="4452" w:firstLine="708"/>
      <w:jc w:val="both"/>
      <w:rPr>
        <w:rFonts w:ascii="Arial" w:eastAsia="Times New Roman" w:hAnsi="Arial" w:cs="Arial"/>
        <w:sz w:val="16"/>
        <w:szCs w:val="16"/>
        <w:lang w:val="es-ES" w:eastAsia="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CFC3E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A802E9"/>
    <w:multiLevelType w:val="hybridMultilevel"/>
    <w:tmpl w:val="FC70D858"/>
    <w:lvl w:ilvl="0" w:tplc="0C0A0017">
      <w:start w:val="9"/>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06F2A01"/>
    <w:multiLevelType w:val="hybridMultilevel"/>
    <w:tmpl w:val="6CAEC896"/>
    <w:lvl w:ilvl="0" w:tplc="95DA40C0">
      <w:start w:val="1"/>
      <w:numFmt w:val="decimal"/>
      <w:lvlText w:val="%1"/>
      <w:lvlJc w:val="left"/>
      <w:pPr>
        <w:ind w:left="3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83167B32">
      <w:start w:val="11"/>
      <w:numFmt w:val="lowerLetter"/>
      <w:lvlRestart w:val="0"/>
      <w:lvlText w:val="%2)"/>
      <w:lvlJc w:val="left"/>
      <w:pPr>
        <w:ind w:left="1109"/>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9F262328">
      <w:start w:val="1"/>
      <w:numFmt w:val="lowerRoman"/>
      <w:lvlText w:val="%3"/>
      <w:lvlJc w:val="left"/>
      <w:pPr>
        <w:ind w:left="1363"/>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30F47C70">
      <w:start w:val="1"/>
      <w:numFmt w:val="decimal"/>
      <w:lvlText w:val="%4"/>
      <w:lvlJc w:val="left"/>
      <w:pPr>
        <w:ind w:left="2083"/>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4748068C">
      <w:start w:val="1"/>
      <w:numFmt w:val="lowerLetter"/>
      <w:lvlText w:val="%5"/>
      <w:lvlJc w:val="left"/>
      <w:pPr>
        <w:ind w:left="2803"/>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6A441B0E">
      <w:start w:val="1"/>
      <w:numFmt w:val="lowerRoman"/>
      <w:lvlText w:val="%6"/>
      <w:lvlJc w:val="left"/>
      <w:pPr>
        <w:ind w:left="3523"/>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6862FEC4">
      <w:start w:val="1"/>
      <w:numFmt w:val="decimal"/>
      <w:lvlText w:val="%7"/>
      <w:lvlJc w:val="left"/>
      <w:pPr>
        <w:ind w:left="4243"/>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45B0E3D0">
      <w:start w:val="1"/>
      <w:numFmt w:val="lowerLetter"/>
      <w:lvlText w:val="%8"/>
      <w:lvlJc w:val="left"/>
      <w:pPr>
        <w:ind w:left="4963"/>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4B3467C8">
      <w:start w:val="1"/>
      <w:numFmt w:val="lowerRoman"/>
      <w:lvlText w:val="%9"/>
      <w:lvlJc w:val="left"/>
      <w:pPr>
        <w:ind w:left="5683"/>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71170CB"/>
    <w:multiLevelType w:val="hybridMultilevel"/>
    <w:tmpl w:val="D30609B0"/>
    <w:lvl w:ilvl="0" w:tplc="05CCE47A">
      <w:start w:val="1"/>
      <w:numFmt w:val="decimal"/>
      <w:lvlText w:val="%1"/>
      <w:lvlJc w:val="left"/>
      <w:pPr>
        <w:ind w:left="3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AC5A8340">
      <w:start w:val="1"/>
      <w:numFmt w:val="lowerLetter"/>
      <w:lvlRestart w:val="0"/>
      <w:lvlText w:val="%2)"/>
      <w:lvlJc w:val="left"/>
      <w:pPr>
        <w:ind w:left="1053"/>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C3F073C4">
      <w:start w:val="1"/>
      <w:numFmt w:val="lowerRoman"/>
      <w:lvlText w:val="%3"/>
      <w:lvlJc w:val="left"/>
      <w:pPr>
        <w:ind w:left="1363"/>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B6A0A2E8">
      <w:start w:val="1"/>
      <w:numFmt w:val="decimal"/>
      <w:lvlText w:val="%4"/>
      <w:lvlJc w:val="left"/>
      <w:pPr>
        <w:ind w:left="2083"/>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15ACCA24">
      <w:start w:val="1"/>
      <w:numFmt w:val="lowerLetter"/>
      <w:lvlText w:val="%5"/>
      <w:lvlJc w:val="left"/>
      <w:pPr>
        <w:ind w:left="2803"/>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775C750E">
      <w:start w:val="1"/>
      <w:numFmt w:val="lowerRoman"/>
      <w:lvlText w:val="%6"/>
      <w:lvlJc w:val="left"/>
      <w:pPr>
        <w:ind w:left="3523"/>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363E77A0">
      <w:start w:val="1"/>
      <w:numFmt w:val="decimal"/>
      <w:lvlText w:val="%7"/>
      <w:lvlJc w:val="left"/>
      <w:pPr>
        <w:ind w:left="4243"/>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961ADB7E">
      <w:start w:val="1"/>
      <w:numFmt w:val="lowerLetter"/>
      <w:lvlText w:val="%8"/>
      <w:lvlJc w:val="left"/>
      <w:pPr>
        <w:ind w:left="4963"/>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0628A34C">
      <w:start w:val="1"/>
      <w:numFmt w:val="lowerRoman"/>
      <w:lvlText w:val="%9"/>
      <w:lvlJc w:val="left"/>
      <w:pPr>
        <w:ind w:left="5683"/>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7E23DB8"/>
    <w:multiLevelType w:val="multilevel"/>
    <w:tmpl w:val="82A0DD16"/>
    <w:lvl w:ilvl="0">
      <w:start w:val="1"/>
      <w:numFmt w:val="upperRoman"/>
      <w:lvlText w:val="%1."/>
      <w:lvlJc w:val="right"/>
      <w:pPr>
        <w:tabs>
          <w:tab w:val="num" w:pos="720"/>
        </w:tabs>
        <w:ind w:left="720" w:hanging="180"/>
      </w:pPr>
      <w:rPr>
        <w:rFonts w:cs="Times New Roman" w:hint="default"/>
        <w:b/>
        <w:i w:val="0"/>
      </w:rPr>
    </w:lvl>
    <w:lvl w:ilvl="1">
      <w:start w:val="1"/>
      <w:numFmt w:val="upperLetter"/>
      <w:lvlText w:val="%2."/>
      <w:lvlJc w:val="left"/>
      <w:pPr>
        <w:tabs>
          <w:tab w:val="num" w:pos="1440"/>
        </w:tabs>
        <w:ind w:left="1440" w:hanging="360"/>
      </w:pPr>
      <w:rPr>
        <w:rFonts w:cs="Times New Roman" w:hint="default"/>
        <w:b/>
        <w:i w:val="0"/>
      </w:rPr>
    </w:lvl>
    <w:lvl w:ilvl="2">
      <w:start w:val="1"/>
      <w:numFmt w:val="decimal"/>
      <w:lvlText w:val="%3."/>
      <w:lvlJc w:val="right"/>
      <w:pPr>
        <w:tabs>
          <w:tab w:val="num" w:pos="2160"/>
        </w:tabs>
        <w:ind w:left="2160" w:hanging="180"/>
      </w:pPr>
      <w:rPr>
        <w:rFonts w:cs="Times New Roman" w:hint="default"/>
        <w:b/>
        <w:i w:val="0"/>
      </w:rPr>
    </w:lvl>
    <w:lvl w:ilvl="3">
      <w:start w:val="1"/>
      <w:numFmt w:val="lowerLetter"/>
      <w:lvlText w:val="%4."/>
      <w:lvlJc w:val="left"/>
      <w:pPr>
        <w:tabs>
          <w:tab w:val="num" w:pos="2880"/>
        </w:tabs>
        <w:ind w:left="2880" w:hanging="360"/>
      </w:pPr>
      <w:rPr>
        <w:rFonts w:cs="Times New Roman" w:hint="default"/>
        <w:b/>
        <w:i w:val="0"/>
      </w:rPr>
    </w:lvl>
    <w:lvl w:ilvl="4">
      <w:start w:val="1"/>
      <w:numFmt w:val="decimal"/>
      <w:lvlText w:val="%5)"/>
      <w:lvlJc w:val="left"/>
      <w:pPr>
        <w:tabs>
          <w:tab w:val="num" w:pos="3600"/>
        </w:tabs>
        <w:ind w:left="3600" w:hanging="360"/>
      </w:pPr>
      <w:rPr>
        <w:rFonts w:cs="Times New Roman" w:hint="default"/>
        <w:b/>
        <w:i w:val="0"/>
      </w:rPr>
    </w:lvl>
    <w:lvl w:ilvl="5">
      <w:start w:val="1"/>
      <w:numFmt w:val="lowerLetter"/>
      <w:lvlText w:val="%6)"/>
      <w:lvlJc w:val="right"/>
      <w:pPr>
        <w:tabs>
          <w:tab w:val="num" w:pos="4320"/>
        </w:tabs>
        <w:ind w:left="4320" w:hanging="180"/>
      </w:pPr>
      <w:rPr>
        <w:rFonts w:cs="Times New Roman" w:hint="default"/>
        <w:b/>
        <w:i w:val="0"/>
      </w:rPr>
    </w:lvl>
    <w:lvl w:ilvl="6">
      <w:start w:val="1"/>
      <w:numFmt w:val="decimal"/>
      <w:lvlText w:val="%7."/>
      <w:lvlJc w:val="left"/>
      <w:pPr>
        <w:tabs>
          <w:tab w:val="num" w:pos="5040"/>
        </w:tabs>
        <w:ind w:left="5040" w:hanging="360"/>
      </w:pPr>
      <w:rPr>
        <w:rFonts w:cs="Times New Roman" w:hint="default"/>
        <w:b/>
        <w:i w:val="0"/>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15:restartNumberingAfterBreak="0">
    <w:nsid w:val="297526DC"/>
    <w:multiLevelType w:val="hybridMultilevel"/>
    <w:tmpl w:val="00A03E20"/>
    <w:lvl w:ilvl="0" w:tplc="AF363B28">
      <w:start w:val="1"/>
      <w:numFmt w:val="lowerRoman"/>
      <w:lvlText w:val="(%1)"/>
      <w:lvlJc w:val="left"/>
      <w:pPr>
        <w:ind w:left="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F66C2D1A">
      <w:start w:val="1"/>
      <w:numFmt w:val="lowerLetter"/>
      <w:lvlText w:val="%2"/>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86AAB874">
      <w:start w:val="1"/>
      <w:numFmt w:val="lowerRoman"/>
      <w:lvlText w:val="%3"/>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BC520FC4">
      <w:start w:val="1"/>
      <w:numFmt w:val="decimal"/>
      <w:lvlText w:val="%4"/>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0F7C5B38">
      <w:start w:val="1"/>
      <w:numFmt w:val="lowerLetter"/>
      <w:lvlText w:val="%5"/>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0AD00CCA">
      <w:start w:val="1"/>
      <w:numFmt w:val="lowerRoman"/>
      <w:lvlText w:val="%6"/>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03D2EDE2">
      <w:start w:val="1"/>
      <w:numFmt w:val="decimal"/>
      <w:lvlText w:val="%7"/>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ADF66020">
      <w:start w:val="1"/>
      <w:numFmt w:val="lowerLetter"/>
      <w:lvlText w:val="%8"/>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19204EE0">
      <w:start w:val="1"/>
      <w:numFmt w:val="lowerRoman"/>
      <w:lvlText w:val="%9"/>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9880C73"/>
    <w:multiLevelType w:val="hybridMultilevel"/>
    <w:tmpl w:val="90C08C36"/>
    <w:lvl w:ilvl="0" w:tplc="5F68945C">
      <w:start w:val="1"/>
      <w:numFmt w:val="decimal"/>
      <w:lvlText w:val="%1"/>
      <w:lvlJc w:val="left"/>
      <w:pPr>
        <w:ind w:left="36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1" w:tplc="076C2E68">
      <w:start w:val="1"/>
      <w:numFmt w:val="lowerLetter"/>
      <w:lvlRestart w:val="0"/>
      <w:lvlText w:val="%2)"/>
      <w:lvlJc w:val="left"/>
      <w:pPr>
        <w:ind w:left="845"/>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2" w:tplc="9278851A">
      <w:start w:val="1"/>
      <w:numFmt w:val="lowerRoman"/>
      <w:lvlText w:val="%3"/>
      <w:lvlJc w:val="left"/>
      <w:pPr>
        <w:ind w:left="1363"/>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3" w:tplc="BCFA3A3E">
      <w:start w:val="1"/>
      <w:numFmt w:val="decimal"/>
      <w:lvlText w:val="%4"/>
      <w:lvlJc w:val="left"/>
      <w:pPr>
        <w:ind w:left="2083"/>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4" w:tplc="EA94F2D2">
      <w:start w:val="1"/>
      <w:numFmt w:val="lowerLetter"/>
      <w:lvlText w:val="%5"/>
      <w:lvlJc w:val="left"/>
      <w:pPr>
        <w:ind w:left="2803"/>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5" w:tplc="E9D65634">
      <w:start w:val="1"/>
      <w:numFmt w:val="lowerRoman"/>
      <w:lvlText w:val="%6"/>
      <w:lvlJc w:val="left"/>
      <w:pPr>
        <w:ind w:left="3523"/>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6" w:tplc="9E42B590">
      <w:start w:val="1"/>
      <w:numFmt w:val="decimal"/>
      <w:lvlText w:val="%7"/>
      <w:lvlJc w:val="left"/>
      <w:pPr>
        <w:ind w:left="4243"/>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7" w:tplc="E18A1EC6">
      <w:start w:val="1"/>
      <w:numFmt w:val="lowerLetter"/>
      <w:lvlText w:val="%8"/>
      <w:lvlJc w:val="left"/>
      <w:pPr>
        <w:ind w:left="4963"/>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8" w:tplc="FB267C1A">
      <w:start w:val="1"/>
      <w:numFmt w:val="lowerRoman"/>
      <w:lvlText w:val="%9"/>
      <w:lvlJc w:val="left"/>
      <w:pPr>
        <w:ind w:left="5683"/>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32DE3067"/>
    <w:multiLevelType w:val="hybridMultilevel"/>
    <w:tmpl w:val="1C822EBA"/>
    <w:lvl w:ilvl="0" w:tplc="047A142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A651E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AF25C0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70AB0B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2E39A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B3AE02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8602E5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8E8D8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D65BA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3226092"/>
    <w:multiLevelType w:val="hybridMultilevel"/>
    <w:tmpl w:val="2742606E"/>
    <w:lvl w:ilvl="0" w:tplc="0C0A0017">
      <w:start w:val="9"/>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3BB4FAD"/>
    <w:multiLevelType w:val="hybridMultilevel"/>
    <w:tmpl w:val="BEE02434"/>
    <w:lvl w:ilvl="0" w:tplc="2E0E2D76">
      <w:start w:val="1"/>
      <w:numFmt w:val="bullet"/>
      <w:lvlText w:val="•"/>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80497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B3AD2C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72C30D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4A850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28E628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60C269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3CADF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F2E2D2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8041F3A"/>
    <w:multiLevelType w:val="hybridMultilevel"/>
    <w:tmpl w:val="F8CE806A"/>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053F00"/>
    <w:multiLevelType w:val="hybridMultilevel"/>
    <w:tmpl w:val="464AE0F2"/>
    <w:lvl w:ilvl="0" w:tplc="0C0A0001">
      <w:start w:val="1"/>
      <w:numFmt w:val="bullet"/>
      <w:lvlText w:val=""/>
      <w:lvlJc w:val="left"/>
      <w:pPr>
        <w:ind w:left="787" w:hanging="360"/>
      </w:pPr>
      <w:rPr>
        <w:rFonts w:ascii="Symbol" w:hAnsi="Symbol" w:hint="default"/>
      </w:rPr>
    </w:lvl>
    <w:lvl w:ilvl="1" w:tplc="0C0A0003" w:tentative="1">
      <w:start w:val="1"/>
      <w:numFmt w:val="bullet"/>
      <w:lvlText w:val="o"/>
      <w:lvlJc w:val="left"/>
      <w:pPr>
        <w:ind w:left="1507" w:hanging="360"/>
      </w:pPr>
      <w:rPr>
        <w:rFonts w:ascii="Courier New" w:hAnsi="Courier New" w:hint="default"/>
      </w:rPr>
    </w:lvl>
    <w:lvl w:ilvl="2" w:tplc="0C0A0005" w:tentative="1">
      <w:start w:val="1"/>
      <w:numFmt w:val="bullet"/>
      <w:lvlText w:val=""/>
      <w:lvlJc w:val="left"/>
      <w:pPr>
        <w:ind w:left="2227" w:hanging="360"/>
      </w:pPr>
      <w:rPr>
        <w:rFonts w:ascii="Wingdings" w:hAnsi="Wingdings" w:hint="default"/>
      </w:rPr>
    </w:lvl>
    <w:lvl w:ilvl="3" w:tplc="0C0A0001" w:tentative="1">
      <w:start w:val="1"/>
      <w:numFmt w:val="bullet"/>
      <w:lvlText w:val=""/>
      <w:lvlJc w:val="left"/>
      <w:pPr>
        <w:ind w:left="2947" w:hanging="360"/>
      </w:pPr>
      <w:rPr>
        <w:rFonts w:ascii="Symbol" w:hAnsi="Symbol" w:hint="default"/>
      </w:rPr>
    </w:lvl>
    <w:lvl w:ilvl="4" w:tplc="0C0A0003" w:tentative="1">
      <w:start w:val="1"/>
      <w:numFmt w:val="bullet"/>
      <w:lvlText w:val="o"/>
      <w:lvlJc w:val="left"/>
      <w:pPr>
        <w:ind w:left="3667" w:hanging="360"/>
      </w:pPr>
      <w:rPr>
        <w:rFonts w:ascii="Courier New" w:hAnsi="Courier New" w:hint="default"/>
      </w:rPr>
    </w:lvl>
    <w:lvl w:ilvl="5" w:tplc="0C0A0005" w:tentative="1">
      <w:start w:val="1"/>
      <w:numFmt w:val="bullet"/>
      <w:lvlText w:val=""/>
      <w:lvlJc w:val="left"/>
      <w:pPr>
        <w:ind w:left="4387" w:hanging="360"/>
      </w:pPr>
      <w:rPr>
        <w:rFonts w:ascii="Wingdings" w:hAnsi="Wingdings" w:hint="default"/>
      </w:rPr>
    </w:lvl>
    <w:lvl w:ilvl="6" w:tplc="0C0A0001" w:tentative="1">
      <w:start w:val="1"/>
      <w:numFmt w:val="bullet"/>
      <w:lvlText w:val=""/>
      <w:lvlJc w:val="left"/>
      <w:pPr>
        <w:ind w:left="5107" w:hanging="360"/>
      </w:pPr>
      <w:rPr>
        <w:rFonts w:ascii="Symbol" w:hAnsi="Symbol" w:hint="default"/>
      </w:rPr>
    </w:lvl>
    <w:lvl w:ilvl="7" w:tplc="0C0A0003" w:tentative="1">
      <w:start w:val="1"/>
      <w:numFmt w:val="bullet"/>
      <w:lvlText w:val="o"/>
      <w:lvlJc w:val="left"/>
      <w:pPr>
        <w:ind w:left="5827" w:hanging="360"/>
      </w:pPr>
      <w:rPr>
        <w:rFonts w:ascii="Courier New" w:hAnsi="Courier New" w:hint="default"/>
      </w:rPr>
    </w:lvl>
    <w:lvl w:ilvl="8" w:tplc="0C0A0005" w:tentative="1">
      <w:start w:val="1"/>
      <w:numFmt w:val="bullet"/>
      <w:lvlText w:val=""/>
      <w:lvlJc w:val="left"/>
      <w:pPr>
        <w:ind w:left="6547" w:hanging="360"/>
      </w:pPr>
      <w:rPr>
        <w:rFonts w:ascii="Wingdings" w:hAnsi="Wingdings" w:hint="default"/>
      </w:rPr>
    </w:lvl>
  </w:abstractNum>
  <w:abstractNum w:abstractNumId="14" w15:restartNumberingAfterBreak="0">
    <w:nsid w:val="3C9021E0"/>
    <w:multiLevelType w:val="hybridMultilevel"/>
    <w:tmpl w:val="A2F871A2"/>
    <w:lvl w:ilvl="0" w:tplc="F604B544">
      <w:start w:val="1"/>
      <w:numFmt w:val="bullet"/>
      <w:lvlText w:val="•"/>
      <w:lvlJc w:val="left"/>
      <w:pPr>
        <w:ind w:left="3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9866F5B8">
      <w:start w:val="1"/>
      <w:numFmt w:val="bullet"/>
      <w:lvlText w:val="o"/>
      <w:lvlJc w:val="left"/>
      <w:pPr>
        <w:ind w:left="71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495CD8FC">
      <w:start w:val="1"/>
      <w:numFmt w:val="bullet"/>
      <w:lvlRestart w:val="0"/>
      <w:lvlText w:val="*"/>
      <w:lvlJc w:val="left"/>
      <w:pPr>
        <w:ind w:left="157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F47AA3A2">
      <w:start w:val="1"/>
      <w:numFmt w:val="bullet"/>
      <w:lvlText w:val="•"/>
      <w:lvlJc w:val="left"/>
      <w:pPr>
        <w:ind w:left="178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2BE8A70C">
      <w:start w:val="1"/>
      <w:numFmt w:val="bullet"/>
      <w:lvlText w:val="o"/>
      <w:lvlJc w:val="left"/>
      <w:pPr>
        <w:ind w:left="250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16D2B434">
      <w:start w:val="1"/>
      <w:numFmt w:val="bullet"/>
      <w:lvlText w:val="▪"/>
      <w:lvlJc w:val="left"/>
      <w:pPr>
        <w:ind w:left="322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D17AE27C">
      <w:start w:val="1"/>
      <w:numFmt w:val="bullet"/>
      <w:lvlText w:val="•"/>
      <w:lvlJc w:val="left"/>
      <w:pPr>
        <w:ind w:left="394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4614C130">
      <w:start w:val="1"/>
      <w:numFmt w:val="bullet"/>
      <w:lvlText w:val="o"/>
      <w:lvlJc w:val="left"/>
      <w:pPr>
        <w:ind w:left="466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BF7C742A">
      <w:start w:val="1"/>
      <w:numFmt w:val="bullet"/>
      <w:lvlText w:val="▪"/>
      <w:lvlJc w:val="left"/>
      <w:pPr>
        <w:ind w:left="538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FD813B0"/>
    <w:multiLevelType w:val="hybridMultilevel"/>
    <w:tmpl w:val="0CFA4B30"/>
    <w:lvl w:ilvl="0" w:tplc="DA14D588">
      <w:start w:val="1"/>
      <w:numFmt w:val="decimal"/>
      <w:lvlText w:val="%1."/>
      <w:lvlJc w:val="left"/>
      <w:pPr>
        <w:ind w:left="1022"/>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1" w:tplc="7E422A78">
      <w:start w:val="1"/>
      <w:numFmt w:val="decimal"/>
      <w:lvlText w:val="%2."/>
      <w:lvlJc w:val="left"/>
      <w:pPr>
        <w:ind w:left="1022"/>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2" w:tplc="925EA29C">
      <w:start w:val="1"/>
      <w:numFmt w:val="lowerRoman"/>
      <w:lvlText w:val="%3"/>
      <w:lvlJc w:val="left"/>
      <w:pPr>
        <w:ind w:left="1505"/>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3" w:tplc="D19E34B2">
      <w:start w:val="1"/>
      <w:numFmt w:val="decimal"/>
      <w:lvlText w:val="%4"/>
      <w:lvlJc w:val="left"/>
      <w:pPr>
        <w:ind w:left="2225"/>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4" w:tplc="DD76B154">
      <w:start w:val="1"/>
      <w:numFmt w:val="lowerLetter"/>
      <w:lvlText w:val="%5"/>
      <w:lvlJc w:val="left"/>
      <w:pPr>
        <w:ind w:left="2945"/>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5" w:tplc="546ACEDE">
      <w:start w:val="1"/>
      <w:numFmt w:val="lowerRoman"/>
      <w:lvlText w:val="%6"/>
      <w:lvlJc w:val="left"/>
      <w:pPr>
        <w:ind w:left="3665"/>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6" w:tplc="BB7E6770">
      <w:start w:val="1"/>
      <w:numFmt w:val="decimal"/>
      <w:lvlText w:val="%7"/>
      <w:lvlJc w:val="left"/>
      <w:pPr>
        <w:ind w:left="4385"/>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7" w:tplc="9CECA272">
      <w:start w:val="1"/>
      <w:numFmt w:val="lowerLetter"/>
      <w:lvlText w:val="%8"/>
      <w:lvlJc w:val="left"/>
      <w:pPr>
        <w:ind w:left="5105"/>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8" w:tplc="72A0F95E">
      <w:start w:val="1"/>
      <w:numFmt w:val="lowerRoman"/>
      <w:lvlText w:val="%9"/>
      <w:lvlJc w:val="left"/>
      <w:pPr>
        <w:ind w:left="5825"/>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46027791"/>
    <w:multiLevelType w:val="hybridMultilevel"/>
    <w:tmpl w:val="9642EE70"/>
    <w:lvl w:ilvl="0" w:tplc="BCE07A32">
      <w:start w:val="5"/>
      <w:numFmt w:val="lowerRoman"/>
      <w:lvlText w:val="%1)"/>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946B1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7DC558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87408B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9419D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82A2AE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2601C4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A4227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C62700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8DE4356"/>
    <w:multiLevelType w:val="hybridMultilevel"/>
    <w:tmpl w:val="16C868DC"/>
    <w:lvl w:ilvl="0" w:tplc="18ACF7D0">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70F11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F207CC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9C80E7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4C7D5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00DB1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36ED40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D069A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102C99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349719C"/>
    <w:multiLevelType w:val="hybridMultilevel"/>
    <w:tmpl w:val="A48C1DDC"/>
    <w:lvl w:ilvl="0" w:tplc="9DAA061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10D0C68"/>
    <w:multiLevelType w:val="hybridMultilevel"/>
    <w:tmpl w:val="52D4E412"/>
    <w:lvl w:ilvl="0" w:tplc="3DD0A2B8">
      <w:start w:val="1"/>
      <w:numFmt w:val="decimal"/>
      <w:lvlText w:val="%1"/>
      <w:lvlJc w:val="left"/>
      <w:pPr>
        <w:ind w:left="360"/>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1" w:tplc="F69C85DA">
      <w:start w:val="1"/>
      <w:numFmt w:val="lowerLetter"/>
      <w:lvlRestart w:val="0"/>
      <w:lvlText w:val="%2)"/>
      <w:lvlJc w:val="left"/>
      <w:pPr>
        <w:ind w:left="1046"/>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2" w:tplc="6EEE1156">
      <w:start w:val="1"/>
      <w:numFmt w:val="lowerRoman"/>
      <w:lvlText w:val="%3"/>
      <w:lvlJc w:val="left"/>
      <w:pPr>
        <w:ind w:left="1363"/>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3" w:tplc="73AE7470">
      <w:start w:val="1"/>
      <w:numFmt w:val="decimal"/>
      <w:lvlText w:val="%4"/>
      <w:lvlJc w:val="left"/>
      <w:pPr>
        <w:ind w:left="2083"/>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4" w:tplc="68921D70">
      <w:start w:val="1"/>
      <w:numFmt w:val="lowerLetter"/>
      <w:lvlText w:val="%5"/>
      <w:lvlJc w:val="left"/>
      <w:pPr>
        <w:ind w:left="2803"/>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5" w:tplc="CAA0D716">
      <w:start w:val="1"/>
      <w:numFmt w:val="lowerRoman"/>
      <w:lvlText w:val="%6"/>
      <w:lvlJc w:val="left"/>
      <w:pPr>
        <w:ind w:left="3523"/>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6" w:tplc="F724B918">
      <w:start w:val="1"/>
      <w:numFmt w:val="decimal"/>
      <w:lvlText w:val="%7"/>
      <w:lvlJc w:val="left"/>
      <w:pPr>
        <w:ind w:left="4243"/>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7" w:tplc="68C6E4BE">
      <w:start w:val="1"/>
      <w:numFmt w:val="lowerLetter"/>
      <w:lvlText w:val="%8"/>
      <w:lvlJc w:val="left"/>
      <w:pPr>
        <w:ind w:left="4963"/>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8" w:tplc="07E4F728">
      <w:start w:val="1"/>
      <w:numFmt w:val="lowerRoman"/>
      <w:lvlText w:val="%9"/>
      <w:lvlJc w:val="left"/>
      <w:pPr>
        <w:ind w:left="5683"/>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69204161"/>
    <w:multiLevelType w:val="hybridMultilevel"/>
    <w:tmpl w:val="441E7E38"/>
    <w:lvl w:ilvl="0" w:tplc="3A089FB4">
      <w:start w:val="9"/>
      <w:numFmt w:val="lowerLetter"/>
      <w:lvlText w:val="%1)"/>
      <w:lvlJc w:val="left"/>
      <w:pPr>
        <w:ind w:left="420" w:hanging="360"/>
      </w:pPr>
      <w:rPr>
        <w:rFonts w:eastAsia="Times New Roman" w:hint="default"/>
        <w:color w:val="auto"/>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1" w15:restartNumberingAfterBreak="0">
    <w:nsid w:val="705E1F26"/>
    <w:multiLevelType w:val="hybridMultilevel"/>
    <w:tmpl w:val="78B2C1D4"/>
    <w:lvl w:ilvl="0" w:tplc="5F4681FE">
      <w:start w:val="1"/>
      <w:numFmt w:val="decimal"/>
      <w:lvlText w:val="%1."/>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71841D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1C8324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FB87C8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0C344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A18739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80CBE2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4A8F2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67AFD0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DCA12A0"/>
    <w:multiLevelType w:val="hybridMultilevel"/>
    <w:tmpl w:val="AEDA811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19"/>
  </w:num>
  <w:num w:numId="5">
    <w:abstractNumId w:val="8"/>
  </w:num>
  <w:num w:numId="6">
    <w:abstractNumId w:val="15"/>
  </w:num>
  <w:num w:numId="7">
    <w:abstractNumId w:val="7"/>
  </w:num>
  <w:num w:numId="8">
    <w:abstractNumId w:val="9"/>
  </w:num>
  <w:num w:numId="9">
    <w:abstractNumId w:val="21"/>
  </w:num>
  <w:num w:numId="10">
    <w:abstractNumId w:val="0"/>
  </w:num>
  <w:num w:numId="11">
    <w:abstractNumId w:val="17"/>
  </w:num>
  <w:num w:numId="12">
    <w:abstractNumId w:val="14"/>
  </w:num>
  <w:num w:numId="13">
    <w:abstractNumId w:val="11"/>
  </w:num>
  <w:num w:numId="14">
    <w:abstractNumId w:val="16"/>
  </w:num>
  <w:num w:numId="15">
    <w:abstractNumId w:val="1"/>
  </w:num>
  <w:num w:numId="16">
    <w:abstractNumId w:val="2"/>
  </w:num>
  <w:num w:numId="17">
    <w:abstractNumId w:val="3"/>
  </w:num>
  <w:num w:numId="18">
    <w:abstractNumId w:val="10"/>
  </w:num>
  <w:num w:numId="19">
    <w:abstractNumId w:val="12"/>
  </w:num>
  <w:num w:numId="20">
    <w:abstractNumId w:val="20"/>
  </w:num>
  <w:num w:numId="21">
    <w:abstractNumId w:val="13"/>
  </w:num>
  <w:num w:numId="22">
    <w:abstractNumId w:val="22"/>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900"/>
    <w:rsid w:val="00001F26"/>
    <w:rsid w:val="00011167"/>
    <w:rsid w:val="00011F28"/>
    <w:rsid w:val="000132DD"/>
    <w:rsid w:val="000228E3"/>
    <w:rsid w:val="00032E3E"/>
    <w:rsid w:val="000360EE"/>
    <w:rsid w:val="000450E4"/>
    <w:rsid w:val="00045C59"/>
    <w:rsid w:val="00050A8A"/>
    <w:rsid w:val="000527E7"/>
    <w:rsid w:val="00057CE3"/>
    <w:rsid w:val="00065B3F"/>
    <w:rsid w:val="00071401"/>
    <w:rsid w:val="00092253"/>
    <w:rsid w:val="00094360"/>
    <w:rsid w:val="00094F05"/>
    <w:rsid w:val="000A2958"/>
    <w:rsid w:val="000B3E8E"/>
    <w:rsid w:val="000B6A9E"/>
    <w:rsid w:val="000B7FC4"/>
    <w:rsid w:val="000C0E06"/>
    <w:rsid w:val="000C2447"/>
    <w:rsid w:val="000C3A4E"/>
    <w:rsid w:val="000C6888"/>
    <w:rsid w:val="000C7A0E"/>
    <w:rsid w:val="000D5BD4"/>
    <w:rsid w:val="000E02E2"/>
    <w:rsid w:val="000E4DCD"/>
    <w:rsid w:val="000F1707"/>
    <w:rsid w:val="000F4F98"/>
    <w:rsid w:val="000F602E"/>
    <w:rsid w:val="00100219"/>
    <w:rsid w:val="001045EF"/>
    <w:rsid w:val="00105128"/>
    <w:rsid w:val="001054D7"/>
    <w:rsid w:val="00106F6D"/>
    <w:rsid w:val="00107A63"/>
    <w:rsid w:val="00107C1D"/>
    <w:rsid w:val="00113294"/>
    <w:rsid w:val="0011783E"/>
    <w:rsid w:val="00122D54"/>
    <w:rsid w:val="0012302C"/>
    <w:rsid w:val="00126779"/>
    <w:rsid w:val="00127395"/>
    <w:rsid w:val="001324A6"/>
    <w:rsid w:val="00144C29"/>
    <w:rsid w:val="00161437"/>
    <w:rsid w:val="0016241C"/>
    <w:rsid w:val="0016420D"/>
    <w:rsid w:val="001656AE"/>
    <w:rsid w:val="00172923"/>
    <w:rsid w:val="00174CDA"/>
    <w:rsid w:val="00176152"/>
    <w:rsid w:val="001801EC"/>
    <w:rsid w:val="00180368"/>
    <w:rsid w:val="00182187"/>
    <w:rsid w:val="00184F3B"/>
    <w:rsid w:val="0019681D"/>
    <w:rsid w:val="001A1D63"/>
    <w:rsid w:val="001B5D06"/>
    <w:rsid w:val="001B7CDC"/>
    <w:rsid w:val="001C05D0"/>
    <w:rsid w:val="001C138F"/>
    <w:rsid w:val="001C2991"/>
    <w:rsid w:val="001C380B"/>
    <w:rsid w:val="001D37B6"/>
    <w:rsid w:val="001D6371"/>
    <w:rsid w:val="001D7B03"/>
    <w:rsid w:val="001E3167"/>
    <w:rsid w:val="001F3932"/>
    <w:rsid w:val="001F6842"/>
    <w:rsid w:val="002001E4"/>
    <w:rsid w:val="0020295A"/>
    <w:rsid w:val="00202AA8"/>
    <w:rsid w:val="00202ACA"/>
    <w:rsid w:val="00207DEC"/>
    <w:rsid w:val="00210C53"/>
    <w:rsid w:val="0021183D"/>
    <w:rsid w:val="00214413"/>
    <w:rsid w:val="002201D4"/>
    <w:rsid w:val="0022251B"/>
    <w:rsid w:val="002245D6"/>
    <w:rsid w:val="00227C9E"/>
    <w:rsid w:val="00230D79"/>
    <w:rsid w:val="00234761"/>
    <w:rsid w:val="00242CB9"/>
    <w:rsid w:val="002446DD"/>
    <w:rsid w:val="00245C21"/>
    <w:rsid w:val="00245E0D"/>
    <w:rsid w:val="0025287F"/>
    <w:rsid w:val="002545DE"/>
    <w:rsid w:val="002609DA"/>
    <w:rsid w:val="00261947"/>
    <w:rsid w:val="00263AAB"/>
    <w:rsid w:val="0026402F"/>
    <w:rsid w:val="002645A9"/>
    <w:rsid w:val="0026507E"/>
    <w:rsid w:val="00267B99"/>
    <w:rsid w:val="00275977"/>
    <w:rsid w:val="002810BC"/>
    <w:rsid w:val="00283502"/>
    <w:rsid w:val="0028428B"/>
    <w:rsid w:val="002848F4"/>
    <w:rsid w:val="00285AB4"/>
    <w:rsid w:val="002910FB"/>
    <w:rsid w:val="002B063A"/>
    <w:rsid w:val="002C179F"/>
    <w:rsid w:val="002D56DF"/>
    <w:rsid w:val="002D6718"/>
    <w:rsid w:val="002F2D88"/>
    <w:rsid w:val="002F3D33"/>
    <w:rsid w:val="002F4E96"/>
    <w:rsid w:val="003013CE"/>
    <w:rsid w:val="0030474A"/>
    <w:rsid w:val="00310C06"/>
    <w:rsid w:val="00313BD6"/>
    <w:rsid w:val="003152A5"/>
    <w:rsid w:val="00326CFA"/>
    <w:rsid w:val="003404C2"/>
    <w:rsid w:val="003520A5"/>
    <w:rsid w:val="0035321D"/>
    <w:rsid w:val="00354A88"/>
    <w:rsid w:val="00356421"/>
    <w:rsid w:val="003565B6"/>
    <w:rsid w:val="003637F3"/>
    <w:rsid w:val="003663AD"/>
    <w:rsid w:val="00372447"/>
    <w:rsid w:val="00375993"/>
    <w:rsid w:val="003778E4"/>
    <w:rsid w:val="00377D70"/>
    <w:rsid w:val="00381769"/>
    <w:rsid w:val="00382217"/>
    <w:rsid w:val="00383218"/>
    <w:rsid w:val="00395116"/>
    <w:rsid w:val="003A0123"/>
    <w:rsid w:val="003A3326"/>
    <w:rsid w:val="003A33CF"/>
    <w:rsid w:val="003B2566"/>
    <w:rsid w:val="003B7D2F"/>
    <w:rsid w:val="003C1A92"/>
    <w:rsid w:val="003C7B5D"/>
    <w:rsid w:val="003D005F"/>
    <w:rsid w:val="003D36A6"/>
    <w:rsid w:val="003D4908"/>
    <w:rsid w:val="003D5C1C"/>
    <w:rsid w:val="003D71BF"/>
    <w:rsid w:val="003D7712"/>
    <w:rsid w:val="003E0CD9"/>
    <w:rsid w:val="003E1606"/>
    <w:rsid w:val="003E4DF1"/>
    <w:rsid w:val="003E5E3B"/>
    <w:rsid w:val="003E65C9"/>
    <w:rsid w:val="003E72B0"/>
    <w:rsid w:val="003F385E"/>
    <w:rsid w:val="003F63EE"/>
    <w:rsid w:val="00403604"/>
    <w:rsid w:val="00404AF8"/>
    <w:rsid w:val="00413681"/>
    <w:rsid w:val="0042207F"/>
    <w:rsid w:val="0042584D"/>
    <w:rsid w:val="004331BF"/>
    <w:rsid w:val="00447441"/>
    <w:rsid w:val="00453BAB"/>
    <w:rsid w:val="00454900"/>
    <w:rsid w:val="00454CDB"/>
    <w:rsid w:val="00461FC9"/>
    <w:rsid w:val="00462BD6"/>
    <w:rsid w:val="00463C47"/>
    <w:rsid w:val="0046780D"/>
    <w:rsid w:val="004723EC"/>
    <w:rsid w:val="0047596F"/>
    <w:rsid w:val="00486812"/>
    <w:rsid w:val="004954B3"/>
    <w:rsid w:val="00496BCF"/>
    <w:rsid w:val="004A0E4B"/>
    <w:rsid w:val="004A3164"/>
    <w:rsid w:val="004B3B88"/>
    <w:rsid w:val="004B7A4E"/>
    <w:rsid w:val="004C20FF"/>
    <w:rsid w:val="004D28AE"/>
    <w:rsid w:val="004E614C"/>
    <w:rsid w:val="004F17AE"/>
    <w:rsid w:val="004F28DB"/>
    <w:rsid w:val="004F500F"/>
    <w:rsid w:val="004F6716"/>
    <w:rsid w:val="004F7C0E"/>
    <w:rsid w:val="00511953"/>
    <w:rsid w:val="0051328C"/>
    <w:rsid w:val="00517D60"/>
    <w:rsid w:val="00522481"/>
    <w:rsid w:val="00522991"/>
    <w:rsid w:val="00531C6B"/>
    <w:rsid w:val="00537CBE"/>
    <w:rsid w:val="00542BD0"/>
    <w:rsid w:val="00543173"/>
    <w:rsid w:val="0054571F"/>
    <w:rsid w:val="0055129B"/>
    <w:rsid w:val="0055158F"/>
    <w:rsid w:val="005526B7"/>
    <w:rsid w:val="00552DF5"/>
    <w:rsid w:val="00555595"/>
    <w:rsid w:val="00555F7E"/>
    <w:rsid w:val="00556C84"/>
    <w:rsid w:val="00562BAB"/>
    <w:rsid w:val="0057656C"/>
    <w:rsid w:val="00595AF7"/>
    <w:rsid w:val="00597242"/>
    <w:rsid w:val="005A0276"/>
    <w:rsid w:val="005A0EDE"/>
    <w:rsid w:val="005A65AF"/>
    <w:rsid w:val="005B1CF5"/>
    <w:rsid w:val="005B2E7D"/>
    <w:rsid w:val="005B3884"/>
    <w:rsid w:val="005C00EC"/>
    <w:rsid w:val="005C13EA"/>
    <w:rsid w:val="005C3B38"/>
    <w:rsid w:val="005C59A3"/>
    <w:rsid w:val="005D021F"/>
    <w:rsid w:val="005E273B"/>
    <w:rsid w:val="005F2198"/>
    <w:rsid w:val="005F5B46"/>
    <w:rsid w:val="005F5BDA"/>
    <w:rsid w:val="006063AE"/>
    <w:rsid w:val="00611035"/>
    <w:rsid w:val="006242B9"/>
    <w:rsid w:val="00627A62"/>
    <w:rsid w:val="0063285F"/>
    <w:rsid w:val="00637135"/>
    <w:rsid w:val="00641BDE"/>
    <w:rsid w:val="00646513"/>
    <w:rsid w:val="00647689"/>
    <w:rsid w:val="00653680"/>
    <w:rsid w:val="00654AC7"/>
    <w:rsid w:val="00660DC1"/>
    <w:rsid w:val="0066248C"/>
    <w:rsid w:val="00662971"/>
    <w:rsid w:val="00664B84"/>
    <w:rsid w:val="00682149"/>
    <w:rsid w:val="00682F52"/>
    <w:rsid w:val="00684711"/>
    <w:rsid w:val="00687055"/>
    <w:rsid w:val="0068754E"/>
    <w:rsid w:val="00691AB2"/>
    <w:rsid w:val="00695712"/>
    <w:rsid w:val="006A1BC3"/>
    <w:rsid w:val="006B3B8E"/>
    <w:rsid w:val="006D22AA"/>
    <w:rsid w:val="006D505D"/>
    <w:rsid w:val="006D6926"/>
    <w:rsid w:val="006E1B5F"/>
    <w:rsid w:val="006F4106"/>
    <w:rsid w:val="006F5256"/>
    <w:rsid w:val="006F7983"/>
    <w:rsid w:val="00700D95"/>
    <w:rsid w:val="00700F9D"/>
    <w:rsid w:val="00713354"/>
    <w:rsid w:val="00714319"/>
    <w:rsid w:val="00716848"/>
    <w:rsid w:val="00717650"/>
    <w:rsid w:val="00721273"/>
    <w:rsid w:val="00721EB0"/>
    <w:rsid w:val="00724F6E"/>
    <w:rsid w:val="00731E63"/>
    <w:rsid w:val="00733C6F"/>
    <w:rsid w:val="007419B4"/>
    <w:rsid w:val="00742B1C"/>
    <w:rsid w:val="007445F5"/>
    <w:rsid w:val="00746DEA"/>
    <w:rsid w:val="0074728E"/>
    <w:rsid w:val="00754B74"/>
    <w:rsid w:val="0075576B"/>
    <w:rsid w:val="00756C86"/>
    <w:rsid w:val="00757EE4"/>
    <w:rsid w:val="00760CCD"/>
    <w:rsid w:val="0076275F"/>
    <w:rsid w:val="007645F2"/>
    <w:rsid w:val="007677B8"/>
    <w:rsid w:val="00770043"/>
    <w:rsid w:val="00782265"/>
    <w:rsid w:val="0078307E"/>
    <w:rsid w:val="007A3C3F"/>
    <w:rsid w:val="007A3E27"/>
    <w:rsid w:val="007B0991"/>
    <w:rsid w:val="007B1332"/>
    <w:rsid w:val="007B5801"/>
    <w:rsid w:val="007C3CE6"/>
    <w:rsid w:val="007D5881"/>
    <w:rsid w:val="007D6319"/>
    <w:rsid w:val="007D6963"/>
    <w:rsid w:val="007E3984"/>
    <w:rsid w:val="007F2E5D"/>
    <w:rsid w:val="008004E2"/>
    <w:rsid w:val="00800B15"/>
    <w:rsid w:val="00801F23"/>
    <w:rsid w:val="00802338"/>
    <w:rsid w:val="008066CB"/>
    <w:rsid w:val="0080732F"/>
    <w:rsid w:val="008104D3"/>
    <w:rsid w:val="008123B1"/>
    <w:rsid w:val="00817CC3"/>
    <w:rsid w:val="0082711A"/>
    <w:rsid w:val="008305DA"/>
    <w:rsid w:val="00831443"/>
    <w:rsid w:val="008318E0"/>
    <w:rsid w:val="00832AF7"/>
    <w:rsid w:val="00835D7E"/>
    <w:rsid w:val="00844AC2"/>
    <w:rsid w:val="00844C3B"/>
    <w:rsid w:val="00853800"/>
    <w:rsid w:val="008563F1"/>
    <w:rsid w:val="0085761C"/>
    <w:rsid w:val="00862072"/>
    <w:rsid w:val="00873644"/>
    <w:rsid w:val="00873919"/>
    <w:rsid w:val="00884333"/>
    <w:rsid w:val="00884AD4"/>
    <w:rsid w:val="00885CAA"/>
    <w:rsid w:val="00886C84"/>
    <w:rsid w:val="00887ADF"/>
    <w:rsid w:val="00890FBC"/>
    <w:rsid w:val="00896A72"/>
    <w:rsid w:val="008A0A94"/>
    <w:rsid w:val="008A18A9"/>
    <w:rsid w:val="008A48F0"/>
    <w:rsid w:val="008A721A"/>
    <w:rsid w:val="008B1705"/>
    <w:rsid w:val="008B5216"/>
    <w:rsid w:val="008C07CE"/>
    <w:rsid w:val="008C4A84"/>
    <w:rsid w:val="008E3F64"/>
    <w:rsid w:val="008E4B25"/>
    <w:rsid w:val="008E72B0"/>
    <w:rsid w:val="008F247D"/>
    <w:rsid w:val="008F2560"/>
    <w:rsid w:val="008F2580"/>
    <w:rsid w:val="008F55C5"/>
    <w:rsid w:val="0090143E"/>
    <w:rsid w:val="00903B6C"/>
    <w:rsid w:val="00903D4D"/>
    <w:rsid w:val="00905BA6"/>
    <w:rsid w:val="009107C4"/>
    <w:rsid w:val="00926E59"/>
    <w:rsid w:val="00932B8E"/>
    <w:rsid w:val="009333EC"/>
    <w:rsid w:val="00944E6B"/>
    <w:rsid w:val="00952B6E"/>
    <w:rsid w:val="009545A3"/>
    <w:rsid w:val="00960D48"/>
    <w:rsid w:val="00962B6A"/>
    <w:rsid w:val="0096547D"/>
    <w:rsid w:val="00975E0E"/>
    <w:rsid w:val="00976351"/>
    <w:rsid w:val="00976D77"/>
    <w:rsid w:val="00984EBA"/>
    <w:rsid w:val="0099099B"/>
    <w:rsid w:val="00997EB5"/>
    <w:rsid w:val="009A0E46"/>
    <w:rsid w:val="009A4800"/>
    <w:rsid w:val="009A56C0"/>
    <w:rsid w:val="009B1803"/>
    <w:rsid w:val="009B3D29"/>
    <w:rsid w:val="009C0C6A"/>
    <w:rsid w:val="009C1418"/>
    <w:rsid w:val="009C2146"/>
    <w:rsid w:val="009C2B60"/>
    <w:rsid w:val="009C605F"/>
    <w:rsid w:val="009E1555"/>
    <w:rsid w:val="009E5025"/>
    <w:rsid w:val="009F0934"/>
    <w:rsid w:val="009F13EE"/>
    <w:rsid w:val="00A0204A"/>
    <w:rsid w:val="00A060EA"/>
    <w:rsid w:val="00A15CBE"/>
    <w:rsid w:val="00A21729"/>
    <w:rsid w:val="00A22767"/>
    <w:rsid w:val="00A23197"/>
    <w:rsid w:val="00A231AB"/>
    <w:rsid w:val="00A2375F"/>
    <w:rsid w:val="00A23D87"/>
    <w:rsid w:val="00A275F5"/>
    <w:rsid w:val="00A31FF8"/>
    <w:rsid w:val="00A353D8"/>
    <w:rsid w:val="00A36AF4"/>
    <w:rsid w:val="00A46B68"/>
    <w:rsid w:val="00A549CE"/>
    <w:rsid w:val="00A55334"/>
    <w:rsid w:val="00A57E89"/>
    <w:rsid w:val="00A67F06"/>
    <w:rsid w:val="00A709C3"/>
    <w:rsid w:val="00A73B92"/>
    <w:rsid w:val="00A74C8B"/>
    <w:rsid w:val="00A77F6F"/>
    <w:rsid w:val="00A80EBA"/>
    <w:rsid w:val="00A87D96"/>
    <w:rsid w:val="00A900DB"/>
    <w:rsid w:val="00A9087B"/>
    <w:rsid w:val="00A97CB1"/>
    <w:rsid w:val="00AA3921"/>
    <w:rsid w:val="00AA4284"/>
    <w:rsid w:val="00AA61B3"/>
    <w:rsid w:val="00AB1F18"/>
    <w:rsid w:val="00AB3267"/>
    <w:rsid w:val="00AB37F8"/>
    <w:rsid w:val="00AB546C"/>
    <w:rsid w:val="00AB59B0"/>
    <w:rsid w:val="00AC5997"/>
    <w:rsid w:val="00AC7D42"/>
    <w:rsid w:val="00AD21CE"/>
    <w:rsid w:val="00AE3FC9"/>
    <w:rsid w:val="00AE610E"/>
    <w:rsid w:val="00AF0B6F"/>
    <w:rsid w:val="00B0637F"/>
    <w:rsid w:val="00B078B8"/>
    <w:rsid w:val="00B22D8D"/>
    <w:rsid w:val="00B24DFF"/>
    <w:rsid w:val="00B308EB"/>
    <w:rsid w:val="00B40A45"/>
    <w:rsid w:val="00B41E04"/>
    <w:rsid w:val="00B42CD9"/>
    <w:rsid w:val="00B43389"/>
    <w:rsid w:val="00B45672"/>
    <w:rsid w:val="00B47D5F"/>
    <w:rsid w:val="00B54782"/>
    <w:rsid w:val="00B56124"/>
    <w:rsid w:val="00B566BE"/>
    <w:rsid w:val="00B60CE5"/>
    <w:rsid w:val="00B62077"/>
    <w:rsid w:val="00B638BF"/>
    <w:rsid w:val="00B7189C"/>
    <w:rsid w:val="00B771EA"/>
    <w:rsid w:val="00B82120"/>
    <w:rsid w:val="00B900A9"/>
    <w:rsid w:val="00B90983"/>
    <w:rsid w:val="00B91143"/>
    <w:rsid w:val="00B95FA4"/>
    <w:rsid w:val="00B96ADB"/>
    <w:rsid w:val="00BA5403"/>
    <w:rsid w:val="00BA5E16"/>
    <w:rsid w:val="00BA694F"/>
    <w:rsid w:val="00BB1148"/>
    <w:rsid w:val="00BB4F25"/>
    <w:rsid w:val="00BB5759"/>
    <w:rsid w:val="00BC7FA9"/>
    <w:rsid w:val="00BD0813"/>
    <w:rsid w:val="00BD3468"/>
    <w:rsid w:val="00BD6F35"/>
    <w:rsid w:val="00BD7B6C"/>
    <w:rsid w:val="00C01480"/>
    <w:rsid w:val="00C042D0"/>
    <w:rsid w:val="00C04A9C"/>
    <w:rsid w:val="00C10B38"/>
    <w:rsid w:val="00C12E89"/>
    <w:rsid w:val="00C135C5"/>
    <w:rsid w:val="00C13C03"/>
    <w:rsid w:val="00C16597"/>
    <w:rsid w:val="00C2164A"/>
    <w:rsid w:val="00C23864"/>
    <w:rsid w:val="00C35617"/>
    <w:rsid w:val="00C361BC"/>
    <w:rsid w:val="00C3642E"/>
    <w:rsid w:val="00C371D9"/>
    <w:rsid w:val="00C408C9"/>
    <w:rsid w:val="00C417EE"/>
    <w:rsid w:val="00C47E76"/>
    <w:rsid w:val="00C530B8"/>
    <w:rsid w:val="00C603F1"/>
    <w:rsid w:val="00C64768"/>
    <w:rsid w:val="00C70543"/>
    <w:rsid w:val="00C75717"/>
    <w:rsid w:val="00C76FB2"/>
    <w:rsid w:val="00C77D9C"/>
    <w:rsid w:val="00C80419"/>
    <w:rsid w:val="00C865BB"/>
    <w:rsid w:val="00C906F3"/>
    <w:rsid w:val="00CA178B"/>
    <w:rsid w:val="00CA5CBB"/>
    <w:rsid w:val="00CB1D6F"/>
    <w:rsid w:val="00CB2CDB"/>
    <w:rsid w:val="00CB37A4"/>
    <w:rsid w:val="00CB4867"/>
    <w:rsid w:val="00CB5337"/>
    <w:rsid w:val="00CB664B"/>
    <w:rsid w:val="00CD17D1"/>
    <w:rsid w:val="00CD426D"/>
    <w:rsid w:val="00CD4EA8"/>
    <w:rsid w:val="00CE1E19"/>
    <w:rsid w:val="00CE2466"/>
    <w:rsid w:val="00CE7757"/>
    <w:rsid w:val="00CE7C68"/>
    <w:rsid w:val="00CF6512"/>
    <w:rsid w:val="00CF7554"/>
    <w:rsid w:val="00D05E8F"/>
    <w:rsid w:val="00D16427"/>
    <w:rsid w:val="00D217EE"/>
    <w:rsid w:val="00D22430"/>
    <w:rsid w:val="00D23D43"/>
    <w:rsid w:val="00D24735"/>
    <w:rsid w:val="00D247BF"/>
    <w:rsid w:val="00D255ED"/>
    <w:rsid w:val="00D44D40"/>
    <w:rsid w:val="00D469A8"/>
    <w:rsid w:val="00D60F35"/>
    <w:rsid w:val="00D617E8"/>
    <w:rsid w:val="00D65ED8"/>
    <w:rsid w:val="00D71E0E"/>
    <w:rsid w:val="00D73E7D"/>
    <w:rsid w:val="00D74A72"/>
    <w:rsid w:val="00D83F1F"/>
    <w:rsid w:val="00D867CF"/>
    <w:rsid w:val="00D90464"/>
    <w:rsid w:val="00D91660"/>
    <w:rsid w:val="00D94CE5"/>
    <w:rsid w:val="00D96775"/>
    <w:rsid w:val="00D97E9D"/>
    <w:rsid w:val="00DA02F7"/>
    <w:rsid w:val="00DA38F6"/>
    <w:rsid w:val="00DA39A6"/>
    <w:rsid w:val="00DA52B9"/>
    <w:rsid w:val="00DA6386"/>
    <w:rsid w:val="00DA7704"/>
    <w:rsid w:val="00DB72CE"/>
    <w:rsid w:val="00DC0751"/>
    <w:rsid w:val="00DC1D4F"/>
    <w:rsid w:val="00DD670A"/>
    <w:rsid w:val="00DD6AC6"/>
    <w:rsid w:val="00DE2CF5"/>
    <w:rsid w:val="00DE337F"/>
    <w:rsid w:val="00DE58DF"/>
    <w:rsid w:val="00DF52E9"/>
    <w:rsid w:val="00DF6924"/>
    <w:rsid w:val="00DF7A5A"/>
    <w:rsid w:val="00E012A5"/>
    <w:rsid w:val="00E03E80"/>
    <w:rsid w:val="00E10B7E"/>
    <w:rsid w:val="00E11898"/>
    <w:rsid w:val="00E1381D"/>
    <w:rsid w:val="00E1628A"/>
    <w:rsid w:val="00E16B3F"/>
    <w:rsid w:val="00E235B1"/>
    <w:rsid w:val="00E276EB"/>
    <w:rsid w:val="00E36D45"/>
    <w:rsid w:val="00E37C9B"/>
    <w:rsid w:val="00E42937"/>
    <w:rsid w:val="00E456D0"/>
    <w:rsid w:val="00E470EB"/>
    <w:rsid w:val="00E50687"/>
    <w:rsid w:val="00E5639D"/>
    <w:rsid w:val="00E60504"/>
    <w:rsid w:val="00E60DE1"/>
    <w:rsid w:val="00E678E3"/>
    <w:rsid w:val="00E7433F"/>
    <w:rsid w:val="00E75949"/>
    <w:rsid w:val="00E76498"/>
    <w:rsid w:val="00E82D0F"/>
    <w:rsid w:val="00E869D2"/>
    <w:rsid w:val="00E97295"/>
    <w:rsid w:val="00EB4DAB"/>
    <w:rsid w:val="00EC202A"/>
    <w:rsid w:val="00ED0FA8"/>
    <w:rsid w:val="00EE0E9D"/>
    <w:rsid w:val="00EE16E5"/>
    <w:rsid w:val="00EE1803"/>
    <w:rsid w:val="00EE6005"/>
    <w:rsid w:val="00EF7441"/>
    <w:rsid w:val="00EF7C3E"/>
    <w:rsid w:val="00F00045"/>
    <w:rsid w:val="00F1507C"/>
    <w:rsid w:val="00F16EDA"/>
    <w:rsid w:val="00F20097"/>
    <w:rsid w:val="00F22DC8"/>
    <w:rsid w:val="00F256DE"/>
    <w:rsid w:val="00F33D3E"/>
    <w:rsid w:val="00F36DD7"/>
    <w:rsid w:val="00F46D3E"/>
    <w:rsid w:val="00F510FC"/>
    <w:rsid w:val="00F56C7C"/>
    <w:rsid w:val="00F63FE4"/>
    <w:rsid w:val="00F642A8"/>
    <w:rsid w:val="00F73446"/>
    <w:rsid w:val="00F83529"/>
    <w:rsid w:val="00F85F8C"/>
    <w:rsid w:val="00F91783"/>
    <w:rsid w:val="00F943D7"/>
    <w:rsid w:val="00F9498D"/>
    <w:rsid w:val="00FA2D70"/>
    <w:rsid w:val="00FA5CF6"/>
    <w:rsid w:val="00FB47E6"/>
    <w:rsid w:val="00FC1AFD"/>
    <w:rsid w:val="00FC2ACA"/>
    <w:rsid w:val="00FC6238"/>
    <w:rsid w:val="00FC72E5"/>
    <w:rsid w:val="00FD20E8"/>
    <w:rsid w:val="00FD24A4"/>
    <w:rsid w:val="00FD339D"/>
    <w:rsid w:val="00FD38E9"/>
    <w:rsid w:val="00FD601B"/>
    <w:rsid w:val="00FD765E"/>
    <w:rsid w:val="00FE1448"/>
    <w:rsid w:val="00FE7E11"/>
    <w:rsid w:val="00FF3E1E"/>
    <w:rsid w:val="00FF55F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1C764C"/>
  <w14:defaultImageDpi w14:val="300"/>
  <w15:docId w15:val="{59944E6E-D31B-49D0-A009-30E6BBC14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4900"/>
    <w:pPr>
      <w:spacing w:after="160" w:line="259" w:lineRule="auto"/>
    </w:pPr>
    <w:rPr>
      <w:rFonts w:eastAsiaTheme="minorHAnsi"/>
      <w:sz w:val="22"/>
      <w:szCs w:val="22"/>
      <w:lang w:eastAsia="en-US"/>
    </w:rPr>
  </w:style>
  <w:style w:type="paragraph" w:styleId="Ttulo1">
    <w:name w:val="heading 1"/>
    <w:basedOn w:val="Normal"/>
    <w:next w:val="Normal"/>
    <w:link w:val="Ttulo1Car"/>
    <w:uiPriority w:val="9"/>
    <w:qFormat/>
    <w:rsid w:val="008123B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next w:val="Normal"/>
    <w:link w:val="Ttulo2Car"/>
    <w:uiPriority w:val="9"/>
    <w:qFormat/>
    <w:rsid w:val="0078307E"/>
    <w:pPr>
      <w:keepNext/>
      <w:keepLines/>
      <w:spacing w:after="100" w:line="259" w:lineRule="auto"/>
      <w:ind w:left="77" w:hanging="10"/>
      <w:outlineLvl w:val="1"/>
    </w:pPr>
    <w:rPr>
      <w:rFonts w:ascii="Bookman Old Style" w:eastAsia="Bookman Old Style" w:hAnsi="Bookman Old Style" w:cs="Bookman Old Style"/>
      <w:color w:val="000000"/>
      <w:sz w:val="22"/>
      <w:szCs w:val="22"/>
      <w:lang w:val="en-US" w:eastAsia="en-US"/>
    </w:rPr>
  </w:style>
  <w:style w:type="paragraph" w:styleId="Ttulo3">
    <w:name w:val="heading 3"/>
    <w:next w:val="Normal"/>
    <w:link w:val="Ttulo3Car"/>
    <w:uiPriority w:val="9"/>
    <w:qFormat/>
    <w:rsid w:val="0078307E"/>
    <w:pPr>
      <w:keepNext/>
      <w:keepLines/>
      <w:spacing w:line="259" w:lineRule="auto"/>
      <w:ind w:left="57"/>
      <w:outlineLvl w:val="2"/>
    </w:pPr>
    <w:rPr>
      <w:rFonts w:ascii="Arial" w:eastAsia="Arial" w:hAnsi="Arial" w:cs="Arial"/>
      <w:color w:val="000000"/>
      <w:sz w:val="27"/>
      <w:szCs w:val="22"/>
      <w:lang w:val="en-US" w:eastAsia="en-US"/>
    </w:rPr>
  </w:style>
  <w:style w:type="paragraph" w:styleId="Ttulo4">
    <w:name w:val="heading 4"/>
    <w:basedOn w:val="Normal"/>
    <w:next w:val="Normal"/>
    <w:link w:val="Ttulo4Car"/>
    <w:uiPriority w:val="9"/>
    <w:unhideWhenUsed/>
    <w:qFormat/>
    <w:rsid w:val="0078307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537C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54900"/>
    <w:pPr>
      <w:tabs>
        <w:tab w:val="center" w:pos="4419"/>
        <w:tab w:val="right" w:pos="8838"/>
      </w:tabs>
      <w:spacing w:after="0" w:line="240" w:lineRule="auto"/>
    </w:pPr>
    <w:rPr>
      <w:rFonts w:ascii="Calibri" w:eastAsia="Calibri" w:hAnsi="Calibri" w:cs="Times New Roman"/>
      <w:lang w:val="es-ES"/>
    </w:rPr>
  </w:style>
  <w:style w:type="character" w:customStyle="1" w:styleId="PiedepginaCar">
    <w:name w:val="Pie de página Car"/>
    <w:basedOn w:val="Fuentedeprrafopredeter"/>
    <w:link w:val="Piedepgina"/>
    <w:uiPriority w:val="99"/>
    <w:rsid w:val="00454900"/>
    <w:rPr>
      <w:rFonts w:ascii="Calibri" w:eastAsia="Calibri" w:hAnsi="Calibri" w:cs="Times New Roman"/>
      <w:sz w:val="22"/>
      <w:szCs w:val="22"/>
      <w:lang w:val="es-ES" w:eastAsia="en-US"/>
    </w:rPr>
  </w:style>
  <w:style w:type="paragraph" w:styleId="Textonotapie">
    <w:name w:val="footnote text"/>
    <w:aliases w:val="MI NOTA PIE DE PÁGINA (TEXTO),Footnote Text Char Char Char Char Char,Footnote Text Char Char Char Char,Footnote reference,FA Fu,Footnote Text Char Char Char,Footnote Text Char,texto de nota al pie,texto de nota al pi,ft,Footnote Text Cha"/>
    <w:basedOn w:val="Normal"/>
    <w:link w:val="TextonotapieCar"/>
    <w:qFormat/>
    <w:rsid w:val="00454900"/>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MI NOTA PIE DE PÁGINA (TEXTO) Car,Footnote Text Char Char Char Char Char Car,Footnote Text Char Char Char Char Car,Footnote reference Car,FA Fu Car,Footnote Text Char Char Char Car,Footnote Text Char Car,texto de nota al pie Car"/>
    <w:basedOn w:val="Fuentedeprrafopredeter"/>
    <w:link w:val="Textonotapie"/>
    <w:qFormat/>
    <w:rsid w:val="00454900"/>
    <w:rPr>
      <w:rFonts w:ascii="Times New Roman" w:eastAsia="Times New Roman" w:hAnsi="Times New Roman" w:cs="Times New Roman"/>
      <w:sz w:val="20"/>
      <w:szCs w:val="20"/>
      <w:lang w:val="es-ES"/>
    </w:rPr>
  </w:style>
  <w:style w:type="character" w:styleId="Refdenotaalpie">
    <w:name w:val="footnote reference"/>
    <w:aliases w:val="Ref. de nota al pie 2,Texto de nota al pie,Appel note de bas de page,Footnotes refss,Footnote number,referencia nota al pie,BVI fnr,f,4_G,16 Point,Superscript 6 Point,Texto nota al pie,Pie de Página,FC,Footnote Reference Char3,F,4,Re"/>
    <w:link w:val="Refdenotaalpie2"/>
    <w:uiPriority w:val="99"/>
    <w:qFormat/>
    <w:rsid w:val="00454900"/>
    <w:rPr>
      <w:vertAlign w:val="superscript"/>
    </w:rPr>
  </w:style>
  <w:style w:type="paragraph" w:customStyle="1" w:styleId="Refdenotaalpie2">
    <w:name w:val="Ref. de nota al pie2"/>
    <w:aliases w:val="Pie de pagina"/>
    <w:basedOn w:val="Normal"/>
    <w:link w:val="Refdenotaalpie"/>
    <w:uiPriority w:val="99"/>
    <w:rsid w:val="00454900"/>
    <w:pPr>
      <w:spacing w:line="240" w:lineRule="exact"/>
    </w:pPr>
    <w:rPr>
      <w:rFonts w:eastAsiaTheme="minorEastAsia"/>
      <w:sz w:val="24"/>
      <w:szCs w:val="24"/>
      <w:vertAlign w:val="superscript"/>
      <w:lang w:eastAsia="es-ES"/>
    </w:rPr>
  </w:style>
  <w:style w:type="paragraph" w:styleId="Encabezado">
    <w:name w:val="header"/>
    <w:basedOn w:val="Normal"/>
    <w:link w:val="EncabezadoCar"/>
    <w:uiPriority w:val="99"/>
    <w:unhideWhenUsed/>
    <w:rsid w:val="0045490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4900"/>
    <w:rPr>
      <w:rFonts w:eastAsiaTheme="minorHAnsi"/>
      <w:sz w:val="22"/>
      <w:szCs w:val="22"/>
      <w:lang w:eastAsia="en-US"/>
    </w:rPr>
  </w:style>
  <w:style w:type="paragraph" w:styleId="Prrafodelista">
    <w:name w:val="List Paragraph"/>
    <w:basedOn w:val="Normal"/>
    <w:uiPriority w:val="34"/>
    <w:qFormat/>
    <w:rsid w:val="00454900"/>
    <w:pPr>
      <w:ind w:left="720"/>
      <w:contextualSpacing/>
    </w:pPr>
  </w:style>
  <w:style w:type="paragraph" w:styleId="NormalWeb">
    <w:name w:val="Normal (Web)"/>
    <w:basedOn w:val="Normal"/>
    <w:uiPriority w:val="99"/>
    <w:semiHidden/>
    <w:unhideWhenUsed/>
    <w:rsid w:val="00454900"/>
    <w:pPr>
      <w:spacing w:before="100" w:beforeAutospacing="1" w:after="100" w:afterAutospacing="1" w:line="240" w:lineRule="auto"/>
    </w:pPr>
    <w:rPr>
      <w:rFonts w:ascii="Times" w:hAnsi="Times" w:cs="Times New Roman"/>
      <w:sz w:val="20"/>
      <w:szCs w:val="20"/>
      <w:lang w:eastAsia="es-ES"/>
    </w:rPr>
  </w:style>
  <w:style w:type="paragraph" w:styleId="Sinespaciado">
    <w:name w:val="No Spacing"/>
    <w:uiPriority w:val="1"/>
    <w:qFormat/>
    <w:rsid w:val="00454900"/>
    <w:rPr>
      <w:rFonts w:eastAsiaTheme="minorHAnsi"/>
      <w:sz w:val="22"/>
      <w:szCs w:val="22"/>
      <w:lang w:val="en-US" w:eastAsia="en-US"/>
    </w:rPr>
  </w:style>
  <w:style w:type="character" w:styleId="Nmerodepgina">
    <w:name w:val="page number"/>
    <w:basedOn w:val="Fuentedeprrafopredeter"/>
    <w:uiPriority w:val="99"/>
    <w:semiHidden/>
    <w:unhideWhenUsed/>
    <w:rsid w:val="00454900"/>
  </w:style>
  <w:style w:type="character" w:customStyle="1" w:styleId="Ttulo2Car">
    <w:name w:val="Título 2 Car"/>
    <w:basedOn w:val="Fuentedeprrafopredeter"/>
    <w:link w:val="Ttulo2"/>
    <w:rsid w:val="0078307E"/>
    <w:rPr>
      <w:rFonts w:ascii="Bookman Old Style" w:eastAsia="Bookman Old Style" w:hAnsi="Bookman Old Style" w:cs="Bookman Old Style"/>
      <w:color w:val="000000"/>
      <w:sz w:val="22"/>
      <w:szCs w:val="22"/>
      <w:lang w:val="en-US" w:eastAsia="en-US"/>
    </w:rPr>
  </w:style>
  <w:style w:type="character" w:customStyle="1" w:styleId="Ttulo3Car">
    <w:name w:val="Título 3 Car"/>
    <w:basedOn w:val="Fuentedeprrafopredeter"/>
    <w:link w:val="Ttulo3"/>
    <w:rsid w:val="0078307E"/>
    <w:rPr>
      <w:rFonts w:ascii="Arial" w:eastAsia="Arial" w:hAnsi="Arial" w:cs="Arial"/>
      <w:color w:val="000000"/>
      <w:sz w:val="27"/>
      <w:szCs w:val="22"/>
      <w:lang w:val="en-US" w:eastAsia="en-US"/>
    </w:rPr>
  </w:style>
  <w:style w:type="character" w:customStyle="1" w:styleId="Ttulo4Car">
    <w:name w:val="Título 4 Car"/>
    <w:basedOn w:val="Fuentedeprrafopredeter"/>
    <w:link w:val="Ttulo4"/>
    <w:uiPriority w:val="9"/>
    <w:rsid w:val="0078307E"/>
    <w:rPr>
      <w:rFonts w:asciiTheme="majorHAnsi" w:eastAsiaTheme="majorEastAsia" w:hAnsiTheme="majorHAnsi" w:cstheme="majorBidi"/>
      <w:i/>
      <w:iCs/>
      <w:color w:val="365F91" w:themeColor="accent1" w:themeShade="BF"/>
      <w:sz w:val="22"/>
      <w:szCs w:val="22"/>
      <w:lang w:eastAsia="en-US"/>
    </w:rPr>
  </w:style>
  <w:style w:type="character" w:customStyle="1" w:styleId="Ttulo1Car">
    <w:name w:val="Título 1 Car"/>
    <w:basedOn w:val="Fuentedeprrafopredeter"/>
    <w:link w:val="Ttulo1"/>
    <w:rsid w:val="008123B1"/>
    <w:rPr>
      <w:rFonts w:asciiTheme="majorHAnsi" w:eastAsiaTheme="majorEastAsia" w:hAnsiTheme="majorHAnsi" w:cstheme="majorBidi"/>
      <w:color w:val="365F91" w:themeColor="accent1" w:themeShade="BF"/>
      <w:sz w:val="32"/>
      <w:szCs w:val="32"/>
      <w:lang w:eastAsia="en-US"/>
    </w:rPr>
  </w:style>
  <w:style w:type="paragraph" w:customStyle="1" w:styleId="footnotedescription">
    <w:name w:val="footnote description"/>
    <w:next w:val="Normal"/>
    <w:link w:val="footnotedescriptionChar"/>
    <w:hidden/>
    <w:rsid w:val="008123B1"/>
    <w:pPr>
      <w:spacing w:line="259" w:lineRule="auto"/>
    </w:pPr>
    <w:rPr>
      <w:rFonts w:ascii="Arial" w:eastAsia="Arial" w:hAnsi="Arial" w:cs="Arial"/>
      <w:color w:val="000000"/>
      <w:sz w:val="18"/>
      <w:szCs w:val="22"/>
      <w:lang w:val="en-US" w:eastAsia="en-US"/>
    </w:rPr>
  </w:style>
  <w:style w:type="character" w:customStyle="1" w:styleId="footnotedescriptionChar">
    <w:name w:val="footnote description Char"/>
    <w:link w:val="footnotedescription"/>
    <w:rsid w:val="008123B1"/>
    <w:rPr>
      <w:rFonts w:ascii="Arial" w:eastAsia="Arial" w:hAnsi="Arial" w:cs="Arial"/>
      <w:color w:val="000000"/>
      <w:sz w:val="18"/>
      <w:szCs w:val="22"/>
      <w:lang w:val="en-US" w:eastAsia="en-US"/>
    </w:rPr>
  </w:style>
  <w:style w:type="character" w:customStyle="1" w:styleId="footnotemark">
    <w:name w:val="footnote mark"/>
    <w:hidden/>
    <w:rsid w:val="008123B1"/>
    <w:rPr>
      <w:rFonts w:ascii="Arial" w:eastAsia="Arial" w:hAnsi="Arial" w:cs="Arial"/>
      <w:color w:val="000000"/>
      <w:sz w:val="18"/>
      <w:vertAlign w:val="superscript"/>
    </w:rPr>
  </w:style>
  <w:style w:type="table" w:customStyle="1" w:styleId="TableGrid">
    <w:name w:val="TableGrid"/>
    <w:rsid w:val="008123B1"/>
    <w:rPr>
      <w:rFonts w:ascii="Calibri" w:eastAsia="Times New Roman" w:hAnsi="Calibri" w:cs="Times New Roman"/>
      <w:sz w:val="22"/>
      <w:szCs w:val="22"/>
      <w:lang w:val="en-US" w:eastAsia="en-US"/>
    </w:rPr>
    <w:tblPr>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0B7FC4"/>
    <w:rPr>
      <w:sz w:val="16"/>
      <w:szCs w:val="16"/>
    </w:rPr>
  </w:style>
  <w:style w:type="paragraph" w:styleId="Textocomentario">
    <w:name w:val="annotation text"/>
    <w:basedOn w:val="Normal"/>
    <w:link w:val="TextocomentarioCar"/>
    <w:uiPriority w:val="99"/>
    <w:semiHidden/>
    <w:unhideWhenUsed/>
    <w:rsid w:val="000B7FC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B7FC4"/>
    <w:rPr>
      <w:rFonts w:eastAsiaTheme="minorHAnsi"/>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0B7FC4"/>
    <w:rPr>
      <w:b/>
      <w:bCs/>
    </w:rPr>
  </w:style>
  <w:style w:type="character" w:customStyle="1" w:styleId="AsuntodelcomentarioCar">
    <w:name w:val="Asunto del comentario Car"/>
    <w:basedOn w:val="TextocomentarioCar"/>
    <w:link w:val="Asuntodelcomentario"/>
    <w:uiPriority w:val="99"/>
    <w:semiHidden/>
    <w:rsid w:val="000B7FC4"/>
    <w:rPr>
      <w:rFonts w:eastAsiaTheme="minorHAnsi"/>
      <w:b/>
      <w:bCs/>
      <w:sz w:val="20"/>
      <w:szCs w:val="20"/>
      <w:lang w:eastAsia="en-US"/>
    </w:rPr>
  </w:style>
  <w:style w:type="paragraph" w:styleId="Textodeglobo">
    <w:name w:val="Balloon Text"/>
    <w:basedOn w:val="Normal"/>
    <w:link w:val="TextodegloboCar"/>
    <w:uiPriority w:val="99"/>
    <w:semiHidden/>
    <w:unhideWhenUsed/>
    <w:rsid w:val="000B7FC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B7FC4"/>
    <w:rPr>
      <w:rFonts w:ascii="Segoe UI" w:eastAsiaTheme="minorHAnsi" w:hAnsi="Segoe UI" w:cs="Segoe UI"/>
      <w:sz w:val="18"/>
      <w:szCs w:val="18"/>
      <w:lang w:eastAsia="en-US"/>
    </w:rPr>
  </w:style>
  <w:style w:type="character" w:styleId="Hipervnculo">
    <w:name w:val="Hyperlink"/>
    <w:uiPriority w:val="99"/>
    <w:unhideWhenUsed/>
    <w:rsid w:val="00742B1C"/>
    <w:rPr>
      <w:color w:val="0000FF"/>
      <w:u w:val="single"/>
    </w:rPr>
  </w:style>
  <w:style w:type="character" w:customStyle="1" w:styleId="Ttulo5Car">
    <w:name w:val="Título 5 Car"/>
    <w:basedOn w:val="Fuentedeprrafopredeter"/>
    <w:link w:val="Ttulo5"/>
    <w:uiPriority w:val="9"/>
    <w:rsid w:val="00537CBE"/>
    <w:rPr>
      <w:rFonts w:asciiTheme="majorHAnsi" w:eastAsiaTheme="majorEastAsia" w:hAnsiTheme="majorHAnsi" w:cstheme="majorBidi"/>
      <w:color w:val="243F60" w:themeColor="accent1" w:themeShade="7F"/>
      <w:sz w:val="22"/>
      <w:szCs w:val="22"/>
      <w:lang w:eastAsia="en-US"/>
    </w:rPr>
  </w:style>
  <w:style w:type="paragraph" w:styleId="TDC1">
    <w:name w:val="toc 1"/>
    <w:hidden/>
    <w:uiPriority w:val="39"/>
    <w:rsid w:val="00463C47"/>
    <w:pPr>
      <w:spacing w:after="254" w:line="249" w:lineRule="auto"/>
      <w:ind w:left="25" w:right="24" w:hanging="10"/>
      <w:jc w:val="both"/>
    </w:pPr>
    <w:rPr>
      <w:rFonts w:ascii="Arial" w:eastAsia="Arial" w:hAnsi="Arial" w:cs="Arial"/>
      <w:color w:val="000000"/>
      <w:szCs w:val="22"/>
      <w:lang w:val="en-US" w:eastAsia="en-US"/>
    </w:rPr>
  </w:style>
  <w:style w:type="paragraph" w:styleId="TDC2">
    <w:name w:val="toc 2"/>
    <w:hidden/>
    <w:uiPriority w:val="39"/>
    <w:rsid w:val="00463C47"/>
    <w:pPr>
      <w:spacing w:after="137" w:line="249" w:lineRule="auto"/>
      <w:ind w:left="265" w:right="24" w:hanging="10"/>
      <w:jc w:val="both"/>
    </w:pPr>
    <w:rPr>
      <w:rFonts w:ascii="Arial" w:eastAsia="Arial" w:hAnsi="Arial" w:cs="Arial"/>
      <w:color w:val="000000"/>
      <w:szCs w:val="22"/>
      <w:lang w:val="en-US" w:eastAsia="en-US"/>
    </w:rPr>
  </w:style>
  <w:style w:type="paragraph" w:styleId="Revisin">
    <w:name w:val="Revision"/>
    <w:hidden/>
    <w:uiPriority w:val="99"/>
    <w:semiHidden/>
    <w:rsid w:val="00D23D43"/>
    <w:rPr>
      <w:rFonts w:eastAsiaTheme="minorHAnsi"/>
      <w:sz w:val="22"/>
      <w:szCs w:val="22"/>
      <w:lang w:eastAsia="en-U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rsid w:val="00C10B38"/>
    <w:pPr>
      <w:spacing w:after="0" w:line="240" w:lineRule="auto"/>
      <w:jc w:val="both"/>
    </w:pPr>
    <w:rPr>
      <w:rFonts w:eastAsiaTheme="minorEastAsia"/>
      <w:sz w:val="24"/>
      <w:szCs w:val="24"/>
      <w:vertAlign w:val="superscript"/>
      <w:lang w:eastAsia="es-ES"/>
    </w:rPr>
  </w:style>
  <w:style w:type="paragraph" w:customStyle="1" w:styleId="Cuadrculamedia21">
    <w:name w:val="Cuadrícula media 21"/>
    <w:uiPriority w:val="1"/>
    <w:qFormat/>
    <w:rsid w:val="001D37B6"/>
    <w:rPr>
      <w:rFonts w:ascii="Calibri" w:eastAsia="Calibri" w:hAnsi="Calibri" w:cs="Times New Roman"/>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latoria.consejodeestado.gov.co:8081/Vistas/documentos/evalidado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ecretariasenado.gov.co/senado/basedoc/ley_0143_1994.html" TargetMode="External"/><Relationship Id="rId4" Type="http://schemas.openxmlformats.org/officeDocument/2006/relationships/settings" Target="settings.xml"/><Relationship Id="rId9" Type="http://schemas.openxmlformats.org/officeDocument/2006/relationships/hyperlink" Target="http://www.secretariasenado.gov.co/senado/basedoc/ley_0142_1994.html" TargetMode="External"/><Relationship Id="rId14" Type="http://schemas.openxmlformats.org/officeDocument/2006/relationships/footer" Target="footer2.xml"/><Relationship Id="rId22"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3" Type="http://schemas.openxmlformats.org/officeDocument/2006/relationships/hyperlink" Target="http://www.secretariasenado.gov.co/senado/basedoc/ley_0143_1994_pr001.html" TargetMode="External"/><Relationship Id="rId7" Type="http://schemas.openxmlformats.org/officeDocument/2006/relationships/hyperlink" Target="http://www.secretariasenado.gov.co/senado/basedoc/ley_0142_1994_pr003.html" TargetMode="External"/><Relationship Id="rId2" Type="http://schemas.openxmlformats.org/officeDocument/2006/relationships/hyperlink" Target="http://www.secretariasenado.gov.co/senado/basedoc/ley_1450_2011_pr005.html" TargetMode="External"/><Relationship Id="rId1" Type="http://schemas.openxmlformats.org/officeDocument/2006/relationships/hyperlink" Target="http://www.secretariasenado.gov.co/senado/basedoc/ley_0142_1994_pr002.html" TargetMode="External"/><Relationship Id="rId6" Type="http://schemas.openxmlformats.org/officeDocument/2006/relationships/hyperlink" Target="http://www.secretariasenado.gov.co/senado/basedoc/ley_0142_1994_pr002.html" TargetMode="External"/><Relationship Id="rId5" Type="http://schemas.openxmlformats.org/officeDocument/2006/relationships/hyperlink" Target="http://www.secretariasenado.gov.co/senado/basedoc/ley_1665_2013.html" TargetMode="External"/><Relationship Id="rId4" Type="http://schemas.openxmlformats.org/officeDocument/2006/relationships/hyperlink" Target="http://www.secretariasenado.gov.co/senado/basedoc/ley_1450_2011_pr005.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60CFB-005F-4DA4-83DB-A450BB11E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17230</Words>
  <Characters>94766</Characters>
  <Application>Microsoft Office Word</Application>
  <DocSecurity>0</DocSecurity>
  <Lines>789</Lines>
  <Paragraphs>223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PERSONAL</Company>
  <LinksUpToDate>false</LinksUpToDate>
  <CharactersWithSpaces>111773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LOLA BENAVIDES</dc:creator>
  <cp:lastModifiedBy>Ana Milena Moreno Acosta</cp:lastModifiedBy>
  <cp:revision>2</cp:revision>
  <dcterms:created xsi:type="dcterms:W3CDTF">2021-02-26T00:58:00Z</dcterms:created>
  <dcterms:modified xsi:type="dcterms:W3CDTF">2021-02-26T00:58:00Z</dcterms:modified>
</cp:coreProperties>
</file>