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013CD" w14:textId="70A4ADAF" w:rsidR="000C5DB7" w:rsidRPr="00F45A6E" w:rsidRDefault="000C5DB7" w:rsidP="00F45A6E">
      <w:pPr>
        <w:pStyle w:val="Sinespaciado"/>
        <w:spacing w:line="276" w:lineRule="auto"/>
        <w:rPr>
          <w:color w:val="000000" w:themeColor="text1"/>
          <w:szCs w:val="24"/>
        </w:rPr>
      </w:pPr>
      <w:r w:rsidRPr="00F45A6E">
        <w:rPr>
          <w:color w:val="000000" w:themeColor="text1"/>
          <w:szCs w:val="24"/>
        </w:rPr>
        <w:t>CONSEJERO PONENTE: JAIME ENRIQUE RODRÍGUEZ NAVAS</w:t>
      </w:r>
    </w:p>
    <w:p w14:paraId="0A37501D" w14:textId="77777777" w:rsidR="00F91B32" w:rsidRPr="00F45A6E" w:rsidRDefault="00F91B32" w:rsidP="00F45A6E">
      <w:pPr>
        <w:spacing w:line="276" w:lineRule="auto"/>
        <w:contextualSpacing/>
        <w:rPr>
          <w:b/>
          <w:bCs/>
          <w:color w:val="000000" w:themeColor="text1"/>
          <w:sz w:val="24"/>
          <w:szCs w:val="24"/>
        </w:rPr>
      </w:pPr>
    </w:p>
    <w:p w14:paraId="27DAFC7B" w14:textId="1AE3DB6F" w:rsidR="000C5DB7" w:rsidRPr="00F45A6E" w:rsidRDefault="000C5DB7" w:rsidP="00F45A6E">
      <w:pPr>
        <w:spacing w:line="276" w:lineRule="auto"/>
        <w:contextualSpacing/>
        <w:rPr>
          <w:bCs/>
          <w:color w:val="000000" w:themeColor="text1"/>
          <w:sz w:val="24"/>
          <w:szCs w:val="24"/>
        </w:rPr>
      </w:pPr>
      <w:r w:rsidRPr="00F45A6E">
        <w:rPr>
          <w:bCs/>
          <w:color w:val="000000" w:themeColor="text1"/>
          <w:sz w:val="24"/>
          <w:szCs w:val="24"/>
        </w:rPr>
        <w:t xml:space="preserve">Bogotá D.C., </w:t>
      </w:r>
      <w:r w:rsidR="005567A7">
        <w:rPr>
          <w:bCs/>
          <w:color w:val="000000" w:themeColor="text1"/>
          <w:sz w:val="24"/>
          <w:szCs w:val="24"/>
        </w:rPr>
        <w:t>catorce</w:t>
      </w:r>
      <w:r w:rsidR="0047256F" w:rsidRPr="00D74A30">
        <w:rPr>
          <w:bCs/>
          <w:color w:val="000000" w:themeColor="text1"/>
          <w:sz w:val="24"/>
          <w:szCs w:val="24"/>
        </w:rPr>
        <w:t xml:space="preserve"> (</w:t>
      </w:r>
      <w:r w:rsidR="005567A7">
        <w:rPr>
          <w:bCs/>
          <w:color w:val="000000" w:themeColor="text1"/>
          <w:sz w:val="24"/>
          <w:szCs w:val="24"/>
        </w:rPr>
        <w:t>14</w:t>
      </w:r>
      <w:r w:rsidR="0047256F" w:rsidRPr="00D74A30">
        <w:rPr>
          <w:bCs/>
          <w:color w:val="000000" w:themeColor="text1"/>
          <w:sz w:val="24"/>
          <w:szCs w:val="24"/>
        </w:rPr>
        <w:t xml:space="preserve">) </w:t>
      </w:r>
      <w:r w:rsidRPr="00D74A30">
        <w:rPr>
          <w:bCs/>
          <w:color w:val="000000" w:themeColor="text1"/>
          <w:sz w:val="24"/>
          <w:szCs w:val="24"/>
        </w:rPr>
        <w:t>de</w:t>
      </w:r>
      <w:r w:rsidR="0047256F" w:rsidRPr="00D74A30">
        <w:rPr>
          <w:bCs/>
          <w:color w:val="000000" w:themeColor="text1"/>
          <w:sz w:val="24"/>
          <w:szCs w:val="24"/>
        </w:rPr>
        <w:t xml:space="preserve"> </w:t>
      </w:r>
      <w:r w:rsidR="0019304E">
        <w:rPr>
          <w:bCs/>
          <w:color w:val="000000" w:themeColor="text1"/>
          <w:sz w:val="24"/>
          <w:szCs w:val="24"/>
        </w:rPr>
        <w:t>dici</w:t>
      </w:r>
      <w:r w:rsidR="00D74A30" w:rsidRPr="00D74A30">
        <w:rPr>
          <w:bCs/>
          <w:color w:val="000000" w:themeColor="text1"/>
          <w:sz w:val="24"/>
          <w:szCs w:val="24"/>
        </w:rPr>
        <w:t>embre</w:t>
      </w:r>
      <w:r w:rsidRPr="00F45A6E">
        <w:rPr>
          <w:bCs/>
          <w:color w:val="000000" w:themeColor="text1"/>
          <w:sz w:val="24"/>
          <w:szCs w:val="24"/>
        </w:rPr>
        <w:t xml:space="preserve"> </w:t>
      </w:r>
      <w:r w:rsidR="005567A7">
        <w:rPr>
          <w:bCs/>
          <w:color w:val="000000" w:themeColor="text1"/>
          <w:sz w:val="24"/>
          <w:szCs w:val="24"/>
        </w:rPr>
        <w:t xml:space="preserve">de </w:t>
      </w:r>
      <w:r w:rsidRPr="00F45A6E">
        <w:rPr>
          <w:bCs/>
          <w:color w:val="000000" w:themeColor="text1"/>
          <w:sz w:val="24"/>
          <w:szCs w:val="24"/>
        </w:rPr>
        <w:t xml:space="preserve">dos mil </w:t>
      </w:r>
      <w:r w:rsidR="00C87516" w:rsidRPr="00F45A6E">
        <w:rPr>
          <w:bCs/>
          <w:color w:val="000000" w:themeColor="text1"/>
          <w:sz w:val="24"/>
          <w:szCs w:val="24"/>
        </w:rPr>
        <w:t>veinte</w:t>
      </w:r>
      <w:r w:rsidRPr="00F45A6E">
        <w:rPr>
          <w:bCs/>
          <w:color w:val="000000" w:themeColor="text1"/>
          <w:sz w:val="24"/>
          <w:szCs w:val="24"/>
        </w:rPr>
        <w:t xml:space="preserve"> (</w:t>
      </w:r>
      <w:r w:rsidR="00C87516" w:rsidRPr="00F45A6E">
        <w:rPr>
          <w:bCs/>
          <w:color w:val="000000" w:themeColor="text1"/>
          <w:sz w:val="24"/>
          <w:szCs w:val="24"/>
        </w:rPr>
        <w:t>2020</w:t>
      </w:r>
      <w:r w:rsidR="00A809E4" w:rsidRPr="00F45A6E">
        <w:rPr>
          <w:bCs/>
          <w:color w:val="000000" w:themeColor="text1"/>
          <w:sz w:val="24"/>
          <w:szCs w:val="24"/>
        </w:rPr>
        <w:t>)</w:t>
      </w:r>
    </w:p>
    <w:p w14:paraId="5DAB6C7B" w14:textId="77777777" w:rsidR="00F91B32" w:rsidRPr="00F45A6E" w:rsidRDefault="00F91B32" w:rsidP="00F45A6E">
      <w:pPr>
        <w:spacing w:line="276" w:lineRule="auto"/>
        <w:contextualSpacing/>
        <w:rPr>
          <w:b/>
          <w:color w:val="000000" w:themeColor="text1"/>
          <w:sz w:val="24"/>
          <w:szCs w:val="24"/>
        </w:rPr>
      </w:pPr>
    </w:p>
    <w:p w14:paraId="4B2076D9" w14:textId="16BDF5FF" w:rsidR="000C5DB7" w:rsidRPr="00F45A6E" w:rsidRDefault="000C5DB7" w:rsidP="00F45A6E">
      <w:pPr>
        <w:spacing w:line="276" w:lineRule="auto"/>
        <w:ind w:left="1985" w:hanging="1985"/>
        <w:contextualSpacing/>
        <w:rPr>
          <w:b/>
          <w:color w:val="000000" w:themeColor="text1"/>
          <w:sz w:val="24"/>
          <w:szCs w:val="24"/>
        </w:rPr>
      </w:pPr>
      <w:r w:rsidRPr="00F45A6E">
        <w:rPr>
          <w:b/>
          <w:color w:val="000000" w:themeColor="text1"/>
          <w:sz w:val="24"/>
          <w:szCs w:val="24"/>
        </w:rPr>
        <w:t xml:space="preserve">Referencia: </w:t>
      </w:r>
      <w:r w:rsidRPr="00F45A6E">
        <w:rPr>
          <w:b/>
          <w:color w:val="000000" w:themeColor="text1"/>
          <w:sz w:val="24"/>
          <w:szCs w:val="24"/>
        </w:rPr>
        <w:tab/>
      </w:r>
      <w:r w:rsidRPr="00F45A6E">
        <w:rPr>
          <w:color w:val="000000" w:themeColor="text1"/>
          <w:sz w:val="24"/>
          <w:szCs w:val="24"/>
        </w:rPr>
        <w:t>A</w:t>
      </w:r>
      <w:r w:rsidR="00E45687" w:rsidRPr="00F45A6E">
        <w:rPr>
          <w:color w:val="000000" w:themeColor="text1"/>
          <w:sz w:val="24"/>
          <w:szCs w:val="24"/>
        </w:rPr>
        <w:t>cción de tutela</w:t>
      </w:r>
    </w:p>
    <w:p w14:paraId="312E3558" w14:textId="64CE8AF1" w:rsidR="000C5DB7" w:rsidRPr="00F45A6E" w:rsidRDefault="000C5DB7" w:rsidP="00F45A6E">
      <w:pPr>
        <w:tabs>
          <w:tab w:val="left" w:pos="1985"/>
        </w:tabs>
        <w:spacing w:line="276" w:lineRule="auto"/>
        <w:contextualSpacing/>
        <w:rPr>
          <w:color w:val="000000" w:themeColor="text1"/>
          <w:sz w:val="24"/>
          <w:szCs w:val="24"/>
        </w:rPr>
      </w:pPr>
      <w:r w:rsidRPr="00F45A6E">
        <w:rPr>
          <w:b/>
          <w:color w:val="000000" w:themeColor="text1"/>
          <w:sz w:val="24"/>
          <w:szCs w:val="24"/>
        </w:rPr>
        <w:t>Radicación:</w:t>
      </w:r>
      <w:r w:rsidRPr="00F45A6E">
        <w:rPr>
          <w:b/>
          <w:color w:val="000000" w:themeColor="text1"/>
          <w:sz w:val="24"/>
          <w:szCs w:val="24"/>
        </w:rPr>
        <w:tab/>
      </w:r>
      <w:r w:rsidR="00052483" w:rsidRPr="00F45A6E">
        <w:rPr>
          <w:color w:val="000000" w:themeColor="text1"/>
          <w:sz w:val="24"/>
          <w:szCs w:val="24"/>
        </w:rPr>
        <w:t>11001-03-15-000-2020-0</w:t>
      </w:r>
      <w:r w:rsidR="00FC5274" w:rsidRPr="00F45A6E">
        <w:rPr>
          <w:color w:val="000000" w:themeColor="text1"/>
          <w:sz w:val="24"/>
          <w:szCs w:val="24"/>
        </w:rPr>
        <w:t>4144</w:t>
      </w:r>
      <w:r w:rsidR="00052483" w:rsidRPr="00F45A6E">
        <w:rPr>
          <w:color w:val="000000" w:themeColor="text1"/>
          <w:sz w:val="24"/>
          <w:szCs w:val="24"/>
        </w:rPr>
        <w:t>-0</w:t>
      </w:r>
      <w:r w:rsidR="00FC5274" w:rsidRPr="00F45A6E">
        <w:rPr>
          <w:color w:val="000000" w:themeColor="text1"/>
          <w:sz w:val="24"/>
          <w:szCs w:val="24"/>
        </w:rPr>
        <w:t>0</w:t>
      </w:r>
    </w:p>
    <w:p w14:paraId="026AD8F6" w14:textId="5A49E1A6" w:rsidR="000C5DB7" w:rsidRPr="00F45A6E" w:rsidRDefault="000C5DB7" w:rsidP="00F45A6E">
      <w:pPr>
        <w:tabs>
          <w:tab w:val="left" w:pos="1985"/>
        </w:tabs>
        <w:spacing w:line="276" w:lineRule="auto"/>
        <w:contextualSpacing/>
        <w:rPr>
          <w:color w:val="000000" w:themeColor="text1"/>
          <w:sz w:val="24"/>
          <w:szCs w:val="24"/>
        </w:rPr>
      </w:pPr>
      <w:r w:rsidRPr="00F45A6E">
        <w:rPr>
          <w:b/>
          <w:color w:val="000000" w:themeColor="text1"/>
          <w:sz w:val="24"/>
          <w:szCs w:val="24"/>
        </w:rPr>
        <w:t>Accionante:</w:t>
      </w:r>
      <w:r w:rsidRPr="00F45A6E">
        <w:rPr>
          <w:b/>
          <w:color w:val="000000" w:themeColor="text1"/>
          <w:sz w:val="24"/>
          <w:szCs w:val="24"/>
        </w:rPr>
        <w:tab/>
      </w:r>
      <w:r w:rsidR="004C36FC" w:rsidRPr="00F45A6E">
        <w:rPr>
          <w:bCs/>
          <w:color w:val="000000" w:themeColor="text1"/>
          <w:sz w:val="24"/>
          <w:szCs w:val="24"/>
        </w:rPr>
        <w:t xml:space="preserve">Claudia Juliana Melo Romero </w:t>
      </w:r>
    </w:p>
    <w:p w14:paraId="33F7332A" w14:textId="32908516" w:rsidR="000C5DB7" w:rsidRPr="00F45A6E" w:rsidRDefault="000C5DB7" w:rsidP="00F45A6E">
      <w:pPr>
        <w:tabs>
          <w:tab w:val="left" w:pos="1985"/>
        </w:tabs>
        <w:spacing w:line="276" w:lineRule="auto"/>
        <w:ind w:left="1985" w:right="51" w:hanging="1985"/>
        <w:contextualSpacing/>
        <w:rPr>
          <w:bCs/>
          <w:color w:val="000000" w:themeColor="text1"/>
          <w:sz w:val="24"/>
          <w:szCs w:val="24"/>
        </w:rPr>
      </w:pPr>
      <w:r w:rsidRPr="00F45A6E">
        <w:rPr>
          <w:b/>
          <w:color w:val="000000" w:themeColor="text1"/>
          <w:sz w:val="24"/>
          <w:szCs w:val="24"/>
        </w:rPr>
        <w:t>Accionado:</w:t>
      </w:r>
      <w:r w:rsidRPr="00F45A6E">
        <w:rPr>
          <w:b/>
          <w:color w:val="000000" w:themeColor="text1"/>
          <w:sz w:val="24"/>
          <w:szCs w:val="24"/>
        </w:rPr>
        <w:tab/>
      </w:r>
      <w:r w:rsidR="004C36FC" w:rsidRPr="00F45A6E">
        <w:rPr>
          <w:color w:val="000000" w:themeColor="text1"/>
          <w:sz w:val="24"/>
          <w:szCs w:val="24"/>
        </w:rPr>
        <w:t>Sala de Decisión A del</w:t>
      </w:r>
      <w:r w:rsidR="004C36FC" w:rsidRPr="00F45A6E">
        <w:rPr>
          <w:b/>
          <w:color w:val="000000" w:themeColor="text1"/>
          <w:sz w:val="24"/>
          <w:szCs w:val="24"/>
        </w:rPr>
        <w:t xml:space="preserve"> </w:t>
      </w:r>
      <w:r w:rsidR="004C36FC" w:rsidRPr="00F45A6E">
        <w:rPr>
          <w:bCs/>
          <w:color w:val="000000" w:themeColor="text1"/>
          <w:sz w:val="24"/>
          <w:szCs w:val="24"/>
        </w:rPr>
        <w:t>Tribunal Administrativo del Atlántico y Sección Quinta del Consejo de Estado</w:t>
      </w:r>
    </w:p>
    <w:p w14:paraId="02EB378F" w14:textId="77777777" w:rsidR="000C5DB7" w:rsidRPr="00F45A6E" w:rsidRDefault="000C5DB7" w:rsidP="00F45A6E">
      <w:pPr>
        <w:tabs>
          <w:tab w:val="left" w:pos="8222"/>
        </w:tabs>
        <w:spacing w:line="276" w:lineRule="auto"/>
        <w:ind w:right="51"/>
        <w:contextualSpacing/>
        <w:rPr>
          <w:b/>
          <w:color w:val="000000" w:themeColor="text1"/>
          <w:sz w:val="24"/>
          <w:szCs w:val="24"/>
        </w:rPr>
      </w:pPr>
    </w:p>
    <w:p w14:paraId="33BB1AA0" w14:textId="723AE8B3" w:rsidR="000C5DB7" w:rsidRPr="00F45A6E" w:rsidRDefault="000C5DB7" w:rsidP="00F45A6E">
      <w:pPr>
        <w:pBdr>
          <w:bottom w:val="single" w:sz="12" w:space="0" w:color="auto"/>
        </w:pBdr>
        <w:spacing w:line="276" w:lineRule="auto"/>
        <w:ind w:left="2832" w:hanging="2832"/>
        <w:contextualSpacing/>
        <w:rPr>
          <w:b/>
          <w:color w:val="000000" w:themeColor="text1"/>
          <w:sz w:val="24"/>
          <w:szCs w:val="24"/>
        </w:rPr>
      </w:pPr>
      <w:r w:rsidRPr="00F45A6E">
        <w:rPr>
          <w:b/>
          <w:color w:val="000000" w:themeColor="text1"/>
          <w:sz w:val="24"/>
          <w:szCs w:val="24"/>
        </w:rPr>
        <w:t xml:space="preserve">SENTENCIA DE </w:t>
      </w:r>
      <w:r w:rsidR="004C36FC" w:rsidRPr="00F45A6E">
        <w:rPr>
          <w:b/>
          <w:color w:val="000000" w:themeColor="text1"/>
          <w:sz w:val="24"/>
          <w:szCs w:val="24"/>
        </w:rPr>
        <w:t>PRIMERA</w:t>
      </w:r>
      <w:r w:rsidRPr="00F45A6E">
        <w:rPr>
          <w:b/>
          <w:color w:val="000000" w:themeColor="text1"/>
          <w:sz w:val="24"/>
          <w:szCs w:val="24"/>
        </w:rPr>
        <w:t xml:space="preserve"> INSTANCIA</w:t>
      </w:r>
    </w:p>
    <w:p w14:paraId="6A05A809" w14:textId="77777777" w:rsidR="000C5DB7" w:rsidRPr="00F45A6E" w:rsidRDefault="000C5DB7" w:rsidP="00F45A6E">
      <w:pPr>
        <w:spacing w:line="276" w:lineRule="auto"/>
        <w:contextualSpacing/>
        <w:jc w:val="center"/>
        <w:rPr>
          <w:b/>
          <w:color w:val="000000" w:themeColor="text1"/>
          <w:sz w:val="24"/>
          <w:szCs w:val="24"/>
        </w:rPr>
      </w:pPr>
    </w:p>
    <w:p w14:paraId="3FC18551" w14:textId="7C5B69DD" w:rsidR="0097486A" w:rsidRPr="00F45A6E" w:rsidRDefault="000C5DB7" w:rsidP="00F45A6E">
      <w:pPr>
        <w:tabs>
          <w:tab w:val="left" w:pos="0"/>
        </w:tabs>
        <w:spacing w:line="276" w:lineRule="auto"/>
        <w:contextualSpacing/>
        <w:rPr>
          <w:color w:val="000000" w:themeColor="text1"/>
          <w:sz w:val="24"/>
          <w:szCs w:val="24"/>
          <w:highlight w:val="yellow"/>
        </w:rPr>
      </w:pPr>
      <w:r w:rsidRPr="00F45A6E">
        <w:rPr>
          <w:color w:val="000000" w:themeColor="text1"/>
          <w:sz w:val="24"/>
          <w:szCs w:val="24"/>
        </w:rPr>
        <w:t>La Sala decide</w:t>
      </w:r>
      <w:r w:rsidR="0097486A" w:rsidRPr="00F45A6E">
        <w:rPr>
          <w:color w:val="000000" w:themeColor="text1"/>
          <w:sz w:val="24"/>
          <w:szCs w:val="24"/>
        </w:rPr>
        <w:t xml:space="preserve"> la solicitud de amparo que presentó </w:t>
      </w:r>
      <w:r w:rsidR="0018313D" w:rsidRPr="00F45A6E">
        <w:rPr>
          <w:bCs/>
          <w:color w:val="000000" w:themeColor="text1"/>
          <w:sz w:val="24"/>
          <w:szCs w:val="24"/>
        </w:rPr>
        <w:t>Claudia Juliana Melo Romero</w:t>
      </w:r>
      <w:r w:rsidR="0097486A" w:rsidRPr="00F45A6E">
        <w:rPr>
          <w:color w:val="000000" w:themeColor="text1"/>
          <w:sz w:val="24"/>
          <w:szCs w:val="24"/>
        </w:rPr>
        <w:t xml:space="preserve"> </w:t>
      </w:r>
      <w:r w:rsidR="004F7D35" w:rsidRPr="00F45A6E">
        <w:rPr>
          <w:color w:val="000000" w:themeColor="text1"/>
          <w:sz w:val="24"/>
          <w:szCs w:val="24"/>
        </w:rPr>
        <w:t xml:space="preserve">en </w:t>
      </w:r>
      <w:r w:rsidR="0097486A" w:rsidRPr="00F45A6E">
        <w:rPr>
          <w:color w:val="000000" w:themeColor="text1"/>
          <w:sz w:val="24"/>
          <w:szCs w:val="24"/>
        </w:rPr>
        <w:t xml:space="preserve">contra </w:t>
      </w:r>
      <w:r w:rsidR="004F7D35" w:rsidRPr="00F45A6E">
        <w:rPr>
          <w:color w:val="000000" w:themeColor="text1"/>
          <w:sz w:val="24"/>
          <w:szCs w:val="24"/>
        </w:rPr>
        <w:t xml:space="preserve">de </w:t>
      </w:r>
      <w:r w:rsidR="0018313D" w:rsidRPr="00F45A6E">
        <w:rPr>
          <w:color w:val="000000" w:themeColor="text1"/>
          <w:sz w:val="24"/>
          <w:szCs w:val="24"/>
        </w:rPr>
        <w:t>la Sala de Decisión A del</w:t>
      </w:r>
      <w:r w:rsidR="0018313D" w:rsidRPr="00F45A6E">
        <w:rPr>
          <w:b/>
          <w:color w:val="000000" w:themeColor="text1"/>
          <w:sz w:val="24"/>
          <w:szCs w:val="24"/>
        </w:rPr>
        <w:t xml:space="preserve"> </w:t>
      </w:r>
      <w:r w:rsidR="0018313D" w:rsidRPr="00F45A6E">
        <w:rPr>
          <w:bCs/>
          <w:color w:val="000000" w:themeColor="text1"/>
          <w:sz w:val="24"/>
          <w:szCs w:val="24"/>
        </w:rPr>
        <w:t>Tribunal Administrativo del Atlántico y la Sección Quinta del Consejo de Estado</w:t>
      </w:r>
      <w:r w:rsidR="0018313D" w:rsidRPr="00F45A6E">
        <w:rPr>
          <w:color w:val="000000" w:themeColor="text1"/>
          <w:sz w:val="24"/>
          <w:szCs w:val="24"/>
        </w:rPr>
        <w:t>.</w:t>
      </w:r>
    </w:p>
    <w:p w14:paraId="0F10BAA5" w14:textId="77777777" w:rsidR="000C5DB7" w:rsidRPr="00F45A6E" w:rsidRDefault="000C5DB7" w:rsidP="00F45A6E">
      <w:pPr>
        <w:pStyle w:val="Ttulo1"/>
        <w:rPr>
          <w:rFonts w:cs="Arial"/>
          <w:color w:val="000000" w:themeColor="text1"/>
          <w:szCs w:val="24"/>
        </w:rPr>
      </w:pPr>
      <w:r w:rsidRPr="00F45A6E">
        <w:rPr>
          <w:rFonts w:cs="Arial"/>
          <w:color w:val="000000" w:themeColor="text1"/>
          <w:szCs w:val="24"/>
        </w:rPr>
        <w:t>ANTECEDENTES</w:t>
      </w:r>
    </w:p>
    <w:p w14:paraId="0BDA70C6" w14:textId="77777777" w:rsidR="00FF190B" w:rsidRPr="00F45A6E" w:rsidRDefault="000C5DB7" w:rsidP="00F45A6E">
      <w:pPr>
        <w:pStyle w:val="Ttulo2"/>
        <w:spacing w:line="276" w:lineRule="auto"/>
        <w:rPr>
          <w:rFonts w:cs="Arial"/>
          <w:color w:val="000000" w:themeColor="text1"/>
          <w:szCs w:val="24"/>
          <w:lang w:eastAsia="es-ES"/>
        </w:rPr>
      </w:pPr>
      <w:r w:rsidRPr="00F45A6E">
        <w:rPr>
          <w:rFonts w:cs="Arial"/>
          <w:color w:val="000000" w:themeColor="text1"/>
          <w:szCs w:val="24"/>
          <w:lang w:eastAsia="es-ES"/>
        </w:rPr>
        <w:t>Solicitud de tutela</w:t>
      </w:r>
    </w:p>
    <w:p w14:paraId="5A39BBE3" w14:textId="77777777" w:rsidR="00FF190B" w:rsidRPr="00F45A6E" w:rsidRDefault="00FF190B" w:rsidP="00F45A6E">
      <w:pPr>
        <w:overflowPunct w:val="0"/>
        <w:autoSpaceDE w:val="0"/>
        <w:autoSpaceDN w:val="0"/>
        <w:adjustRightInd w:val="0"/>
        <w:spacing w:line="276" w:lineRule="auto"/>
        <w:contextualSpacing/>
        <w:textAlignment w:val="baseline"/>
        <w:rPr>
          <w:color w:val="000000" w:themeColor="text1"/>
          <w:sz w:val="24"/>
          <w:szCs w:val="24"/>
        </w:rPr>
      </w:pPr>
    </w:p>
    <w:p w14:paraId="41C8F396" w14:textId="3D916400" w:rsidR="000C5DB7" w:rsidRPr="00F45A6E" w:rsidRDefault="00F17CE6" w:rsidP="00F45A6E">
      <w:pPr>
        <w:spacing w:line="276" w:lineRule="auto"/>
        <w:contextualSpacing/>
        <w:rPr>
          <w:rFonts w:eastAsia="Verdana"/>
          <w:color w:val="000000" w:themeColor="text1"/>
          <w:sz w:val="24"/>
          <w:szCs w:val="24"/>
        </w:rPr>
      </w:pPr>
      <w:r w:rsidRPr="00F45A6E">
        <w:rPr>
          <w:bCs/>
          <w:color w:val="000000" w:themeColor="text1"/>
          <w:sz w:val="24"/>
          <w:szCs w:val="24"/>
        </w:rPr>
        <w:t>Claudia Juliana Melo Romero</w:t>
      </w:r>
      <w:r w:rsidRPr="00F45A6E">
        <w:rPr>
          <w:color w:val="000000" w:themeColor="text1"/>
          <w:sz w:val="24"/>
          <w:szCs w:val="24"/>
        </w:rPr>
        <w:t xml:space="preserve"> solicitó el amparo</w:t>
      </w:r>
      <w:r w:rsidR="00F9017B" w:rsidRPr="00F45A6E">
        <w:rPr>
          <w:rStyle w:val="Refdenotaalpie"/>
          <w:color w:val="000000" w:themeColor="text1"/>
          <w:sz w:val="24"/>
          <w:szCs w:val="24"/>
        </w:rPr>
        <w:footnoteReference w:id="1"/>
      </w:r>
      <w:r w:rsidRPr="00F45A6E">
        <w:rPr>
          <w:color w:val="000000" w:themeColor="text1"/>
          <w:sz w:val="24"/>
          <w:szCs w:val="24"/>
        </w:rPr>
        <w:t xml:space="preserve"> de sus derechos </w:t>
      </w:r>
      <w:r w:rsidRPr="00F45A6E">
        <w:rPr>
          <w:color w:val="000000" w:themeColor="text1"/>
          <w:sz w:val="24"/>
          <w:szCs w:val="24"/>
          <w:lang w:val="es-ES_tradnl"/>
        </w:rPr>
        <w:t>a la libertad, al debido proceso, a la tutela judicial efectiva, al buen nombre y al patrimonio</w:t>
      </w:r>
      <w:r w:rsidRPr="00F45A6E">
        <w:rPr>
          <w:color w:val="000000" w:themeColor="text1"/>
          <w:sz w:val="24"/>
          <w:szCs w:val="24"/>
        </w:rPr>
        <w:t>, que consideró vulnerados por la Sala de Decisión A del</w:t>
      </w:r>
      <w:r w:rsidRPr="00F45A6E">
        <w:rPr>
          <w:b/>
          <w:color w:val="000000" w:themeColor="text1"/>
          <w:sz w:val="24"/>
          <w:szCs w:val="24"/>
        </w:rPr>
        <w:t xml:space="preserve"> </w:t>
      </w:r>
      <w:r w:rsidRPr="00F45A6E">
        <w:rPr>
          <w:bCs/>
          <w:color w:val="000000" w:themeColor="text1"/>
          <w:sz w:val="24"/>
          <w:szCs w:val="24"/>
        </w:rPr>
        <w:t>Tribunal Administrativo del Atlántico y la Sección Quinta del Consejo de Estado,</w:t>
      </w:r>
      <w:r w:rsidRPr="00F45A6E">
        <w:rPr>
          <w:color w:val="000000" w:themeColor="text1"/>
          <w:sz w:val="24"/>
          <w:szCs w:val="24"/>
        </w:rPr>
        <w:t xml:space="preserve"> con ocasión de las </w:t>
      </w:r>
      <w:r w:rsidRPr="00F45A6E">
        <w:rPr>
          <w:rFonts w:eastAsia="Verdana"/>
          <w:color w:val="000000" w:themeColor="text1"/>
          <w:sz w:val="24"/>
          <w:szCs w:val="24"/>
        </w:rPr>
        <w:t>providencias en las que esas autoridades la</w:t>
      </w:r>
      <w:r w:rsidR="00D172F9" w:rsidRPr="00F45A6E">
        <w:rPr>
          <w:rFonts w:eastAsia="Verdana"/>
          <w:color w:val="000000" w:themeColor="text1"/>
          <w:sz w:val="24"/>
          <w:szCs w:val="24"/>
        </w:rPr>
        <w:t xml:space="preserve"> sancionaron, en su calidad de D</w:t>
      </w:r>
      <w:r w:rsidRPr="00F45A6E">
        <w:rPr>
          <w:rFonts w:eastAsia="Verdana"/>
          <w:color w:val="000000" w:themeColor="text1"/>
          <w:sz w:val="24"/>
          <w:szCs w:val="24"/>
        </w:rPr>
        <w:t xml:space="preserve">irectora de </w:t>
      </w:r>
      <w:r w:rsidR="00D172F9" w:rsidRPr="00F45A6E">
        <w:rPr>
          <w:rFonts w:eastAsia="Verdana"/>
          <w:color w:val="000000" w:themeColor="text1"/>
          <w:sz w:val="24"/>
          <w:szCs w:val="24"/>
        </w:rPr>
        <w:t>Reparacio</w:t>
      </w:r>
      <w:r w:rsidRPr="00F45A6E">
        <w:rPr>
          <w:rFonts w:eastAsia="Verdana"/>
          <w:color w:val="000000" w:themeColor="text1"/>
          <w:sz w:val="24"/>
          <w:szCs w:val="24"/>
        </w:rPr>
        <w:t>n</w:t>
      </w:r>
      <w:r w:rsidR="00D172F9" w:rsidRPr="00F45A6E">
        <w:rPr>
          <w:rFonts w:eastAsia="Verdana"/>
          <w:color w:val="000000" w:themeColor="text1"/>
          <w:sz w:val="24"/>
          <w:szCs w:val="24"/>
        </w:rPr>
        <w:t>es</w:t>
      </w:r>
      <w:r w:rsidRPr="00F45A6E">
        <w:rPr>
          <w:rFonts w:eastAsia="Verdana"/>
          <w:color w:val="000000" w:themeColor="text1"/>
          <w:sz w:val="24"/>
          <w:szCs w:val="24"/>
        </w:rPr>
        <w:t xml:space="preserve"> de la Unidad para la Atención y </w:t>
      </w:r>
      <w:r w:rsidRPr="00F45A6E">
        <w:rPr>
          <w:rFonts w:eastAsia="Verdana"/>
          <w:color w:val="000000" w:themeColor="text1"/>
          <w:sz w:val="24"/>
          <w:szCs w:val="24"/>
          <w:lang w:val="es-ES_tradnl"/>
        </w:rPr>
        <w:t>Reparación Integral a las Víctimas</w:t>
      </w:r>
      <w:r w:rsidR="00E47433" w:rsidRPr="00F45A6E">
        <w:rPr>
          <w:rFonts w:eastAsia="Verdana"/>
          <w:color w:val="000000" w:themeColor="text1"/>
          <w:sz w:val="24"/>
          <w:szCs w:val="24"/>
          <w:lang w:val="es-ES_tradnl"/>
        </w:rPr>
        <w:t xml:space="preserve"> –UARIV–</w:t>
      </w:r>
      <w:r w:rsidRPr="00F45A6E">
        <w:rPr>
          <w:rFonts w:eastAsia="Verdana"/>
          <w:color w:val="000000" w:themeColor="text1"/>
          <w:sz w:val="24"/>
          <w:szCs w:val="24"/>
          <w:lang w:val="es-ES_tradnl"/>
        </w:rPr>
        <w:t>,</w:t>
      </w:r>
      <w:r w:rsidRPr="00F45A6E">
        <w:rPr>
          <w:rFonts w:eastAsia="Verdana"/>
          <w:color w:val="000000" w:themeColor="text1"/>
          <w:sz w:val="24"/>
          <w:szCs w:val="24"/>
        </w:rPr>
        <w:t xml:space="preserve"> dentro del trámite </w:t>
      </w:r>
      <w:r w:rsidR="00EA0401">
        <w:rPr>
          <w:rFonts w:eastAsia="Verdana"/>
          <w:color w:val="000000" w:themeColor="text1"/>
          <w:sz w:val="24"/>
          <w:szCs w:val="24"/>
        </w:rPr>
        <w:t>de</w:t>
      </w:r>
      <w:r w:rsidR="00EA0401" w:rsidRPr="00F45A6E">
        <w:rPr>
          <w:rFonts w:eastAsia="Verdana"/>
          <w:color w:val="000000" w:themeColor="text1"/>
          <w:sz w:val="24"/>
          <w:szCs w:val="24"/>
        </w:rPr>
        <w:t xml:space="preserve"> </w:t>
      </w:r>
      <w:r w:rsidRPr="00F45A6E">
        <w:rPr>
          <w:rFonts w:eastAsia="Verdana"/>
          <w:color w:val="000000" w:themeColor="text1"/>
          <w:sz w:val="24"/>
          <w:szCs w:val="24"/>
        </w:rPr>
        <w:t>desacato de la sentencia proferida el 29 de abril de 2010 en el proceso de tutela identificado con número de radicación 08001-23-31-000-2009-00878-00</w:t>
      </w:r>
      <w:r w:rsidR="008E5716" w:rsidRPr="00F45A6E">
        <w:rPr>
          <w:rFonts w:eastAsia="Verdana"/>
          <w:color w:val="000000" w:themeColor="text1"/>
          <w:sz w:val="24"/>
          <w:szCs w:val="24"/>
        </w:rPr>
        <w:t xml:space="preserve"> adelantado por </w:t>
      </w:r>
      <w:r w:rsidR="008E5716" w:rsidRPr="00F45A6E">
        <w:rPr>
          <w:color w:val="000000" w:themeColor="text1"/>
          <w:sz w:val="24"/>
          <w:szCs w:val="24"/>
          <w:lang w:val="es-ES_tradnl"/>
        </w:rPr>
        <w:t>Aida María Navarro y su grupo familiar</w:t>
      </w:r>
      <w:r w:rsidRPr="00F45A6E">
        <w:rPr>
          <w:rFonts w:eastAsia="Verdana"/>
          <w:color w:val="000000" w:themeColor="text1"/>
          <w:sz w:val="24"/>
          <w:szCs w:val="24"/>
        </w:rPr>
        <w:t>.</w:t>
      </w:r>
    </w:p>
    <w:p w14:paraId="113872AB" w14:textId="77777777" w:rsidR="00914D52" w:rsidRPr="00F45A6E" w:rsidRDefault="00914D52" w:rsidP="00F45A6E">
      <w:pPr>
        <w:spacing w:line="276" w:lineRule="auto"/>
        <w:contextualSpacing/>
        <w:rPr>
          <w:rFonts w:eastAsia="Verdana"/>
          <w:color w:val="000000" w:themeColor="text1"/>
          <w:sz w:val="24"/>
          <w:szCs w:val="24"/>
          <w:highlight w:val="yellow"/>
        </w:rPr>
      </w:pPr>
    </w:p>
    <w:p w14:paraId="58EE99FC" w14:textId="77777777" w:rsidR="000C5DB7" w:rsidRPr="00F45A6E" w:rsidRDefault="000C5DB7" w:rsidP="00F45A6E">
      <w:pPr>
        <w:numPr>
          <w:ilvl w:val="0"/>
          <w:numId w:val="3"/>
        </w:numPr>
        <w:spacing w:line="276" w:lineRule="auto"/>
        <w:contextualSpacing/>
        <w:rPr>
          <w:rFonts w:eastAsia="Verdana"/>
          <w:b/>
          <w:color w:val="000000" w:themeColor="text1"/>
          <w:sz w:val="24"/>
          <w:szCs w:val="24"/>
        </w:rPr>
      </w:pPr>
      <w:r w:rsidRPr="00F45A6E">
        <w:rPr>
          <w:rFonts w:eastAsia="Verdana"/>
          <w:b/>
          <w:color w:val="000000" w:themeColor="text1"/>
          <w:sz w:val="24"/>
          <w:szCs w:val="24"/>
        </w:rPr>
        <w:t>Hechos</w:t>
      </w:r>
    </w:p>
    <w:p w14:paraId="72A3D3EC" w14:textId="77777777" w:rsidR="00166AF6" w:rsidRPr="00F45A6E" w:rsidRDefault="00166AF6" w:rsidP="00F45A6E">
      <w:pPr>
        <w:spacing w:line="276" w:lineRule="auto"/>
        <w:contextualSpacing/>
        <w:rPr>
          <w:rFonts w:eastAsia="Verdana"/>
          <w:color w:val="000000" w:themeColor="text1"/>
          <w:sz w:val="24"/>
          <w:szCs w:val="24"/>
          <w:highlight w:val="yellow"/>
        </w:rPr>
      </w:pPr>
    </w:p>
    <w:p w14:paraId="4F7CB742" w14:textId="7FB2890F" w:rsidR="00E51F6A" w:rsidRPr="00F45A6E" w:rsidRDefault="00914D52" w:rsidP="00F45A6E">
      <w:pPr>
        <w:spacing w:line="276" w:lineRule="auto"/>
        <w:contextualSpacing/>
        <w:rPr>
          <w:bCs/>
          <w:color w:val="000000" w:themeColor="text1"/>
          <w:sz w:val="24"/>
          <w:szCs w:val="24"/>
        </w:rPr>
      </w:pPr>
      <w:r w:rsidRPr="00F45A6E">
        <w:rPr>
          <w:rFonts w:eastAsia="Verdana"/>
          <w:b/>
          <w:color w:val="000000" w:themeColor="text1"/>
          <w:sz w:val="24"/>
          <w:szCs w:val="24"/>
        </w:rPr>
        <w:t>2.1.</w:t>
      </w:r>
      <w:r w:rsidRPr="00F45A6E">
        <w:rPr>
          <w:rFonts w:eastAsia="Verdana"/>
          <w:color w:val="000000" w:themeColor="text1"/>
          <w:sz w:val="24"/>
          <w:szCs w:val="24"/>
        </w:rPr>
        <w:t xml:space="preserve"> </w:t>
      </w:r>
      <w:r w:rsidR="00FF78EA" w:rsidRPr="00F45A6E">
        <w:rPr>
          <w:rFonts w:eastAsia="Verdana"/>
          <w:color w:val="000000" w:themeColor="text1"/>
          <w:sz w:val="24"/>
          <w:szCs w:val="24"/>
        </w:rPr>
        <w:t>El Tribunal Administrativo del Atlántico</w:t>
      </w:r>
      <w:r w:rsidR="00244914" w:rsidRPr="00F45A6E">
        <w:rPr>
          <w:rFonts w:eastAsia="Verdana"/>
          <w:color w:val="000000" w:themeColor="text1"/>
          <w:sz w:val="24"/>
          <w:szCs w:val="24"/>
        </w:rPr>
        <w:t>, en providencia del 23 de noviembre de 2018</w:t>
      </w:r>
      <w:r w:rsidR="006E0C16" w:rsidRPr="00F45A6E">
        <w:rPr>
          <w:rStyle w:val="Refdenotaalpie"/>
          <w:rFonts w:eastAsia="Verdana"/>
          <w:color w:val="000000" w:themeColor="text1"/>
          <w:sz w:val="24"/>
          <w:szCs w:val="24"/>
        </w:rPr>
        <w:footnoteReference w:id="2"/>
      </w:r>
      <w:r w:rsidR="00244914" w:rsidRPr="00F45A6E">
        <w:rPr>
          <w:rFonts w:eastAsia="Verdana"/>
          <w:color w:val="000000" w:themeColor="text1"/>
          <w:sz w:val="24"/>
          <w:szCs w:val="24"/>
        </w:rPr>
        <w:t>,</w:t>
      </w:r>
      <w:r w:rsidR="00382B56" w:rsidRPr="00F45A6E">
        <w:rPr>
          <w:rFonts w:eastAsia="Verdana"/>
          <w:color w:val="000000" w:themeColor="text1"/>
          <w:sz w:val="24"/>
          <w:szCs w:val="24"/>
        </w:rPr>
        <w:t xml:space="preserve"> </w:t>
      </w:r>
      <w:r w:rsidR="00073424" w:rsidRPr="00F45A6E">
        <w:rPr>
          <w:rFonts w:eastAsia="Verdana"/>
          <w:color w:val="000000" w:themeColor="text1"/>
          <w:sz w:val="24"/>
          <w:szCs w:val="24"/>
        </w:rPr>
        <w:t>declaró que</w:t>
      </w:r>
      <w:r w:rsidR="00E51F6A" w:rsidRPr="00F45A6E">
        <w:rPr>
          <w:rFonts w:eastAsia="Verdana"/>
          <w:color w:val="000000" w:themeColor="text1"/>
          <w:sz w:val="24"/>
          <w:szCs w:val="24"/>
        </w:rPr>
        <w:t xml:space="preserve"> </w:t>
      </w:r>
      <w:r w:rsidR="00E51F6A" w:rsidRPr="00F45A6E">
        <w:rPr>
          <w:bCs/>
          <w:color w:val="000000" w:themeColor="text1"/>
          <w:sz w:val="24"/>
          <w:szCs w:val="24"/>
        </w:rPr>
        <w:t xml:space="preserve">la </w:t>
      </w:r>
      <w:r w:rsidR="00E51F6A" w:rsidRPr="00F45A6E">
        <w:rPr>
          <w:rFonts w:eastAsia="Verdana"/>
          <w:color w:val="000000" w:themeColor="text1"/>
          <w:sz w:val="24"/>
          <w:szCs w:val="24"/>
        </w:rPr>
        <w:t xml:space="preserve">Directora de Reparaciones de la </w:t>
      </w:r>
      <w:r w:rsidR="00E47433" w:rsidRPr="00F45A6E">
        <w:rPr>
          <w:rFonts w:eastAsia="Verdana"/>
          <w:color w:val="000000" w:themeColor="text1"/>
          <w:sz w:val="24"/>
          <w:szCs w:val="24"/>
          <w:lang w:val="es-ES_tradnl"/>
        </w:rPr>
        <w:t>UARIV</w:t>
      </w:r>
      <w:r w:rsidR="00E51F6A" w:rsidRPr="00F45A6E">
        <w:rPr>
          <w:rFonts w:eastAsia="Verdana"/>
          <w:color w:val="000000" w:themeColor="text1"/>
          <w:sz w:val="24"/>
          <w:szCs w:val="24"/>
          <w:lang w:val="es-ES_tradnl"/>
        </w:rPr>
        <w:t>,</w:t>
      </w:r>
      <w:r w:rsidR="00244914" w:rsidRPr="00F45A6E">
        <w:rPr>
          <w:rFonts w:eastAsia="Verdana"/>
          <w:color w:val="000000" w:themeColor="text1"/>
          <w:sz w:val="24"/>
          <w:szCs w:val="24"/>
        </w:rPr>
        <w:t xml:space="preserve"> </w:t>
      </w:r>
      <w:r w:rsidR="002755F7" w:rsidRPr="00F45A6E">
        <w:rPr>
          <w:bCs/>
          <w:color w:val="000000" w:themeColor="text1"/>
          <w:sz w:val="24"/>
          <w:szCs w:val="24"/>
        </w:rPr>
        <w:t>Claudia Juliana Melo Romero</w:t>
      </w:r>
      <w:r w:rsidR="00E51F6A" w:rsidRPr="00F45A6E">
        <w:rPr>
          <w:bCs/>
          <w:color w:val="000000" w:themeColor="text1"/>
          <w:sz w:val="24"/>
          <w:szCs w:val="24"/>
        </w:rPr>
        <w:t>,</w:t>
      </w:r>
      <w:r w:rsidR="002755F7" w:rsidRPr="00F45A6E">
        <w:rPr>
          <w:bCs/>
          <w:color w:val="000000" w:themeColor="text1"/>
          <w:sz w:val="24"/>
          <w:szCs w:val="24"/>
        </w:rPr>
        <w:t xml:space="preserve"> </w:t>
      </w:r>
      <w:r w:rsidR="00073424" w:rsidRPr="00F45A6E">
        <w:rPr>
          <w:bCs/>
          <w:color w:val="000000" w:themeColor="text1"/>
          <w:sz w:val="24"/>
          <w:szCs w:val="24"/>
        </w:rPr>
        <w:t>se encontraba en desacato del fallo del 29 de abril de 2010</w:t>
      </w:r>
      <w:r w:rsidR="001D09CE" w:rsidRPr="00F45A6E">
        <w:rPr>
          <w:bCs/>
          <w:color w:val="000000" w:themeColor="text1"/>
          <w:sz w:val="24"/>
          <w:szCs w:val="24"/>
        </w:rPr>
        <w:t>. E</w:t>
      </w:r>
      <w:r w:rsidR="00BB44CC" w:rsidRPr="00F45A6E">
        <w:rPr>
          <w:bCs/>
          <w:color w:val="000000" w:themeColor="text1"/>
          <w:sz w:val="24"/>
          <w:szCs w:val="24"/>
        </w:rPr>
        <w:t xml:space="preserve">n consecuencia, </w:t>
      </w:r>
      <w:r w:rsidR="005C313C" w:rsidRPr="00F45A6E">
        <w:rPr>
          <w:bCs/>
          <w:color w:val="000000" w:themeColor="text1"/>
          <w:sz w:val="24"/>
          <w:szCs w:val="24"/>
        </w:rPr>
        <w:t>la</w:t>
      </w:r>
      <w:r w:rsidR="006B78D5" w:rsidRPr="00F45A6E">
        <w:rPr>
          <w:bCs/>
          <w:color w:val="000000" w:themeColor="text1"/>
          <w:sz w:val="24"/>
          <w:szCs w:val="24"/>
        </w:rPr>
        <w:t xml:space="preserve"> sancion</w:t>
      </w:r>
      <w:r w:rsidR="005C313C" w:rsidRPr="00F45A6E">
        <w:rPr>
          <w:bCs/>
          <w:color w:val="000000" w:themeColor="text1"/>
          <w:sz w:val="24"/>
          <w:szCs w:val="24"/>
        </w:rPr>
        <w:t>ó</w:t>
      </w:r>
      <w:r w:rsidR="006B78D5" w:rsidRPr="00F45A6E">
        <w:rPr>
          <w:bCs/>
          <w:color w:val="000000" w:themeColor="text1"/>
          <w:sz w:val="24"/>
          <w:szCs w:val="24"/>
        </w:rPr>
        <w:t xml:space="preserve"> </w:t>
      </w:r>
      <w:r w:rsidR="00BB44CC" w:rsidRPr="00F45A6E">
        <w:rPr>
          <w:bCs/>
          <w:color w:val="000000" w:themeColor="text1"/>
          <w:sz w:val="24"/>
          <w:szCs w:val="24"/>
        </w:rPr>
        <w:t>con multa de 2 salarios mínimos mensuales legales vigentes y conmin</w:t>
      </w:r>
      <w:r w:rsidR="005C313C" w:rsidRPr="00F45A6E">
        <w:rPr>
          <w:bCs/>
          <w:color w:val="000000" w:themeColor="text1"/>
          <w:sz w:val="24"/>
          <w:szCs w:val="24"/>
        </w:rPr>
        <w:t>ó</w:t>
      </w:r>
      <w:r w:rsidR="006B78D5" w:rsidRPr="00F45A6E">
        <w:rPr>
          <w:bCs/>
          <w:color w:val="000000" w:themeColor="text1"/>
          <w:sz w:val="24"/>
          <w:szCs w:val="24"/>
        </w:rPr>
        <w:t xml:space="preserve"> a la entidad competente </w:t>
      </w:r>
      <w:r w:rsidR="00BB44CC" w:rsidRPr="00F45A6E">
        <w:rPr>
          <w:bCs/>
          <w:color w:val="000000" w:themeColor="text1"/>
          <w:sz w:val="24"/>
          <w:szCs w:val="24"/>
        </w:rPr>
        <w:t xml:space="preserve">a </w:t>
      </w:r>
      <w:r w:rsidR="00E47433" w:rsidRPr="00F45A6E">
        <w:rPr>
          <w:bCs/>
          <w:color w:val="000000" w:themeColor="text1"/>
          <w:sz w:val="24"/>
          <w:szCs w:val="24"/>
        </w:rPr>
        <w:t xml:space="preserve">dar cumplimiento. </w:t>
      </w:r>
    </w:p>
    <w:p w14:paraId="741B3DC2" w14:textId="77777777" w:rsidR="00E47433" w:rsidRPr="00F45A6E" w:rsidRDefault="00E47433" w:rsidP="00F45A6E">
      <w:pPr>
        <w:spacing w:line="276" w:lineRule="auto"/>
        <w:contextualSpacing/>
        <w:rPr>
          <w:bCs/>
          <w:color w:val="000000" w:themeColor="text1"/>
          <w:sz w:val="24"/>
          <w:szCs w:val="24"/>
        </w:rPr>
      </w:pPr>
    </w:p>
    <w:p w14:paraId="7B5507FB" w14:textId="77777777" w:rsidR="000D1046" w:rsidRDefault="00E47433" w:rsidP="00F45A6E">
      <w:pPr>
        <w:spacing w:line="276" w:lineRule="auto"/>
        <w:rPr>
          <w:color w:val="000000" w:themeColor="text1"/>
          <w:sz w:val="24"/>
          <w:szCs w:val="24"/>
          <w:lang w:val="es-ES_tradnl"/>
        </w:rPr>
      </w:pPr>
      <w:r w:rsidRPr="00F45A6E">
        <w:rPr>
          <w:b/>
          <w:bCs/>
          <w:color w:val="000000" w:themeColor="text1"/>
          <w:sz w:val="24"/>
          <w:szCs w:val="24"/>
        </w:rPr>
        <w:lastRenderedPageBreak/>
        <w:t>2.2.</w:t>
      </w:r>
      <w:r w:rsidRPr="00F45A6E">
        <w:rPr>
          <w:bCs/>
          <w:color w:val="000000" w:themeColor="text1"/>
          <w:sz w:val="24"/>
          <w:szCs w:val="24"/>
        </w:rPr>
        <w:t xml:space="preserve"> La Sección Quinta del Consejo de Estado, </w:t>
      </w:r>
      <w:r w:rsidR="002C42F9" w:rsidRPr="00F45A6E">
        <w:rPr>
          <w:bCs/>
          <w:color w:val="000000" w:themeColor="text1"/>
          <w:sz w:val="24"/>
          <w:szCs w:val="24"/>
        </w:rPr>
        <w:t>en auto del 24 de enero de 2019</w:t>
      </w:r>
      <w:r w:rsidR="002C42F9" w:rsidRPr="00F45A6E">
        <w:rPr>
          <w:rStyle w:val="Refdenotaalpie"/>
          <w:bCs/>
          <w:color w:val="000000" w:themeColor="text1"/>
          <w:sz w:val="24"/>
          <w:szCs w:val="24"/>
        </w:rPr>
        <w:footnoteReference w:id="3"/>
      </w:r>
      <w:r w:rsidR="002C42F9" w:rsidRPr="00F45A6E">
        <w:rPr>
          <w:bCs/>
          <w:color w:val="000000" w:themeColor="text1"/>
          <w:sz w:val="24"/>
          <w:szCs w:val="24"/>
        </w:rPr>
        <w:t xml:space="preserve">, </w:t>
      </w:r>
      <w:r w:rsidRPr="00F45A6E">
        <w:rPr>
          <w:bCs/>
          <w:color w:val="000000" w:themeColor="text1"/>
          <w:sz w:val="24"/>
          <w:szCs w:val="24"/>
        </w:rPr>
        <w:t>resolv</w:t>
      </w:r>
      <w:r w:rsidR="002C42F9" w:rsidRPr="00F45A6E">
        <w:rPr>
          <w:bCs/>
          <w:color w:val="000000" w:themeColor="text1"/>
          <w:sz w:val="24"/>
          <w:szCs w:val="24"/>
        </w:rPr>
        <w:t>ió</w:t>
      </w:r>
      <w:r w:rsidRPr="00F45A6E">
        <w:rPr>
          <w:bCs/>
          <w:color w:val="000000" w:themeColor="text1"/>
          <w:sz w:val="24"/>
          <w:szCs w:val="24"/>
        </w:rPr>
        <w:t xml:space="preserve"> el grado jurisdiccional de consulta</w:t>
      </w:r>
      <w:r w:rsidR="002C42F9" w:rsidRPr="00F45A6E">
        <w:rPr>
          <w:bCs/>
          <w:color w:val="000000" w:themeColor="text1"/>
          <w:sz w:val="24"/>
          <w:szCs w:val="24"/>
        </w:rPr>
        <w:t xml:space="preserve"> confirmando</w:t>
      </w:r>
      <w:r w:rsidR="00FC7B65" w:rsidRPr="00F45A6E">
        <w:rPr>
          <w:bCs/>
          <w:color w:val="000000" w:themeColor="text1"/>
          <w:sz w:val="24"/>
          <w:szCs w:val="24"/>
        </w:rPr>
        <w:t xml:space="preserve"> la decisión del tribunal</w:t>
      </w:r>
      <w:r w:rsidR="001D09CE" w:rsidRPr="00F45A6E">
        <w:rPr>
          <w:bCs/>
          <w:color w:val="000000" w:themeColor="text1"/>
          <w:sz w:val="24"/>
          <w:szCs w:val="24"/>
        </w:rPr>
        <w:t xml:space="preserve">. </w:t>
      </w:r>
      <w:r w:rsidR="002C42F9" w:rsidRPr="00F45A6E">
        <w:rPr>
          <w:bCs/>
          <w:color w:val="000000" w:themeColor="text1"/>
          <w:sz w:val="24"/>
          <w:szCs w:val="24"/>
        </w:rPr>
        <w:t>Ello, toda vez que no</w:t>
      </w:r>
      <w:r w:rsidR="00AC6FA8" w:rsidRPr="00F45A6E">
        <w:rPr>
          <w:bCs/>
          <w:color w:val="000000" w:themeColor="text1"/>
          <w:sz w:val="24"/>
          <w:szCs w:val="24"/>
        </w:rPr>
        <w:t xml:space="preserve"> </w:t>
      </w:r>
      <w:r w:rsidR="005C313C" w:rsidRPr="00F45A6E">
        <w:rPr>
          <w:color w:val="000000" w:themeColor="text1"/>
          <w:sz w:val="24"/>
          <w:szCs w:val="24"/>
          <w:lang w:val="es-ES_tradnl"/>
        </w:rPr>
        <w:t>obraban en el plenario</w:t>
      </w:r>
      <w:r w:rsidR="002B44F1" w:rsidRPr="00F45A6E">
        <w:rPr>
          <w:color w:val="000000" w:themeColor="text1"/>
          <w:sz w:val="24"/>
          <w:szCs w:val="24"/>
          <w:lang w:val="es-ES_tradnl"/>
        </w:rPr>
        <w:t xml:space="preserve"> los informes técnicos que se ordenaron en </w:t>
      </w:r>
      <w:r w:rsidR="00EA161D" w:rsidRPr="00F45A6E">
        <w:rPr>
          <w:color w:val="000000" w:themeColor="text1"/>
          <w:sz w:val="24"/>
          <w:szCs w:val="24"/>
          <w:lang w:val="es-ES_tradnl"/>
        </w:rPr>
        <w:t>la</w:t>
      </w:r>
      <w:r w:rsidR="002B44F1" w:rsidRPr="00F45A6E">
        <w:rPr>
          <w:color w:val="000000" w:themeColor="text1"/>
          <w:sz w:val="24"/>
          <w:szCs w:val="24"/>
          <w:lang w:val="es-ES_tradnl"/>
        </w:rPr>
        <w:t xml:space="preserve"> </w:t>
      </w:r>
      <w:r w:rsidR="00EA161D" w:rsidRPr="004C4CC1">
        <w:rPr>
          <w:color w:val="000000" w:themeColor="text1"/>
          <w:sz w:val="24"/>
          <w:szCs w:val="24"/>
          <w:lang w:val="es-ES_tradnl"/>
        </w:rPr>
        <w:t xml:space="preserve">sentencia </w:t>
      </w:r>
      <w:r w:rsidR="00EA161D" w:rsidRPr="004C4CC1">
        <w:rPr>
          <w:bCs/>
          <w:color w:val="000000" w:themeColor="text1"/>
          <w:sz w:val="24"/>
          <w:szCs w:val="24"/>
        </w:rPr>
        <w:t>del 29 de abril de 2010</w:t>
      </w:r>
      <w:r w:rsidR="002B44F1" w:rsidRPr="004C4CC1">
        <w:rPr>
          <w:color w:val="000000" w:themeColor="text1"/>
          <w:sz w:val="24"/>
          <w:szCs w:val="24"/>
          <w:lang w:val="es-ES_tradnl"/>
        </w:rPr>
        <w:t xml:space="preserve">, ni </w:t>
      </w:r>
      <w:r w:rsidR="005C313C" w:rsidRPr="004C4CC1">
        <w:rPr>
          <w:color w:val="000000" w:themeColor="text1"/>
          <w:sz w:val="24"/>
          <w:szCs w:val="24"/>
          <w:lang w:val="es-ES_tradnl"/>
        </w:rPr>
        <w:t xml:space="preserve">la respuesta </w:t>
      </w:r>
      <w:r w:rsidR="002B44F1" w:rsidRPr="004C4CC1">
        <w:rPr>
          <w:color w:val="000000" w:themeColor="text1"/>
          <w:sz w:val="24"/>
          <w:szCs w:val="24"/>
          <w:lang w:val="es-ES_tradnl"/>
        </w:rPr>
        <w:t xml:space="preserve">de fondo </w:t>
      </w:r>
      <w:r w:rsidR="005C313C" w:rsidRPr="004C4CC1">
        <w:rPr>
          <w:color w:val="000000" w:themeColor="text1"/>
          <w:sz w:val="24"/>
          <w:szCs w:val="24"/>
          <w:lang w:val="es-ES_tradnl"/>
        </w:rPr>
        <w:t xml:space="preserve">a </w:t>
      </w:r>
      <w:r w:rsidR="002B44F1" w:rsidRPr="004C4CC1">
        <w:rPr>
          <w:color w:val="000000" w:themeColor="text1"/>
          <w:sz w:val="24"/>
          <w:szCs w:val="24"/>
          <w:lang w:val="es-ES_tradnl"/>
        </w:rPr>
        <w:t xml:space="preserve">cada una de las solicitudes de reparación administrativa presentadas por </w:t>
      </w:r>
      <w:r w:rsidR="002105A0" w:rsidRPr="004C4CC1">
        <w:rPr>
          <w:color w:val="000000" w:themeColor="text1"/>
          <w:sz w:val="24"/>
          <w:szCs w:val="24"/>
          <w:lang w:val="es-ES_tradnl"/>
        </w:rPr>
        <w:t>los accionantes en ese proceso</w:t>
      </w:r>
      <w:r w:rsidR="002B44F1" w:rsidRPr="004C4CC1">
        <w:rPr>
          <w:color w:val="000000" w:themeColor="text1"/>
          <w:sz w:val="24"/>
          <w:szCs w:val="24"/>
          <w:lang w:val="es-ES_tradnl"/>
        </w:rPr>
        <w:t xml:space="preserve">. </w:t>
      </w:r>
    </w:p>
    <w:p w14:paraId="55BCE412" w14:textId="77777777" w:rsidR="000D1046" w:rsidRDefault="000D1046" w:rsidP="00F45A6E">
      <w:pPr>
        <w:spacing w:line="276" w:lineRule="auto"/>
        <w:rPr>
          <w:color w:val="000000" w:themeColor="text1"/>
          <w:sz w:val="24"/>
          <w:szCs w:val="24"/>
          <w:lang w:val="es-ES_tradnl"/>
        </w:rPr>
      </w:pPr>
    </w:p>
    <w:p w14:paraId="023454EA" w14:textId="3F8DF551" w:rsidR="002B44F1" w:rsidRPr="004C4CC1" w:rsidRDefault="000D1046" w:rsidP="00F45A6E">
      <w:pPr>
        <w:spacing w:line="276" w:lineRule="auto"/>
        <w:rPr>
          <w:bCs/>
          <w:color w:val="000000" w:themeColor="text1"/>
          <w:sz w:val="24"/>
          <w:szCs w:val="24"/>
        </w:rPr>
      </w:pPr>
      <w:r w:rsidRPr="00C35E5E">
        <w:rPr>
          <w:color w:val="000000" w:themeColor="text1"/>
          <w:sz w:val="24"/>
          <w:szCs w:val="24"/>
          <w:lang w:val="es-ES_tradnl"/>
        </w:rPr>
        <w:t>Ademá</w:t>
      </w:r>
      <w:r w:rsidR="00CD46C2" w:rsidRPr="00C35E5E">
        <w:rPr>
          <w:color w:val="000000" w:themeColor="text1"/>
          <w:sz w:val="24"/>
          <w:szCs w:val="24"/>
          <w:lang w:val="es-ES_tradnl"/>
        </w:rPr>
        <w:t>s</w:t>
      </w:r>
      <w:r w:rsidR="00F14758" w:rsidRPr="00C35E5E">
        <w:rPr>
          <w:bCs/>
          <w:color w:val="000000" w:themeColor="text1"/>
          <w:sz w:val="24"/>
          <w:szCs w:val="24"/>
        </w:rPr>
        <w:t xml:space="preserve">, la autoridad judicial señaló que </w:t>
      </w:r>
      <w:r w:rsidR="00CD46C2" w:rsidRPr="00C35E5E">
        <w:rPr>
          <w:bCs/>
          <w:color w:val="000000" w:themeColor="text1"/>
          <w:sz w:val="24"/>
          <w:szCs w:val="24"/>
        </w:rPr>
        <w:t xml:space="preserve">los pagos </w:t>
      </w:r>
      <w:r w:rsidR="004840DE" w:rsidRPr="00C35E5E">
        <w:rPr>
          <w:bCs/>
          <w:color w:val="000000" w:themeColor="text1"/>
          <w:sz w:val="24"/>
          <w:szCs w:val="24"/>
        </w:rPr>
        <w:t>que la UARIV presentó</w:t>
      </w:r>
      <w:r w:rsidR="0033510E" w:rsidRPr="00C35E5E">
        <w:rPr>
          <w:bCs/>
          <w:color w:val="000000" w:themeColor="text1"/>
          <w:sz w:val="24"/>
          <w:szCs w:val="24"/>
        </w:rPr>
        <w:t xml:space="preserve"> fueron</w:t>
      </w:r>
      <w:r w:rsidR="00F14758" w:rsidRPr="00C35E5E">
        <w:rPr>
          <w:bCs/>
          <w:color w:val="000000" w:themeColor="text1"/>
          <w:sz w:val="24"/>
          <w:szCs w:val="24"/>
        </w:rPr>
        <w:t xml:space="preserve"> ef</w:t>
      </w:r>
      <w:r w:rsidR="007B4447" w:rsidRPr="00C35E5E">
        <w:rPr>
          <w:bCs/>
          <w:color w:val="000000" w:themeColor="text1"/>
          <w:sz w:val="24"/>
          <w:szCs w:val="24"/>
        </w:rPr>
        <w:t>ectuados con anterioridad al trá</w:t>
      </w:r>
      <w:r w:rsidR="00F14758" w:rsidRPr="00C35E5E">
        <w:rPr>
          <w:bCs/>
          <w:color w:val="000000" w:themeColor="text1"/>
          <w:sz w:val="24"/>
          <w:szCs w:val="24"/>
        </w:rPr>
        <w:t>mite de tutela</w:t>
      </w:r>
      <w:r w:rsidR="002C42F9" w:rsidRPr="00C35E5E">
        <w:rPr>
          <w:bCs/>
          <w:color w:val="000000" w:themeColor="text1"/>
          <w:sz w:val="24"/>
          <w:szCs w:val="24"/>
        </w:rPr>
        <w:t xml:space="preserve"> y por lo tanto no </w:t>
      </w:r>
      <w:r w:rsidR="0033510E" w:rsidRPr="00C35E5E">
        <w:rPr>
          <w:bCs/>
          <w:color w:val="000000" w:themeColor="text1"/>
          <w:sz w:val="24"/>
          <w:szCs w:val="24"/>
        </w:rPr>
        <w:t>son</w:t>
      </w:r>
      <w:r w:rsidR="002C42F9" w:rsidRPr="00C35E5E">
        <w:rPr>
          <w:bCs/>
          <w:color w:val="000000" w:themeColor="text1"/>
          <w:sz w:val="24"/>
          <w:szCs w:val="24"/>
        </w:rPr>
        <w:t xml:space="preserve"> producto del acatamiento de este</w:t>
      </w:r>
      <w:r w:rsidR="0004332E" w:rsidRPr="00C35E5E">
        <w:rPr>
          <w:bCs/>
          <w:color w:val="000000" w:themeColor="text1"/>
          <w:sz w:val="24"/>
          <w:szCs w:val="24"/>
        </w:rPr>
        <w:t xml:space="preserve"> proveído</w:t>
      </w:r>
      <w:r w:rsidR="00F14758" w:rsidRPr="00C35E5E">
        <w:rPr>
          <w:bCs/>
          <w:color w:val="000000" w:themeColor="text1"/>
          <w:sz w:val="24"/>
          <w:szCs w:val="24"/>
        </w:rPr>
        <w:t>.</w:t>
      </w:r>
      <w:r w:rsidR="00F14758" w:rsidRPr="004C4CC1">
        <w:rPr>
          <w:bCs/>
          <w:color w:val="000000" w:themeColor="text1"/>
          <w:sz w:val="24"/>
          <w:szCs w:val="24"/>
        </w:rPr>
        <w:t xml:space="preserve"> </w:t>
      </w:r>
    </w:p>
    <w:p w14:paraId="5CC5BB5D" w14:textId="77777777" w:rsidR="00F14758" w:rsidRPr="004C4CC1" w:rsidRDefault="00F14758" w:rsidP="00F45A6E">
      <w:pPr>
        <w:spacing w:line="276" w:lineRule="auto"/>
        <w:rPr>
          <w:bCs/>
          <w:color w:val="000000" w:themeColor="text1"/>
          <w:sz w:val="24"/>
          <w:szCs w:val="24"/>
        </w:rPr>
      </w:pPr>
    </w:p>
    <w:p w14:paraId="685F7C51" w14:textId="48552E9B" w:rsidR="004168CB" w:rsidRPr="00F45A6E" w:rsidRDefault="00F14758" w:rsidP="00F45A6E">
      <w:pPr>
        <w:spacing w:line="276" w:lineRule="auto"/>
        <w:rPr>
          <w:bCs/>
          <w:color w:val="000000" w:themeColor="text1"/>
          <w:sz w:val="24"/>
          <w:szCs w:val="24"/>
        </w:rPr>
      </w:pPr>
      <w:r w:rsidRPr="004C4CC1">
        <w:rPr>
          <w:b/>
          <w:bCs/>
          <w:color w:val="000000" w:themeColor="text1"/>
          <w:sz w:val="24"/>
          <w:szCs w:val="24"/>
        </w:rPr>
        <w:t>2.3.</w:t>
      </w:r>
      <w:r w:rsidRPr="004C4CC1">
        <w:rPr>
          <w:bCs/>
          <w:color w:val="000000" w:themeColor="text1"/>
          <w:sz w:val="24"/>
          <w:szCs w:val="24"/>
        </w:rPr>
        <w:t xml:space="preserve"> </w:t>
      </w:r>
      <w:r w:rsidR="00D76BEF" w:rsidRPr="004C4CC1">
        <w:rPr>
          <w:bCs/>
          <w:color w:val="000000" w:themeColor="text1"/>
          <w:sz w:val="24"/>
          <w:szCs w:val="24"/>
        </w:rPr>
        <w:t>El 18</w:t>
      </w:r>
      <w:r w:rsidR="009F751F" w:rsidRPr="004C4CC1">
        <w:rPr>
          <w:bCs/>
          <w:color w:val="000000" w:themeColor="text1"/>
          <w:sz w:val="24"/>
          <w:szCs w:val="24"/>
        </w:rPr>
        <w:t xml:space="preserve"> de </w:t>
      </w:r>
      <w:r w:rsidR="00D76BEF" w:rsidRPr="004C4CC1">
        <w:rPr>
          <w:bCs/>
          <w:color w:val="000000" w:themeColor="text1"/>
          <w:sz w:val="24"/>
          <w:szCs w:val="24"/>
        </w:rPr>
        <w:t>diciembre de 2019</w:t>
      </w:r>
      <w:r w:rsidR="00D76BEF" w:rsidRPr="00F45A6E">
        <w:rPr>
          <w:bCs/>
          <w:color w:val="000000" w:themeColor="text1"/>
          <w:sz w:val="24"/>
          <w:szCs w:val="24"/>
        </w:rPr>
        <w:t>, el R</w:t>
      </w:r>
      <w:r w:rsidR="009F751F" w:rsidRPr="00F45A6E">
        <w:rPr>
          <w:bCs/>
          <w:color w:val="000000" w:themeColor="text1"/>
          <w:sz w:val="24"/>
          <w:szCs w:val="24"/>
        </w:rPr>
        <w:t>e</w:t>
      </w:r>
      <w:r w:rsidR="00D76BEF" w:rsidRPr="00F45A6E">
        <w:rPr>
          <w:bCs/>
          <w:color w:val="000000" w:themeColor="text1"/>
          <w:sz w:val="24"/>
          <w:szCs w:val="24"/>
        </w:rPr>
        <w:t xml:space="preserve">presentante Judicial de la UARIV </w:t>
      </w:r>
      <w:r w:rsidR="00156B28" w:rsidRPr="00F45A6E">
        <w:rPr>
          <w:bCs/>
          <w:color w:val="000000" w:themeColor="text1"/>
          <w:sz w:val="24"/>
          <w:szCs w:val="24"/>
        </w:rPr>
        <w:t xml:space="preserve">presentó </w:t>
      </w:r>
      <w:r w:rsidR="00897CE2" w:rsidRPr="00F45A6E">
        <w:rPr>
          <w:bCs/>
          <w:color w:val="000000" w:themeColor="text1"/>
          <w:sz w:val="24"/>
          <w:szCs w:val="24"/>
        </w:rPr>
        <w:t xml:space="preserve">una </w:t>
      </w:r>
      <w:r w:rsidR="00156B28" w:rsidRPr="00F45A6E">
        <w:rPr>
          <w:bCs/>
          <w:color w:val="000000" w:themeColor="text1"/>
          <w:sz w:val="24"/>
          <w:szCs w:val="24"/>
        </w:rPr>
        <w:t>solicitud de inaplicación de la sanción</w:t>
      </w:r>
      <w:r w:rsidR="0028795E" w:rsidRPr="00F45A6E">
        <w:rPr>
          <w:rStyle w:val="Refdenotaalpie"/>
          <w:bCs/>
          <w:color w:val="000000" w:themeColor="text1"/>
          <w:sz w:val="24"/>
          <w:szCs w:val="24"/>
        </w:rPr>
        <w:footnoteReference w:id="4"/>
      </w:r>
      <w:r w:rsidR="00897CE2" w:rsidRPr="00F45A6E">
        <w:rPr>
          <w:bCs/>
          <w:color w:val="000000" w:themeColor="text1"/>
          <w:sz w:val="24"/>
          <w:szCs w:val="24"/>
        </w:rPr>
        <w:t xml:space="preserve"> ante la </w:t>
      </w:r>
      <w:r w:rsidR="00897CE2" w:rsidRPr="00F45A6E">
        <w:rPr>
          <w:color w:val="000000" w:themeColor="text1"/>
          <w:sz w:val="24"/>
          <w:szCs w:val="24"/>
        </w:rPr>
        <w:t>Sala de Decisión A del</w:t>
      </w:r>
      <w:r w:rsidR="00897CE2" w:rsidRPr="00F45A6E">
        <w:rPr>
          <w:b/>
          <w:color w:val="000000" w:themeColor="text1"/>
          <w:sz w:val="24"/>
          <w:szCs w:val="24"/>
        </w:rPr>
        <w:t xml:space="preserve"> </w:t>
      </w:r>
      <w:r w:rsidR="00897CE2" w:rsidRPr="00F45A6E">
        <w:rPr>
          <w:bCs/>
          <w:color w:val="000000" w:themeColor="text1"/>
          <w:sz w:val="24"/>
          <w:szCs w:val="24"/>
        </w:rPr>
        <w:t>Tribunal Administrativo del Atlántico</w:t>
      </w:r>
      <w:r w:rsidR="00DF3F1E" w:rsidRPr="00F45A6E">
        <w:rPr>
          <w:bCs/>
          <w:color w:val="000000" w:themeColor="text1"/>
          <w:sz w:val="24"/>
          <w:szCs w:val="24"/>
        </w:rPr>
        <w:t>.</w:t>
      </w:r>
      <w:r w:rsidR="00A1390A" w:rsidRPr="00F45A6E">
        <w:rPr>
          <w:bCs/>
          <w:color w:val="000000" w:themeColor="text1"/>
          <w:sz w:val="24"/>
          <w:szCs w:val="24"/>
        </w:rPr>
        <w:t xml:space="preserve"> </w:t>
      </w:r>
    </w:p>
    <w:p w14:paraId="281C847F" w14:textId="77777777" w:rsidR="00755A31" w:rsidRPr="00F45A6E" w:rsidRDefault="00755A31" w:rsidP="00F45A6E">
      <w:pPr>
        <w:spacing w:line="276" w:lineRule="auto"/>
        <w:rPr>
          <w:bCs/>
          <w:color w:val="000000" w:themeColor="text1"/>
          <w:sz w:val="24"/>
          <w:szCs w:val="24"/>
        </w:rPr>
      </w:pPr>
    </w:p>
    <w:p w14:paraId="6913CA36" w14:textId="27993D96" w:rsidR="00755A31" w:rsidRPr="00F45A6E" w:rsidRDefault="00755A31" w:rsidP="00F45A6E">
      <w:pPr>
        <w:spacing w:line="276" w:lineRule="auto"/>
        <w:rPr>
          <w:bCs/>
          <w:color w:val="000000" w:themeColor="text1"/>
          <w:sz w:val="24"/>
          <w:szCs w:val="24"/>
        </w:rPr>
      </w:pPr>
      <w:r w:rsidRPr="00F45A6E">
        <w:rPr>
          <w:b/>
          <w:bCs/>
          <w:color w:val="000000" w:themeColor="text1"/>
          <w:sz w:val="24"/>
          <w:szCs w:val="24"/>
        </w:rPr>
        <w:t>2.4.</w:t>
      </w:r>
      <w:r w:rsidRPr="00F45A6E">
        <w:rPr>
          <w:bCs/>
          <w:color w:val="000000" w:themeColor="text1"/>
          <w:sz w:val="24"/>
          <w:szCs w:val="24"/>
        </w:rPr>
        <w:t xml:space="preserve"> </w:t>
      </w:r>
      <w:r w:rsidRPr="00F45A6E">
        <w:rPr>
          <w:rFonts w:eastAsia="Verdana"/>
          <w:color w:val="000000" w:themeColor="text1"/>
          <w:sz w:val="24"/>
          <w:szCs w:val="24"/>
        </w:rPr>
        <w:t>El Tribunal Administrativo del Atlántico, en auto del 21 de enero de 2020</w:t>
      </w:r>
      <w:r w:rsidR="0028795E" w:rsidRPr="00F45A6E">
        <w:rPr>
          <w:rStyle w:val="Refdenotaalpie"/>
          <w:rFonts w:eastAsia="Verdana"/>
          <w:color w:val="000000" w:themeColor="text1"/>
          <w:sz w:val="24"/>
          <w:szCs w:val="24"/>
        </w:rPr>
        <w:footnoteReference w:id="5"/>
      </w:r>
      <w:r w:rsidRPr="00F45A6E">
        <w:rPr>
          <w:rFonts w:eastAsia="Verdana"/>
          <w:color w:val="000000" w:themeColor="text1"/>
          <w:sz w:val="24"/>
          <w:szCs w:val="24"/>
        </w:rPr>
        <w:t xml:space="preserve">, </w:t>
      </w:r>
      <w:r w:rsidR="00A23C60" w:rsidRPr="00F45A6E">
        <w:rPr>
          <w:rFonts w:eastAsia="Verdana"/>
          <w:color w:val="000000" w:themeColor="text1"/>
          <w:sz w:val="24"/>
          <w:szCs w:val="24"/>
        </w:rPr>
        <w:t xml:space="preserve">estimó que </w:t>
      </w:r>
      <w:r w:rsidR="00897CE2" w:rsidRPr="00F45A6E">
        <w:rPr>
          <w:rFonts w:eastAsia="Verdana"/>
          <w:color w:val="000000" w:themeColor="text1"/>
          <w:sz w:val="24"/>
          <w:szCs w:val="24"/>
        </w:rPr>
        <w:t>l</w:t>
      </w:r>
      <w:r w:rsidR="002E0464" w:rsidRPr="00F45A6E">
        <w:rPr>
          <w:rFonts w:eastAsia="Verdana"/>
          <w:color w:val="000000" w:themeColor="text1"/>
          <w:sz w:val="24"/>
          <w:szCs w:val="24"/>
        </w:rPr>
        <w:t>o</w:t>
      </w:r>
      <w:r w:rsidR="00A23C60" w:rsidRPr="00F45A6E">
        <w:rPr>
          <w:rFonts w:eastAsia="Verdana"/>
          <w:color w:val="000000" w:themeColor="text1"/>
          <w:sz w:val="24"/>
          <w:szCs w:val="24"/>
        </w:rPr>
        <w:t xml:space="preserve">s </w:t>
      </w:r>
      <w:r w:rsidR="002E0464" w:rsidRPr="00F45A6E">
        <w:rPr>
          <w:rFonts w:eastAsia="Verdana"/>
          <w:color w:val="000000" w:themeColor="text1"/>
          <w:sz w:val="24"/>
          <w:szCs w:val="24"/>
        </w:rPr>
        <w:t xml:space="preserve">hechos y argumentos </w:t>
      </w:r>
      <w:r w:rsidR="00897CE2" w:rsidRPr="00F45A6E">
        <w:rPr>
          <w:rFonts w:eastAsia="Verdana"/>
          <w:color w:val="000000" w:themeColor="text1"/>
          <w:sz w:val="24"/>
          <w:szCs w:val="24"/>
        </w:rPr>
        <w:t>que se enlista</w:t>
      </w:r>
      <w:r w:rsidR="007B4447" w:rsidRPr="00F45A6E">
        <w:rPr>
          <w:rFonts w:eastAsia="Verdana"/>
          <w:color w:val="000000" w:themeColor="text1"/>
          <w:sz w:val="24"/>
          <w:szCs w:val="24"/>
        </w:rPr>
        <w:t>ro</w:t>
      </w:r>
      <w:r w:rsidR="00897CE2" w:rsidRPr="00F45A6E">
        <w:rPr>
          <w:rFonts w:eastAsia="Verdana"/>
          <w:color w:val="000000" w:themeColor="text1"/>
          <w:sz w:val="24"/>
          <w:szCs w:val="24"/>
        </w:rPr>
        <w:t xml:space="preserve">n en la solicitud </w:t>
      </w:r>
      <w:r w:rsidR="007B4447" w:rsidRPr="00F45A6E">
        <w:rPr>
          <w:rFonts w:eastAsia="Verdana"/>
          <w:color w:val="000000" w:themeColor="text1"/>
          <w:sz w:val="24"/>
          <w:szCs w:val="24"/>
        </w:rPr>
        <w:t>ya habían sido valorado</w:t>
      </w:r>
      <w:r w:rsidR="00A23C60" w:rsidRPr="00F45A6E">
        <w:rPr>
          <w:rFonts w:eastAsia="Verdana"/>
          <w:color w:val="000000" w:themeColor="text1"/>
          <w:sz w:val="24"/>
          <w:szCs w:val="24"/>
        </w:rPr>
        <w:t xml:space="preserve">s </w:t>
      </w:r>
      <w:r w:rsidR="004A685E">
        <w:rPr>
          <w:rFonts w:eastAsia="Verdana"/>
          <w:color w:val="000000" w:themeColor="text1"/>
          <w:sz w:val="24"/>
          <w:szCs w:val="24"/>
        </w:rPr>
        <w:t xml:space="preserve">tanto al decidir </w:t>
      </w:r>
      <w:r w:rsidR="00A23C60" w:rsidRPr="00F45A6E">
        <w:rPr>
          <w:rFonts w:eastAsia="Verdana"/>
          <w:color w:val="000000" w:themeColor="text1"/>
          <w:sz w:val="24"/>
          <w:szCs w:val="24"/>
        </w:rPr>
        <w:t>el incidente de desacato</w:t>
      </w:r>
      <w:r w:rsidR="004A685E">
        <w:rPr>
          <w:rFonts w:eastAsia="Verdana"/>
          <w:color w:val="000000" w:themeColor="text1"/>
          <w:sz w:val="24"/>
          <w:szCs w:val="24"/>
        </w:rPr>
        <w:t xml:space="preserve">, como al resolver </w:t>
      </w:r>
      <w:r w:rsidR="00A23C60" w:rsidRPr="00F45A6E">
        <w:rPr>
          <w:rFonts w:eastAsia="Verdana"/>
          <w:color w:val="000000" w:themeColor="text1"/>
          <w:sz w:val="24"/>
          <w:szCs w:val="24"/>
        </w:rPr>
        <w:t>el grado jurisdiccional de consulta. En ese ord</w:t>
      </w:r>
      <w:r w:rsidR="001618EC" w:rsidRPr="00F45A6E">
        <w:rPr>
          <w:rFonts w:eastAsia="Verdana"/>
          <w:color w:val="000000" w:themeColor="text1"/>
          <w:sz w:val="24"/>
          <w:szCs w:val="24"/>
        </w:rPr>
        <w:t>e</w:t>
      </w:r>
      <w:r w:rsidR="00A23C60" w:rsidRPr="00F45A6E">
        <w:rPr>
          <w:rFonts w:eastAsia="Verdana"/>
          <w:color w:val="000000" w:themeColor="text1"/>
          <w:sz w:val="24"/>
          <w:szCs w:val="24"/>
        </w:rPr>
        <w:t xml:space="preserve">n, </w:t>
      </w:r>
      <w:r w:rsidR="007876F3" w:rsidRPr="00F45A6E">
        <w:rPr>
          <w:rFonts w:eastAsia="Verdana"/>
          <w:color w:val="000000" w:themeColor="text1"/>
          <w:sz w:val="24"/>
          <w:szCs w:val="24"/>
        </w:rPr>
        <w:t xml:space="preserve">resolvió estarse a lo resuelto en la providencia del 24 de enero de 2019 proferida por la </w:t>
      </w:r>
      <w:r w:rsidR="007876F3" w:rsidRPr="00F45A6E">
        <w:rPr>
          <w:bCs/>
          <w:color w:val="000000" w:themeColor="text1"/>
          <w:sz w:val="24"/>
          <w:szCs w:val="24"/>
        </w:rPr>
        <w:t>Sección Quinta del Consejo de Estado</w:t>
      </w:r>
      <w:r w:rsidR="007876F3" w:rsidRPr="00F45A6E">
        <w:rPr>
          <w:rFonts w:eastAsia="Verdana"/>
          <w:color w:val="000000" w:themeColor="text1"/>
          <w:sz w:val="24"/>
          <w:szCs w:val="24"/>
        </w:rPr>
        <w:t xml:space="preserve"> y al auto del 3 de septiembre de 2019 en el que </w:t>
      </w:r>
      <w:r w:rsidR="00111C15" w:rsidRPr="00F45A6E">
        <w:rPr>
          <w:rFonts w:eastAsia="Verdana"/>
          <w:color w:val="000000" w:themeColor="text1"/>
          <w:sz w:val="24"/>
          <w:szCs w:val="24"/>
        </w:rPr>
        <w:t>ordenó compulsar copias de todas las actuaciones a la Procuraduría General de la Nación y a la Fiscalía General de la Nación.</w:t>
      </w:r>
    </w:p>
    <w:p w14:paraId="0D0B940D" w14:textId="77777777" w:rsidR="00F6085F" w:rsidRPr="00F45A6E" w:rsidRDefault="00F6085F" w:rsidP="00F45A6E">
      <w:pPr>
        <w:spacing w:line="276" w:lineRule="auto"/>
        <w:contextualSpacing/>
        <w:rPr>
          <w:bCs/>
          <w:color w:val="000000" w:themeColor="text1"/>
          <w:sz w:val="24"/>
          <w:szCs w:val="24"/>
        </w:rPr>
      </w:pPr>
    </w:p>
    <w:p w14:paraId="307613FE" w14:textId="77777777" w:rsidR="000C5DB7" w:rsidRPr="00F45A6E" w:rsidRDefault="000C5DB7" w:rsidP="00F45A6E">
      <w:pPr>
        <w:numPr>
          <w:ilvl w:val="0"/>
          <w:numId w:val="3"/>
        </w:numPr>
        <w:overflowPunct w:val="0"/>
        <w:autoSpaceDE w:val="0"/>
        <w:autoSpaceDN w:val="0"/>
        <w:adjustRightInd w:val="0"/>
        <w:spacing w:line="276" w:lineRule="auto"/>
        <w:contextualSpacing/>
        <w:rPr>
          <w:rFonts w:eastAsia="Times New Roman"/>
          <w:b/>
          <w:color w:val="000000" w:themeColor="text1"/>
          <w:sz w:val="24"/>
          <w:szCs w:val="24"/>
          <w:lang w:eastAsia="es-ES"/>
        </w:rPr>
      </w:pPr>
      <w:r w:rsidRPr="00F45A6E">
        <w:rPr>
          <w:rFonts w:eastAsia="Times New Roman"/>
          <w:b/>
          <w:color w:val="000000" w:themeColor="text1"/>
          <w:sz w:val="24"/>
          <w:szCs w:val="24"/>
          <w:lang w:eastAsia="es-ES"/>
        </w:rPr>
        <w:t>Pretensiones de tutela</w:t>
      </w:r>
    </w:p>
    <w:p w14:paraId="706BC4E2" w14:textId="77777777" w:rsidR="004C36FC" w:rsidRPr="00F45A6E" w:rsidRDefault="004C36FC" w:rsidP="00F45A6E">
      <w:pPr>
        <w:overflowPunct w:val="0"/>
        <w:autoSpaceDE w:val="0"/>
        <w:autoSpaceDN w:val="0"/>
        <w:adjustRightInd w:val="0"/>
        <w:spacing w:line="276" w:lineRule="auto"/>
        <w:contextualSpacing/>
        <w:rPr>
          <w:rFonts w:eastAsia="Times New Roman"/>
          <w:color w:val="000000" w:themeColor="text1"/>
          <w:sz w:val="24"/>
          <w:szCs w:val="24"/>
          <w:lang w:eastAsia="es-ES"/>
        </w:rPr>
      </w:pPr>
    </w:p>
    <w:p w14:paraId="716CFD2C" w14:textId="5CFC008C" w:rsidR="004C36FC" w:rsidRPr="00F45A6E" w:rsidRDefault="004C36FC" w:rsidP="00F45A6E">
      <w:pPr>
        <w:pStyle w:val="p1"/>
        <w:spacing w:line="276" w:lineRule="auto"/>
        <w:jc w:val="both"/>
        <w:rPr>
          <w:rFonts w:ascii="Arial" w:hAnsi="Arial" w:cs="Arial"/>
          <w:color w:val="000000" w:themeColor="text1"/>
          <w:sz w:val="24"/>
          <w:szCs w:val="24"/>
        </w:rPr>
      </w:pPr>
      <w:r w:rsidRPr="00F45A6E">
        <w:rPr>
          <w:rFonts w:ascii="Arial" w:hAnsi="Arial" w:cs="Arial"/>
          <w:bCs/>
          <w:color w:val="000000" w:themeColor="text1"/>
          <w:sz w:val="24"/>
          <w:szCs w:val="24"/>
        </w:rPr>
        <w:t>Claudia Juliana Melo Romero</w:t>
      </w:r>
      <w:r w:rsidRPr="00F45A6E">
        <w:rPr>
          <w:rFonts w:ascii="Arial" w:hAnsi="Arial" w:cs="Arial"/>
          <w:color w:val="000000" w:themeColor="text1"/>
          <w:sz w:val="24"/>
          <w:szCs w:val="24"/>
        </w:rPr>
        <w:t xml:space="preserve">, </w:t>
      </w:r>
      <w:r w:rsidRPr="00EA4BB9">
        <w:rPr>
          <w:rFonts w:ascii="Arial" w:hAnsi="Arial" w:cs="Arial"/>
          <w:color w:val="000000" w:themeColor="text1"/>
          <w:sz w:val="24"/>
          <w:szCs w:val="24"/>
        </w:rPr>
        <w:t xml:space="preserve">el </w:t>
      </w:r>
      <w:r w:rsidR="00487615" w:rsidRPr="00EA4BB9">
        <w:rPr>
          <w:rFonts w:ascii="Arial" w:hAnsi="Arial" w:cs="Arial"/>
          <w:color w:val="000000" w:themeColor="text1"/>
          <w:sz w:val="24"/>
          <w:szCs w:val="24"/>
        </w:rPr>
        <w:t>4</w:t>
      </w:r>
      <w:r w:rsidRPr="00EA4BB9">
        <w:rPr>
          <w:rFonts w:ascii="Arial" w:hAnsi="Arial" w:cs="Arial"/>
          <w:color w:val="000000" w:themeColor="text1"/>
          <w:sz w:val="24"/>
          <w:szCs w:val="24"/>
        </w:rPr>
        <w:t xml:space="preserve"> de </w:t>
      </w:r>
      <w:r w:rsidR="00487615" w:rsidRPr="00EA4BB9">
        <w:rPr>
          <w:rFonts w:ascii="Arial" w:hAnsi="Arial" w:cs="Arial"/>
          <w:color w:val="000000" w:themeColor="text1"/>
          <w:sz w:val="24"/>
          <w:szCs w:val="24"/>
        </w:rPr>
        <w:t>septiembre</w:t>
      </w:r>
      <w:r w:rsidRPr="00EA4BB9">
        <w:rPr>
          <w:rFonts w:ascii="Arial" w:hAnsi="Arial" w:cs="Arial"/>
          <w:color w:val="000000" w:themeColor="text1"/>
          <w:sz w:val="24"/>
          <w:szCs w:val="24"/>
        </w:rPr>
        <w:t xml:space="preserve"> de 2020</w:t>
      </w:r>
      <w:r w:rsidR="00487615" w:rsidRPr="00F45A6E">
        <w:rPr>
          <w:rStyle w:val="Refdenotaalpie"/>
          <w:rFonts w:ascii="Arial" w:hAnsi="Arial" w:cs="Arial"/>
          <w:color w:val="000000" w:themeColor="text1"/>
          <w:sz w:val="24"/>
          <w:szCs w:val="24"/>
        </w:rPr>
        <w:footnoteReference w:id="6"/>
      </w:r>
      <w:r w:rsidRPr="00F45A6E">
        <w:rPr>
          <w:rFonts w:ascii="Arial" w:hAnsi="Arial" w:cs="Arial"/>
          <w:color w:val="000000" w:themeColor="text1"/>
          <w:sz w:val="24"/>
          <w:szCs w:val="24"/>
        </w:rPr>
        <w:t>, incoó solicitud de amparo con la pretensión de que: (i) se tutele</w:t>
      </w:r>
      <w:r w:rsidR="005F2D97" w:rsidRPr="00F45A6E">
        <w:rPr>
          <w:rFonts w:ascii="Arial" w:hAnsi="Arial" w:cs="Arial"/>
          <w:color w:val="000000" w:themeColor="text1"/>
          <w:sz w:val="24"/>
          <w:szCs w:val="24"/>
        </w:rPr>
        <w:t>n</w:t>
      </w:r>
      <w:r w:rsidRPr="00F45A6E">
        <w:rPr>
          <w:rFonts w:ascii="Arial" w:hAnsi="Arial" w:cs="Arial"/>
          <w:color w:val="000000" w:themeColor="text1"/>
          <w:sz w:val="24"/>
          <w:szCs w:val="24"/>
        </w:rPr>
        <w:t xml:space="preserve"> su</w:t>
      </w:r>
      <w:r w:rsidR="005F2D97" w:rsidRPr="00F45A6E">
        <w:rPr>
          <w:rFonts w:ascii="Arial" w:hAnsi="Arial" w:cs="Arial"/>
          <w:color w:val="000000" w:themeColor="text1"/>
          <w:sz w:val="24"/>
          <w:szCs w:val="24"/>
        </w:rPr>
        <w:t>s</w:t>
      </w:r>
      <w:r w:rsidRPr="00F45A6E">
        <w:rPr>
          <w:rFonts w:ascii="Arial" w:hAnsi="Arial" w:cs="Arial"/>
          <w:color w:val="000000" w:themeColor="text1"/>
          <w:sz w:val="24"/>
          <w:szCs w:val="24"/>
        </w:rPr>
        <w:t xml:space="preserve"> derecho</w:t>
      </w:r>
      <w:r w:rsidR="005F2D97" w:rsidRPr="00F45A6E">
        <w:rPr>
          <w:rFonts w:ascii="Arial" w:hAnsi="Arial" w:cs="Arial"/>
          <w:color w:val="000000" w:themeColor="text1"/>
          <w:sz w:val="24"/>
          <w:szCs w:val="24"/>
        </w:rPr>
        <w:t>s</w:t>
      </w:r>
      <w:r w:rsidRPr="00F45A6E">
        <w:rPr>
          <w:rFonts w:ascii="Arial" w:hAnsi="Arial" w:cs="Arial"/>
          <w:color w:val="000000" w:themeColor="text1"/>
          <w:sz w:val="24"/>
          <w:szCs w:val="24"/>
        </w:rPr>
        <w:t xml:space="preserve"> al </w:t>
      </w:r>
      <w:r w:rsidR="005F2D97" w:rsidRPr="00F45A6E">
        <w:rPr>
          <w:rFonts w:ascii="Arial" w:hAnsi="Arial" w:cs="Arial"/>
          <w:bCs/>
          <w:color w:val="000000" w:themeColor="text1"/>
          <w:sz w:val="24"/>
          <w:szCs w:val="24"/>
        </w:rPr>
        <w:t>acceso a la administración de justicia, al debido proceso, al patrimonio y al buen nombre</w:t>
      </w:r>
      <w:r w:rsidRPr="00F45A6E">
        <w:rPr>
          <w:rFonts w:ascii="Arial" w:hAnsi="Arial" w:cs="Arial"/>
          <w:color w:val="000000" w:themeColor="text1"/>
          <w:sz w:val="24"/>
          <w:szCs w:val="24"/>
        </w:rPr>
        <w:t xml:space="preserve">; (ii) se deje sin efectos la </w:t>
      </w:r>
      <w:r w:rsidR="00215D4A" w:rsidRPr="00F45A6E">
        <w:rPr>
          <w:rFonts w:ascii="Arial" w:hAnsi="Arial" w:cs="Arial"/>
          <w:color w:val="000000" w:themeColor="text1"/>
          <w:sz w:val="24"/>
          <w:szCs w:val="24"/>
        </w:rPr>
        <w:t>providencia</w:t>
      </w:r>
      <w:r w:rsidR="00773A77" w:rsidRPr="00F45A6E">
        <w:rPr>
          <w:rFonts w:ascii="Arial" w:hAnsi="Arial" w:cs="Arial"/>
          <w:color w:val="000000" w:themeColor="text1"/>
          <w:sz w:val="24"/>
          <w:szCs w:val="24"/>
        </w:rPr>
        <w:t xml:space="preserve"> del 21</w:t>
      </w:r>
      <w:r w:rsidRPr="00F45A6E">
        <w:rPr>
          <w:rFonts w:ascii="Arial" w:hAnsi="Arial" w:cs="Arial"/>
          <w:color w:val="000000" w:themeColor="text1"/>
          <w:sz w:val="24"/>
          <w:szCs w:val="24"/>
        </w:rPr>
        <w:t xml:space="preserve"> de </w:t>
      </w:r>
      <w:r w:rsidR="00215D4A" w:rsidRPr="00F45A6E">
        <w:rPr>
          <w:rFonts w:ascii="Arial" w:hAnsi="Arial" w:cs="Arial"/>
          <w:color w:val="000000" w:themeColor="text1"/>
          <w:sz w:val="24"/>
          <w:szCs w:val="24"/>
        </w:rPr>
        <w:t>ene</w:t>
      </w:r>
      <w:r w:rsidRPr="00F45A6E">
        <w:rPr>
          <w:rFonts w:ascii="Arial" w:hAnsi="Arial" w:cs="Arial"/>
          <w:color w:val="000000" w:themeColor="text1"/>
          <w:sz w:val="24"/>
          <w:szCs w:val="24"/>
        </w:rPr>
        <w:t>ro de 20</w:t>
      </w:r>
      <w:r w:rsidR="00773A77" w:rsidRPr="00F45A6E">
        <w:rPr>
          <w:rFonts w:ascii="Arial" w:hAnsi="Arial" w:cs="Arial"/>
          <w:color w:val="000000" w:themeColor="text1"/>
          <w:sz w:val="24"/>
          <w:szCs w:val="24"/>
        </w:rPr>
        <w:t>20</w:t>
      </w:r>
      <w:r w:rsidRPr="00F45A6E">
        <w:rPr>
          <w:rFonts w:ascii="Arial" w:hAnsi="Arial" w:cs="Arial"/>
          <w:color w:val="000000" w:themeColor="text1"/>
          <w:sz w:val="24"/>
          <w:szCs w:val="24"/>
        </w:rPr>
        <w:t xml:space="preserve"> proferida por </w:t>
      </w:r>
      <w:r w:rsidR="00215D4A" w:rsidRPr="00F45A6E">
        <w:rPr>
          <w:rFonts w:ascii="Arial" w:hAnsi="Arial" w:cs="Arial"/>
          <w:color w:val="000000" w:themeColor="text1"/>
          <w:sz w:val="24"/>
          <w:szCs w:val="24"/>
        </w:rPr>
        <w:t xml:space="preserve">la </w:t>
      </w:r>
      <w:r w:rsidR="00B87058" w:rsidRPr="00F45A6E">
        <w:rPr>
          <w:rFonts w:ascii="Arial" w:hAnsi="Arial" w:cs="Arial"/>
          <w:color w:val="000000" w:themeColor="text1"/>
          <w:sz w:val="24"/>
          <w:szCs w:val="24"/>
        </w:rPr>
        <w:t>Sala de Decisión A del</w:t>
      </w:r>
      <w:r w:rsidR="00B87058" w:rsidRPr="00F45A6E">
        <w:rPr>
          <w:rFonts w:ascii="Arial" w:hAnsi="Arial" w:cs="Arial"/>
          <w:b/>
          <w:color w:val="000000" w:themeColor="text1"/>
          <w:sz w:val="24"/>
          <w:szCs w:val="24"/>
        </w:rPr>
        <w:t xml:space="preserve"> </w:t>
      </w:r>
      <w:r w:rsidR="00B87058" w:rsidRPr="00F45A6E">
        <w:rPr>
          <w:rFonts w:ascii="Arial" w:hAnsi="Arial" w:cs="Arial"/>
          <w:bCs/>
          <w:color w:val="000000" w:themeColor="text1"/>
          <w:sz w:val="24"/>
          <w:szCs w:val="24"/>
        </w:rPr>
        <w:t>Tribunal Administrativo del Atlántico</w:t>
      </w:r>
      <w:r w:rsidRPr="00F45A6E">
        <w:rPr>
          <w:rFonts w:ascii="Arial" w:hAnsi="Arial" w:cs="Arial"/>
          <w:bCs/>
          <w:color w:val="000000" w:themeColor="text1"/>
          <w:sz w:val="24"/>
          <w:szCs w:val="24"/>
        </w:rPr>
        <w:t xml:space="preserve">; </w:t>
      </w:r>
      <w:r w:rsidR="00CB6240" w:rsidRPr="00F45A6E">
        <w:rPr>
          <w:rFonts w:ascii="Arial" w:hAnsi="Arial" w:cs="Arial"/>
          <w:bCs/>
          <w:color w:val="000000" w:themeColor="text1"/>
          <w:sz w:val="24"/>
          <w:szCs w:val="24"/>
        </w:rPr>
        <w:t xml:space="preserve">y </w:t>
      </w:r>
      <w:r w:rsidRPr="00F45A6E">
        <w:rPr>
          <w:rFonts w:ascii="Arial" w:hAnsi="Arial" w:cs="Arial"/>
          <w:bCs/>
          <w:color w:val="000000" w:themeColor="text1"/>
          <w:sz w:val="24"/>
          <w:szCs w:val="24"/>
        </w:rPr>
        <w:t xml:space="preserve">(iii) se </w:t>
      </w:r>
      <w:r w:rsidR="00F51BB7" w:rsidRPr="00F45A6E">
        <w:rPr>
          <w:rFonts w:ascii="Arial" w:hAnsi="Arial" w:cs="Arial"/>
          <w:bCs/>
          <w:color w:val="000000" w:themeColor="text1"/>
          <w:sz w:val="24"/>
          <w:szCs w:val="24"/>
        </w:rPr>
        <w:t xml:space="preserve">ordene </w:t>
      </w:r>
      <w:r w:rsidR="00B87058" w:rsidRPr="00F45A6E">
        <w:rPr>
          <w:rFonts w:ascii="Arial" w:hAnsi="Arial" w:cs="Arial"/>
          <w:bCs/>
          <w:color w:val="000000" w:themeColor="text1"/>
          <w:sz w:val="24"/>
          <w:szCs w:val="24"/>
        </w:rPr>
        <w:t>a la referida autoridad</w:t>
      </w:r>
      <w:r w:rsidR="00F51BB7" w:rsidRPr="00F45A6E">
        <w:rPr>
          <w:rFonts w:ascii="Arial" w:hAnsi="Arial" w:cs="Arial"/>
          <w:bCs/>
          <w:color w:val="000000" w:themeColor="text1"/>
          <w:sz w:val="24"/>
          <w:szCs w:val="24"/>
        </w:rPr>
        <w:t xml:space="preserve"> que </w:t>
      </w:r>
      <w:r w:rsidR="00215D4A" w:rsidRPr="00F45A6E">
        <w:rPr>
          <w:rFonts w:ascii="Arial" w:hAnsi="Arial" w:cs="Arial"/>
          <w:bCs/>
          <w:color w:val="000000" w:themeColor="text1"/>
          <w:sz w:val="24"/>
          <w:szCs w:val="24"/>
        </w:rPr>
        <w:t>acceda a la solicitud de inaplicación de la sanción</w:t>
      </w:r>
      <w:r w:rsidRPr="00F45A6E">
        <w:rPr>
          <w:rFonts w:ascii="Arial" w:hAnsi="Arial" w:cs="Arial"/>
          <w:bCs/>
          <w:color w:val="000000" w:themeColor="text1"/>
          <w:sz w:val="24"/>
          <w:szCs w:val="24"/>
        </w:rPr>
        <w:t xml:space="preserve"> </w:t>
      </w:r>
      <w:r w:rsidR="00286000" w:rsidRPr="00F45A6E">
        <w:rPr>
          <w:rFonts w:ascii="Arial" w:hAnsi="Arial" w:cs="Arial"/>
          <w:bCs/>
          <w:color w:val="000000" w:themeColor="text1"/>
          <w:sz w:val="24"/>
          <w:szCs w:val="24"/>
        </w:rPr>
        <w:t>de conformidad con</w:t>
      </w:r>
      <w:r w:rsidR="00CB6240" w:rsidRPr="00F45A6E">
        <w:rPr>
          <w:rFonts w:ascii="Arial" w:hAnsi="Arial" w:cs="Arial"/>
          <w:bCs/>
          <w:color w:val="000000" w:themeColor="text1"/>
          <w:sz w:val="24"/>
          <w:szCs w:val="24"/>
        </w:rPr>
        <w:t xml:space="preserve"> los precedentes jurisprudenciales sobre la materia.</w:t>
      </w:r>
    </w:p>
    <w:p w14:paraId="005A9AB0" w14:textId="32ED1DA7" w:rsidR="00D6758B" w:rsidRPr="00F45A6E" w:rsidRDefault="004C36FC" w:rsidP="00F45A6E">
      <w:pPr>
        <w:overflowPunct w:val="0"/>
        <w:autoSpaceDE w:val="0"/>
        <w:autoSpaceDN w:val="0"/>
        <w:adjustRightInd w:val="0"/>
        <w:spacing w:line="276" w:lineRule="auto"/>
        <w:contextualSpacing/>
        <w:rPr>
          <w:color w:val="000000" w:themeColor="text1"/>
          <w:sz w:val="24"/>
          <w:szCs w:val="24"/>
        </w:rPr>
      </w:pPr>
      <w:r w:rsidRPr="00F45A6E">
        <w:rPr>
          <w:color w:val="000000" w:themeColor="text1"/>
          <w:sz w:val="24"/>
          <w:szCs w:val="24"/>
        </w:rPr>
        <w:t xml:space="preserve"> </w:t>
      </w:r>
    </w:p>
    <w:p w14:paraId="1F9FBCE6" w14:textId="77777777" w:rsidR="004C36FC" w:rsidRPr="00F45A6E" w:rsidRDefault="004C36FC" w:rsidP="00F45A6E">
      <w:pPr>
        <w:numPr>
          <w:ilvl w:val="0"/>
          <w:numId w:val="3"/>
        </w:numPr>
        <w:overflowPunct w:val="0"/>
        <w:autoSpaceDE w:val="0"/>
        <w:autoSpaceDN w:val="0"/>
        <w:adjustRightInd w:val="0"/>
        <w:spacing w:line="276" w:lineRule="auto"/>
        <w:contextualSpacing/>
        <w:rPr>
          <w:color w:val="000000" w:themeColor="text1"/>
          <w:sz w:val="24"/>
          <w:szCs w:val="24"/>
        </w:rPr>
      </w:pPr>
      <w:r w:rsidRPr="00F45A6E">
        <w:rPr>
          <w:rFonts w:eastAsia="Arial Unicode MS"/>
          <w:b/>
          <w:color w:val="000000" w:themeColor="text1"/>
          <w:sz w:val="24"/>
          <w:szCs w:val="24"/>
        </w:rPr>
        <w:t>Argumentos de la solicitud de tutela</w:t>
      </w:r>
    </w:p>
    <w:p w14:paraId="4E1E77C7" w14:textId="77777777" w:rsidR="004C36FC" w:rsidRPr="00F45A6E" w:rsidRDefault="004C36FC" w:rsidP="00F45A6E">
      <w:pPr>
        <w:overflowPunct w:val="0"/>
        <w:autoSpaceDE w:val="0"/>
        <w:autoSpaceDN w:val="0"/>
        <w:adjustRightInd w:val="0"/>
        <w:spacing w:line="276" w:lineRule="auto"/>
        <w:contextualSpacing/>
        <w:rPr>
          <w:color w:val="000000" w:themeColor="text1"/>
          <w:sz w:val="24"/>
          <w:szCs w:val="24"/>
        </w:rPr>
      </w:pPr>
    </w:p>
    <w:p w14:paraId="6AB865F1" w14:textId="6C471DE8" w:rsidR="00BB7BAE" w:rsidRPr="00F45A6E" w:rsidRDefault="004C36FC" w:rsidP="00F45A6E">
      <w:pPr>
        <w:overflowPunct w:val="0"/>
        <w:autoSpaceDE w:val="0"/>
        <w:autoSpaceDN w:val="0"/>
        <w:adjustRightInd w:val="0"/>
        <w:spacing w:line="276" w:lineRule="auto"/>
        <w:contextualSpacing/>
        <w:rPr>
          <w:color w:val="000000" w:themeColor="text1"/>
          <w:sz w:val="24"/>
          <w:szCs w:val="24"/>
          <w:lang w:val="es-ES_tradnl"/>
        </w:rPr>
      </w:pPr>
      <w:r w:rsidRPr="00F45A6E">
        <w:rPr>
          <w:color w:val="000000" w:themeColor="text1"/>
          <w:sz w:val="24"/>
          <w:szCs w:val="24"/>
        </w:rPr>
        <w:t xml:space="preserve">Como sustento de sus pretensiones, </w:t>
      </w:r>
      <w:r w:rsidR="00F318E7" w:rsidRPr="00F45A6E">
        <w:rPr>
          <w:color w:val="000000" w:themeColor="text1"/>
          <w:sz w:val="24"/>
          <w:szCs w:val="24"/>
        </w:rPr>
        <w:t xml:space="preserve">la </w:t>
      </w:r>
      <w:r w:rsidRPr="00F45A6E">
        <w:rPr>
          <w:color w:val="000000" w:themeColor="text1"/>
          <w:sz w:val="24"/>
          <w:szCs w:val="24"/>
        </w:rPr>
        <w:t xml:space="preserve">accionante esgrimió que </w:t>
      </w:r>
      <w:r w:rsidR="00BB7BAE" w:rsidRPr="00F45A6E">
        <w:rPr>
          <w:color w:val="000000" w:themeColor="text1"/>
          <w:sz w:val="24"/>
          <w:szCs w:val="24"/>
        </w:rPr>
        <w:t xml:space="preserve">debía inaplicarse la medida sancionatoria impuesta </w:t>
      </w:r>
      <w:r w:rsidR="003E2E88" w:rsidRPr="00F45A6E">
        <w:rPr>
          <w:color w:val="000000" w:themeColor="text1"/>
          <w:sz w:val="24"/>
          <w:szCs w:val="24"/>
          <w:lang w:val="es-ES_tradnl"/>
        </w:rPr>
        <w:t>porque</w:t>
      </w:r>
      <w:r w:rsidR="00BB7BAE" w:rsidRPr="00F45A6E">
        <w:rPr>
          <w:color w:val="000000" w:themeColor="text1"/>
          <w:sz w:val="24"/>
          <w:szCs w:val="24"/>
          <w:lang w:val="es-ES_tradnl"/>
        </w:rPr>
        <w:t xml:space="preserve">: </w:t>
      </w:r>
    </w:p>
    <w:p w14:paraId="64AAE25D" w14:textId="77777777" w:rsidR="00553D0F" w:rsidRPr="00F45A6E" w:rsidRDefault="00553D0F" w:rsidP="00F45A6E">
      <w:pPr>
        <w:overflowPunct w:val="0"/>
        <w:autoSpaceDE w:val="0"/>
        <w:autoSpaceDN w:val="0"/>
        <w:adjustRightInd w:val="0"/>
        <w:spacing w:line="276" w:lineRule="auto"/>
        <w:contextualSpacing/>
        <w:rPr>
          <w:color w:val="000000" w:themeColor="text1"/>
          <w:sz w:val="24"/>
          <w:szCs w:val="24"/>
          <w:lang w:val="es-ES_tradnl"/>
        </w:rPr>
      </w:pPr>
    </w:p>
    <w:p w14:paraId="37E61ADB" w14:textId="1EF102FE" w:rsidR="00207E68" w:rsidRPr="00F45A6E" w:rsidRDefault="00553D0F" w:rsidP="00F45A6E">
      <w:pPr>
        <w:overflowPunct w:val="0"/>
        <w:autoSpaceDE w:val="0"/>
        <w:autoSpaceDN w:val="0"/>
        <w:adjustRightInd w:val="0"/>
        <w:spacing w:line="276" w:lineRule="auto"/>
        <w:contextualSpacing/>
        <w:rPr>
          <w:color w:val="000000" w:themeColor="text1"/>
          <w:sz w:val="24"/>
          <w:szCs w:val="24"/>
          <w:lang w:val="es-ES_tradnl"/>
        </w:rPr>
      </w:pPr>
      <w:r w:rsidRPr="00F45A6E">
        <w:rPr>
          <w:b/>
          <w:color w:val="000000" w:themeColor="text1"/>
          <w:sz w:val="24"/>
          <w:szCs w:val="24"/>
          <w:lang w:val="es-ES_tradnl"/>
        </w:rPr>
        <w:lastRenderedPageBreak/>
        <w:t>4.1.</w:t>
      </w:r>
      <w:r w:rsidRPr="00F45A6E">
        <w:rPr>
          <w:color w:val="000000" w:themeColor="text1"/>
          <w:sz w:val="24"/>
          <w:szCs w:val="24"/>
          <w:lang w:val="es-ES_tradnl"/>
        </w:rPr>
        <w:t xml:space="preserve"> </w:t>
      </w:r>
      <w:r w:rsidR="00D14AA9" w:rsidRPr="00F45A6E">
        <w:rPr>
          <w:color w:val="000000" w:themeColor="text1"/>
          <w:sz w:val="24"/>
          <w:szCs w:val="24"/>
          <w:lang w:val="es-ES_tradnl"/>
        </w:rPr>
        <w:t>La Unidad para la Atención y Reparación Integral de las Víctimas</w:t>
      </w:r>
      <w:r w:rsidR="00207E68" w:rsidRPr="00F45A6E">
        <w:rPr>
          <w:color w:val="000000" w:themeColor="text1"/>
          <w:sz w:val="24"/>
          <w:szCs w:val="24"/>
          <w:lang w:val="es-ES_tradnl"/>
        </w:rPr>
        <w:t xml:space="preserve"> di</w:t>
      </w:r>
      <w:r w:rsidR="00D14AA9" w:rsidRPr="00F45A6E">
        <w:rPr>
          <w:color w:val="000000" w:themeColor="text1"/>
          <w:sz w:val="24"/>
          <w:szCs w:val="24"/>
          <w:lang w:val="es-ES_tradnl"/>
        </w:rPr>
        <w:t>o cumplimiento a la sentencia de tutela del</w:t>
      </w:r>
      <w:r w:rsidR="00207E68" w:rsidRPr="00F45A6E">
        <w:rPr>
          <w:color w:val="000000" w:themeColor="text1"/>
          <w:sz w:val="24"/>
          <w:szCs w:val="24"/>
          <w:lang w:val="es-ES_tradnl"/>
        </w:rPr>
        <w:t xml:space="preserve"> 29 de abril de 2010 en tanto: (i) pagó</w:t>
      </w:r>
      <w:r w:rsidR="00D14AA9" w:rsidRPr="00F45A6E">
        <w:rPr>
          <w:color w:val="000000" w:themeColor="text1"/>
          <w:sz w:val="24"/>
          <w:szCs w:val="24"/>
          <w:lang w:val="es-ES_tradnl"/>
        </w:rPr>
        <w:t xml:space="preserve"> </w:t>
      </w:r>
      <w:r w:rsidR="00207E68" w:rsidRPr="00F45A6E">
        <w:rPr>
          <w:color w:val="000000" w:themeColor="text1"/>
          <w:sz w:val="24"/>
          <w:szCs w:val="24"/>
          <w:lang w:val="es-ES_tradnl"/>
        </w:rPr>
        <w:t xml:space="preserve">40 </w:t>
      </w:r>
      <w:proofErr w:type="spellStart"/>
      <w:r w:rsidR="00207E68" w:rsidRPr="00F45A6E">
        <w:rPr>
          <w:color w:val="000000" w:themeColor="text1"/>
          <w:sz w:val="24"/>
          <w:szCs w:val="24"/>
          <w:lang w:val="es-ES_tradnl"/>
        </w:rPr>
        <w:t>smlmv</w:t>
      </w:r>
      <w:proofErr w:type="spellEnd"/>
      <w:r w:rsidR="00D14AA9" w:rsidRPr="00F45A6E">
        <w:rPr>
          <w:color w:val="000000" w:themeColor="text1"/>
          <w:sz w:val="24"/>
          <w:szCs w:val="24"/>
          <w:lang w:val="es-ES_tradnl"/>
        </w:rPr>
        <w:t xml:space="preserve"> </w:t>
      </w:r>
      <w:r w:rsidR="00207E68" w:rsidRPr="00F45A6E">
        <w:rPr>
          <w:color w:val="000000" w:themeColor="text1"/>
          <w:sz w:val="24"/>
          <w:szCs w:val="24"/>
          <w:lang w:val="es-ES_tradnl"/>
        </w:rPr>
        <w:t>a l</w:t>
      </w:r>
      <w:r w:rsidRPr="00F45A6E">
        <w:rPr>
          <w:color w:val="000000" w:themeColor="text1"/>
          <w:sz w:val="24"/>
          <w:szCs w:val="24"/>
          <w:lang w:val="es-ES_tradnl"/>
        </w:rPr>
        <w:t xml:space="preserve">a señora Aida María Navarro de Barbosa </w:t>
      </w:r>
      <w:r w:rsidR="00207E68" w:rsidRPr="00F45A6E">
        <w:rPr>
          <w:color w:val="000000" w:themeColor="text1"/>
          <w:sz w:val="24"/>
          <w:szCs w:val="24"/>
          <w:lang w:val="es-ES_tradnl"/>
        </w:rPr>
        <w:t xml:space="preserve">y </w:t>
      </w:r>
      <w:r w:rsidR="004A685E">
        <w:rPr>
          <w:color w:val="000000" w:themeColor="text1"/>
          <w:sz w:val="24"/>
          <w:szCs w:val="24"/>
          <w:lang w:val="es-ES_tradnl"/>
        </w:rPr>
        <w:t xml:space="preserve">a </w:t>
      </w:r>
      <w:r w:rsidR="00207E68" w:rsidRPr="00F45A6E">
        <w:rPr>
          <w:color w:val="000000" w:themeColor="text1"/>
          <w:sz w:val="24"/>
          <w:szCs w:val="24"/>
          <w:lang w:val="es-ES_tradnl"/>
        </w:rPr>
        <w:t>su grupo familiar,</w:t>
      </w:r>
      <w:r w:rsidR="004A685E">
        <w:rPr>
          <w:color w:val="000000" w:themeColor="text1"/>
          <w:sz w:val="24"/>
          <w:szCs w:val="24"/>
          <w:lang w:val="es-ES_tradnl"/>
        </w:rPr>
        <w:t xml:space="preserve"> por concepto de </w:t>
      </w:r>
      <w:r w:rsidR="003A788C" w:rsidRPr="00F45A6E">
        <w:rPr>
          <w:color w:val="000000" w:themeColor="text1"/>
          <w:sz w:val="24"/>
          <w:szCs w:val="24"/>
          <w:lang w:val="es-ES_tradnl"/>
        </w:rPr>
        <w:t>indemnización por ví</w:t>
      </w:r>
      <w:r w:rsidR="00207E68" w:rsidRPr="00F45A6E">
        <w:rPr>
          <w:color w:val="000000" w:themeColor="text1"/>
          <w:sz w:val="24"/>
          <w:szCs w:val="24"/>
          <w:lang w:val="es-ES_tradnl"/>
        </w:rPr>
        <w:t>a administrativa</w:t>
      </w:r>
      <w:r w:rsidR="004A685E">
        <w:rPr>
          <w:color w:val="000000" w:themeColor="text1"/>
          <w:sz w:val="24"/>
          <w:szCs w:val="24"/>
          <w:lang w:val="es-ES_tradnl"/>
        </w:rPr>
        <w:t xml:space="preserve"> conforme al </w:t>
      </w:r>
      <w:r w:rsidR="004A685E" w:rsidRPr="004A685E">
        <w:rPr>
          <w:color w:val="000000" w:themeColor="text1"/>
          <w:sz w:val="24"/>
          <w:szCs w:val="24"/>
          <w:lang w:val="es-ES_tradnl"/>
        </w:rPr>
        <w:t>artículo 132 de la Ley 1448 de 2011</w:t>
      </w:r>
      <w:r w:rsidR="00207E68" w:rsidRPr="00F45A6E">
        <w:rPr>
          <w:color w:val="000000" w:themeColor="text1"/>
          <w:sz w:val="24"/>
          <w:szCs w:val="24"/>
          <w:lang w:val="es-ES_tradnl"/>
        </w:rPr>
        <w:t xml:space="preserve">; y (ii) dio respuesta de fondo a los </w:t>
      </w:r>
      <w:r w:rsidR="004A685E">
        <w:rPr>
          <w:color w:val="000000" w:themeColor="text1"/>
          <w:sz w:val="24"/>
          <w:szCs w:val="24"/>
          <w:lang w:val="es-ES_tradnl"/>
        </w:rPr>
        <w:t>escrit</w:t>
      </w:r>
      <w:r w:rsidR="00207E68" w:rsidRPr="00F45A6E">
        <w:rPr>
          <w:color w:val="000000" w:themeColor="text1"/>
          <w:sz w:val="24"/>
          <w:szCs w:val="24"/>
          <w:lang w:val="es-ES_tradnl"/>
        </w:rPr>
        <w:t xml:space="preserve">os de petición en los que </w:t>
      </w:r>
      <w:r w:rsidR="0004707B" w:rsidRPr="00F45A6E">
        <w:rPr>
          <w:color w:val="000000" w:themeColor="text1"/>
          <w:sz w:val="24"/>
          <w:szCs w:val="24"/>
          <w:lang w:val="es-ES_tradnl"/>
        </w:rPr>
        <w:t>solicitaro</w:t>
      </w:r>
      <w:r w:rsidR="00207E68" w:rsidRPr="00F45A6E">
        <w:rPr>
          <w:color w:val="000000" w:themeColor="text1"/>
          <w:sz w:val="24"/>
          <w:szCs w:val="24"/>
          <w:lang w:val="es-ES_tradnl"/>
        </w:rPr>
        <w:t>n la reparación.</w:t>
      </w:r>
    </w:p>
    <w:p w14:paraId="14D23E77" w14:textId="77777777" w:rsidR="0004707B" w:rsidRPr="00F45A6E" w:rsidRDefault="0004707B" w:rsidP="00F45A6E">
      <w:pPr>
        <w:overflowPunct w:val="0"/>
        <w:autoSpaceDE w:val="0"/>
        <w:autoSpaceDN w:val="0"/>
        <w:adjustRightInd w:val="0"/>
        <w:spacing w:line="276" w:lineRule="auto"/>
        <w:contextualSpacing/>
        <w:rPr>
          <w:color w:val="000000" w:themeColor="text1"/>
          <w:sz w:val="24"/>
          <w:szCs w:val="24"/>
          <w:lang w:val="es-ES_tradnl"/>
        </w:rPr>
      </w:pPr>
    </w:p>
    <w:p w14:paraId="6CDCB376" w14:textId="06C8D033" w:rsidR="007B4590" w:rsidRPr="00F45A6E" w:rsidRDefault="007B4590" w:rsidP="00F45A6E">
      <w:pPr>
        <w:overflowPunct w:val="0"/>
        <w:autoSpaceDE w:val="0"/>
        <w:autoSpaceDN w:val="0"/>
        <w:adjustRightInd w:val="0"/>
        <w:spacing w:line="276" w:lineRule="auto"/>
        <w:contextualSpacing/>
        <w:rPr>
          <w:color w:val="000000" w:themeColor="text1"/>
          <w:sz w:val="24"/>
          <w:szCs w:val="24"/>
          <w:lang w:val="es-ES_tradnl"/>
        </w:rPr>
      </w:pPr>
      <w:r w:rsidRPr="00F45A6E">
        <w:rPr>
          <w:b/>
          <w:color w:val="000000" w:themeColor="text1"/>
          <w:sz w:val="24"/>
          <w:szCs w:val="24"/>
          <w:lang w:val="es-ES_tradnl"/>
        </w:rPr>
        <w:t>4.2.</w:t>
      </w:r>
      <w:r w:rsidRPr="00F45A6E">
        <w:rPr>
          <w:color w:val="000000" w:themeColor="text1"/>
          <w:sz w:val="24"/>
          <w:szCs w:val="24"/>
          <w:lang w:val="es-ES_tradnl"/>
        </w:rPr>
        <w:t xml:space="preserve"> </w:t>
      </w:r>
      <w:r w:rsidR="003E1085" w:rsidRPr="00F45A6E">
        <w:rPr>
          <w:color w:val="000000" w:themeColor="text1"/>
          <w:sz w:val="24"/>
          <w:szCs w:val="24"/>
          <w:lang w:val="es-ES_tradnl"/>
        </w:rPr>
        <w:t xml:space="preserve">La </w:t>
      </w:r>
      <w:r w:rsidR="003E1085" w:rsidRPr="00F45A6E">
        <w:rPr>
          <w:color w:val="000000" w:themeColor="text1"/>
          <w:sz w:val="24"/>
          <w:szCs w:val="24"/>
        </w:rPr>
        <w:t>Sala de Decisión A del</w:t>
      </w:r>
      <w:r w:rsidR="003E1085" w:rsidRPr="00F45A6E">
        <w:rPr>
          <w:b/>
          <w:color w:val="000000" w:themeColor="text1"/>
          <w:sz w:val="24"/>
          <w:szCs w:val="24"/>
        </w:rPr>
        <w:t xml:space="preserve"> </w:t>
      </w:r>
      <w:r w:rsidR="003E1085" w:rsidRPr="00F45A6E">
        <w:rPr>
          <w:bCs/>
          <w:color w:val="000000" w:themeColor="text1"/>
          <w:sz w:val="24"/>
          <w:szCs w:val="24"/>
        </w:rPr>
        <w:t>Tribunal Administrativo del Atlántico y la Sección Quinta del Consejo de Estado</w:t>
      </w:r>
      <w:r w:rsidR="00742D3A" w:rsidRPr="00F45A6E">
        <w:rPr>
          <w:color w:val="000000" w:themeColor="text1"/>
          <w:sz w:val="24"/>
          <w:szCs w:val="24"/>
          <w:lang w:val="es-ES_tradnl"/>
        </w:rPr>
        <w:t xml:space="preserve"> p</w:t>
      </w:r>
      <w:r w:rsidR="002812FA" w:rsidRPr="00F45A6E">
        <w:rPr>
          <w:color w:val="000000" w:themeColor="text1"/>
          <w:sz w:val="24"/>
          <w:szCs w:val="24"/>
          <w:lang w:val="es-ES_tradnl"/>
        </w:rPr>
        <w:t>retenden</w:t>
      </w:r>
      <w:r w:rsidRPr="00F45A6E">
        <w:rPr>
          <w:color w:val="000000" w:themeColor="text1"/>
          <w:sz w:val="24"/>
          <w:szCs w:val="24"/>
          <w:lang w:val="es-ES_tradnl"/>
        </w:rPr>
        <w:t xml:space="preserve"> que se utilice la tutela para condenar en abstracto </w:t>
      </w:r>
      <w:r w:rsidR="001D4297" w:rsidRPr="00F45A6E">
        <w:rPr>
          <w:color w:val="000000" w:themeColor="text1"/>
          <w:sz w:val="24"/>
          <w:szCs w:val="24"/>
          <w:lang w:val="es-ES_tradnl"/>
        </w:rPr>
        <w:t>sin tener en cuenta</w:t>
      </w:r>
      <w:r w:rsidR="002812FA" w:rsidRPr="00F45A6E">
        <w:rPr>
          <w:color w:val="000000" w:themeColor="text1"/>
          <w:sz w:val="24"/>
          <w:szCs w:val="24"/>
          <w:lang w:val="es-ES_tradnl"/>
        </w:rPr>
        <w:t xml:space="preserve"> que </w:t>
      </w:r>
      <w:r w:rsidR="00742D3A" w:rsidRPr="00F45A6E">
        <w:rPr>
          <w:color w:val="000000" w:themeColor="text1"/>
          <w:sz w:val="24"/>
          <w:szCs w:val="24"/>
          <w:lang w:val="es-ES_tradnl"/>
        </w:rPr>
        <w:t>lo ordenado en el fallo es que se emita una respuesta de fondo y no que se paguen los perjuicios</w:t>
      </w:r>
      <w:r w:rsidR="002812FA" w:rsidRPr="00F45A6E">
        <w:rPr>
          <w:color w:val="000000" w:themeColor="text1"/>
          <w:sz w:val="24"/>
          <w:szCs w:val="24"/>
          <w:lang w:val="es-ES_tradnl"/>
        </w:rPr>
        <w:t xml:space="preserve">. Además, </w:t>
      </w:r>
      <w:r w:rsidR="004A685E">
        <w:rPr>
          <w:color w:val="000000" w:themeColor="text1"/>
          <w:sz w:val="24"/>
          <w:szCs w:val="24"/>
          <w:lang w:val="es-ES_tradnl"/>
        </w:rPr>
        <w:t>desconocen</w:t>
      </w:r>
      <w:r w:rsidR="002812FA" w:rsidRPr="00F45A6E">
        <w:rPr>
          <w:color w:val="000000" w:themeColor="text1"/>
          <w:sz w:val="24"/>
          <w:szCs w:val="24"/>
          <w:lang w:val="es-ES_tradnl"/>
        </w:rPr>
        <w:t xml:space="preserve"> que tal procedimiento se rige por estrictos requisitos fijados por la </w:t>
      </w:r>
      <w:r w:rsidR="001D4297" w:rsidRPr="00F45A6E">
        <w:rPr>
          <w:color w:val="000000" w:themeColor="text1"/>
          <w:sz w:val="24"/>
          <w:szCs w:val="24"/>
          <w:lang w:val="es-ES_tradnl"/>
        </w:rPr>
        <w:t>Corte Constitucional</w:t>
      </w:r>
      <w:r w:rsidR="00135C24" w:rsidRPr="00F45A6E">
        <w:rPr>
          <w:color w:val="000000" w:themeColor="text1"/>
          <w:sz w:val="24"/>
          <w:szCs w:val="24"/>
          <w:lang w:val="es-ES_tradnl"/>
        </w:rPr>
        <w:t>.</w:t>
      </w:r>
    </w:p>
    <w:p w14:paraId="59E78EBA" w14:textId="77777777" w:rsidR="00E102A6" w:rsidRPr="00F45A6E" w:rsidRDefault="00E102A6" w:rsidP="00F45A6E">
      <w:pPr>
        <w:overflowPunct w:val="0"/>
        <w:autoSpaceDE w:val="0"/>
        <w:autoSpaceDN w:val="0"/>
        <w:adjustRightInd w:val="0"/>
        <w:spacing w:line="276" w:lineRule="auto"/>
        <w:contextualSpacing/>
        <w:rPr>
          <w:color w:val="000000" w:themeColor="text1"/>
          <w:sz w:val="24"/>
          <w:szCs w:val="24"/>
          <w:lang w:val="es-ES_tradnl"/>
        </w:rPr>
      </w:pPr>
    </w:p>
    <w:p w14:paraId="235B5D0D" w14:textId="3075D484" w:rsidR="00E102A6" w:rsidRPr="00F45A6E" w:rsidRDefault="00E102A6" w:rsidP="00F45A6E">
      <w:pPr>
        <w:overflowPunct w:val="0"/>
        <w:autoSpaceDE w:val="0"/>
        <w:autoSpaceDN w:val="0"/>
        <w:adjustRightInd w:val="0"/>
        <w:spacing w:line="276" w:lineRule="auto"/>
        <w:contextualSpacing/>
        <w:rPr>
          <w:color w:val="000000" w:themeColor="text1"/>
          <w:sz w:val="24"/>
          <w:szCs w:val="24"/>
          <w:lang w:val="es-ES_tradnl"/>
        </w:rPr>
      </w:pPr>
      <w:r w:rsidRPr="00F45A6E">
        <w:rPr>
          <w:b/>
          <w:color w:val="000000" w:themeColor="text1"/>
          <w:sz w:val="24"/>
          <w:szCs w:val="24"/>
          <w:lang w:val="es-ES_tradnl"/>
        </w:rPr>
        <w:t>4.3.</w:t>
      </w:r>
      <w:r w:rsidRPr="00F45A6E">
        <w:rPr>
          <w:color w:val="000000" w:themeColor="text1"/>
          <w:sz w:val="24"/>
          <w:szCs w:val="24"/>
          <w:lang w:val="es-ES_tradnl"/>
        </w:rPr>
        <w:t xml:space="preserve"> El Tribunal Administrativo del Atlántico profirió su decisión sin tener la competencia para ello por cuanto </w:t>
      </w:r>
      <w:r w:rsidR="009306ED" w:rsidRPr="00F45A6E">
        <w:rPr>
          <w:color w:val="000000" w:themeColor="text1"/>
          <w:sz w:val="24"/>
          <w:szCs w:val="24"/>
          <w:lang w:val="es-ES_tradnl"/>
        </w:rPr>
        <w:t xml:space="preserve">esta solo se conserva mientras no se haya dado cumplimiento a lo ordenado y </w:t>
      </w:r>
      <w:r w:rsidRPr="00F45A6E">
        <w:rPr>
          <w:color w:val="000000" w:themeColor="text1"/>
          <w:sz w:val="24"/>
          <w:szCs w:val="24"/>
          <w:lang w:val="es-ES_tradnl"/>
        </w:rPr>
        <w:t xml:space="preserve">en providencia del 1 de abril de 2011 </w:t>
      </w:r>
      <w:r w:rsidR="009306ED" w:rsidRPr="00F45A6E">
        <w:rPr>
          <w:color w:val="000000" w:themeColor="text1"/>
          <w:sz w:val="24"/>
          <w:szCs w:val="24"/>
          <w:lang w:val="es-ES_tradnl"/>
        </w:rPr>
        <w:t xml:space="preserve">esta autoridad </w:t>
      </w:r>
      <w:r w:rsidRPr="00F45A6E">
        <w:rPr>
          <w:color w:val="000000" w:themeColor="text1"/>
          <w:sz w:val="24"/>
          <w:szCs w:val="24"/>
          <w:lang w:val="es-ES_tradnl"/>
        </w:rPr>
        <w:t xml:space="preserve">resolvió que </w:t>
      </w:r>
      <w:r w:rsidR="009306ED" w:rsidRPr="00F45A6E">
        <w:rPr>
          <w:color w:val="000000" w:themeColor="text1"/>
          <w:sz w:val="24"/>
          <w:szCs w:val="24"/>
          <w:lang w:val="es-ES_tradnl"/>
        </w:rPr>
        <w:t xml:space="preserve">ya </w:t>
      </w:r>
      <w:r w:rsidRPr="00F45A6E">
        <w:rPr>
          <w:color w:val="000000" w:themeColor="text1"/>
          <w:sz w:val="24"/>
          <w:szCs w:val="24"/>
          <w:lang w:val="es-ES_tradnl"/>
        </w:rPr>
        <w:t xml:space="preserve">se había </w:t>
      </w:r>
      <w:r w:rsidR="009306ED" w:rsidRPr="00F45A6E">
        <w:rPr>
          <w:color w:val="000000" w:themeColor="text1"/>
          <w:sz w:val="24"/>
          <w:szCs w:val="24"/>
          <w:lang w:val="es-ES_tradnl"/>
        </w:rPr>
        <w:t>acatado el fallo de tutela del 29 de abril de 2010.</w:t>
      </w:r>
    </w:p>
    <w:p w14:paraId="47C37E30" w14:textId="77777777" w:rsidR="00761528" w:rsidRPr="00F45A6E" w:rsidRDefault="00761528" w:rsidP="00F45A6E">
      <w:pPr>
        <w:overflowPunct w:val="0"/>
        <w:autoSpaceDE w:val="0"/>
        <w:autoSpaceDN w:val="0"/>
        <w:adjustRightInd w:val="0"/>
        <w:spacing w:line="276" w:lineRule="auto"/>
        <w:contextualSpacing/>
        <w:rPr>
          <w:color w:val="000000" w:themeColor="text1"/>
          <w:sz w:val="24"/>
          <w:szCs w:val="24"/>
          <w:lang w:val="es-ES_tradnl"/>
        </w:rPr>
      </w:pPr>
    </w:p>
    <w:p w14:paraId="31CCE103" w14:textId="00FA2786" w:rsidR="00761528" w:rsidRPr="00F45A6E" w:rsidRDefault="00761528" w:rsidP="00F45A6E">
      <w:pPr>
        <w:overflowPunct w:val="0"/>
        <w:autoSpaceDE w:val="0"/>
        <w:autoSpaceDN w:val="0"/>
        <w:adjustRightInd w:val="0"/>
        <w:spacing w:line="276" w:lineRule="auto"/>
        <w:contextualSpacing/>
        <w:rPr>
          <w:color w:val="000000" w:themeColor="text1"/>
          <w:sz w:val="24"/>
          <w:szCs w:val="24"/>
          <w:lang w:val="es-ES_tradnl"/>
        </w:rPr>
      </w:pPr>
      <w:r w:rsidRPr="00F45A6E">
        <w:rPr>
          <w:b/>
          <w:color w:val="000000" w:themeColor="text1"/>
          <w:sz w:val="24"/>
          <w:szCs w:val="24"/>
          <w:lang w:val="es-ES_tradnl"/>
        </w:rPr>
        <w:t>4.4.</w:t>
      </w:r>
      <w:r w:rsidRPr="00F45A6E">
        <w:rPr>
          <w:color w:val="000000" w:themeColor="text1"/>
          <w:sz w:val="24"/>
          <w:szCs w:val="24"/>
          <w:lang w:val="es-ES_tradnl"/>
        </w:rPr>
        <w:t xml:space="preserve"> </w:t>
      </w:r>
      <w:r w:rsidR="001651E5" w:rsidRPr="00F45A6E">
        <w:rPr>
          <w:bCs/>
          <w:color w:val="000000" w:themeColor="text1"/>
          <w:sz w:val="24"/>
          <w:szCs w:val="24"/>
          <w:lang w:val="es-ES_tradnl"/>
        </w:rPr>
        <w:t>L</w:t>
      </w:r>
      <w:r w:rsidR="001651E5" w:rsidRPr="00F45A6E">
        <w:rPr>
          <w:bCs/>
          <w:color w:val="000000" w:themeColor="text1"/>
          <w:sz w:val="24"/>
          <w:szCs w:val="24"/>
        </w:rPr>
        <w:t>a Sección Quinta del Consejo de Estado</w:t>
      </w:r>
      <w:r w:rsidR="004A685E">
        <w:rPr>
          <w:bCs/>
          <w:color w:val="000000" w:themeColor="text1"/>
          <w:sz w:val="24"/>
          <w:szCs w:val="24"/>
        </w:rPr>
        <w:t>,</w:t>
      </w:r>
      <w:r w:rsidR="001651E5" w:rsidRPr="00F45A6E">
        <w:rPr>
          <w:bCs/>
          <w:color w:val="000000" w:themeColor="text1"/>
          <w:sz w:val="24"/>
          <w:szCs w:val="24"/>
        </w:rPr>
        <w:t xml:space="preserve"> al revisar </w:t>
      </w:r>
      <w:r w:rsidR="000153A5" w:rsidRPr="00F45A6E">
        <w:rPr>
          <w:bCs/>
          <w:color w:val="000000" w:themeColor="text1"/>
          <w:sz w:val="24"/>
          <w:szCs w:val="24"/>
        </w:rPr>
        <w:t>la sanción</w:t>
      </w:r>
      <w:r w:rsidR="009F2C3D">
        <w:rPr>
          <w:bCs/>
          <w:color w:val="000000" w:themeColor="text1"/>
          <w:sz w:val="24"/>
          <w:szCs w:val="24"/>
        </w:rPr>
        <w:t>,</w:t>
      </w:r>
      <w:r w:rsidR="000153A5" w:rsidRPr="00F45A6E">
        <w:rPr>
          <w:bCs/>
          <w:color w:val="000000" w:themeColor="text1"/>
          <w:sz w:val="24"/>
          <w:szCs w:val="24"/>
        </w:rPr>
        <w:t xml:space="preserve"> no tuvo en cuenta que no se cumplía el factor subjetivo que la Corte Constitucional ha previsto como necesario para </w:t>
      </w:r>
      <w:r w:rsidR="003213B5" w:rsidRPr="00F45A6E">
        <w:rPr>
          <w:bCs/>
          <w:color w:val="000000" w:themeColor="text1"/>
          <w:sz w:val="24"/>
          <w:szCs w:val="24"/>
        </w:rPr>
        <w:t>declarar el desacato</w:t>
      </w:r>
      <w:r w:rsidR="00A46151" w:rsidRPr="00F45A6E">
        <w:rPr>
          <w:bCs/>
          <w:color w:val="000000" w:themeColor="text1"/>
          <w:sz w:val="24"/>
          <w:szCs w:val="24"/>
        </w:rPr>
        <w:t xml:space="preserve">. Lo anterior, toda vez que </w:t>
      </w:r>
      <w:r w:rsidR="00A0522E" w:rsidRPr="00F45A6E">
        <w:rPr>
          <w:color w:val="000000" w:themeColor="text1"/>
          <w:sz w:val="24"/>
          <w:szCs w:val="24"/>
          <w:lang w:val="es-ES_tradnl"/>
        </w:rPr>
        <w:t xml:space="preserve">los funcionarios de la </w:t>
      </w:r>
      <w:r w:rsidR="00A46151" w:rsidRPr="00F45A6E">
        <w:rPr>
          <w:color w:val="000000" w:themeColor="text1"/>
          <w:sz w:val="24"/>
          <w:szCs w:val="24"/>
          <w:lang w:val="es-ES_tradnl"/>
        </w:rPr>
        <w:t>UARIV</w:t>
      </w:r>
      <w:r w:rsidR="00A0522E" w:rsidRPr="00F45A6E">
        <w:rPr>
          <w:color w:val="000000" w:themeColor="text1"/>
          <w:sz w:val="24"/>
          <w:szCs w:val="24"/>
          <w:lang w:val="es-ES_tradnl"/>
        </w:rPr>
        <w:t xml:space="preserve"> </w:t>
      </w:r>
      <w:r w:rsidR="00A46151" w:rsidRPr="00F45A6E">
        <w:rPr>
          <w:color w:val="000000" w:themeColor="text1"/>
          <w:sz w:val="24"/>
          <w:szCs w:val="24"/>
          <w:lang w:val="es-ES_tradnl"/>
        </w:rPr>
        <w:t>encargados</w:t>
      </w:r>
      <w:r w:rsidR="00A0522E" w:rsidRPr="00F45A6E">
        <w:rPr>
          <w:color w:val="000000" w:themeColor="text1"/>
          <w:sz w:val="24"/>
          <w:szCs w:val="24"/>
          <w:lang w:val="es-ES_tradnl"/>
        </w:rPr>
        <w:t xml:space="preserve"> </w:t>
      </w:r>
      <w:r w:rsidR="00A46151" w:rsidRPr="00F45A6E">
        <w:rPr>
          <w:color w:val="000000" w:themeColor="text1"/>
          <w:sz w:val="24"/>
          <w:szCs w:val="24"/>
          <w:lang w:val="es-ES_tradnl"/>
        </w:rPr>
        <w:t>d</w:t>
      </w:r>
      <w:r w:rsidR="00A0522E" w:rsidRPr="00F45A6E">
        <w:rPr>
          <w:color w:val="000000" w:themeColor="text1"/>
          <w:sz w:val="24"/>
          <w:szCs w:val="24"/>
          <w:lang w:val="es-ES_tradnl"/>
        </w:rPr>
        <w:t xml:space="preserve">el cumplimiento de la sentencia de tutela antes mencionada no </w:t>
      </w:r>
      <w:r w:rsidR="009F2C3D">
        <w:rPr>
          <w:color w:val="000000" w:themeColor="text1"/>
          <w:sz w:val="24"/>
          <w:szCs w:val="24"/>
          <w:lang w:val="es-ES_tradnl"/>
        </w:rPr>
        <w:t>obraron con negligencia</w:t>
      </w:r>
      <w:r w:rsidR="00A0522E" w:rsidRPr="00F45A6E">
        <w:rPr>
          <w:color w:val="000000" w:themeColor="text1"/>
          <w:sz w:val="24"/>
          <w:szCs w:val="24"/>
          <w:lang w:val="es-ES_tradnl"/>
        </w:rPr>
        <w:t>.</w:t>
      </w:r>
    </w:p>
    <w:p w14:paraId="4B94D5A5" w14:textId="77777777" w:rsidR="000C5DB7" w:rsidRPr="00F45A6E" w:rsidRDefault="000C5DB7" w:rsidP="00F45A6E">
      <w:pPr>
        <w:overflowPunct w:val="0"/>
        <w:autoSpaceDE w:val="0"/>
        <w:autoSpaceDN w:val="0"/>
        <w:adjustRightInd w:val="0"/>
        <w:spacing w:line="276" w:lineRule="auto"/>
        <w:contextualSpacing/>
        <w:rPr>
          <w:color w:val="000000" w:themeColor="text1"/>
          <w:sz w:val="24"/>
          <w:szCs w:val="24"/>
          <w:lang w:val="es-ES_tradnl"/>
        </w:rPr>
      </w:pPr>
    </w:p>
    <w:p w14:paraId="344FE524" w14:textId="77777777" w:rsidR="000C5DB7" w:rsidRPr="00F45A6E" w:rsidRDefault="00E800E8" w:rsidP="00F45A6E">
      <w:pPr>
        <w:numPr>
          <w:ilvl w:val="0"/>
          <w:numId w:val="3"/>
        </w:numPr>
        <w:overflowPunct w:val="0"/>
        <w:autoSpaceDE w:val="0"/>
        <w:autoSpaceDN w:val="0"/>
        <w:adjustRightInd w:val="0"/>
        <w:spacing w:line="276" w:lineRule="auto"/>
        <w:contextualSpacing/>
        <w:rPr>
          <w:rFonts w:eastAsia="Times New Roman"/>
          <w:b/>
          <w:color w:val="000000" w:themeColor="text1"/>
          <w:sz w:val="24"/>
          <w:szCs w:val="24"/>
          <w:lang w:eastAsia="es-ES"/>
        </w:rPr>
      </w:pPr>
      <w:r w:rsidRPr="00F45A6E">
        <w:rPr>
          <w:b/>
          <w:color w:val="000000" w:themeColor="text1"/>
          <w:sz w:val="24"/>
          <w:szCs w:val="24"/>
        </w:rPr>
        <w:t>Trámite</w:t>
      </w:r>
      <w:r w:rsidR="00166AF6" w:rsidRPr="00F45A6E">
        <w:rPr>
          <w:b/>
          <w:color w:val="000000" w:themeColor="text1"/>
          <w:sz w:val="24"/>
          <w:szCs w:val="24"/>
        </w:rPr>
        <w:t xml:space="preserve"> de tutela e intervenciones  </w:t>
      </w:r>
    </w:p>
    <w:p w14:paraId="73834E88" w14:textId="77777777" w:rsidR="00D1263D" w:rsidRPr="00F45A6E" w:rsidRDefault="00D1263D" w:rsidP="00F45A6E">
      <w:pPr>
        <w:overflowPunct w:val="0"/>
        <w:autoSpaceDE w:val="0"/>
        <w:autoSpaceDN w:val="0"/>
        <w:adjustRightInd w:val="0"/>
        <w:spacing w:line="276" w:lineRule="auto"/>
        <w:rPr>
          <w:color w:val="000000" w:themeColor="text1"/>
          <w:sz w:val="24"/>
          <w:szCs w:val="24"/>
        </w:rPr>
      </w:pPr>
    </w:p>
    <w:p w14:paraId="1D91EE29" w14:textId="700226EE" w:rsidR="004A18C5" w:rsidRPr="00F45A6E" w:rsidRDefault="004851CF" w:rsidP="00F45A6E">
      <w:pPr>
        <w:pStyle w:val="p1"/>
        <w:spacing w:line="276" w:lineRule="auto"/>
        <w:jc w:val="both"/>
        <w:rPr>
          <w:rFonts w:ascii="Arial" w:hAnsi="Arial" w:cs="Arial"/>
          <w:bCs/>
          <w:iCs/>
          <w:color w:val="000000" w:themeColor="text1"/>
          <w:sz w:val="24"/>
          <w:szCs w:val="24"/>
        </w:rPr>
      </w:pPr>
      <w:r w:rsidRPr="004851CF">
        <w:rPr>
          <w:rFonts w:ascii="Arial" w:hAnsi="Arial" w:cs="Arial"/>
          <w:b/>
          <w:color w:val="000000" w:themeColor="text1"/>
          <w:sz w:val="24"/>
          <w:szCs w:val="24"/>
        </w:rPr>
        <w:t>5.1.</w:t>
      </w:r>
      <w:r>
        <w:rPr>
          <w:rFonts w:ascii="Arial" w:hAnsi="Arial" w:cs="Arial"/>
          <w:color w:val="000000" w:themeColor="text1"/>
          <w:sz w:val="24"/>
          <w:szCs w:val="24"/>
        </w:rPr>
        <w:t xml:space="preserve"> </w:t>
      </w:r>
      <w:r w:rsidR="00D1263D" w:rsidRPr="00F45A6E">
        <w:rPr>
          <w:rFonts w:ascii="Arial" w:hAnsi="Arial" w:cs="Arial"/>
          <w:color w:val="000000" w:themeColor="text1"/>
          <w:sz w:val="24"/>
          <w:szCs w:val="24"/>
        </w:rPr>
        <w:t xml:space="preserve">El </w:t>
      </w:r>
      <w:r w:rsidR="00A46151" w:rsidRPr="00F45A6E">
        <w:rPr>
          <w:rFonts w:ascii="Arial" w:hAnsi="Arial" w:cs="Arial"/>
          <w:color w:val="000000" w:themeColor="text1"/>
          <w:sz w:val="24"/>
          <w:szCs w:val="24"/>
        </w:rPr>
        <w:t xml:space="preserve">expediente </w:t>
      </w:r>
      <w:r w:rsidR="00084416" w:rsidRPr="00F45A6E">
        <w:rPr>
          <w:rFonts w:ascii="Arial" w:hAnsi="Arial" w:cs="Arial"/>
          <w:color w:val="000000" w:themeColor="text1"/>
          <w:sz w:val="24"/>
          <w:szCs w:val="24"/>
        </w:rPr>
        <w:t>correspondió</w:t>
      </w:r>
      <w:r w:rsidR="00A46151" w:rsidRPr="00F45A6E">
        <w:rPr>
          <w:rFonts w:ascii="Arial" w:hAnsi="Arial" w:cs="Arial"/>
          <w:color w:val="000000" w:themeColor="text1"/>
          <w:sz w:val="24"/>
          <w:szCs w:val="24"/>
        </w:rPr>
        <w:t xml:space="preserve"> </w:t>
      </w:r>
      <w:r w:rsidR="00995803" w:rsidRPr="00F45A6E">
        <w:rPr>
          <w:rFonts w:ascii="Arial" w:hAnsi="Arial" w:cs="Arial"/>
          <w:color w:val="000000" w:themeColor="text1"/>
          <w:sz w:val="24"/>
          <w:szCs w:val="24"/>
        </w:rPr>
        <w:t xml:space="preserve">inicialmente </w:t>
      </w:r>
      <w:r w:rsidR="00A46151" w:rsidRPr="00F45A6E">
        <w:rPr>
          <w:rFonts w:ascii="Arial" w:hAnsi="Arial" w:cs="Arial"/>
          <w:color w:val="000000" w:themeColor="text1"/>
          <w:sz w:val="24"/>
          <w:szCs w:val="24"/>
        </w:rPr>
        <w:t>al Despacho de la Magistrada Rocío Araújo Oñate de la Secció</w:t>
      </w:r>
      <w:r w:rsidR="00825D70" w:rsidRPr="00F45A6E">
        <w:rPr>
          <w:rFonts w:ascii="Arial" w:hAnsi="Arial" w:cs="Arial"/>
          <w:color w:val="000000" w:themeColor="text1"/>
          <w:sz w:val="24"/>
          <w:szCs w:val="24"/>
        </w:rPr>
        <w:t>n Quinta del Consejo de Estado</w:t>
      </w:r>
      <w:r w:rsidR="00A46151" w:rsidRPr="00F45A6E">
        <w:rPr>
          <w:rFonts w:ascii="Arial" w:hAnsi="Arial" w:cs="Arial"/>
          <w:color w:val="000000" w:themeColor="text1"/>
          <w:sz w:val="24"/>
          <w:szCs w:val="24"/>
        </w:rPr>
        <w:t>. Sin embargo</w:t>
      </w:r>
      <w:r w:rsidR="00421842" w:rsidRPr="00F45A6E">
        <w:rPr>
          <w:rFonts w:ascii="Arial" w:hAnsi="Arial" w:cs="Arial"/>
          <w:color w:val="000000" w:themeColor="text1"/>
          <w:sz w:val="24"/>
          <w:szCs w:val="24"/>
        </w:rPr>
        <w:t xml:space="preserve">, </w:t>
      </w:r>
      <w:r w:rsidR="004A18C5" w:rsidRPr="00F45A6E">
        <w:rPr>
          <w:rFonts w:ascii="Arial" w:hAnsi="Arial" w:cs="Arial"/>
          <w:color w:val="000000" w:themeColor="text1"/>
          <w:sz w:val="24"/>
          <w:szCs w:val="24"/>
        </w:rPr>
        <w:t>en auto del 9 de septiembre de 2020</w:t>
      </w:r>
      <w:r w:rsidR="004A18C5" w:rsidRPr="00F45A6E">
        <w:rPr>
          <w:rStyle w:val="Refdenotaalpie"/>
          <w:rFonts w:ascii="Arial" w:hAnsi="Arial" w:cs="Arial"/>
          <w:color w:val="000000" w:themeColor="text1"/>
          <w:sz w:val="24"/>
          <w:szCs w:val="24"/>
        </w:rPr>
        <w:footnoteReference w:id="7"/>
      </w:r>
      <w:r w:rsidR="004A18C5" w:rsidRPr="00F45A6E">
        <w:rPr>
          <w:rFonts w:ascii="Arial" w:hAnsi="Arial" w:cs="Arial"/>
          <w:color w:val="000000" w:themeColor="text1"/>
          <w:sz w:val="24"/>
          <w:szCs w:val="24"/>
        </w:rPr>
        <w:t xml:space="preserve">, lo remitió a la Secretaría General </w:t>
      </w:r>
      <w:r w:rsidR="004A18C5" w:rsidRPr="00F45A6E">
        <w:rPr>
          <w:rFonts w:ascii="Arial" w:hAnsi="Arial" w:cs="Arial"/>
          <w:bCs/>
          <w:iCs/>
          <w:color w:val="000000" w:themeColor="text1"/>
          <w:sz w:val="24"/>
          <w:szCs w:val="24"/>
        </w:rPr>
        <w:t xml:space="preserve">para que </w:t>
      </w:r>
      <w:r w:rsidR="00B01D8A" w:rsidRPr="00F45A6E">
        <w:rPr>
          <w:rFonts w:ascii="Arial" w:hAnsi="Arial" w:cs="Arial"/>
          <w:bCs/>
          <w:iCs/>
          <w:color w:val="000000" w:themeColor="text1"/>
          <w:sz w:val="24"/>
          <w:szCs w:val="24"/>
        </w:rPr>
        <w:t>lo</w:t>
      </w:r>
      <w:r w:rsidR="004A18C5" w:rsidRPr="00F45A6E">
        <w:rPr>
          <w:rFonts w:ascii="Arial" w:hAnsi="Arial" w:cs="Arial"/>
          <w:bCs/>
          <w:iCs/>
          <w:color w:val="000000" w:themeColor="text1"/>
          <w:sz w:val="24"/>
          <w:szCs w:val="24"/>
        </w:rPr>
        <w:t xml:space="preserve"> repartiera nuevamente</w:t>
      </w:r>
      <w:r w:rsidR="00B01D8A" w:rsidRPr="00F45A6E">
        <w:rPr>
          <w:rFonts w:ascii="Arial" w:hAnsi="Arial" w:cs="Arial"/>
          <w:bCs/>
          <w:iCs/>
          <w:color w:val="000000" w:themeColor="text1"/>
          <w:sz w:val="24"/>
          <w:szCs w:val="24"/>
        </w:rPr>
        <w:t>,</w:t>
      </w:r>
      <w:r w:rsidR="004A18C5" w:rsidRPr="00F45A6E">
        <w:rPr>
          <w:rFonts w:ascii="Arial" w:hAnsi="Arial" w:cs="Arial"/>
          <w:bCs/>
          <w:iCs/>
          <w:color w:val="000000" w:themeColor="text1"/>
          <w:sz w:val="24"/>
          <w:szCs w:val="24"/>
        </w:rPr>
        <w:t xml:space="preserve"> porque la Sección Quinta de esta Corporación era una de las accionadas en la solicitud de amparo</w:t>
      </w:r>
      <w:r w:rsidR="004A18C5" w:rsidRPr="00F45A6E">
        <w:rPr>
          <w:rStyle w:val="Refdenotaalpie"/>
          <w:rFonts w:ascii="Arial" w:hAnsi="Arial" w:cs="Arial"/>
          <w:bCs/>
          <w:iCs/>
          <w:color w:val="000000" w:themeColor="text1"/>
          <w:sz w:val="24"/>
          <w:szCs w:val="24"/>
        </w:rPr>
        <w:footnoteReference w:id="8"/>
      </w:r>
      <w:r w:rsidR="004A18C5" w:rsidRPr="00F45A6E">
        <w:rPr>
          <w:rFonts w:ascii="Arial" w:hAnsi="Arial" w:cs="Arial"/>
          <w:bCs/>
          <w:iCs/>
          <w:color w:val="000000" w:themeColor="text1"/>
          <w:sz w:val="24"/>
          <w:szCs w:val="24"/>
        </w:rPr>
        <w:t>.</w:t>
      </w:r>
    </w:p>
    <w:p w14:paraId="09E371CD" w14:textId="77777777" w:rsidR="00825D70" w:rsidRPr="00F45A6E" w:rsidRDefault="00825D70" w:rsidP="00F45A6E">
      <w:pPr>
        <w:pStyle w:val="p1"/>
        <w:spacing w:line="276" w:lineRule="auto"/>
        <w:jc w:val="both"/>
        <w:rPr>
          <w:rFonts w:ascii="Arial" w:hAnsi="Arial" w:cs="Arial"/>
          <w:color w:val="000000" w:themeColor="text1"/>
          <w:sz w:val="24"/>
          <w:szCs w:val="24"/>
        </w:rPr>
      </w:pPr>
    </w:p>
    <w:p w14:paraId="6E829943" w14:textId="2B7453AD" w:rsidR="00D1263D" w:rsidRPr="00F45A6E" w:rsidRDefault="004851CF" w:rsidP="00F45A6E">
      <w:pPr>
        <w:overflowPunct w:val="0"/>
        <w:autoSpaceDE w:val="0"/>
        <w:autoSpaceDN w:val="0"/>
        <w:adjustRightInd w:val="0"/>
        <w:spacing w:line="276" w:lineRule="auto"/>
        <w:rPr>
          <w:color w:val="000000" w:themeColor="text1"/>
          <w:sz w:val="24"/>
          <w:szCs w:val="24"/>
        </w:rPr>
      </w:pPr>
      <w:r w:rsidRPr="004851CF">
        <w:rPr>
          <w:b/>
          <w:color w:val="000000" w:themeColor="text1"/>
          <w:sz w:val="24"/>
          <w:szCs w:val="24"/>
          <w:lang w:val="es-ES_tradnl"/>
        </w:rPr>
        <w:t>5.2.</w:t>
      </w:r>
      <w:r>
        <w:rPr>
          <w:color w:val="000000" w:themeColor="text1"/>
          <w:sz w:val="24"/>
          <w:szCs w:val="24"/>
          <w:lang w:val="es-ES_tradnl"/>
        </w:rPr>
        <w:t xml:space="preserve"> </w:t>
      </w:r>
      <w:r w:rsidR="00582BAC" w:rsidRPr="00F45A6E">
        <w:rPr>
          <w:color w:val="000000" w:themeColor="text1"/>
          <w:sz w:val="24"/>
          <w:szCs w:val="24"/>
          <w:lang w:val="es-ES_tradnl"/>
        </w:rPr>
        <w:t xml:space="preserve">Adelantada la diligencia ordenada, el expediente fue asignado al </w:t>
      </w:r>
      <w:r w:rsidR="00D1263D" w:rsidRPr="00F45A6E">
        <w:rPr>
          <w:color w:val="000000" w:themeColor="text1"/>
          <w:sz w:val="24"/>
          <w:szCs w:val="24"/>
        </w:rPr>
        <w:t>Despacho</w:t>
      </w:r>
      <w:r w:rsidR="00582BAC" w:rsidRPr="00F45A6E">
        <w:rPr>
          <w:color w:val="000000" w:themeColor="text1"/>
          <w:sz w:val="24"/>
          <w:szCs w:val="24"/>
        </w:rPr>
        <w:t xml:space="preserve"> </w:t>
      </w:r>
      <w:r w:rsidR="00493DBD" w:rsidRPr="00F45A6E">
        <w:rPr>
          <w:color w:val="000000" w:themeColor="text1"/>
          <w:sz w:val="24"/>
          <w:szCs w:val="24"/>
        </w:rPr>
        <w:t>sustanciador</w:t>
      </w:r>
      <w:r w:rsidR="00ED5CAD" w:rsidRPr="00F45A6E">
        <w:rPr>
          <w:color w:val="000000" w:themeColor="text1"/>
          <w:sz w:val="24"/>
          <w:szCs w:val="24"/>
        </w:rPr>
        <w:t xml:space="preserve"> de este prove</w:t>
      </w:r>
      <w:r w:rsidR="008F6116" w:rsidRPr="00F45A6E">
        <w:rPr>
          <w:color w:val="000000" w:themeColor="text1"/>
          <w:sz w:val="24"/>
          <w:szCs w:val="24"/>
        </w:rPr>
        <w:t>í</w:t>
      </w:r>
      <w:r w:rsidR="00ED5CAD" w:rsidRPr="00F45A6E">
        <w:rPr>
          <w:color w:val="000000" w:themeColor="text1"/>
          <w:sz w:val="24"/>
          <w:szCs w:val="24"/>
        </w:rPr>
        <w:t>do</w:t>
      </w:r>
      <w:r w:rsidR="00493DBD" w:rsidRPr="00F45A6E">
        <w:rPr>
          <w:color w:val="000000" w:themeColor="text1"/>
          <w:sz w:val="24"/>
          <w:szCs w:val="24"/>
        </w:rPr>
        <w:t xml:space="preserve"> </w:t>
      </w:r>
      <w:r w:rsidR="00582BAC" w:rsidRPr="00F45A6E">
        <w:rPr>
          <w:color w:val="000000" w:themeColor="text1"/>
          <w:sz w:val="24"/>
          <w:szCs w:val="24"/>
        </w:rPr>
        <w:t>que</w:t>
      </w:r>
      <w:r w:rsidR="00D1263D" w:rsidRPr="00F45A6E">
        <w:rPr>
          <w:color w:val="000000" w:themeColor="text1"/>
          <w:sz w:val="24"/>
          <w:szCs w:val="24"/>
        </w:rPr>
        <w:t xml:space="preserve">, en auto del </w:t>
      </w:r>
      <w:r w:rsidR="00B00D4C" w:rsidRPr="00F45A6E">
        <w:rPr>
          <w:color w:val="000000" w:themeColor="text1"/>
          <w:sz w:val="24"/>
          <w:szCs w:val="24"/>
        </w:rPr>
        <w:t>29 de septiembre</w:t>
      </w:r>
      <w:r w:rsidR="00D1263D" w:rsidRPr="00F45A6E">
        <w:rPr>
          <w:color w:val="000000" w:themeColor="text1"/>
          <w:sz w:val="24"/>
          <w:szCs w:val="24"/>
        </w:rPr>
        <w:t xml:space="preserve"> de 2020</w:t>
      </w:r>
      <w:r w:rsidR="00D1263D" w:rsidRPr="00F45A6E">
        <w:rPr>
          <w:rStyle w:val="Refdenotaalpie"/>
          <w:color w:val="000000" w:themeColor="text1"/>
          <w:sz w:val="24"/>
          <w:szCs w:val="24"/>
        </w:rPr>
        <w:footnoteReference w:id="9"/>
      </w:r>
      <w:r w:rsidR="00D1263D" w:rsidRPr="00F45A6E">
        <w:rPr>
          <w:color w:val="000000" w:themeColor="text1"/>
          <w:sz w:val="24"/>
          <w:szCs w:val="24"/>
        </w:rPr>
        <w:t>, admitió la acción</w:t>
      </w:r>
      <w:r w:rsidR="00B00D4C" w:rsidRPr="00F45A6E">
        <w:rPr>
          <w:color w:val="000000" w:themeColor="text1"/>
          <w:sz w:val="24"/>
          <w:szCs w:val="24"/>
        </w:rPr>
        <w:t xml:space="preserve"> y negó la solicitud de medida provisional.</w:t>
      </w:r>
      <w:r w:rsidR="00D1263D" w:rsidRPr="00F45A6E">
        <w:rPr>
          <w:color w:val="000000" w:themeColor="text1"/>
          <w:sz w:val="24"/>
          <w:szCs w:val="24"/>
        </w:rPr>
        <w:t xml:space="preserve"> Notificadas las partes y vinculados los terceros que participaron en el proceso ordinario atacado, reci</w:t>
      </w:r>
      <w:r w:rsidR="00B00D4C" w:rsidRPr="00F45A6E">
        <w:rPr>
          <w:color w:val="000000" w:themeColor="text1"/>
          <w:sz w:val="24"/>
          <w:szCs w:val="24"/>
        </w:rPr>
        <w:t>bió las siguientes respuestas.</w:t>
      </w:r>
    </w:p>
    <w:p w14:paraId="3DEEC669" w14:textId="77777777" w:rsidR="000C5DB7" w:rsidRPr="00F45A6E" w:rsidRDefault="000C5DB7" w:rsidP="00F45A6E">
      <w:pPr>
        <w:overflowPunct w:val="0"/>
        <w:autoSpaceDE w:val="0"/>
        <w:autoSpaceDN w:val="0"/>
        <w:adjustRightInd w:val="0"/>
        <w:spacing w:line="276" w:lineRule="auto"/>
        <w:contextualSpacing/>
        <w:rPr>
          <w:b/>
          <w:color w:val="000000" w:themeColor="text1"/>
          <w:sz w:val="24"/>
          <w:szCs w:val="24"/>
          <w:lang w:val="es-ES_tradnl"/>
        </w:rPr>
      </w:pPr>
    </w:p>
    <w:p w14:paraId="3656B9AB" w14:textId="3FADE47D" w:rsidR="004168CB" w:rsidRDefault="009718A6" w:rsidP="00F45A6E">
      <w:pPr>
        <w:overflowPunct w:val="0"/>
        <w:autoSpaceDE w:val="0"/>
        <w:autoSpaceDN w:val="0"/>
        <w:adjustRightInd w:val="0"/>
        <w:spacing w:line="276" w:lineRule="auto"/>
        <w:contextualSpacing/>
        <w:rPr>
          <w:rFonts w:eastAsia="Times New Roman"/>
          <w:color w:val="000000" w:themeColor="text1"/>
          <w:sz w:val="24"/>
          <w:szCs w:val="24"/>
          <w:lang w:eastAsia="es-ES"/>
        </w:rPr>
      </w:pPr>
      <w:r w:rsidRPr="00F45A6E">
        <w:rPr>
          <w:rFonts w:eastAsia="Verdana"/>
          <w:color w:val="000000" w:themeColor="text1"/>
          <w:sz w:val="24"/>
          <w:szCs w:val="24"/>
        </w:rPr>
        <w:t xml:space="preserve">El </w:t>
      </w:r>
      <w:r w:rsidRPr="00F45A6E">
        <w:rPr>
          <w:rFonts w:eastAsia="Verdana"/>
          <w:b/>
          <w:color w:val="000000" w:themeColor="text1"/>
          <w:sz w:val="24"/>
          <w:szCs w:val="24"/>
        </w:rPr>
        <w:t>Tribunal Administrativo del Atlántico</w:t>
      </w:r>
      <w:r w:rsidR="00834F55" w:rsidRPr="00F45A6E">
        <w:rPr>
          <w:rStyle w:val="Refdenotaalpie"/>
          <w:rFonts w:eastAsia="Verdana"/>
          <w:color w:val="000000" w:themeColor="text1"/>
          <w:sz w:val="24"/>
          <w:szCs w:val="24"/>
        </w:rPr>
        <w:footnoteReference w:id="10"/>
      </w:r>
      <w:r w:rsidRPr="00F45A6E">
        <w:rPr>
          <w:rFonts w:eastAsia="Verdana"/>
          <w:color w:val="000000" w:themeColor="text1"/>
          <w:sz w:val="24"/>
          <w:szCs w:val="24"/>
        </w:rPr>
        <w:t xml:space="preserve"> </w:t>
      </w:r>
      <w:r w:rsidR="00B01D8A" w:rsidRPr="00F45A6E">
        <w:rPr>
          <w:rFonts w:eastAsia="Verdana"/>
          <w:color w:val="000000" w:themeColor="text1"/>
          <w:sz w:val="24"/>
          <w:szCs w:val="24"/>
        </w:rPr>
        <w:t>deprec</w:t>
      </w:r>
      <w:r w:rsidR="002A072A" w:rsidRPr="00F45A6E">
        <w:rPr>
          <w:rFonts w:eastAsia="Verdana"/>
          <w:color w:val="000000" w:themeColor="text1"/>
          <w:sz w:val="24"/>
          <w:szCs w:val="24"/>
        </w:rPr>
        <w:t xml:space="preserve">ó que se denegara la solicitud de amparo porque había tomado su decisión </w:t>
      </w:r>
      <w:r w:rsidR="002A072A" w:rsidRPr="00F45A6E">
        <w:rPr>
          <w:color w:val="000000" w:themeColor="text1"/>
          <w:sz w:val="24"/>
          <w:szCs w:val="24"/>
        </w:rPr>
        <w:t xml:space="preserve">con fundamento en el acervo probatorio arrimado al trámite y sin incurrir en ninguna vulneración </w:t>
      </w:r>
      <w:r w:rsidR="00A57777" w:rsidRPr="00F45A6E">
        <w:rPr>
          <w:color w:val="000000" w:themeColor="text1"/>
          <w:sz w:val="24"/>
          <w:szCs w:val="24"/>
        </w:rPr>
        <w:t>a</w:t>
      </w:r>
      <w:r w:rsidR="002A072A" w:rsidRPr="00F45A6E">
        <w:rPr>
          <w:color w:val="000000" w:themeColor="text1"/>
          <w:sz w:val="24"/>
          <w:szCs w:val="24"/>
        </w:rPr>
        <w:t>l debido proceso.</w:t>
      </w:r>
      <w:r w:rsidR="00A57777" w:rsidRPr="00F45A6E">
        <w:rPr>
          <w:color w:val="000000" w:themeColor="text1"/>
          <w:sz w:val="24"/>
          <w:szCs w:val="24"/>
        </w:rPr>
        <w:t xml:space="preserve"> La </w:t>
      </w:r>
      <w:r w:rsidR="00A57777" w:rsidRPr="00F45A6E">
        <w:rPr>
          <w:b/>
          <w:color w:val="000000" w:themeColor="text1"/>
          <w:sz w:val="24"/>
          <w:szCs w:val="24"/>
        </w:rPr>
        <w:t xml:space="preserve">Sección </w:t>
      </w:r>
      <w:r w:rsidR="00A57777" w:rsidRPr="00F45A6E">
        <w:rPr>
          <w:b/>
          <w:color w:val="000000" w:themeColor="text1"/>
          <w:sz w:val="24"/>
          <w:szCs w:val="24"/>
        </w:rPr>
        <w:lastRenderedPageBreak/>
        <w:t>Quinta del Consejo de Estado</w:t>
      </w:r>
      <w:r w:rsidR="00834F55" w:rsidRPr="00F45A6E">
        <w:rPr>
          <w:rStyle w:val="Refdenotaalpie"/>
          <w:color w:val="000000" w:themeColor="text1"/>
          <w:sz w:val="24"/>
          <w:szCs w:val="24"/>
        </w:rPr>
        <w:footnoteReference w:id="11"/>
      </w:r>
      <w:r w:rsidR="00A57777" w:rsidRPr="00F45A6E">
        <w:rPr>
          <w:color w:val="000000" w:themeColor="text1"/>
          <w:sz w:val="24"/>
          <w:szCs w:val="24"/>
        </w:rPr>
        <w:t xml:space="preserve"> reiteró esos </w:t>
      </w:r>
      <w:r w:rsidR="00A57777" w:rsidRPr="00F45A6E">
        <w:rPr>
          <w:color w:val="000000" w:themeColor="text1"/>
          <w:sz w:val="24"/>
          <w:szCs w:val="24"/>
        </w:rPr>
        <w:t>argumentos y</w:t>
      </w:r>
      <w:r w:rsidR="001B1D77">
        <w:rPr>
          <w:color w:val="000000" w:themeColor="text1"/>
          <w:sz w:val="24"/>
          <w:szCs w:val="24"/>
        </w:rPr>
        <w:t>,</w:t>
      </w:r>
      <w:r w:rsidR="00A57777" w:rsidRPr="00F45A6E">
        <w:rPr>
          <w:color w:val="000000" w:themeColor="text1"/>
          <w:sz w:val="24"/>
          <w:szCs w:val="24"/>
        </w:rPr>
        <w:t xml:space="preserve"> además</w:t>
      </w:r>
      <w:r w:rsidR="001B1D77">
        <w:rPr>
          <w:color w:val="000000" w:themeColor="text1"/>
          <w:sz w:val="24"/>
          <w:szCs w:val="24"/>
        </w:rPr>
        <w:t>,</w:t>
      </w:r>
      <w:r w:rsidR="00A57777" w:rsidRPr="00F45A6E">
        <w:rPr>
          <w:color w:val="000000" w:themeColor="text1"/>
          <w:sz w:val="24"/>
          <w:szCs w:val="24"/>
        </w:rPr>
        <w:t xml:space="preserve"> sostuvo </w:t>
      </w:r>
      <w:r w:rsidR="00A57777" w:rsidRPr="00F45A6E">
        <w:rPr>
          <w:color w:val="000000" w:themeColor="text1"/>
          <w:sz w:val="24"/>
          <w:szCs w:val="24"/>
        </w:rPr>
        <w:t xml:space="preserve">que la solicitud no cumplía con el requisito de inmediatez. </w:t>
      </w:r>
      <w:r w:rsidR="00855514" w:rsidRPr="00F45A6E">
        <w:rPr>
          <w:rFonts w:eastAsia="Times New Roman"/>
          <w:color w:val="000000" w:themeColor="text1"/>
          <w:sz w:val="24"/>
          <w:szCs w:val="24"/>
          <w:lang w:eastAsia="es-ES"/>
        </w:rPr>
        <w:t xml:space="preserve">El </w:t>
      </w:r>
      <w:r w:rsidR="00855514" w:rsidRPr="00F45A6E">
        <w:rPr>
          <w:rFonts w:eastAsia="Times New Roman"/>
          <w:b/>
          <w:color w:val="000000" w:themeColor="text1"/>
          <w:sz w:val="24"/>
          <w:szCs w:val="24"/>
          <w:lang w:eastAsia="es-ES"/>
        </w:rPr>
        <w:t>Departamento Administrativo de la Presidencia de la República</w:t>
      </w:r>
      <w:r w:rsidR="00834F55" w:rsidRPr="00F45A6E">
        <w:rPr>
          <w:rStyle w:val="Refdenotaalpie"/>
          <w:rFonts w:eastAsia="Times New Roman"/>
          <w:color w:val="000000" w:themeColor="text1"/>
          <w:sz w:val="24"/>
          <w:szCs w:val="24"/>
          <w:lang w:eastAsia="es-ES"/>
        </w:rPr>
        <w:footnoteReference w:id="12"/>
      </w:r>
      <w:r w:rsidR="00A7652A" w:rsidRPr="00F45A6E">
        <w:rPr>
          <w:rFonts w:eastAsia="Times New Roman"/>
          <w:color w:val="000000" w:themeColor="text1"/>
          <w:sz w:val="24"/>
          <w:szCs w:val="24"/>
          <w:lang w:eastAsia="es-ES"/>
        </w:rPr>
        <w:t xml:space="preserve">, la </w:t>
      </w:r>
      <w:r w:rsidR="00A7652A" w:rsidRPr="00F45A6E">
        <w:rPr>
          <w:rFonts w:eastAsia="Times New Roman"/>
          <w:b/>
          <w:color w:val="000000" w:themeColor="text1"/>
          <w:sz w:val="24"/>
          <w:szCs w:val="24"/>
          <w:lang w:eastAsia="es-ES"/>
        </w:rPr>
        <w:t>Defensoría del Pueblo</w:t>
      </w:r>
      <w:r w:rsidR="00834F55" w:rsidRPr="00F45A6E">
        <w:rPr>
          <w:rStyle w:val="Refdenotaalpie"/>
          <w:rFonts w:eastAsia="Times New Roman"/>
          <w:color w:val="000000" w:themeColor="text1"/>
          <w:sz w:val="24"/>
          <w:szCs w:val="24"/>
          <w:lang w:eastAsia="es-ES"/>
        </w:rPr>
        <w:footnoteReference w:id="13"/>
      </w:r>
      <w:r w:rsidR="00855514" w:rsidRPr="00F45A6E">
        <w:rPr>
          <w:rFonts w:eastAsia="Times New Roman"/>
          <w:color w:val="000000" w:themeColor="text1"/>
          <w:sz w:val="24"/>
          <w:szCs w:val="24"/>
          <w:lang w:eastAsia="es-ES"/>
        </w:rPr>
        <w:t xml:space="preserve"> </w:t>
      </w:r>
      <w:r w:rsidR="008263BB">
        <w:rPr>
          <w:rFonts w:eastAsia="Times New Roman"/>
          <w:color w:val="000000" w:themeColor="text1"/>
          <w:sz w:val="24"/>
          <w:szCs w:val="24"/>
          <w:lang w:eastAsia="es-ES"/>
        </w:rPr>
        <w:t xml:space="preserve">, el </w:t>
      </w:r>
      <w:r w:rsidR="008263BB" w:rsidRPr="008263BB">
        <w:rPr>
          <w:rFonts w:eastAsia="Times New Roman"/>
          <w:b/>
          <w:color w:val="000000" w:themeColor="text1"/>
          <w:sz w:val="24"/>
          <w:szCs w:val="24"/>
          <w:lang w:eastAsia="es-ES"/>
        </w:rPr>
        <w:t>Departamento Administrativo para la Prosperidad Social</w:t>
      </w:r>
      <w:r w:rsidR="008263BB">
        <w:rPr>
          <w:rStyle w:val="Refdenotaalpie"/>
          <w:rFonts w:eastAsia="Times New Roman"/>
          <w:b/>
          <w:color w:val="000000" w:themeColor="text1"/>
          <w:sz w:val="24"/>
          <w:szCs w:val="24"/>
          <w:lang w:eastAsia="es-ES"/>
        </w:rPr>
        <w:footnoteReference w:id="14"/>
      </w:r>
      <w:r w:rsidR="008263BB" w:rsidRPr="008263BB">
        <w:rPr>
          <w:rFonts w:eastAsia="Times New Roman"/>
          <w:b/>
          <w:color w:val="000000" w:themeColor="text1"/>
          <w:sz w:val="24"/>
          <w:szCs w:val="24"/>
          <w:lang w:eastAsia="es-ES"/>
        </w:rPr>
        <w:t xml:space="preserve"> </w:t>
      </w:r>
      <w:r w:rsidR="00855514" w:rsidRPr="00F45A6E">
        <w:rPr>
          <w:rFonts w:eastAsia="Times New Roman"/>
          <w:color w:val="000000" w:themeColor="text1"/>
          <w:sz w:val="24"/>
          <w:szCs w:val="24"/>
          <w:lang w:eastAsia="es-ES"/>
        </w:rPr>
        <w:t xml:space="preserve">y el </w:t>
      </w:r>
      <w:r w:rsidR="00855514" w:rsidRPr="00F45A6E">
        <w:rPr>
          <w:rFonts w:eastAsia="Times New Roman"/>
          <w:b/>
          <w:color w:val="000000" w:themeColor="text1"/>
          <w:sz w:val="24"/>
          <w:szCs w:val="24"/>
          <w:lang w:eastAsia="es-ES"/>
        </w:rPr>
        <w:t>Ministerio de</w:t>
      </w:r>
      <w:r w:rsidR="00D1263D" w:rsidRPr="00F45A6E">
        <w:rPr>
          <w:rFonts w:eastAsia="Times New Roman"/>
          <w:b/>
          <w:color w:val="000000" w:themeColor="text1"/>
          <w:sz w:val="24"/>
          <w:szCs w:val="24"/>
          <w:lang w:eastAsia="es-ES"/>
        </w:rPr>
        <w:t>l</w:t>
      </w:r>
      <w:r w:rsidR="00855514" w:rsidRPr="00F45A6E">
        <w:rPr>
          <w:rFonts w:eastAsia="Times New Roman"/>
          <w:b/>
          <w:color w:val="000000" w:themeColor="text1"/>
          <w:sz w:val="24"/>
          <w:szCs w:val="24"/>
          <w:lang w:eastAsia="es-ES"/>
        </w:rPr>
        <w:t xml:space="preserve"> Interior</w:t>
      </w:r>
      <w:r w:rsidR="00834F55" w:rsidRPr="00F45A6E">
        <w:rPr>
          <w:rStyle w:val="Refdenotaalpie"/>
          <w:rFonts w:eastAsia="Times New Roman"/>
          <w:color w:val="000000" w:themeColor="text1"/>
          <w:sz w:val="24"/>
          <w:szCs w:val="24"/>
          <w:lang w:eastAsia="es-ES"/>
        </w:rPr>
        <w:footnoteReference w:id="15"/>
      </w:r>
      <w:r w:rsidR="00855514" w:rsidRPr="00F45A6E">
        <w:rPr>
          <w:rFonts w:eastAsia="Times New Roman"/>
          <w:color w:val="000000" w:themeColor="text1"/>
          <w:sz w:val="24"/>
          <w:szCs w:val="24"/>
          <w:lang w:eastAsia="es-ES"/>
        </w:rPr>
        <w:t xml:space="preserve"> solicitaron su desvinculación por carecer de legitimación en la causa por pasiva</w:t>
      </w:r>
      <w:r w:rsidR="004328CE" w:rsidRPr="00F45A6E">
        <w:rPr>
          <w:rFonts w:eastAsia="Times New Roman"/>
          <w:color w:val="000000" w:themeColor="text1"/>
          <w:sz w:val="24"/>
          <w:szCs w:val="24"/>
          <w:lang w:eastAsia="es-ES"/>
        </w:rPr>
        <w:t>.</w:t>
      </w:r>
    </w:p>
    <w:p w14:paraId="28BAD3EA" w14:textId="77777777" w:rsidR="004851CF" w:rsidRDefault="004851CF" w:rsidP="00F45A6E">
      <w:pPr>
        <w:overflowPunct w:val="0"/>
        <w:autoSpaceDE w:val="0"/>
        <w:autoSpaceDN w:val="0"/>
        <w:adjustRightInd w:val="0"/>
        <w:spacing w:line="276" w:lineRule="auto"/>
        <w:contextualSpacing/>
        <w:rPr>
          <w:rFonts w:eastAsia="Times New Roman"/>
          <w:color w:val="000000" w:themeColor="text1"/>
          <w:sz w:val="24"/>
          <w:szCs w:val="24"/>
          <w:lang w:eastAsia="es-ES"/>
        </w:rPr>
      </w:pPr>
    </w:p>
    <w:p w14:paraId="22607719" w14:textId="4408F5CC" w:rsidR="004851CF" w:rsidRPr="004C4CC1" w:rsidRDefault="004851CF" w:rsidP="00F45A6E">
      <w:pPr>
        <w:overflowPunct w:val="0"/>
        <w:autoSpaceDE w:val="0"/>
        <w:autoSpaceDN w:val="0"/>
        <w:adjustRightInd w:val="0"/>
        <w:spacing w:line="276" w:lineRule="auto"/>
        <w:contextualSpacing/>
        <w:rPr>
          <w:rFonts w:eastAsia="Times New Roman"/>
          <w:color w:val="000000" w:themeColor="text1"/>
          <w:sz w:val="24"/>
          <w:szCs w:val="24"/>
          <w:lang w:eastAsia="es-ES"/>
        </w:rPr>
      </w:pPr>
      <w:r w:rsidRPr="004C4CC1">
        <w:rPr>
          <w:rFonts w:eastAsia="Times New Roman"/>
          <w:b/>
          <w:color w:val="000000" w:themeColor="text1"/>
          <w:sz w:val="24"/>
          <w:szCs w:val="24"/>
          <w:lang w:eastAsia="es-ES"/>
        </w:rPr>
        <w:t>5.3.</w:t>
      </w:r>
      <w:r w:rsidRPr="004C4CC1">
        <w:rPr>
          <w:rFonts w:eastAsia="Times New Roman"/>
          <w:color w:val="000000" w:themeColor="text1"/>
          <w:sz w:val="24"/>
          <w:szCs w:val="24"/>
          <w:lang w:eastAsia="es-ES"/>
        </w:rPr>
        <w:t xml:space="preserve"> Transcurrido el tiempo que se había concedido para rendir </w:t>
      </w:r>
      <w:r w:rsidRPr="004C4CC1">
        <w:rPr>
          <w:rFonts w:eastAsia="Times New Roman"/>
          <w:color w:val="000000" w:themeColor="text1"/>
          <w:sz w:val="24"/>
          <w:szCs w:val="24"/>
          <w:lang w:eastAsia="es-ES"/>
        </w:rPr>
        <w:t>informes</w:t>
      </w:r>
      <w:r w:rsidR="001B1D77">
        <w:rPr>
          <w:rFonts w:eastAsia="Times New Roman"/>
          <w:color w:val="000000" w:themeColor="text1"/>
          <w:sz w:val="24"/>
          <w:szCs w:val="24"/>
          <w:lang w:eastAsia="es-ES"/>
        </w:rPr>
        <w:t>,</w:t>
      </w:r>
      <w:r w:rsidRPr="004C4CC1">
        <w:rPr>
          <w:rFonts w:eastAsia="Times New Roman"/>
          <w:color w:val="000000" w:themeColor="text1"/>
          <w:sz w:val="24"/>
          <w:szCs w:val="24"/>
          <w:lang w:eastAsia="es-ES"/>
        </w:rPr>
        <w:t xml:space="preserve"> </w:t>
      </w:r>
      <w:r w:rsidRPr="004C4CC1">
        <w:rPr>
          <w:rFonts w:eastAsia="Times New Roman"/>
          <w:color w:val="000000" w:themeColor="text1"/>
          <w:sz w:val="24"/>
          <w:szCs w:val="24"/>
          <w:lang w:eastAsia="es-ES"/>
        </w:rPr>
        <w:t>la Secretaría General del Consejo de Estado no pudo notificar a Emerson Barbosa Pacheco ni a Divineth Barbosa Navarro</w:t>
      </w:r>
      <w:r w:rsidR="00693644" w:rsidRPr="004C4CC1">
        <w:rPr>
          <w:rFonts w:eastAsia="Times New Roman"/>
          <w:color w:val="000000" w:themeColor="text1"/>
          <w:sz w:val="24"/>
          <w:szCs w:val="24"/>
          <w:lang w:eastAsia="es-ES"/>
        </w:rPr>
        <w:t xml:space="preserve">. Así las cosas, procedió a </w:t>
      </w:r>
      <w:r w:rsidR="00BD6EFC">
        <w:rPr>
          <w:rFonts w:eastAsia="Times New Roman"/>
          <w:color w:val="000000" w:themeColor="text1"/>
          <w:sz w:val="24"/>
          <w:szCs w:val="24"/>
          <w:lang w:eastAsia="es-ES"/>
        </w:rPr>
        <w:t>requerir</w:t>
      </w:r>
      <w:r w:rsidR="00BD6EFC" w:rsidRPr="004C4CC1">
        <w:rPr>
          <w:rFonts w:eastAsia="Times New Roman"/>
          <w:color w:val="000000" w:themeColor="text1"/>
          <w:sz w:val="24"/>
          <w:szCs w:val="24"/>
          <w:lang w:eastAsia="es-ES"/>
        </w:rPr>
        <w:t xml:space="preserve"> </w:t>
      </w:r>
      <w:r w:rsidR="00693644" w:rsidRPr="004C4CC1">
        <w:rPr>
          <w:rFonts w:eastAsia="Times New Roman"/>
          <w:color w:val="000000" w:themeColor="text1"/>
          <w:sz w:val="24"/>
          <w:szCs w:val="24"/>
          <w:lang w:eastAsia="es-ES"/>
        </w:rPr>
        <w:t>a Israel Oliveros Guette, qu</w:t>
      </w:r>
      <w:r w:rsidR="009F2C3D" w:rsidRPr="004C4CC1">
        <w:rPr>
          <w:rFonts w:eastAsia="Times New Roman"/>
          <w:color w:val="000000" w:themeColor="text1"/>
          <w:sz w:val="24"/>
          <w:szCs w:val="24"/>
          <w:lang w:eastAsia="es-ES"/>
        </w:rPr>
        <w:t>i</w:t>
      </w:r>
      <w:r w:rsidR="00693644" w:rsidRPr="004C4CC1">
        <w:rPr>
          <w:rFonts w:eastAsia="Times New Roman"/>
          <w:color w:val="000000" w:themeColor="text1"/>
          <w:sz w:val="24"/>
          <w:szCs w:val="24"/>
          <w:lang w:eastAsia="es-ES"/>
        </w:rPr>
        <w:t>e</w:t>
      </w:r>
      <w:r w:rsidR="009F2C3D" w:rsidRPr="004C4CC1">
        <w:rPr>
          <w:rFonts w:eastAsia="Times New Roman"/>
          <w:color w:val="000000" w:themeColor="text1"/>
          <w:sz w:val="24"/>
          <w:szCs w:val="24"/>
          <w:lang w:eastAsia="es-ES"/>
        </w:rPr>
        <w:t>n</w:t>
      </w:r>
      <w:r w:rsidR="00693644" w:rsidRPr="004C4CC1">
        <w:rPr>
          <w:rFonts w:eastAsia="Times New Roman"/>
          <w:color w:val="000000" w:themeColor="text1"/>
          <w:sz w:val="24"/>
          <w:szCs w:val="24"/>
          <w:lang w:eastAsia="es-ES"/>
        </w:rPr>
        <w:t xml:space="preserve"> fungió como su apoderado en el trámite de tutela del que se predica el desacato,</w:t>
      </w:r>
      <w:r w:rsidRPr="004C4CC1">
        <w:rPr>
          <w:rFonts w:eastAsia="Times New Roman"/>
          <w:color w:val="000000" w:themeColor="text1"/>
          <w:sz w:val="24"/>
          <w:szCs w:val="24"/>
          <w:lang w:eastAsia="es-ES"/>
        </w:rPr>
        <w:t xml:space="preserve"> </w:t>
      </w:r>
      <w:r w:rsidR="00693644" w:rsidRPr="004C4CC1">
        <w:rPr>
          <w:rFonts w:eastAsia="Times New Roman"/>
          <w:color w:val="000000" w:themeColor="text1"/>
          <w:sz w:val="24"/>
          <w:szCs w:val="24"/>
          <w:lang w:eastAsia="es-ES"/>
        </w:rPr>
        <w:t>para qu</w:t>
      </w:r>
      <w:r w:rsidR="009F2C3D" w:rsidRPr="004C4CC1">
        <w:rPr>
          <w:rFonts w:eastAsia="Times New Roman"/>
          <w:color w:val="000000" w:themeColor="text1"/>
          <w:sz w:val="24"/>
          <w:szCs w:val="24"/>
          <w:lang w:eastAsia="es-ES"/>
        </w:rPr>
        <w:t>e</w:t>
      </w:r>
      <w:r w:rsidR="00693644" w:rsidRPr="004C4CC1">
        <w:rPr>
          <w:rFonts w:eastAsia="Times New Roman"/>
          <w:color w:val="000000" w:themeColor="text1"/>
          <w:sz w:val="24"/>
          <w:szCs w:val="24"/>
          <w:lang w:eastAsia="es-ES"/>
        </w:rPr>
        <w:t xml:space="preserve"> se sirviera allegar una dirección de notificaciones de estas personas.</w:t>
      </w:r>
    </w:p>
    <w:p w14:paraId="1456A3B6" w14:textId="77777777" w:rsidR="00693644" w:rsidRPr="004C4CC1" w:rsidRDefault="00693644" w:rsidP="00F45A6E">
      <w:pPr>
        <w:overflowPunct w:val="0"/>
        <w:autoSpaceDE w:val="0"/>
        <w:autoSpaceDN w:val="0"/>
        <w:adjustRightInd w:val="0"/>
        <w:spacing w:line="276" w:lineRule="auto"/>
        <w:contextualSpacing/>
        <w:rPr>
          <w:rFonts w:eastAsia="Times New Roman"/>
          <w:color w:val="000000" w:themeColor="text1"/>
          <w:sz w:val="24"/>
          <w:szCs w:val="24"/>
          <w:lang w:eastAsia="es-ES"/>
        </w:rPr>
      </w:pPr>
    </w:p>
    <w:p w14:paraId="18C22ADD" w14:textId="3BF4F9DD" w:rsidR="00374DA5" w:rsidRPr="004C4CC1" w:rsidRDefault="00693644" w:rsidP="00F45A6E">
      <w:pPr>
        <w:overflowPunct w:val="0"/>
        <w:autoSpaceDE w:val="0"/>
        <w:autoSpaceDN w:val="0"/>
        <w:adjustRightInd w:val="0"/>
        <w:spacing w:line="276" w:lineRule="auto"/>
        <w:contextualSpacing/>
        <w:rPr>
          <w:rFonts w:eastAsia="Times New Roman"/>
          <w:color w:val="000000" w:themeColor="text1"/>
          <w:sz w:val="24"/>
          <w:szCs w:val="24"/>
          <w:lang w:eastAsia="es-ES"/>
        </w:rPr>
      </w:pPr>
      <w:r w:rsidRPr="004C4CC1">
        <w:rPr>
          <w:rFonts w:eastAsia="Times New Roman"/>
          <w:b/>
          <w:color w:val="000000" w:themeColor="text1"/>
          <w:sz w:val="24"/>
          <w:szCs w:val="24"/>
          <w:lang w:eastAsia="es-ES"/>
        </w:rPr>
        <w:t>5.4.</w:t>
      </w:r>
      <w:r w:rsidRPr="004C4CC1">
        <w:rPr>
          <w:rFonts w:eastAsia="Times New Roman"/>
          <w:color w:val="000000" w:themeColor="text1"/>
          <w:sz w:val="24"/>
          <w:szCs w:val="24"/>
          <w:lang w:eastAsia="es-ES"/>
        </w:rPr>
        <w:t xml:space="preserve"> El 12 de noviembre de 2020, Israel Oliveros Guette envió un correo a la Secretaría General en el que señaló la dirección de notificaciones requerida. Aunado a esto, en correo aparte </w:t>
      </w:r>
      <w:r w:rsidR="00374DA5" w:rsidRPr="004C4CC1">
        <w:rPr>
          <w:b/>
          <w:sz w:val="24"/>
          <w:szCs w:val="24"/>
        </w:rPr>
        <w:t>Aida María Navarro de Barbosa, Divineth, Maylin Yanin, Alvaro Antonio y Senelia Barbosa Navarro</w:t>
      </w:r>
      <w:r w:rsidR="00374DA5" w:rsidRPr="004C4CC1">
        <w:rPr>
          <w:sz w:val="24"/>
          <w:szCs w:val="24"/>
        </w:rPr>
        <w:t xml:space="preserve"> allegaron escrito en el que le confi</w:t>
      </w:r>
      <w:r w:rsidR="00316A98" w:rsidRPr="004C4CC1">
        <w:rPr>
          <w:sz w:val="24"/>
          <w:szCs w:val="24"/>
        </w:rPr>
        <w:t>ere</w:t>
      </w:r>
      <w:r w:rsidR="00374DA5" w:rsidRPr="004C4CC1">
        <w:rPr>
          <w:sz w:val="24"/>
          <w:szCs w:val="24"/>
        </w:rPr>
        <w:t xml:space="preserve">n poder para que los represente </w:t>
      </w:r>
      <w:r w:rsidR="009F2C3D" w:rsidRPr="004C4CC1">
        <w:rPr>
          <w:sz w:val="24"/>
          <w:szCs w:val="24"/>
        </w:rPr>
        <w:t>en</w:t>
      </w:r>
      <w:r w:rsidR="00374DA5" w:rsidRPr="004C4CC1">
        <w:rPr>
          <w:sz w:val="24"/>
          <w:szCs w:val="24"/>
        </w:rPr>
        <w:t xml:space="preserve"> este trámite</w:t>
      </w:r>
      <w:r w:rsidR="00374DA5" w:rsidRPr="004C4CC1">
        <w:rPr>
          <w:rStyle w:val="Refdenotaalpie"/>
          <w:sz w:val="24"/>
          <w:szCs w:val="24"/>
        </w:rPr>
        <w:footnoteReference w:id="16"/>
      </w:r>
      <w:r w:rsidR="00374DA5" w:rsidRPr="004C4CC1">
        <w:rPr>
          <w:sz w:val="24"/>
          <w:szCs w:val="24"/>
        </w:rPr>
        <w:t xml:space="preserve">. </w:t>
      </w:r>
    </w:p>
    <w:p w14:paraId="2E0A79F2" w14:textId="77777777" w:rsidR="00155E78" w:rsidRPr="004C4CC1" w:rsidRDefault="000C5DB7" w:rsidP="00F45A6E">
      <w:pPr>
        <w:pStyle w:val="Ttulo1"/>
        <w:rPr>
          <w:rFonts w:cs="Arial"/>
          <w:color w:val="000000" w:themeColor="text1"/>
          <w:szCs w:val="24"/>
          <w:lang w:val="es-ES_tradnl"/>
        </w:rPr>
      </w:pPr>
      <w:r w:rsidRPr="004C4CC1">
        <w:rPr>
          <w:rFonts w:cs="Arial"/>
          <w:color w:val="000000" w:themeColor="text1"/>
          <w:szCs w:val="24"/>
          <w:lang w:val="es-ES_tradnl"/>
        </w:rPr>
        <w:t>CONSIDERACIONES</w:t>
      </w:r>
    </w:p>
    <w:p w14:paraId="649AF0D5" w14:textId="77777777" w:rsidR="000C5DB7" w:rsidRPr="004C4CC1" w:rsidRDefault="000C5DB7" w:rsidP="00F45A6E">
      <w:pPr>
        <w:numPr>
          <w:ilvl w:val="0"/>
          <w:numId w:val="1"/>
        </w:numPr>
        <w:tabs>
          <w:tab w:val="left" w:pos="426"/>
        </w:tabs>
        <w:spacing w:line="276" w:lineRule="auto"/>
        <w:ind w:left="0" w:firstLine="0"/>
        <w:contextualSpacing/>
        <w:rPr>
          <w:b/>
          <w:color w:val="000000" w:themeColor="text1"/>
          <w:sz w:val="24"/>
          <w:szCs w:val="24"/>
          <w:lang w:val="es-ES_tradnl"/>
        </w:rPr>
      </w:pPr>
      <w:r w:rsidRPr="004C4CC1">
        <w:rPr>
          <w:b/>
          <w:color w:val="000000" w:themeColor="text1"/>
          <w:sz w:val="24"/>
          <w:szCs w:val="24"/>
          <w:lang w:val="es-ES_tradnl"/>
        </w:rPr>
        <w:t>Competencia</w:t>
      </w:r>
    </w:p>
    <w:p w14:paraId="4101652C" w14:textId="77777777" w:rsidR="000C5DB7" w:rsidRPr="004C4CC1" w:rsidRDefault="000C5DB7" w:rsidP="00F45A6E">
      <w:pPr>
        <w:spacing w:line="276" w:lineRule="auto"/>
        <w:contextualSpacing/>
        <w:rPr>
          <w:b/>
          <w:color w:val="000000" w:themeColor="text1"/>
          <w:sz w:val="24"/>
          <w:szCs w:val="24"/>
          <w:lang w:val="es-ES_tradnl"/>
        </w:rPr>
      </w:pPr>
    </w:p>
    <w:p w14:paraId="328CD25F" w14:textId="56095033" w:rsidR="000C5DB7" w:rsidRPr="004C4CC1" w:rsidRDefault="000C5DB7" w:rsidP="00F45A6E">
      <w:pPr>
        <w:overflowPunct w:val="0"/>
        <w:autoSpaceDE w:val="0"/>
        <w:autoSpaceDN w:val="0"/>
        <w:adjustRightInd w:val="0"/>
        <w:spacing w:line="276" w:lineRule="auto"/>
        <w:contextualSpacing/>
        <w:rPr>
          <w:rFonts w:eastAsia="Times New Roman"/>
          <w:color w:val="000000" w:themeColor="text1"/>
          <w:sz w:val="24"/>
          <w:szCs w:val="24"/>
          <w:lang w:eastAsia="es-ES"/>
        </w:rPr>
      </w:pPr>
      <w:r w:rsidRPr="004C4CC1">
        <w:rPr>
          <w:rFonts w:eastAsia="Times New Roman"/>
          <w:color w:val="000000" w:themeColor="text1"/>
          <w:sz w:val="24"/>
          <w:szCs w:val="24"/>
          <w:lang w:eastAsia="es-ES"/>
        </w:rPr>
        <w:t xml:space="preserve">La Sala es competente para conocer de la </w:t>
      </w:r>
      <w:r w:rsidR="00DA6766" w:rsidRPr="004C4CC1">
        <w:rPr>
          <w:rFonts w:eastAsia="Times New Roman"/>
          <w:color w:val="000000" w:themeColor="text1"/>
          <w:sz w:val="24"/>
          <w:szCs w:val="24"/>
          <w:lang w:eastAsia="es-ES"/>
        </w:rPr>
        <w:t>acción de tutela</w:t>
      </w:r>
      <w:r w:rsidRPr="004C4CC1">
        <w:rPr>
          <w:rFonts w:eastAsia="Times New Roman"/>
          <w:color w:val="000000" w:themeColor="text1"/>
          <w:sz w:val="24"/>
          <w:szCs w:val="24"/>
          <w:lang w:eastAsia="es-ES"/>
        </w:rPr>
        <w:t xml:space="preserve"> presentada, en virtud de lo dispuesto en el artículo </w:t>
      </w:r>
      <w:r w:rsidR="00BA008F" w:rsidRPr="004C4CC1">
        <w:rPr>
          <w:rFonts w:eastAsia="Times New Roman"/>
          <w:color w:val="000000" w:themeColor="text1"/>
          <w:sz w:val="24"/>
          <w:szCs w:val="24"/>
          <w:lang w:eastAsia="es-ES"/>
        </w:rPr>
        <w:t>86 de la Constitución y</w:t>
      </w:r>
      <w:r w:rsidR="5782C377" w:rsidRPr="004C4CC1">
        <w:rPr>
          <w:rFonts w:eastAsia="Times New Roman"/>
          <w:color w:val="000000" w:themeColor="text1"/>
          <w:sz w:val="24"/>
          <w:szCs w:val="24"/>
          <w:lang w:eastAsia="es-ES"/>
        </w:rPr>
        <w:t xml:space="preserve"> en el artículo </w:t>
      </w:r>
      <w:r w:rsidR="00BA008F" w:rsidRPr="004C4CC1">
        <w:rPr>
          <w:rFonts w:eastAsia="Times New Roman"/>
          <w:color w:val="000000" w:themeColor="text1"/>
          <w:sz w:val="24"/>
          <w:szCs w:val="24"/>
          <w:lang w:eastAsia="es-ES"/>
        </w:rPr>
        <w:t>37</w:t>
      </w:r>
      <w:r w:rsidRPr="004C4CC1">
        <w:rPr>
          <w:rFonts w:eastAsia="Times New Roman"/>
          <w:color w:val="000000" w:themeColor="text1"/>
          <w:sz w:val="24"/>
          <w:szCs w:val="24"/>
          <w:lang w:eastAsia="es-ES"/>
        </w:rPr>
        <w:t xml:space="preserve"> del Decreto 2591 de 1991</w:t>
      </w:r>
      <w:r w:rsidR="00BA008F" w:rsidRPr="004C4CC1">
        <w:rPr>
          <w:rFonts w:eastAsia="Times New Roman"/>
          <w:color w:val="000000" w:themeColor="text1"/>
          <w:sz w:val="24"/>
          <w:szCs w:val="24"/>
          <w:lang w:eastAsia="es-ES"/>
        </w:rPr>
        <w:t>.</w:t>
      </w:r>
    </w:p>
    <w:p w14:paraId="4B99056E" w14:textId="77777777" w:rsidR="000C5DB7" w:rsidRPr="004C4CC1" w:rsidRDefault="000C5DB7" w:rsidP="00F45A6E">
      <w:pPr>
        <w:overflowPunct w:val="0"/>
        <w:autoSpaceDE w:val="0"/>
        <w:autoSpaceDN w:val="0"/>
        <w:adjustRightInd w:val="0"/>
        <w:spacing w:line="276" w:lineRule="auto"/>
        <w:contextualSpacing/>
        <w:jc w:val="left"/>
        <w:rPr>
          <w:rFonts w:eastAsia="Times New Roman"/>
          <w:color w:val="000000" w:themeColor="text1"/>
          <w:sz w:val="24"/>
          <w:szCs w:val="24"/>
          <w:lang w:eastAsia="es-ES"/>
        </w:rPr>
      </w:pPr>
    </w:p>
    <w:p w14:paraId="4B96FEE6" w14:textId="4E86A04A" w:rsidR="000C5DB7" w:rsidRPr="004C4CC1" w:rsidRDefault="000C5DB7" w:rsidP="00F45A6E">
      <w:pPr>
        <w:numPr>
          <w:ilvl w:val="0"/>
          <w:numId w:val="1"/>
        </w:numPr>
        <w:spacing w:line="276" w:lineRule="auto"/>
        <w:ind w:left="426"/>
        <w:contextualSpacing/>
        <w:jc w:val="left"/>
        <w:rPr>
          <w:b/>
          <w:bCs/>
          <w:color w:val="000000" w:themeColor="text1"/>
          <w:sz w:val="24"/>
          <w:szCs w:val="24"/>
          <w:lang w:val="es-ES_tradnl"/>
        </w:rPr>
      </w:pPr>
      <w:r w:rsidRPr="004C4CC1">
        <w:rPr>
          <w:b/>
          <w:bCs/>
          <w:color w:val="000000" w:themeColor="text1"/>
          <w:sz w:val="24"/>
          <w:szCs w:val="24"/>
          <w:lang w:val="es-ES"/>
        </w:rPr>
        <w:t>Procedibilidad de la acción</w:t>
      </w:r>
      <w:r w:rsidRPr="004C4CC1">
        <w:rPr>
          <w:color w:val="000000" w:themeColor="text1"/>
          <w:sz w:val="24"/>
          <w:szCs w:val="24"/>
        </w:rPr>
        <w:br/>
      </w:r>
    </w:p>
    <w:p w14:paraId="049893E4" w14:textId="6DD31838" w:rsidR="00B04EDB" w:rsidRPr="00F45A6E" w:rsidRDefault="00B04EDB" w:rsidP="00F45A6E">
      <w:pPr>
        <w:spacing w:line="276" w:lineRule="auto"/>
        <w:contextualSpacing/>
        <w:rPr>
          <w:rFonts w:eastAsia="Arial"/>
          <w:color w:val="000000" w:themeColor="text1"/>
          <w:sz w:val="24"/>
          <w:szCs w:val="24"/>
        </w:rPr>
      </w:pPr>
      <w:r w:rsidRPr="004C4CC1">
        <w:rPr>
          <w:rFonts w:eastAsia="Arial"/>
          <w:color w:val="000000" w:themeColor="text1"/>
          <w:sz w:val="24"/>
          <w:szCs w:val="24"/>
          <w:lang w:val="es-MX"/>
        </w:rPr>
        <w:t xml:space="preserve">En los casos en que </w:t>
      </w:r>
      <w:r w:rsidRPr="004C4CC1">
        <w:rPr>
          <w:rFonts w:eastAsia="Arial"/>
          <w:color w:val="000000" w:themeColor="text1"/>
          <w:sz w:val="24"/>
          <w:szCs w:val="24"/>
        </w:rPr>
        <w:t>la solicitud de amparo ataca una providencia judicial, la doctrina constitucional</w:t>
      </w:r>
      <w:r w:rsidRPr="004C4CC1">
        <w:rPr>
          <w:rFonts w:eastAsia="Arial"/>
          <w:color w:val="000000" w:themeColor="text1"/>
          <w:sz w:val="24"/>
          <w:szCs w:val="24"/>
          <w:vertAlign w:val="superscript"/>
        </w:rPr>
        <w:footnoteReference w:id="17"/>
      </w:r>
      <w:r w:rsidRPr="004C4CC1">
        <w:rPr>
          <w:rFonts w:eastAsia="Arial"/>
          <w:color w:val="000000" w:themeColor="text1"/>
          <w:sz w:val="24"/>
          <w:szCs w:val="24"/>
          <w:lang w:val="es-MX"/>
        </w:rPr>
        <w:t xml:space="preserve"> ha indicado que el juez de tutela debe, en forma preliminar, realizar </w:t>
      </w:r>
      <w:r w:rsidRPr="004C4CC1">
        <w:rPr>
          <w:rFonts w:eastAsia="Arial"/>
          <w:color w:val="000000" w:themeColor="text1"/>
          <w:sz w:val="24"/>
          <w:szCs w:val="24"/>
        </w:rPr>
        <w:t>un examen de procedibilidad</w:t>
      </w:r>
      <w:r w:rsidRPr="00F45A6E">
        <w:rPr>
          <w:rFonts w:eastAsia="Arial"/>
          <w:color w:val="000000" w:themeColor="text1"/>
          <w:sz w:val="24"/>
          <w:szCs w:val="24"/>
        </w:rPr>
        <w:t xml:space="preserve"> general</w:t>
      </w:r>
      <w:r w:rsidRPr="00F45A6E">
        <w:rPr>
          <w:rFonts w:eastAsia="Arial"/>
          <w:color w:val="000000" w:themeColor="text1"/>
          <w:sz w:val="24"/>
          <w:szCs w:val="24"/>
          <w:vertAlign w:val="superscript"/>
        </w:rPr>
        <w:footnoteReference w:id="18"/>
      </w:r>
      <w:r w:rsidR="00482B16" w:rsidRPr="00F45A6E">
        <w:rPr>
          <w:rFonts w:eastAsia="Arial"/>
          <w:color w:val="000000" w:themeColor="text1"/>
          <w:sz w:val="24"/>
          <w:szCs w:val="24"/>
        </w:rPr>
        <w:t xml:space="preserve"> de la acción; pues, so</w:t>
      </w:r>
      <w:r w:rsidRPr="00F45A6E">
        <w:rPr>
          <w:rFonts w:eastAsia="Arial"/>
          <w:color w:val="000000" w:themeColor="text1"/>
          <w:sz w:val="24"/>
          <w:szCs w:val="24"/>
        </w:rPr>
        <w:t xml:space="preserve">lo una vez verificada la </w:t>
      </w:r>
      <w:r w:rsidRPr="00F45A6E">
        <w:rPr>
          <w:rFonts w:eastAsia="Arial"/>
          <w:color w:val="000000" w:themeColor="text1"/>
          <w:sz w:val="24"/>
          <w:szCs w:val="24"/>
        </w:rPr>
        <w:lastRenderedPageBreak/>
        <w:t>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F45A6E">
        <w:rPr>
          <w:rStyle w:val="Refdenotaalpie"/>
          <w:rFonts w:eastAsia="Arial"/>
          <w:color w:val="000000" w:themeColor="text1"/>
          <w:sz w:val="24"/>
          <w:szCs w:val="24"/>
        </w:rPr>
        <w:footnoteReference w:id="19"/>
      </w:r>
      <w:r w:rsidRPr="00F45A6E">
        <w:rPr>
          <w:rFonts w:eastAsia="Arial"/>
          <w:color w:val="000000" w:themeColor="text1"/>
          <w:sz w:val="24"/>
          <w:szCs w:val="24"/>
        </w:rPr>
        <w:t>.</w:t>
      </w:r>
    </w:p>
    <w:p w14:paraId="54A7D7D1" w14:textId="77777777" w:rsidR="00087421" w:rsidRPr="00F45A6E" w:rsidRDefault="00087421" w:rsidP="00F45A6E">
      <w:pPr>
        <w:spacing w:line="276" w:lineRule="auto"/>
        <w:contextualSpacing/>
        <w:rPr>
          <w:rFonts w:eastAsia="Arial"/>
          <w:color w:val="000000" w:themeColor="text1"/>
          <w:sz w:val="24"/>
          <w:szCs w:val="24"/>
        </w:rPr>
      </w:pPr>
    </w:p>
    <w:p w14:paraId="4C8BE9E8" w14:textId="7535EAE2" w:rsidR="003419CA" w:rsidRPr="00F45A6E" w:rsidRDefault="003419CA" w:rsidP="00F45A6E">
      <w:pPr>
        <w:widowControl w:val="0"/>
        <w:tabs>
          <w:tab w:val="left" w:pos="709"/>
        </w:tabs>
        <w:autoSpaceDE w:val="0"/>
        <w:autoSpaceDN w:val="0"/>
        <w:adjustRightInd w:val="0"/>
        <w:spacing w:line="276" w:lineRule="auto"/>
        <w:contextualSpacing/>
        <w:rPr>
          <w:rFonts w:eastAsia="Dotum"/>
          <w:iCs/>
          <w:color w:val="000000" w:themeColor="text1"/>
          <w:sz w:val="24"/>
          <w:szCs w:val="24"/>
          <w:lang w:eastAsia="es-ES"/>
        </w:rPr>
      </w:pPr>
      <w:r w:rsidRPr="00F45A6E">
        <w:rPr>
          <w:rFonts w:eastAsia="Dotum"/>
          <w:iCs/>
          <w:color w:val="000000" w:themeColor="text1"/>
          <w:sz w:val="24"/>
          <w:szCs w:val="24"/>
          <w:lang w:eastAsia="es-ES"/>
        </w:rPr>
        <w:t xml:space="preserve">En ese orden, pasa entonces la Sala a la verificación de la </w:t>
      </w:r>
      <w:r w:rsidRPr="00F45A6E">
        <w:rPr>
          <w:color w:val="000000" w:themeColor="text1"/>
          <w:sz w:val="24"/>
          <w:szCs w:val="24"/>
        </w:rPr>
        <w:t>legitimación en la causa como una exigencia preliminar en cualquier acción de tutela, para, posteriormente, entrar a constatar los demás requisitos generales de procedibilidad</w:t>
      </w:r>
      <w:r w:rsidRPr="00F45A6E">
        <w:rPr>
          <w:rFonts w:eastAsia="Dotum"/>
          <w:iCs/>
          <w:color w:val="000000" w:themeColor="text1"/>
          <w:sz w:val="24"/>
          <w:szCs w:val="24"/>
          <w:lang w:eastAsia="es-ES"/>
        </w:rPr>
        <w:t xml:space="preserve">, </w:t>
      </w:r>
      <w:r w:rsidRPr="00F45A6E">
        <w:rPr>
          <w:color w:val="000000" w:themeColor="text1"/>
          <w:sz w:val="24"/>
          <w:szCs w:val="24"/>
        </w:rPr>
        <w:t xml:space="preserve">en especial el relacionado con la </w:t>
      </w:r>
      <w:r w:rsidR="00C862C6" w:rsidRPr="00F45A6E">
        <w:rPr>
          <w:color w:val="000000" w:themeColor="text1"/>
          <w:sz w:val="24"/>
          <w:szCs w:val="24"/>
        </w:rPr>
        <w:t>inmediatez</w:t>
      </w:r>
      <w:r w:rsidRPr="00F45A6E">
        <w:rPr>
          <w:color w:val="000000" w:themeColor="text1"/>
          <w:sz w:val="24"/>
          <w:szCs w:val="24"/>
        </w:rPr>
        <w:t xml:space="preserve">, en tanto que </w:t>
      </w:r>
      <w:r w:rsidR="00C862C6" w:rsidRPr="00F45A6E">
        <w:rPr>
          <w:color w:val="000000" w:themeColor="text1"/>
          <w:sz w:val="24"/>
          <w:szCs w:val="24"/>
        </w:rPr>
        <w:t xml:space="preserve">la Sección Quinta del Consejo de Estado en su informe manifestó que no se encontraba acreditado. </w:t>
      </w:r>
    </w:p>
    <w:p w14:paraId="2E9958A0" w14:textId="77777777" w:rsidR="003419CA" w:rsidRPr="00AB3065" w:rsidRDefault="003419CA" w:rsidP="00F45A6E">
      <w:pPr>
        <w:spacing w:line="276" w:lineRule="auto"/>
        <w:contextualSpacing/>
        <w:rPr>
          <w:color w:val="000000" w:themeColor="text1"/>
          <w:sz w:val="24"/>
          <w:szCs w:val="24"/>
        </w:rPr>
      </w:pPr>
    </w:p>
    <w:p w14:paraId="6BF6B495" w14:textId="7FC55015" w:rsidR="00AB3065" w:rsidRPr="00AB3065" w:rsidRDefault="00AB3065" w:rsidP="00AB3065">
      <w:pPr>
        <w:spacing w:line="276" w:lineRule="auto"/>
        <w:rPr>
          <w:rFonts w:eastAsia="Verdana"/>
          <w:b/>
          <w:color w:val="000000" w:themeColor="text1"/>
          <w:sz w:val="24"/>
          <w:szCs w:val="24"/>
        </w:rPr>
      </w:pPr>
      <w:r w:rsidRPr="00AB3065">
        <w:rPr>
          <w:rFonts w:eastAsia="Verdana"/>
          <w:b/>
          <w:color w:val="000000" w:themeColor="text1"/>
          <w:sz w:val="24"/>
          <w:szCs w:val="24"/>
        </w:rPr>
        <w:t xml:space="preserve">2.1. Legitimación en la causa </w:t>
      </w:r>
    </w:p>
    <w:p w14:paraId="12162A02" w14:textId="77777777" w:rsidR="00AB3065" w:rsidRPr="00AB3065" w:rsidRDefault="00AB3065" w:rsidP="00AB3065">
      <w:pPr>
        <w:pStyle w:val="Prrafodelista"/>
        <w:spacing w:line="276" w:lineRule="auto"/>
        <w:ind w:left="1080"/>
        <w:rPr>
          <w:rFonts w:eastAsia="Verdana"/>
          <w:b/>
          <w:color w:val="000000" w:themeColor="text1"/>
        </w:rPr>
      </w:pPr>
    </w:p>
    <w:p w14:paraId="026E2DC6" w14:textId="77777777" w:rsidR="00AB3065" w:rsidRDefault="00C862C6" w:rsidP="00F45A6E">
      <w:pPr>
        <w:spacing w:line="276" w:lineRule="auto"/>
        <w:contextualSpacing/>
        <w:rPr>
          <w:rFonts w:eastAsia="Verdana"/>
          <w:color w:val="000000" w:themeColor="text1"/>
          <w:sz w:val="24"/>
          <w:szCs w:val="24"/>
        </w:rPr>
      </w:pPr>
      <w:r w:rsidRPr="00F45A6E">
        <w:rPr>
          <w:bCs/>
          <w:color w:val="000000" w:themeColor="text1"/>
          <w:sz w:val="24"/>
          <w:szCs w:val="24"/>
        </w:rPr>
        <w:t>Claudia Juliana Melo Romero</w:t>
      </w:r>
      <w:r w:rsidRPr="00F45A6E">
        <w:rPr>
          <w:rFonts w:eastAsia="Verdana"/>
          <w:color w:val="000000" w:themeColor="text1"/>
          <w:sz w:val="24"/>
          <w:szCs w:val="24"/>
        </w:rPr>
        <w:t xml:space="preserve"> </w:t>
      </w:r>
      <w:r w:rsidR="003419CA" w:rsidRPr="00AB3065">
        <w:rPr>
          <w:rFonts w:eastAsia="Verdana"/>
          <w:color w:val="000000" w:themeColor="text1"/>
          <w:sz w:val="24"/>
          <w:szCs w:val="24"/>
        </w:rPr>
        <w:t xml:space="preserve">está legitimada en la causa </w:t>
      </w:r>
      <w:r w:rsidR="003419CA" w:rsidRPr="00AB3065">
        <w:rPr>
          <w:rFonts w:eastAsia="Verdana"/>
          <w:i/>
          <w:color w:val="000000" w:themeColor="text1"/>
          <w:sz w:val="24"/>
          <w:szCs w:val="24"/>
        </w:rPr>
        <w:t xml:space="preserve">por activa </w:t>
      </w:r>
      <w:r w:rsidR="003419CA" w:rsidRPr="00AB3065">
        <w:rPr>
          <w:rFonts w:eastAsia="Verdana"/>
          <w:color w:val="000000" w:themeColor="text1"/>
          <w:sz w:val="24"/>
          <w:szCs w:val="24"/>
        </w:rPr>
        <w:t>por cuanto fu</w:t>
      </w:r>
      <w:r w:rsidRPr="00AB3065">
        <w:rPr>
          <w:rFonts w:eastAsia="Verdana"/>
          <w:color w:val="000000" w:themeColor="text1"/>
          <w:sz w:val="24"/>
          <w:szCs w:val="24"/>
        </w:rPr>
        <w:t xml:space="preserve">e la sancionada en el incidente de desacato </w:t>
      </w:r>
      <w:r w:rsidR="003419CA" w:rsidRPr="00AB3065">
        <w:rPr>
          <w:rFonts w:eastAsia="Verdana"/>
          <w:color w:val="000000" w:themeColor="text1"/>
          <w:sz w:val="24"/>
          <w:szCs w:val="24"/>
        </w:rPr>
        <w:t>en el que se profirieron</w:t>
      </w:r>
      <w:r w:rsidR="003419CA" w:rsidRPr="00F45A6E">
        <w:rPr>
          <w:rFonts w:eastAsia="Verdana"/>
          <w:color w:val="000000" w:themeColor="text1"/>
          <w:sz w:val="24"/>
          <w:szCs w:val="24"/>
        </w:rPr>
        <w:t xml:space="preserve"> las providencias que ataca, y por tanto es titular del derecho al debido proceso</w:t>
      </w:r>
      <w:r w:rsidR="00B974AC" w:rsidRPr="006B5E83">
        <w:rPr>
          <w:rStyle w:val="Refdenotaalpie"/>
          <w:rFonts w:eastAsia="Verdana"/>
          <w:color w:val="000000" w:themeColor="text1"/>
          <w:sz w:val="24"/>
          <w:szCs w:val="24"/>
        </w:rPr>
        <w:footnoteReference w:id="20"/>
      </w:r>
      <w:r w:rsidR="003419CA" w:rsidRPr="00F45A6E">
        <w:rPr>
          <w:rFonts w:eastAsia="Verdana"/>
          <w:color w:val="000000" w:themeColor="text1"/>
          <w:sz w:val="24"/>
          <w:szCs w:val="24"/>
        </w:rPr>
        <w:t xml:space="preserve"> que alega como vulnerado. </w:t>
      </w:r>
    </w:p>
    <w:p w14:paraId="1641205D" w14:textId="77777777" w:rsidR="00AB3065" w:rsidRDefault="00AB3065" w:rsidP="00F45A6E">
      <w:pPr>
        <w:spacing w:line="276" w:lineRule="auto"/>
        <w:contextualSpacing/>
        <w:rPr>
          <w:rFonts w:eastAsia="Verdana"/>
          <w:color w:val="000000" w:themeColor="text1"/>
          <w:sz w:val="24"/>
          <w:szCs w:val="24"/>
        </w:rPr>
      </w:pPr>
    </w:p>
    <w:p w14:paraId="4BE9C8D1" w14:textId="57DEB7E1" w:rsidR="003419CA" w:rsidRDefault="003419CA" w:rsidP="00F45A6E">
      <w:pPr>
        <w:spacing w:line="276" w:lineRule="auto"/>
        <w:contextualSpacing/>
        <w:rPr>
          <w:rFonts w:eastAsia="Verdana"/>
          <w:color w:val="000000" w:themeColor="text1"/>
          <w:sz w:val="24"/>
          <w:szCs w:val="24"/>
        </w:rPr>
      </w:pPr>
      <w:r w:rsidRPr="00F45A6E">
        <w:rPr>
          <w:rFonts w:eastAsia="Verdana"/>
          <w:color w:val="000000" w:themeColor="text1"/>
          <w:sz w:val="24"/>
          <w:szCs w:val="24"/>
        </w:rPr>
        <w:t xml:space="preserve">Asimismo, </w:t>
      </w:r>
      <w:r w:rsidR="00C862C6" w:rsidRPr="00F45A6E">
        <w:rPr>
          <w:rFonts w:eastAsia="Verdana"/>
          <w:color w:val="000000" w:themeColor="text1"/>
          <w:sz w:val="24"/>
          <w:szCs w:val="24"/>
        </w:rPr>
        <w:t xml:space="preserve">la </w:t>
      </w:r>
      <w:r w:rsidR="00C862C6" w:rsidRPr="00F45A6E">
        <w:rPr>
          <w:color w:val="000000" w:themeColor="text1"/>
          <w:sz w:val="24"/>
          <w:szCs w:val="24"/>
        </w:rPr>
        <w:t>Sala de Decisión A del</w:t>
      </w:r>
      <w:r w:rsidR="00C862C6" w:rsidRPr="00F45A6E">
        <w:rPr>
          <w:b/>
          <w:color w:val="000000" w:themeColor="text1"/>
          <w:sz w:val="24"/>
          <w:szCs w:val="24"/>
        </w:rPr>
        <w:t xml:space="preserve"> </w:t>
      </w:r>
      <w:r w:rsidR="00C862C6" w:rsidRPr="00F45A6E">
        <w:rPr>
          <w:bCs/>
          <w:color w:val="000000" w:themeColor="text1"/>
          <w:sz w:val="24"/>
          <w:szCs w:val="24"/>
        </w:rPr>
        <w:t>Tribunal Administrativo del Atlántico y la Sección Quinta del Consejo de Estado</w:t>
      </w:r>
      <w:r w:rsidR="00C862C6" w:rsidRPr="00F45A6E">
        <w:rPr>
          <w:color w:val="000000" w:themeColor="text1"/>
          <w:sz w:val="24"/>
          <w:szCs w:val="24"/>
        </w:rPr>
        <w:t xml:space="preserve"> </w:t>
      </w:r>
      <w:r w:rsidRPr="00F45A6E">
        <w:rPr>
          <w:color w:val="000000" w:themeColor="text1"/>
          <w:sz w:val="24"/>
          <w:szCs w:val="24"/>
        </w:rPr>
        <w:t>lo está</w:t>
      </w:r>
      <w:r w:rsidR="0036348D" w:rsidRPr="00F45A6E">
        <w:rPr>
          <w:color w:val="000000" w:themeColor="text1"/>
          <w:sz w:val="24"/>
          <w:szCs w:val="24"/>
        </w:rPr>
        <w:t>n</w:t>
      </w:r>
      <w:r w:rsidRPr="00F45A6E">
        <w:rPr>
          <w:color w:val="000000" w:themeColor="text1"/>
          <w:sz w:val="24"/>
          <w:szCs w:val="24"/>
        </w:rPr>
        <w:t xml:space="preserve"> </w:t>
      </w:r>
      <w:r w:rsidRPr="00F45A6E">
        <w:rPr>
          <w:i/>
          <w:color w:val="000000" w:themeColor="text1"/>
          <w:sz w:val="24"/>
          <w:szCs w:val="24"/>
        </w:rPr>
        <w:t>por pasiva</w:t>
      </w:r>
      <w:r w:rsidRPr="00F45A6E">
        <w:rPr>
          <w:color w:val="000000" w:themeColor="text1"/>
          <w:sz w:val="24"/>
          <w:szCs w:val="24"/>
        </w:rPr>
        <w:t xml:space="preserve">, pues </w:t>
      </w:r>
      <w:r w:rsidRPr="00F45A6E">
        <w:rPr>
          <w:rFonts w:eastAsia="Verdana"/>
          <w:color w:val="000000" w:themeColor="text1"/>
          <w:sz w:val="24"/>
          <w:szCs w:val="24"/>
        </w:rPr>
        <w:t>fue</w:t>
      </w:r>
      <w:r w:rsidR="0036348D" w:rsidRPr="00F45A6E">
        <w:rPr>
          <w:rFonts w:eastAsia="Verdana"/>
          <w:color w:val="000000" w:themeColor="text1"/>
          <w:sz w:val="24"/>
          <w:szCs w:val="24"/>
        </w:rPr>
        <w:t>ron</w:t>
      </w:r>
      <w:r w:rsidRPr="00F45A6E">
        <w:rPr>
          <w:rFonts w:eastAsia="Verdana"/>
          <w:color w:val="000000" w:themeColor="text1"/>
          <w:sz w:val="24"/>
          <w:szCs w:val="24"/>
        </w:rPr>
        <w:t xml:space="preserve"> la</w:t>
      </w:r>
      <w:r w:rsidR="008F6116" w:rsidRPr="00F45A6E">
        <w:rPr>
          <w:rFonts w:eastAsia="Verdana"/>
          <w:color w:val="000000" w:themeColor="text1"/>
          <w:sz w:val="24"/>
          <w:szCs w:val="24"/>
        </w:rPr>
        <w:t>s</w:t>
      </w:r>
      <w:r w:rsidRPr="00F45A6E">
        <w:rPr>
          <w:rFonts w:eastAsia="Verdana"/>
          <w:color w:val="000000" w:themeColor="text1"/>
          <w:sz w:val="24"/>
          <w:szCs w:val="24"/>
        </w:rPr>
        <w:t xml:space="preserve"> autoridad</w:t>
      </w:r>
      <w:r w:rsidR="0036348D" w:rsidRPr="00F45A6E">
        <w:rPr>
          <w:rFonts w:eastAsia="Verdana"/>
          <w:color w:val="000000" w:themeColor="text1"/>
          <w:sz w:val="24"/>
          <w:szCs w:val="24"/>
        </w:rPr>
        <w:t>es que profirieron</w:t>
      </w:r>
      <w:r w:rsidRPr="00F45A6E">
        <w:rPr>
          <w:rFonts w:eastAsia="Verdana"/>
          <w:color w:val="000000" w:themeColor="text1"/>
          <w:sz w:val="24"/>
          <w:szCs w:val="24"/>
        </w:rPr>
        <w:t xml:space="preserve"> las providencias judiciales cuestionadas.</w:t>
      </w:r>
    </w:p>
    <w:p w14:paraId="7E072BDA" w14:textId="77777777" w:rsidR="008D36ED" w:rsidRDefault="008D36ED" w:rsidP="00F45A6E">
      <w:pPr>
        <w:spacing w:line="276" w:lineRule="auto"/>
        <w:contextualSpacing/>
        <w:rPr>
          <w:rFonts w:eastAsia="Verdana"/>
          <w:color w:val="000000" w:themeColor="text1"/>
          <w:sz w:val="24"/>
          <w:szCs w:val="24"/>
        </w:rPr>
      </w:pPr>
    </w:p>
    <w:p w14:paraId="250655FA" w14:textId="28778E16" w:rsidR="00374DA5" w:rsidRPr="004C4CC1" w:rsidRDefault="00AB3065" w:rsidP="00F45A6E">
      <w:pPr>
        <w:spacing w:line="276" w:lineRule="auto"/>
        <w:contextualSpacing/>
        <w:rPr>
          <w:rFonts w:eastAsia="Verdana"/>
          <w:color w:val="000000" w:themeColor="text1"/>
          <w:sz w:val="24"/>
          <w:szCs w:val="24"/>
        </w:rPr>
      </w:pPr>
      <w:r w:rsidRPr="004C4CC1">
        <w:rPr>
          <w:rFonts w:eastAsia="Verdana"/>
          <w:color w:val="000000" w:themeColor="text1"/>
          <w:sz w:val="24"/>
          <w:szCs w:val="24"/>
        </w:rPr>
        <w:t>Además de las partes del proceso</w:t>
      </w:r>
      <w:r w:rsidR="007C5FB9" w:rsidRPr="004C4CC1">
        <w:rPr>
          <w:rFonts w:eastAsia="Verdana"/>
          <w:color w:val="000000" w:themeColor="text1"/>
          <w:sz w:val="24"/>
          <w:szCs w:val="24"/>
        </w:rPr>
        <w:t>,</w:t>
      </w:r>
      <w:r w:rsidR="009B1859" w:rsidRPr="004C4CC1">
        <w:rPr>
          <w:rFonts w:eastAsia="Verdana"/>
          <w:color w:val="000000" w:themeColor="text1"/>
          <w:sz w:val="24"/>
          <w:szCs w:val="24"/>
        </w:rPr>
        <w:t xml:space="preserve"> </w:t>
      </w:r>
      <w:r w:rsidR="007C5FB9" w:rsidRPr="004C4CC1">
        <w:rPr>
          <w:rFonts w:eastAsia="Verdana"/>
          <w:color w:val="000000" w:themeColor="text1"/>
          <w:sz w:val="24"/>
          <w:szCs w:val="24"/>
        </w:rPr>
        <w:t>el suscrito magistrado sustanciador</w:t>
      </w:r>
      <w:r w:rsidR="001A0924" w:rsidRPr="004C4CC1">
        <w:rPr>
          <w:rFonts w:eastAsia="Verdana"/>
          <w:color w:val="000000" w:themeColor="text1"/>
          <w:sz w:val="24"/>
          <w:szCs w:val="24"/>
        </w:rPr>
        <w:t>, al conformar el contradictorio</w:t>
      </w:r>
      <w:r w:rsidR="00106DF9" w:rsidRPr="004C4CC1">
        <w:rPr>
          <w:rFonts w:eastAsia="Verdana"/>
          <w:color w:val="000000" w:themeColor="text1"/>
          <w:sz w:val="24"/>
          <w:szCs w:val="24"/>
        </w:rPr>
        <w:t xml:space="preserve">, vinculó en calidad de terceros interesados </w:t>
      </w:r>
      <w:r w:rsidR="007E2317" w:rsidRPr="004C4CC1">
        <w:rPr>
          <w:rFonts w:eastAsia="Verdana"/>
          <w:color w:val="000000" w:themeColor="text1"/>
          <w:sz w:val="24"/>
          <w:szCs w:val="24"/>
        </w:rPr>
        <w:t>a toda</w:t>
      </w:r>
      <w:r w:rsidR="00106DF9" w:rsidRPr="004C4CC1">
        <w:rPr>
          <w:rFonts w:eastAsia="Verdana"/>
          <w:color w:val="000000" w:themeColor="text1"/>
          <w:sz w:val="24"/>
          <w:szCs w:val="24"/>
        </w:rPr>
        <w:t>s las personas naturales y jurídicas que participaron en el trámite de</w:t>
      </w:r>
      <w:r w:rsidR="007E2317" w:rsidRPr="004C4CC1">
        <w:rPr>
          <w:rFonts w:eastAsia="Verdana"/>
          <w:color w:val="000000" w:themeColor="text1"/>
          <w:sz w:val="24"/>
          <w:szCs w:val="24"/>
        </w:rPr>
        <w:t xml:space="preserve"> </w:t>
      </w:r>
      <w:r w:rsidR="00106DF9" w:rsidRPr="004C4CC1">
        <w:rPr>
          <w:rFonts w:eastAsia="Verdana"/>
          <w:color w:val="000000" w:themeColor="text1"/>
          <w:sz w:val="24"/>
          <w:szCs w:val="24"/>
        </w:rPr>
        <w:t>desacato censurado en esta acción constitucional</w:t>
      </w:r>
      <w:r w:rsidR="00F21E75" w:rsidRPr="004C4CC1">
        <w:rPr>
          <w:rFonts w:eastAsia="Verdana"/>
          <w:color w:val="000000" w:themeColor="text1"/>
          <w:sz w:val="24"/>
          <w:szCs w:val="24"/>
        </w:rPr>
        <w:t>. Entre los intervini</w:t>
      </w:r>
      <w:r w:rsidR="000166CE" w:rsidRPr="004C4CC1">
        <w:rPr>
          <w:rFonts w:eastAsia="Verdana"/>
          <w:color w:val="000000" w:themeColor="text1"/>
          <w:sz w:val="24"/>
          <w:szCs w:val="24"/>
        </w:rPr>
        <w:t>e</w:t>
      </w:r>
      <w:r w:rsidR="00F21E75" w:rsidRPr="004C4CC1">
        <w:rPr>
          <w:rFonts w:eastAsia="Verdana"/>
          <w:color w:val="000000" w:themeColor="text1"/>
          <w:sz w:val="24"/>
          <w:szCs w:val="24"/>
        </w:rPr>
        <w:t>ntes</w:t>
      </w:r>
      <w:r w:rsidR="009B1859" w:rsidRPr="004C4CC1">
        <w:rPr>
          <w:rFonts w:eastAsia="Verdana"/>
          <w:color w:val="000000" w:themeColor="text1"/>
          <w:sz w:val="24"/>
          <w:szCs w:val="24"/>
        </w:rPr>
        <w:t xml:space="preserve">, </w:t>
      </w:r>
      <w:r w:rsidR="00F21E75" w:rsidRPr="004C4CC1">
        <w:rPr>
          <w:rFonts w:eastAsia="Verdana"/>
          <w:color w:val="000000" w:themeColor="text1"/>
          <w:sz w:val="24"/>
          <w:szCs w:val="24"/>
        </w:rPr>
        <w:t xml:space="preserve">incluyó a </w:t>
      </w:r>
      <w:r w:rsidR="00F21E75" w:rsidRPr="004C4CC1">
        <w:rPr>
          <w:sz w:val="24"/>
          <w:szCs w:val="24"/>
        </w:rPr>
        <w:t xml:space="preserve">Israel Oliveros Guette que de conformidad con la </w:t>
      </w:r>
      <w:r w:rsidR="00F21E75" w:rsidRPr="004C4CC1">
        <w:rPr>
          <w:rFonts w:eastAsia="Verdana"/>
          <w:color w:val="000000" w:themeColor="text1"/>
          <w:sz w:val="24"/>
          <w:szCs w:val="24"/>
        </w:rPr>
        <w:t xml:space="preserve">información obtenida en la Sede Electrónica para la Gestión Judicial SAMAI había </w:t>
      </w:r>
      <w:r w:rsidR="009B1859" w:rsidRPr="004C4CC1">
        <w:rPr>
          <w:rFonts w:eastAsia="Verdana"/>
          <w:color w:val="000000" w:themeColor="text1"/>
          <w:sz w:val="24"/>
          <w:szCs w:val="24"/>
        </w:rPr>
        <w:t>fungid</w:t>
      </w:r>
      <w:r w:rsidR="00F21E75" w:rsidRPr="004C4CC1">
        <w:rPr>
          <w:rFonts w:eastAsia="Verdana"/>
          <w:color w:val="000000" w:themeColor="text1"/>
          <w:sz w:val="24"/>
          <w:szCs w:val="24"/>
        </w:rPr>
        <w:t>o</w:t>
      </w:r>
      <w:r w:rsidR="00374DA5" w:rsidRPr="004C4CC1">
        <w:rPr>
          <w:rFonts w:eastAsia="Verdana"/>
          <w:color w:val="000000" w:themeColor="text1"/>
          <w:sz w:val="24"/>
          <w:szCs w:val="24"/>
        </w:rPr>
        <w:t xml:space="preserve"> como</w:t>
      </w:r>
      <w:r w:rsidR="00F21E75" w:rsidRPr="004C4CC1">
        <w:rPr>
          <w:rFonts w:eastAsia="Verdana"/>
          <w:color w:val="000000" w:themeColor="text1"/>
          <w:sz w:val="24"/>
          <w:szCs w:val="24"/>
        </w:rPr>
        <w:t xml:space="preserve"> parte en este proceso</w:t>
      </w:r>
      <w:r w:rsidR="00106DF9" w:rsidRPr="004C4CC1">
        <w:rPr>
          <w:rFonts w:eastAsia="Verdana"/>
          <w:color w:val="000000" w:themeColor="text1"/>
          <w:sz w:val="24"/>
          <w:szCs w:val="24"/>
        </w:rPr>
        <w:t xml:space="preserve">. </w:t>
      </w:r>
      <w:r w:rsidR="009B1859" w:rsidRPr="004C4CC1">
        <w:rPr>
          <w:rFonts w:eastAsia="Verdana"/>
          <w:color w:val="000000" w:themeColor="text1"/>
          <w:sz w:val="24"/>
          <w:szCs w:val="24"/>
        </w:rPr>
        <w:t>Sin embargo, re</w:t>
      </w:r>
      <w:r w:rsidR="00F21E75" w:rsidRPr="004C4CC1">
        <w:rPr>
          <w:sz w:val="24"/>
          <w:szCs w:val="24"/>
        </w:rPr>
        <w:t>visados</w:t>
      </w:r>
      <w:r w:rsidR="007C5FB9" w:rsidRPr="004C4CC1">
        <w:rPr>
          <w:sz w:val="24"/>
          <w:szCs w:val="24"/>
        </w:rPr>
        <w:t xml:space="preserve"> los</w:t>
      </w:r>
      <w:r w:rsidRPr="004C4CC1">
        <w:rPr>
          <w:sz w:val="24"/>
          <w:szCs w:val="24"/>
        </w:rPr>
        <w:t xml:space="preserve"> info</w:t>
      </w:r>
      <w:r w:rsidR="007C5FB9" w:rsidRPr="004C4CC1">
        <w:rPr>
          <w:sz w:val="24"/>
          <w:szCs w:val="24"/>
        </w:rPr>
        <w:t>rmes rendidos por las autoridades judiciales</w:t>
      </w:r>
      <w:r w:rsidR="006A58B7" w:rsidRPr="004C4CC1">
        <w:rPr>
          <w:sz w:val="24"/>
          <w:szCs w:val="24"/>
        </w:rPr>
        <w:t xml:space="preserve"> </w:t>
      </w:r>
      <w:r w:rsidR="00F21E75" w:rsidRPr="004C4CC1">
        <w:rPr>
          <w:sz w:val="24"/>
          <w:szCs w:val="24"/>
        </w:rPr>
        <w:t>la Sala</w:t>
      </w:r>
      <w:r w:rsidR="007C5FB9" w:rsidRPr="004C4CC1">
        <w:rPr>
          <w:sz w:val="24"/>
          <w:szCs w:val="24"/>
        </w:rPr>
        <w:t xml:space="preserve"> encontró que </w:t>
      </w:r>
      <w:r w:rsidR="009B1859" w:rsidRPr="004C4CC1">
        <w:rPr>
          <w:sz w:val="24"/>
          <w:szCs w:val="24"/>
        </w:rPr>
        <w:t>el señor</w:t>
      </w:r>
      <w:r w:rsidR="006052FF" w:rsidRPr="004C4CC1">
        <w:rPr>
          <w:sz w:val="24"/>
          <w:szCs w:val="24"/>
        </w:rPr>
        <w:t xml:space="preserve"> Oliveros Guette</w:t>
      </w:r>
      <w:r w:rsidR="00F21E75" w:rsidRPr="004C4CC1">
        <w:rPr>
          <w:sz w:val="24"/>
          <w:szCs w:val="24"/>
        </w:rPr>
        <w:t xml:space="preserve"> </w:t>
      </w:r>
      <w:r w:rsidR="007C5FB9" w:rsidRPr="004C4CC1">
        <w:rPr>
          <w:rFonts w:eastAsia="Verdana"/>
          <w:color w:val="000000" w:themeColor="text1"/>
          <w:sz w:val="24"/>
          <w:szCs w:val="24"/>
        </w:rPr>
        <w:t xml:space="preserve">era realmente el apoderado </w:t>
      </w:r>
      <w:r w:rsidR="006052FF" w:rsidRPr="004C4CC1">
        <w:rPr>
          <w:sz w:val="24"/>
          <w:szCs w:val="24"/>
        </w:rPr>
        <w:t xml:space="preserve">de </w:t>
      </w:r>
      <w:r w:rsidR="007E2317" w:rsidRPr="004C4CC1">
        <w:rPr>
          <w:sz w:val="24"/>
          <w:szCs w:val="24"/>
        </w:rPr>
        <w:t>los accionantes</w:t>
      </w:r>
      <w:r w:rsidR="006A58B7" w:rsidRPr="004C4CC1">
        <w:rPr>
          <w:sz w:val="24"/>
          <w:szCs w:val="24"/>
        </w:rPr>
        <w:t xml:space="preserve"> en el </w:t>
      </w:r>
      <w:r w:rsidR="00374DA5" w:rsidRPr="004C4CC1">
        <w:rPr>
          <w:sz w:val="24"/>
          <w:szCs w:val="24"/>
        </w:rPr>
        <w:t>proceso</w:t>
      </w:r>
      <w:r w:rsidR="006A58B7" w:rsidRPr="004C4CC1">
        <w:rPr>
          <w:sz w:val="24"/>
          <w:szCs w:val="24"/>
        </w:rPr>
        <w:t xml:space="preserve"> de tutela respecto del que se predicaba el desacato</w:t>
      </w:r>
      <w:r w:rsidR="007C5FB9" w:rsidRPr="004C4CC1">
        <w:rPr>
          <w:sz w:val="24"/>
          <w:szCs w:val="24"/>
        </w:rPr>
        <w:t>. E</w:t>
      </w:r>
      <w:r w:rsidRPr="004C4CC1">
        <w:rPr>
          <w:sz w:val="24"/>
          <w:szCs w:val="24"/>
        </w:rPr>
        <w:t xml:space="preserve">n </w:t>
      </w:r>
      <w:r w:rsidR="009B1859" w:rsidRPr="004C4CC1">
        <w:rPr>
          <w:sz w:val="24"/>
          <w:szCs w:val="24"/>
        </w:rPr>
        <w:t>ese orden</w:t>
      </w:r>
      <w:r w:rsidRPr="004C4CC1">
        <w:rPr>
          <w:sz w:val="24"/>
          <w:szCs w:val="24"/>
        </w:rPr>
        <w:t>,</w:t>
      </w:r>
      <w:r w:rsidR="007E2317" w:rsidRPr="004C4CC1">
        <w:rPr>
          <w:sz w:val="24"/>
          <w:szCs w:val="24"/>
        </w:rPr>
        <w:t xml:space="preserve"> </w:t>
      </w:r>
      <w:r w:rsidR="001A0924" w:rsidRPr="004C4CC1">
        <w:rPr>
          <w:rFonts w:eastAsia="Verdana"/>
          <w:color w:val="000000" w:themeColor="text1"/>
          <w:sz w:val="24"/>
          <w:szCs w:val="24"/>
        </w:rPr>
        <w:t xml:space="preserve">corresponde desvincularlo de este trámite porque </w:t>
      </w:r>
      <w:r w:rsidR="007E2317" w:rsidRPr="004C4CC1">
        <w:rPr>
          <w:rFonts w:eastAsia="Verdana"/>
          <w:color w:val="000000" w:themeColor="text1"/>
          <w:sz w:val="24"/>
          <w:szCs w:val="24"/>
        </w:rPr>
        <w:t>no tiene un interés leg</w:t>
      </w:r>
      <w:r w:rsidR="001A0924" w:rsidRPr="004C4CC1">
        <w:rPr>
          <w:rFonts w:eastAsia="Verdana"/>
          <w:color w:val="000000" w:themeColor="text1"/>
          <w:sz w:val="24"/>
          <w:szCs w:val="24"/>
        </w:rPr>
        <w:t xml:space="preserve">ítimo en las resultas del proceso </w:t>
      </w:r>
      <w:r w:rsidR="007E2317" w:rsidRPr="004C4CC1">
        <w:rPr>
          <w:rFonts w:eastAsia="Verdana"/>
          <w:color w:val="000000" w:themeColor="text1"/>
          <w:sz w:val="24"/>
          <w:szCs w:val="24"/>
        </w:rPr>
        <w:t xml:space="preserve">ni es titular de alguno de los derechos que </w:t>
      </w:r>
      <w:r w:rsidR="007E2317" w:rsidRPr="004C4CC1">
        <w:rPr>
          <w:rFonts w:eastAsia="Verdana"/>
          <w:color w:val="000000" w:themeColor="text1"/>
          <w:sz w:val="24"/>
          <w:szCs w:val="24"/>
        </w:rPr>
        <w:t>podría</w:t>
      </w:r>
      <w:r w:rsidR="00D60323">
        <w:rPr>
          <w:rFonts w:eastAsia="Verdana"/>
          <w:color w:val="000000" w:themeColor="text1"/>
          <w:sz w:val="24"/>
          <w:szCs w:val="24"/>
        </w:rPr>
        <w:t>n</w:t>
      </w:r>
      <w:r w:rsidR="007E2317" w:rsidRPr="004C4CC1">
        <w:rPr>
          <w:rFonts w:eastAsia="Verdana"/>
          <w:color w:val="000000" w:themeColor="text1"/>
          <w:sz w:val="24"/>
          <w:szCs w:val="24"/>
        </w:rPr>
        <w:t xml:space="preserve"> verse afectado</w:t>
      </w:r>
      <w:r w:rsidR="00D60323">
        <w:rPr>
          <w:rFonts w:eastAsia="Verdana"/>
          <w:color w:val="000000" w:themeColor="text1"/>
          <w:sz w:val="24"/>
          <w:szCs w:val="24"/>
        </w:rPr>
        <w:t>s</w:t>
      </w:r>
      <w:r w:rsidR="009B1859" w:rsidRPr="004C4CC1">
        <w:rPr>
          <w:rStyle w:val="Refdenotaalpie"/>
          <w:rFonts w:eastAsia="Verdana"/>
          <w:color w:val="000000" w:themeColor="text1"/>
          <w:sz w:val="24"/>
          <w:szCs w:val="24"/>
        </w:rPr>
        <w:footnoteReference w:id="21"/>
      </w:r>
      <w:r w:rsidR="006A58B7" w:rsidRPr="004C4CC1">
        <w:rPr>
          <w:rFonts w:eastAsia="Verdana"/>
          <w:color w:val="000000" w:themeColor="text1"/>
          <w:sz w:val="24"/>
          <w:szCs w:val="24"/>
        </w:rPr>
        <w:t xml:space="preserve">. </w:t>
      </w:r>
    </w:p>
    <w:p w14:paraId="1D323BA4" w14:textId="77777777" w:rsidR="00374DA5" w:rsidRPr="004C4CC1" w:rsidRDefault="00374DA5" w:rsidP="00F45A6E">
      <w:pPr>
        <w:spacing w:line="276" w:lineRule="auto"/>
        <w:contextualSpacing/>
        <w:rPr>
          <w:rFonts w:eastAsia="Verdana"/>
          <w:color w:val="000000" w:themeColor="text1"/>
          <w:sz w:val="24"/>
          <w:szCs w:val="24"/>
        </w:rPr>
      </w:pPr>
    </w:p>
    <w:p w14:paraId="4775662B" w14:textId="1D382666" w:rsidR="008D36ED" w:rsidRPr="00F45A6E" w:rsidRDefault="006A58B7" w:rsidP="00F45A6E">
      <w:pPr>
        <w:spacing w:line="276" w:lineRule="auto"/>
        <w:contextualSpacing/>
        <w:rPr>
          <w:rFonts w:eastAsia="Verdana"/>
          <w:color w:val="000000" w:themeColor="text1"/>
          <w:sz w:val="24"/>
          <w:szCs w:val="24"/>
        </w:rPr>
      </w:pPr>
      <w:r w:rsidRPr="004C4CC1">
        <w:rPr>
          <w:rFonts w:eastAsia="Verdana"/>
          <w:color w:val="000000" w:themeColor="text1"/>
          <w:sz w:val="24"/>
          <w:szCs w:val="24"/>
        </w:rPr>
        <w:t xml:space="preserve">Por otra parte, </w:t>
      </w:r>
      <w:r w:rsidRPr="004C4CC1">
        <w:rPr>
          <w:sz w:val="24"/>
          <w:szCs w:val="24"/>
        </w:rPr>
        <w:t>Aida María Navarro de Barbosa, Divineth, Maylin Yanin, Alvaro Antonio y Senelia Barbosa Navarro</w:t>
      </w:r>
      <w:r w:rsidR="00374DA5" w:rsidRPr="004C4CC1">
        <w:rPr>
          <w:sz w:val="24"/>
          <w:szCs w:val="24"/>
        </w:rPr>
        <w:t>, a través de escrito enviado a la Secretaría General de esta Corporación</w:t>
      </w:r>
      <w:r w:rsidR="00D60323">
        <w:rPr>
          <w:sz w:val="24"/>
          <w:szCs w:val="24"/>
        </w:rPr>
        <w:t>,</w:t>
      </w:r>
      <w:r w:rsidRPr="004C4CC1">
        <w:rPr>
          <w:sz w:val="24"/>
          <w:szCs w:val="24"/>
        </w:rPr>
        <w:t xml:space="preserve"> le otorgaron poder especial </w:t>
      </w:r>
      <w:r w:rsidR="00374DA5" w:rsidRPr="004C4CC1">
        <w:rPr>
          <w:sz w:val="24"/>
          <w:szCs w:val="24"/>
        </w:rPr>
        <w:t xml:space="preserve">a Israel Oliveros Guette </w:t>
      </w:r>
      <w:r w:rsidRPr="004C4CC1">
        <w:rPr>
          <w:sz w:val="24"/>
          <w:szCs w:val="24"/>
        </w:rPr>
        <w:t xml:space="preserve">para que los represente </w:t>
      </w:r>
      <w:r w:rsidR="00374DA5" w:rsidRPr="004C4CC1">
        <w:rPr>
          <w:sz w:val="24"/>
          <w:szCs w:val="24"/>
        </w:rPr>
        <w:t xml:space="preserve">en este trámite. Así las cosas, lo procedente es reconocerle personería para que funja como su </w:t>
      </w:r>
      <w:r w:rsidR="00374DA5" w:rsidRPr="00C62AC2">
        <w:rPr>
          <w:sz w:val="24"/>
          <w:szCs w:val="24"/>
        </w:rPr>
        <w:t xml:space="preserve">apoderado. </w:t>
      </w:r>
    </w:p>
    <w:p w14:paraId="58E38DC0" w14:textId="77777777" w:rsidR="0036348D" w:rsidRPr="00F45A6E" w:rsidRDefault="0036348D" w:rsidP="00F45A6E">
      <w:pPr>
        <w:spacing w:line="276" w:lineRule="auto"/>
        <w:contextualSpacing/>
        <w:rPr>
          <w:b/>
          <w:color w:val="000000" w:themeColor="text1"/>
          <w:sz w:val="24"/>
          <w:szCs w:val="24"/>
        </w:rPr>
      </w:pPr>
    </w:p>
    <w:p w14:paraId="5DD7619D" w14:textId="7007CA62" w:rsidR="00F21E75" w:rsidRDefault="0036348D" w:rsidP="00F45A6E">
      <w:pPr>
        <w:overflowPunct w:val="0"/>
        <w:autoSpaceDE w:val="0"/>
        <w:autoSpaceDN w:val="0"/>
        <w:adjustRightInd w:val="0"/>
        <w:spacing w:line="276" w:lineRule="auto"/>
        <w:rPr>
          <w:b/>
          <w:color w:val="000000" w:themeColor="text1"/>
          <w:sz w:val="24"/>
          <w:szCs w:val="24"/>
        </w:rPr>
      </w:pPr>
      <w:r w:rsidRPr="00F45A6E">
        <w:rPr>
          <w:b/>
          <w:color w:val="000000" w:themeColor="text1"/>
          <w:sz w:val="24"/>
          <w:szCs w:val="24"/>
        </w:rPr>
        <w:t xml:space="preserve">2.2. </w:t>
      </w:r>
      <w:r w:rsidR="00F21E75">
        <w:rPr>
          <w:b/>
          <w:color w:val="000000" w:themeColor="text1"/>
          <w:sz w:val="24"/>
          <w:szCs w:val="24"/>
        </w:rPr>
        <w:t>Inmediatez</w:t>
      </w:r>
    </w:p>
    <w:p w14:paraId="716B1D5C" w14:textId="77777777" w:rsidR="00F21E75" w:rsidRDefault="00F21E75" w:rsidP="00F45A6E">
      <w:pPr>
        <w:overflowPunct w:val="0"/>
        <w:autoSpaceDE w:val="0"/>
        <w:autoSpaceDN w:val="0"/>
        <w:adjustRightInd w:val="0"/>
        <w:spacing w:line="276" w:lineRule="auto"/>
        <w:rPr>
          <w:b/>
          <w:color w:val="000000" w:themeColor="text1"/>
          <w:sz w:val="24"/>
          <w:szCs w:val="24"/>
        </w:rPr>
      </w:pPr>
    </w:p>
    <w:p w14:paraId="4434336D" w14:textId="5CF00AF4" w:rsidR="00B23FA0" w:rsidRPr="00F45A6E" w:rsidRDefault="00B23FA0" w:rsidP="00F45A6E">
      <w:pPr>
        <w:overflowPunct w:val="0"/>
        <w:autoSpaceDE w:val="0"/>
        <w:autoSpaceDN w:val="0"/>
        <w:adjustRightInd w:val="0"/>
        <w:spacing w:line="276" w:lineRule="auto"/>
        <w:rPr>
          <w:b/>
          <w:color w:val="000000" w:themeColor="text1"/>
          <w:sz w:val="24"/>
          <w:szCs w:val="24"/>
        </w:rPr>
      </w:pPr>
      <w:r w:rsidRPr="00F45A6E">
        <w:rPr>
          <w:color w:val="000000" w:themeColor="text1"/>
          <w:sz w:val="24"/>
          <w:szCs w:val="24"/>
        </w:rPr>
        <w:t xml:space="preserve">Ahora bien, para </w:t>
      </w:r>
      <w:r w:rsidR="009F2C3D">
        <w:rPr>
          <w:color w:val="000000" w:themeColor="text1"/>
          <w:sz w:val="24"/>
          <w:szCs w:val="24"/>
        </w:rPr>
        <w:t>verificar la</w:t>
      </w:r>
      <w:r w:rsidRPr="00F45A6E">
        <w:rPr>
          <w:color w:val="000000" w:themeColor="text1"/>
          <w:sz w:val="24"/>
          <w:szCs w:val="24"/>
        </w:rPr>
        <w:t xml:space="preserve"> acredita</w:t>
      </w:r>
      <w:r w:rsidR="009F2C3D">
        <w:rPr>
          <w:color w:val="000000" w:themeColor="text1"/>
          <w:sz w:val="24"/>
          <w:szCs w:val="24"/>
        </w:rPr>
        <w:t>ción</w:t>
      </w:r>
      <w:r w:rsidRPr="00F45A6E">
        <w:rPr>
          <w:color w:val="000000" w:themeColor="text1"/>
          <w:sz w:val="24"/>
          <w:szCs w:val="24"/>
        </w:rPr>
        <w:t xml:space="preserve"> </w:t>
      </w:r>
      <w:r w:rsidR="009F2C3D">
        <w:rPr>
          <w:color w:val="000000" w:themeColor="text1"/>
          <w:sz w:val="24"/>
          <w:szCs w:val="24"/>
        </w:rPr>
        <w:t>d</w:t>
      </w:r>
      <w:r w:rsidRPr="00F45A6E">
        <w:rPr>
          <w:color w:val="000000" w:themeColor="text1"/>
          <w:sz w:val="24"/>
          <w:szCs w:val="24"/>
        </w:rPr>
        <w:t xml:space="preserve">el requisito de </w:t>
      </w:r>
      <w:r w:rsidRPr="00F21E75">
        <w:rPr>
          <w:color w:val="000000" w:themeColor="text1"/>
          <w:sz w:val="24"/>
          <w:szCs w:val="24"/>
        </w:rPr>
        <w:t xml:space="preserve">inmediatez </w:t>
      </w:r>
      <w:r w:rsidRPr="00F45A6E">
        <w:rPr>
          <w:color w:val="000000" w:themeColor="text1"/>
          <w:sz w:val="24"/>
          <w:szCs w:val="24"/>
        </w:rPr>
        <w:t>se debe comprobar si la solicitud de amparo se incoó en un término razonable y proporcionado a partir del hecho que generó la presunta vulneración</w:t>
      </w:r>
      <w:r w:rsidRPr="00F45A6E">
        <w:rPr>
          <w:rStyle w:val="Refdenotaalpie"/>
          <w:color w:val="000000" w:themeColor="text1"/>
          <w:sz w:val="24"/>
          <w:szCs w:val="24"/>
        </w:rPr>
        <w:footnoteReference w:id="22"/>
      </w:r>
      <w:r w:rsidRPr="00F45A6E">
        <w:rPr>
          <w:color w:val="000000" w:themeColor="text1"/>
          <w:sz w:val="24"/>
          <w:szCs w:val="24"/>
        </w:rPr>
        <w:t xml:space="preserve">, que en los casos de acciones de tutela contra providencias judiciales se cuenta a partir de la </w:t>
      </w:r>
      <w:r w:rsidRPr="00C35E5E">
        <w:rPr>
          <w:color w:val="000000" w:themeColor="text1"/>
          <w:sz w:val="24"/>
          <w:szCs w:val="24"/>
        </w:rPr>
        <w:t xml:space="preserve">notificación </w:t>
      </w:r>
      <w:r w:rsidR="005567A7" w:rsidRPr="00C35E5E">
        <w:rPr>
          <w:color w:val="000000" w:themeColor="text1"/>
          <w:sz w:val="24"/>
          <w:szCs w:val="24"/>
        </w:rPr>
        <w:t xml:space="preserve">o ejecutoria </w:t>
      </w:r>
      <w:r w:rsidRPr="00C35E5E">
        <w:rPr>
          <w:color w:val="000000" w:themeColor="text1"/>
          <w:sz w:val="24"/>
          <w:szCs w:val="24"/>
        </w:rPr>
        <w:t>del pronunciamiento judicial censurado</w:t>
      </w:r>
      <w:r w:rsidRPr="00C35E5E">
        <w:rPr>
          <w:rStyle w:val="Refdenotaalpie"/>
          <w:color w:val="000000" w:themeColor="text1"/>
          <w:sz w:val="24"/>
          <w:szCs w:val="24"/>
        </w:rPr>
        <w:footnoteReference w:id="23"/>
      </w:r>
      <w:r w:rsidR="005567A7" w:rsidRPr="00C35E5E">
        <w:rPr>
          <w:color w:val="000000" w:themeColor="text1"/>
          <w:sz w:val="24"/>
          <w:szCs w:val="24"/>
        </w:rPr>
        <w:t>.</w:t>
      </w:r>
      <w:bookmarkStart w:id="0" w:name="_GoBack"/>
      <w:bookmarkEnd w:id="0"/>
    </w:p>
    <w:p w14:paraId="7D2D3FBE" w14:textId="77777777" w:rsidR="00AB4D6D" w:rsidRPr="00F45A6E" w:rsidRDefault="00AB4D6D" w:rsidP="00F45A6E">
      <w:pPr>
        <w:overflowPunct w:val="0"/>
        <w:autoSpaceDE w:val="0"/>
        <w:autoSpaceDN w:val="0"/>
        <w:adjustRightInd w:val="0"/>
        <w:spacing w:line="276" w:lineRule="auto"/>
        <w:rPr>
          <w:b/>
          <w:color w:val="000000" w:themeColor="text1"/>
          <w:sz w:val="24"/>
          <w:szCs w:val="24"/>
        </w:rPr>
      </w:pPr>
    </w:p>
    <w:p w14:paraId="38DCF572" w14:textId="2B83548A" w:rsidR="00AB4D6D" w:rsidRPr="00F45A6E" w:rsidRDefault="00AB4D6D" w:rsidP="00F45A6E">
      <w:pPr>
        <w:tabs>
          <w:tab w:val="left" w:pos="0"/>
        </w:tabs>
        <w:spacing w:line="276" w:lineRule="auto"/>
        <w:rPr>
          <w:color w:val="000000" w:themeColor="text1"/>
          <w:sz w:val="24"/>
          <w:szCs w:val="24"/>
        </w:rPr>
      </w:pPr>
      <w:r w:rsidRPr="00F45A6E">
        <w:rPr>
          <w:color w:val="000000" w:themeColor="text1"/>
          <w:sz w:val="24"/>
          <w:szCs w:val="24"/>
        </w:rPr>
        <w:t xml:space="preserve">En el </w:t>
      </w:r>
      <w:r w:rsidRPr="00F45A6E">
        <w:rPr>
          <w:i/>
          <w:color w:val="000000" w:themeColor="text1"/>
          <w:sz w:val="24"/>
          <w:szCs w:val="24"/>
        </w:rPr>
        <w:t>sub lite</w:t>
      </w:r>
      <w:r w:rsidRPr="00F45A6E">
        <w:rPr>
          <w:color w:val="000000" w:themeColor="text1"/>
          <w:sz w:val="24"/>
          <w:szCs w:val="24"/>
        </w:rPr>
        <w:t>, C</w:t>
      </w:r>
      <w:r w:rsidR="00757B19" w:rsidRPr="00F45A6E">
        <w:rPr>
          <w:color w:val="000000" w:themeColor="text1"/>
          <w:sz w:val="24"/>
          <w:szCs w:val="24"/>
        </w:rPr>
        <w:t xml:space="preserve">laudia Juliana Melo Romero </w:t>
      </w:r>
      <w:r w:rsidR="00A06350" w:rsidRPr="00F45A6E">
        <w:rPr>
          <w:color w:val="000000" w:themeColor="text1"/>
          <w:sz w:val="24"/>
          <w:szCs w:val="24"/>
        </w:rPr>
        <w:t xml:space="preserve">dirige </w:t>
      </w:r>
      <w:r w:rsidR="0030458A" w:rsidRPr="00F45A6E">
        <w:rPr>
          <w:color w:val="000000" w:themeColor="text1"/>
          <w:sz w:val="24"/>
          <w:szCs w:val="24"/>
        </w:rPr>
        <w:t xml:space="preserve">su protesta </w:t>
      </w:r>
      <w:r w:rsidR="00A06350" w:rsidRPr="00F45A6E">
        <w:rPr>
          <w:color w:val="000000" w:themeColor="text1"/>
          <w:sz w:val="24"/>
          <w:szCs w:val="24"/>
        </w:rPr>
        <w:t>contra</w:t>
      </w:r>
      <w:r w:rsidRPr="00F45A6E">
        <w:rPr>
          <w:color w:val="000000" w:themeColor="text1"/>
          <w:sz w:val="24"/>
          <w:szCs w:val="24"/>
        </w:rPr>
        <w:t xml:space="preserve"> </w:t>
      </w:r>
      <w:r w:rsidRPr="00F45A6E">
        <w:rPr>
          <w:color w:val="000000" w:themeColor="text1"/>
          <w:sz w:val="24"/>
          <w:szCs w:val="24"/>
          <w:lang w:val="es-ES_tradnl"/>
        </w:rPr>
        <w:t xml:space="preserve">la </w:t>
      </w:r>
      <w:r w:rsidRPr="00F45A6E">
        <w:rPr>
          <w:color w:val="000000" w:themeColor="text1"/>
          <w:sz w:val="24"/>
          <w:szCs w:val="24"/>
        </w:rPr>
        <w:t>Sala de Decisión A del</w:t>
      </w:r>
      <w:r w:rsidRPr="00F45A6E">
        <w:rPr>
          <w:b/>
          <w:color w:val="000000" w:themeColor="text1"/>
          <w:sz w:val="24"/>
          <w:szCs w:val="24"/>
        </w:rPr>
        <w:t xml:space="preserve"> </w:t>
      </w:r>
      <w:r w:rsidRPr="00F45A6E">
        <w:rPr>
          <w:bCs/>
          <w:color w:val="000000" w:themeColor="text1"/>
          <w:sz w:val="24"/>
          <w:szCs w:val="24"/>
        </w:rPr>
        <w:t>Tribunal Administrativo del Atlántico y la Sección Quinta del Consejo de Estado</w:t>
      </w:r>
      <w:r w:rsidR="00A06350" w:rsidRPr="00F45A6E">
        <w:rPr>
          <w:bCs/>
          <w:color w:val="000000" w:themeColor="text1"/>
          <w:sz w:val="24"/>
          <w:szCs w:val="24"/>
        </w:rPr>
        <w:t xml:space="preserve"> porque estima que</w:t>
      </w:r>
      <w:r w:rsidRPr="00F45A6E">
        <w:rPr>
          <w:color w:val="000000" w:themeColor="text1"/>
          <w:sz w:val="24"/>
          <w:szCs w:val="24"/>
        </w:rPr>
        <w:t xml:space="preserve"> </w:t>
      </w:r>
      <w:r w:rsidR="00ED3B11" w:rsidRPr="00F45A6E">
        <w:rPr>
          <w:color w:val="000000" w:themeColor="text1"/>
          <w:sz w:val="24"/>
          <w:szCs w:val="24"/>
        </w:rPr>
        <w:t>conculc</w:t>
      </w:r>
      <w:r w:rsidRPr="00F45A6E">
        <w:rPr>
          <w:color w:val="000000" w:themeColor="text1"/>
          <w:sz w:val="24"/>
          <w:szCs w:val="24"/>
        </w:rPr>
        <w:t>aron su derecho al debido proceso al declararla en desacato sin tener</w:t>
      </w:r>
      <w:r w:rsidRPr="00F45A6E">
        <w:rPr>
          <w:i/>
          <w:color w:val="000000" w:themeColor="text1"/>
          <w:sz w:val="24"/>
          <w:szCs w:val="24"/>
        </w:rPr>
        <w:t xml:space="preserve"> </w:t>
      </w:r>
      <w:r w:rsidRPr="00F45A6E">
        <w:rPr>
          <w:color w:val="000000" w:themeColor="text1"/>
          <w:sz w:val="24"/>
          <w:szCs w:val="24"/>
        </w:rPr>
        <w:t xml:space="preserve"> en cuenta que: (i) no tenían competencia para resolver el incidente; (ii) ella no había actuado con negligencia; (iii) la UARIV ya dio cumplimiento al fallo del 29 de abril de 2010; y (iv) la referida providencia no ordenaba una indemnización sino una respuesta de fondo a las peticiones de reparación. </w:t>
      </w:r>
    </w:p>
    <w:p w14:paraId="277B1B8F" w14:textId="77777777" w:rsidR="00AB4D6D" w:rsidRPr="00F45A6E" w:rsidRDefault="00AB4D6D" w:rsidP="00F45A6E">
      <w:pPr>
        <w:overflowPunct w:val="0"/>
        <w:autoSpaceDE w:val="0"/>
        <w:autoSpaceDN w:val="0"/>
        <w:adjustRightInd w:val="0"/>
        <w:spacing w:line="276" w:lineRule="auto"/>
        <w:rPr>
          <w:b/>
          <w:color w:val="000000" w:themeColor="text1"/>
          <w:sz w:val="24"/>
          <w:szCs w:val="24"/>
        </w:rPr>
      </w:pPr>
    </w:p>
    <w:p w14:paraId="155CB92D" w14:textId="2A8225DF" w:rsidR="00757B19" w:rsidRPr="00F45A6E" w:rsidRDefault="00757B19" w:rsidP="00F45A6E">
      <w:pPr>
        <w:overflowPunct w:val="0"/>
        <w:autoSpaceDE w:val="0"/>
        <w:autoSpaceDN w:val="0"/>
        <w:adjustRightInd w:val="0"/>
        <w:spacing w:line="276" w:lineRule="auto"/>
        <w:contextualSpacing/>
        <w:rPr>
          <w:color w:val="000000" w:themeColor="text1"/>
          <w:sz w:val="24"/>
          <w:szCs w:val="24"/>
        </w:rPr>
      </w:pPr>
      <w:r w:rsidRPr="00F45A6E">
        <w:rPr>
          <w:color w:val="000000" w:themeColor="text1"/>
          <w:sz w:val="24"/>
          <w:szCs w:val="24"/>
          <w:lang w:val="es-ES_tradnl" w:eastAsia="es-ES"/>
        </w:rPr>
        <w:t>L</w:t>
      </w:r>
      <w:r w:rsidR="00AB4D6D" w:rsidRPr="00F45A6E">
        <w:rPr>
          <w:color w:val="000000" w:themeColor="text1"/>
          <w:sz w:val="24"/>
          <w:szCs w:val="24"/>
          <w:lang w:val="es-ES_tradnl" w:eastAsia="es-ES"/>
        </w:rPr>
        <w:t xml:space="preserve">a forma en que fueron presentados </w:t>
      </w:r>
      <w:r w:rsidRPr="00F45A6E">
        <w:rPr>
          <w:color w:val="000000" w:themeColor="text1"/>
          <w:sz w:val="24"/>
          <w:szCs w:val="24"/>
          <w:lang w:val="es-ES_tradnl" w:eastAsia="es-ES"/>
        </w:rPr>
        <w:t>estos argumentos en el escrito de amparo</w:t>
      </w:r>
      <w:r w:rsidR="00B44C63" w:rsidRPr="00F45A6E">
        <w:rPr>
          <w:color w:val="000000" w:themeColor="text1"/>
          <w:sz w:val="24"/>
          <w:szCs w:val="24"/>
          <w:lang w:val="es-ES_tradnl" w:eastAsia="es-ES"/>
        </w:rPr>
        <w:t>,</w:t>
      </w:r>
      <w:r w:rsidRPr="00F45A6E">
        <w:rPr>
          <w:color w:val="000000" w:themeColor="text1"/>
          <w:sz w:val="24"/>
          <w:szCs w:val="24"/>
          <w:lang w:val="es-ES_tradnl" w:eastAsia="es-ES"/>
        </w:rPr>
        <w:t xml:space="preserve"> permite concluir que, </w:t>
      </w:r>
      <w:r w:rsidRPr="00F45A6E">
        <w:rPr>
          <w:color w:val="000000" w:themeColor="text1"/>
          <w:sz w:val="24"/>
          <w:szCs w:val="24"/>
        </w:rPr>
        <w:t xml:space="preserve">aunque las peticiones están encaminadas a que esta Corporación revoque la providencia del 21 de enero de 2020, en la que el Tribunal Administrativo del Atlántico no inaplicó la sanción que le fue impuesta y se estuvo a lo resuelto en el auto del 24 de enero de 2019, lo cierto es que los reproches </w:t>
      </w:r>
      <w:r w:rsidRPr="00F45A6E">
        <w:rPr>
          <w:i/>
          <w:iCs/>
          <w:color w:val="000000" w:themeColor="text1"/>
          <w:sz w:val="24"/>
          <w:szCs w:val="24"/>
        </w:rPr>
        <w:t xml:space="preserve">iusfundamentales </w:t>
      </w:r>
      <w:r w:rsidRPr="00F45A6E">
        <w:rPr>
          <w:color w:val="000000" w:themeColor="text1"/>
          <w:sz w:val="24"/>
          <w:szCs w:val="24"/>
        </w:rPr>
        <w:t xml:space="preserve">de la accionante se centran en la decisión </w:t>
      </w:r>
      <w:r w:rsidR="009F2C3D">
        <w:rPr>
          <w:color w:val="000000" w:themeColor="text1"/>
          <w:sz w:val="24"/>
          <w:szCs w:val="24"/>
        </w:rPr>
        <w:t xml:space="preserve">que impuso </w:t>
      </w:r>
      <w:r w:rsidR="003A4E43" w:rsidRPr="00F45A6E">
        <w:rPr>
          <w:color w:val="000000" w:themeColor="text1"/>
          <w:sz w:val="24"/>
          <w:szCs w:val="24"/>
        </w:rPr>
        <w:t>la sanción</w:t>
      </w:r>
      <w:r w:rsidR="00911738" w:rsidRPr="00F45A6E">
        <w:rPr>
          <w:color w:val="000000" w:themeColor="text1"/>
          <w:sz w:val="24"/>
          <w:szCs w:val="24"/>
        </w:rPr>
        <w:t xml:space="preserve"> </w:t>
      </w:r>
      <w:r w:rsidR="009F2C3D">
        <w:rPr>
          <w:color w:val="000000" w:themeColor="text1"/>
          <w:sz w:val="24"/>
          <w:szCs w:val="24"/>
        </w:rPr>
        <w:t>que,</w:t>
      </w:r>
      <w:r w:rsidR="00911738" w:rsidRPr="00F45A6E">
        <w:rPr>
          <w:color w:val="000000" w:themeColor="text1"/>
          <w:sz w:val="24"/>
          <w:szCs w:val="24"/>
        </w:rPr>
        <w:t xml:space="preserve"> a su juicio</w:t>
      </w:r>
      <w:r w:rsidR="00655C21" w:rsidRPr="00F45A6E">
        <w:rPr>
          <w:color w:val="000000" w:themeColor="text1"/>
          <w:sz w:val="24"/>
          <w:szCs w:val="24"/>
        </w:rPr>
        <w:t>,</w:t>
      </w:r>
      <w:r w:rsidR="00911738" w:rsidRPr="00F45A6E">
        <w:rPr>
          <w:color w:val="000000" w:themeColor="text1"/>
          <w:sz w:val="24"/>
          <w:szCs w:val="24"/>
        </w:rPr>
        <w:t xml:space="preserve"> no era procedente</w:t>
      </w:r>
      <w:r w:rsidRPr="00F45A6E">
        <w:rPr>
          <w:color w:val="000000" w:themeColor="text1"/>
          <w:sz w:val="24"/>
          <w:szCs w:val="24"/>
        </w:rPr>
        <w:t>. E</w:t>
      </w:r>
      <w:r w:rsidR="00AB4D6D" w:rsidRPr="00F45A6E">
        <w:rPr>
          <w:color w:val="000000" w:themeColor="text1"/>
          <w:sz w:val="24"/>
          <w:szCs w:val="24"/>
        </w:rPr>
        <w:t>s decir</w:t>
      </w:r>
      <w:r w:rsidR="00C23213" w:rsidRPr="00F45A6E">
        <w:rPr>
          <w:color w:val="000000" w:themeColor="text1"/>
          <w:sz w:val="24"/>
          <w:szCs w:val="24"/>
        </w:rPr>
        <w:t>,</w:t>
      </w:r>
      <w:r w:rsidRPr="00F45A6E">
        <w:rPr>
          <w:color w:val="000000" w:themeColor="text1"/>
          <w:sz w:val="24"/>
          <w:szCs w:val="24"/>
        </w:rPr>
        <w:t xml:space="preserve"> que la presunta vulneración de sus derechos </w:t>
      </w:r>
      <w:r w:rsidR="00655C21" w:rsidRPr="00F45A6E">
        <w:rPr>
          <w:color w:val="000000" w:themeColor="text1"/>
          <w:sz w:val="24"/>
          <w:szCs w:val="24"/>
        </w:rPr>
        <w:t>tiene</w:t>
      </w:r>
      <w:r w:rsidRPr="00F45A6E">
        <w:rPr>
          <w:color w:val="000000" w:themeColor="text1"/>
          <w:sz w:val="24"/>
          <w:szCs w:val="24"/>
        </w:rPr>
        <w:t xml:space="preserve"> origen en </w:t>
      </w:r>
      <w:r w:rsidR="00655C21" w:rsidRPr="00F45A6E">
        <w:rPr>
          <w:color w:val="000000" w:themeColor="text1"/>
          <w:sz w:val="24"/>
          <w:szCs w:val="24"/>
        </w:rPr>
        <w:t xml:space="preserve">las providencias que decidían sobre el cumplimiento, como </w:t>
      </w:r>
      <w:r w:rsidR="009F2C3D">
        <w:rPr>
          <w:color w:val="000000" w:themeColor="text1"/>
          <w:sz w:val="24"/>
          <w:szCs w:val="24"/>
        </w:rPr>
        <w:t>lo fueron</w:t>
      </w:r>
      <w:r w:rsidR="00655C21" w:rsidRPr="00F45A6E">
        <w:rPr>
          <w:color w:val="000000" w:themeColor="text1"/>
          <w:sz w:val="24"/>
          <w:szCs w:val="24"/>
        </w:rPr>
        <w:t xml:space="preserve"> </w:t>
      </w:r>
      <w:r w:rsidR="00AB4D6D" w:rsidRPr="00F45A6E">
        <w:rPr>
          <w:color w:val="000000" w:themeColor="text1"/>
          <w:sz w:val="24"/>
          <w:szCs w:val="24"/>
        </w:rPr>
        <w:t xml:space="preserve">el auto del </w:t>
      </w:r>
      <w:r w:rsidR="00AB4D6D" w:rsidRPr="00F45A6E">
        <w:rPr>
          <w:rFonts w:eastAsia="Verdana"/>
          <w:color w:val="000000" w:themeColor="text1"/>
          <w:sz w:val="24"/>
          <w:szCs w:val="24"/>
        </w:rPr>
        <w:t xml:space="preserve">23 de noviembre de 2018, que declaró el desacato y la condenó al pago de la multa, y el del </w:t>
      </w:r>
      <w:r w:rsidR="00AB4D6D" w:rsidRPr="00F45A6E">
        <w:rPr>
          <w:bCs/>
          <w:color w:val="000000" w:themeColor="text1"/>
          <w:sz w:val="24"/>
          <w:szCs w:val="24"/>
        </w:rPr>
        <w:t xml:space="preserve">24 de enero de 2019 </w:t>
      </w:r>
      <w:r w:rsidR="00AB4D6D" w:rsidRPr="00F45A6E">
        <w:rPr>
          <w:color w:val="000000" w:themeColor="text1"/>
          <w:sz w:val="24"/>
          <w:szCs w:val="24"/>
        </w:rPr>
        <w:t>que resolvió el grado jurisdiccional de consulta confirmando la decisión y dejando en firme la sanción.</w:t>
      </w:r>
    </w:p>
    <w:p w14:paraId="153C8023" w14:textId="77777777" w:rsidR="00757B19" w:rsidRPr="00F45A6E" w:rsidRDefault="00757B19" w:rsidP="00F45A6E">
      <w:pPr>
        <w:overflowPunct w:val="0"/>
        <w:autoSpaceDE w:val="0"/>
        <w:autoSpaceDN w:val="0"/>
        <w:adjustRightInd w:val="0"/>
        <w:spacing w:line="276" w:lineRule="auto"/>
        <w:contextualSpacing/>
        <w:rPr>
          <w:color w:val="000000" w:themeColor="text1"/>
          <w:sz w:val="24"/>
          <w:szCs w:val="24"/>
        </w:rPr>
      </w:pPr>
    </w:p>
    <w:p w14:paraId="75F7E149" w14:textId="28D083C6" w:rsidR="00AB4D6D" w:rsidRPr="00F45A6E" w:rsidRDefault="00C23213" w:rsidP="00F45A6E">
      <w:pPr>
        <w:overflowPunct w:val="0"/>
        <w:autoSpaceDE w:val="0"/>
        <w:autoSpaceDN w:val="0"/>
        <w:adjustRightInd w:val="0"/>
        <w:spacing w:line="276" w:lineRule="auto"/>
        <w:contextualSpacing/>
        <w:rPr>
          <w:color w:val="000000" w:themeColor="text1"/>
          <w:sz w:val="24"/>
          <w:szCs w:val="24"/>
        </w:rPr>
      </w:pPr>
      <w:r w:rsidRPr="00F45A6E">
        <w:rPr>
          <w:color w:val="000000" w:themeColor="text1"/>
          <w:sz w:val="24"/>
          <w:szCs w:val="24"/>
        </w:rPr>
        <w:t>Así las cosas,</w:t>
      </w:r>
      <w:r w:rsidR="008800EC" w:rsidRPr="00F45A6E">
        <w:rPr>
          <w:color w:val="000000" w:themeColor="text1"/>
          <w:sz w:val="24"/>
          <w:szCs w:val="24"/>
        </w:rPr>
        <w:t xml:space="preserve"> es a partir de la notificació</w:t>
      </w:r>
      <w:r w:rsidR="0095243B" w:rsidRPr="00F45A6E">
        <w:rPr>
          <w:color w:val="000000" w:themeColor="text1"/>
          <w:sz w:val="24"/>
          <w:szCs w:val="24"/>
        </w:rPr>
        <w:t>n de</w:t>
      </w:r>
      <w:r w:rsidR="00757B19" w:rsidRPr="00F45A6E">
        <w:rPr>
          <w:color w:val="000000" w:themeColor="text1"/>
          <w:sz w:val="24"/>
          <w:szCs w:val="24"/>
        </w:rPr>
        <w:t>l auto</w:t>
      </w:r>
      <w:r w:rsidR="008800EC" w:rsidRPr="00F45A6E">
        <w:rPr>
          <w:color w:val="000000" w:themeColor="text1"/>
          <w:sz w:val="24"/>
          <w:szCs w:val="24"/>
        </w:rPr>
        <w:t xml:space="preserve"> que resolvió de manera definitiva el incidente de desacato, que deberá valorarse el requisito de inmediatez. </w:t>
      </w:r>
      <w:r w:rsidR="00757B19" w:rsidRPr="00F45A6E">
        <w:rPr>
          <w:color w:val="000000" w:themeColor="text1"/>
          <w:sz w:val="24"/>
          <w:szCs w:val="24"/>
        </w:rPr>
        <w:t xml:space="preserve">No así de la puesta en conocimiento de la providencia del 21 de enero de 2020, porque esta no contiene las decisiones ni las razones que configuran el objeto de la reclamación de amparo. De hecho, en este </w:t>
      </w:r>
      <w:r w:rsidRPr="00F45A6E">
        <w:rPr>
          <w:color w:val="000000" w:themeColor="text1"/>
          <w:sz w:val="24"/>
          <w:szCs w:val="24"/>
        </w:rPr>
        <w:t xml:space="preserve">proveído </w:t>
      </w:r>
      <w:r w:rsidR="00757B19" w:rsidRPr="00F45A6E">
        <w:rPr>
          <w:color w:val="000000" w:themeColor="text1"/>
          <w:sz w:val="24"/>
          <w:szCs w:val="24"/>
        </w:rPr>
        <w:t xml:space="preserve">el tribunal no tomó una decisión de fondo y por el contrario, se limitó a estarse a lo resuelto en el </w:t>
      </w:r>
      <w:r w:rsidRPr="00F45A6E">
        <w:rPr>
          <w:color w:val="000000" w:themeColor="text1"/>
          <w:sz w:val="24"/>
          <w:szCs w:val="24"/>
        </w:rPr>
        <w:t>auto</w:t>
      </w:r>
      <w:r w:rsidR="00757B19" w:rsidRPr="00F45A6E">
        <w:rPr>
          <w:color w:val="000000" w:themeColor="text1"/>
          <w:sz w:val="24"/>
          <w:szCs w:val="24"/>
        </w:rPr>
        <w:t xml:space="preserve"> que agotó el trámite incidental.</w:t>
      </w:r>
    </w:p>
    <w:p w14:paraId="2A73EEB1" w14:textId="77777777" w:rsidR="00667291" w:rsidRPr="00F45A6E" w:rsidRDefault="00667291" w:rsidP="00F45A6E">
      <w:pPr>
        <w:tabs>
          <w:tab w:val="left" w:pos="0"/>
        </w:tabs>
        <w:spacing w:line="276" w:lineRule="auto"/>
        <w:rPr>
          <w:color w:val="000000" w:themeColor="text1"/>
          <w:sz w:val="24"/>
          <w:szCs w:val="24"/>
        </w:rPr>
      </w:pPr>
    </w:p>
    <w:p w14:paraId="7A11839E" w14:textId="5CC76311" w:rsidR="00C23213" w:rsidRPr="00F45A6E" w:rsidRDefault="00667291" w:rsidP="00F45A6E">
      <w:pPr>
        <w:overflowPunct w:val="0"/>
        <w:autoSpaceDE w:val="0"/>
        <w:autoSpaceDN w:val="0"/>
        <w:adjustRightInd w:val="0"/>
        <w:spacing w:line="276" w:lineRule="auto"/>
        <w:rPr>
          <w:color w:val="000000" w:themeColor="text1"/>
          <w:sz w:val="24"/>
          <w:szCs w:val="24"/>
        </w:rPr>
      </w:pPr>
      <w:r w:rsidRPr="00F45A6E">
        <w:rPr>
          <w:color w:val="000000" w:themeColor="text1"/>
          <w:sz w:val="24"/>
          <w:szCs w:val="24"/>
        </w:rPr>
        <w:lastRenderedPageBreak/>
        <w:t xml:space="preserve">Visto lo anterior, a fin de determinar si en esta oportunidad se satisface el requisito </w:t>
      </w:r>
      <w:r w:rsidR="00D12297" w:rsidRPr="00F45A6E">
        <w:rPr>
          <w:color w:val="000000" w:themeColor="text1"/>
          <w:sz w:val="24"/>
          <w:szCs w:val="24"/>
        </w:rPr>
        <w:t>de inmediatez</w:t>
      </w:r>
      <w:r w:rsidRPr="00F45A6E">
        <w:rPr>
          <w:color w:val="000000" w:themeColor="text1"/>
          <w:sz w:val="24"/>
          <w:szCs w:val="24"/>
        </w:rPr>
        <w:t xml:space="preserve">, </w:t>
      </w:r>
      <w:r w:rsidR="0093627A" w:rsidRPr="00F45A6E">
        <w:rPr>
          <w:color w:val="000000" w:themeColor="text1"/>
          <w:sz w:val="24"/>
          <w:szCs w:val="24"/>
        </w:rPr>
        <w:t>debe tenerse</w:t>
      </w:r>
      <w:r w:rsidR="009F2C3D">
        <w:rPr>
          <w:color w:val="000000" w:themeColor="text1"/>
          <w:sz w:val="24"/>
          <w:szCs w:val="24"/>
        </w:rPr>
        <w:t xml:space="preserve"> en cuenta </w:t>
      </w:r>
      <w:r w:rsidR="00C23213" w:rsidRPr="00F45A6E">
        <w:rPr>
          <w:color w:val="000000" w:themeColor="text1"/>
          <w:sz w:val="24"/>
          <w:szCs w:val="24"/>
        </w:rPr>
        <w:t>que la providencia atacada en el presente trámite de tutela fue notificada el 30 de enero de 2019</w:t>
      </w:r>
      <w:r w:rsidR="000E3953" w:rsidRPr="00F45A6E">
        <w:rPr>
          <w:rStyle w:val="Refdenotaalpie"/>
          <w:color w:val="000000" w:themeColor="text1"/>
          <w:sz w:val="24"/>
          <w:szCs w:val="24"/>
        </w:rPr>
        <w:footnoteReference w:id="24"/>
      </w:r>
      <w:r w:rsidR="00C23213" w:rsidRPr="00F45A6E">
        <w:rPr>
          <w:color w:val="000000" w:themeColor="text1"/>
          <w:sz w:val="24"/>
          <w:szCs w:val="24"/>
        </w:rPr>
        <w:t xml:space="preserve"> y la solicitud de amparo fue incoada 4 de septiembre de 2020</w:t>
      </w:r>
      <w:r w:rsidR="009F1024" w:rsidRPr="00F45A6E">
        <w:rPr>
          <w:rStyle w:val="Refdenotaalpie"/>
          <w:color w:val="000000" w:themeColor="text1"/>
          <w:sz w:val="24"/>
          <w:szCs w:val="24"/>
        </w:rPr>
        <w:footnoteReference w:id="25"/>
      </w:r>
      <w:r w:rsidR="00C23213" w:rsidRPr="00F45A6E">
        <w:rPr>
          <w:color w:val="000000" w:themeColor="text1"/>
          <w:sz w:val="24"/>
          <w:szCs w:val="24"/>
        </w:rPr>
        <w:t>, por lo que, para esa fecha, había transcurrido un año y siete meses desde que la accionante tuvo conocimiento de la fuente de la vulneración alegada. Por lo tanto, en el caso concreto se supera con creces el plazo estimativo de seis meses, previsto como razonable</w:t>
      </w:r>
      <w:r w:rsidR="00C23213" w:rsidRPr="00F45A6E">
        <w:rPr>
          <w:color w:val="000000" w:themeColor="text1"/>
          <w:sz w:val="24"/>
          <w:szCs w:val="24"/>
          <w:vertAlign w:val="superscript"/>
        </w:rPr>
        <w:footnoteReference w:id="26"/>
      </w:r>
      <w:r w:rsidR="00C23213" w:rsidRPr="00F45A6E">
        <w:rPr>
          <w:color w:val="000000" w:themeColor="text1"/>
          <w:sz w:val="24"/>
          <w:szCs w:val="24"/>
        </w:rPr>
        <w:t xml:space="preserve"> para la presentación de acciones de tutela contra providencias judiciales.</w:t>
      </w:r>
    </w:p>
    <w:p w14:paraId="59BE444D" w14:textId="77777777" w:rsidR="007D17A4" w:rsidRPr="00F45A6E" w:rsidRDefault="007D17A4" w:rsidP="00F45A6E">
      <w:pPr>
        <w:overflowPunct w:val="0"/>
        <w:autoSpaceDE w:val="0"/>
        <w:autoSpaceDN w:val="0"/>
        <w:adjustRightInd w:val="0"/>
        <w:spacing w:line="276" w:lineRule="auto"/>
        <w:rPr>
          <w:color w:val="000000" w:themeColor="text1"/>
          <w:sz w:val="24"/>
          <w:szCs w:val="24"/>
        </w:rPr>
      </w:pPr>
    </w:p>
    <w:p w14:paraId="4D030445" w14:textId="22572427" w:rsidR="00667291" w:rsidRPr="00F45A6E" w:rsidRDefault="00504D23" w:rsidP="00F45A6E">
      <w:pPr>
        <w:overflowPunct w:val="0"/>
        <w:autoSpaceDE w:val="0"/>
        <w:autoSpaceDN w:val="0"/>
        <w:adjustRightInd w:val="0"/>
        <w:spacing w:line="276" w:lineRule="auto"/>
        <w:rPr>
          <w:color w:val="000000" w:themeColor="text1"/>
          <w:sz w:val="24"/>
          <w:szCs w:val="24"/>
        </w:rPr>
      </w:pPr>
      <w:r w:rsidRPr="00F45A6E">
        <w:rPr>
          <w:color w:val="000000" w:themeColor="text1"/>
          <w:sz w:val="24"/>
          <w:szCs w:val="24"/>
        </w:rPr>
        <w:t>Ahora, e</w:t>
      </w:r>
      <w:r w:rsidR="00DF15E2" w:rsidRPr="00F45A6E">
        <w:rPr>
          <w:color w:val="000000" w:themeColor="text1"/>
          <w:sz w:val="24"/>
          <w:szCs w:val="24"/>
        </w:rPr>
        <w:t xml:space="preserve">n la medida en que no se trata de un término de caducidad, </w:t>
      </w:r>
      <w:r w:rsidR="007D17A4" w:rsidRPr="00F45A6E">
        <w:rPr>
          <w:color w:val="000000" w:themeColor="text1"/>
          <w:sz w:val="24"/>
          <w:szCs w:val="24"/>
        </w:rPr>
        <w:t>correspond</w:t>
      </w:r>
      <w:r w:rsidRPr="00F45A6E">
        <w:rPr>
          <w:color w:val="000000" w:themeColor="text1"/>
          <w:sz w:val="24"/>
          <w:szCs w:val="24"/>
        </w:rPr>
        <w:t>e</w:t>
      </w:r>
      <w:r w:rsidR="007D17A4" w:rsidRPr="00F45A6E">
        <w:rPr>
          <w:color w:val="000000" w:themeColor="text1"/>
          <w:sz w:val="24"/>
          <w:szCs w:val="24"/>
        </w:rPr>
        <w:t xml:space="preserve">ría valorar los motivos </w:t>
      </w:r>
      <w:r w:rsidR="00DF15E2" w:rsidRPr="00F45A6E">
        <w:rPr>
          <w:color w:val="000000" w:themeColor="text1"/>
          <w:sz w:val="24"/>
          <w:szCs w:val="24"/>
        </w:rPr>
        <w:t xml:space="preserve">de la tardanza de la señora Melo Romero para analizar si </w:t>
      </w:r>
      <w:r w:rsidR="00DC4731" w:rsidRPr="00F45A6E">
        <w:rPr>
          <w:color w:val="000000" w:themeColor="text1"/>
          <w:sz w:val="24"/>
          <w:szCs w:val="24"/>
        </w:rPr>
        <w:t xml:space="preserve">por las particularidades del caso </w:t>
      </w:r>
      <w:r w:rsidR="00DF15E2" w:rsidRPr="00F45A6E">
        <w:rPr>
          <w:color w:val="000000" w:themeColor="text1"/>
          <w:sz w:val="24"/>
          <w:szCs w:val="24"/>
        </w:rPr>
        <w:t xml:space="preserve">resulta </w:t>
      </w:r>
      <w:r w:rsidR="00DC4731" w:rsidRPr="00F45A6E">
        <w:rPr>
          <w:color w:val="000000" w:themeColor="text1"/>
          <w:sz w:val="24"/>
          <w:szCs w:val="24"/>
        </w:rPr>
        <w:t>proporcionado</w:t>
      </w:r>
      <w:r w:rsidR="00DF15E2" w:rsidRPr="00F45A6E">
        <w:rPr>
          <w:color w:val="000000" w:themeColor="text1"/>
          <w:sz w:val="24"/>
          <w:szCs w:val="24"/>
        </w:rPr>
        <w:t xml:space="preserve"> el tiempo de su inactividad</w:t>
      </w:r>
      <w:r w:rsidR="00DC4731" w:rsidRPr="00F45A6E">
        <w:rPr>
          <w:color w:val="000000" w:themeColor="text1"/>
          <w:sz w:val="24"/>
          <w:szCs w:val="24"/>
        </w:rPr>
        <w:t>. Esto,</w:t>
      </w:r>
      <w:r w:rsidR="00E1395E" w:rsidRPr="00F45A6E">
        <w:rPr>
          <w:color w:val="000000" w:themeColor="text1"/>
          <w:sz w:val="24"/>
          <w:szCs w:val="24"/>
        </w:rPr>
        <w:t xml:space="preserve"> </w:t>
      </w:r>
      <w:r w:rsidR="00DC4731" w:rsidRPr="00F45A6E">
        <w:rPr>
          <w:color w:val="000000" w:themeColor="text1"/>
          <w:sz w:val="24"/>
          <w:szCs w:val="24"/>
        </w:rPr>
        <w:t>sin dejar de lado</w:t>
      </w:r>
      <w:r w:rsidR="00E1395E" w:rsidRPr="00F45A6E">
        <w:rPr>
          <w:color w:val="000000" w:themeColor="text1"/>
          <w:sz w:val="24"/>
          <w:szCs w:val="24"/>
        </w:rPr>
        <w:t xml:space="preserve"> que está reprochando una providencia judicial y que</w:t>
      </w:r>
      <w:r w:rsidR="00BD4663" w:rsidRPr="00F45A6E">
        <w:rPr>
          <w:color w:val="000000" w:themeColor="text1"/>
          <w:sz w:val="24"/>
          <w:szCs w:val="24"/>
        </w:rPr>
        <w:t>,</w:t>
      </w:r>
      <w:r w:rsidR="00E1395E" w:rsidRPr="00F45A6E">
        <w:rPr>
          <w:color w:val="000000" w:themeColor="text1"/>
          <w:sz w:val="24"/>
          <w:szCs w:val="24"/>
        </w:rPr>
        <w:t xml:space="preserve"> el requisito de inmediatez</w:t>
      </w:r>
      <w:r w:rsidR="00BD4663" w:rsidRPr="00F45A6E">
        <w:rPr>
          <w:color w:val="000000" w:themeColor="text1"/>
          <w:sz w:val="24"/>
          <w:szCs w:val="24"/>
        </w:rPr>
        <w:t>,</w:t>
      </w:r>
      <w:r w:rsidR="00E1395E" w:rsidRPr="00F45A6E">
        <w:rPr>
          <w:color w:val="000000" w:themeColor="text1"/>
          <w:sz w:val="24"/>
          <w:szCs w:val="24"/>
        </w:rPr>
        <w:t xml:space="preserve"> es más estricto en estos casos para procurar la defensa de los principios de cosa juzgada y de seguridad jurídica</w:t>
      </w:r>
      <w:r w:rsidR="005E24D6" w:rsidRPr="00F45A6E">
        <w:rPr>
          <w:color w:val="000000" w:themeColor="text1"/>
          <w:sz w:val="24"/>
          <w:szCs w:val="24"/>
        </w:rPr>
        <w:t>,</w:t>
      </w:r>
      <w:r w:rsidR="00E1395E" w:rsidRPr="00F45A6E">
        <w:rPr>
          <w:color w:val="000000" w:themeColor="text1"/>
          <w:sz w:val="24"/>
          <w:szCs w:val="24"/>
        </w:rPr>
        <w:t xml:space="preserve"> que dependen de la firmeza de las decisiones judiciales</w:t>
      </w:r>
      <w:r w:rsidR="00E1395E" w:rsidRPr="00F45A6E">
        <w:rPr>
          <w:rStyle w:val="Refdenotaalpie"/>
          <w:color w:val="000000" w:themeColor="text1"/>
          <w:sz w:val="24"/>
          <w:szCs w:val="24"/>
        </w:rPr>
        <w:footnoteReference w:id="27"/>
      </w:r>
      <w:r w:rsidR="007D17A4" w:rsidRPr="00F45A6E">
        <w:rPr>
          <w:color w:val="000000" w:themeColor="text1"/>
          <w:sz w:val="24"/>
          <w:szCs w:val="24"/>
        </w:rPr>
        <w:t>.</w:t>
      </w:r>
      <w:r w:rsidR="00DF15E2" w:rsidRPr="00F45A6E">
        <w:rPr>
          <w:color w:val="000000" w:themeColor="text1"/>
          <w:sz w:val="24"/>
          <w:szCs w:val="24"/>
        </w:rPr>
        <w:t xml:space="preserve"> Sin embargo, en el </w:t>
      </w:r>
      <w:r w:rsidR="00DF15E2" w:rsidRPr="00F45A6E">
        <w:rPr>
          <w:i/>
          <w:color w:val="000000" w:themeColor="text1"/>
          <w:sz w:val="24"/>
          <w:szCs w:val="24"/>
        </w:rPr>
        <w:t>sub lite</w:t>
      </w:r>
      <w:r w:rsidR="00DF15E2" w:rsidRPr="00F45A6E">
        <w:rPr>
          <w:color w:val="000000" w:themeColor="text1"/>
          <w:sz w:val="24"/>
          <w:szCs w:val="24"/>
        </w:rPr>
        <w:t xml:space="preserve"> la tutelante no ofreció justificació</w:t>
      </w:r>
      <w:r w:rsidR="00F56225" w:rsidRPr="00F45A6E">
        <w:rPr>
          <w:color w:val="000000" w:themeColor="text1"/>
          <w:sz w:val="24"/>
          <w:szCs w:val="24"/>
        </w:rPr>
        <w:t>n alguna</w:t>
      </w:r>
      <w:r w:rsidR="00DB304C" w:rsidRPr="00F45A6E">
        <w:rPr>
          <w:color w:val="000000" w:themeColor="text1"/>
          <w:sz w:val="24"/>
          <w:szCs w:val="24"/>
        </w:rPr>
        <w:t xml:space="preserve"> </w:t>
      </w:r>
      <w:r w:rsidR="00DF15E2" w:rsidRPr="00F45A6E">
        <w:rPr>
          <w:color w:val="000000" w:themeColor="text1"/>
          <w:sz w:val="24"/>
          <w:szCs w:val="24"/>
        </w:rPr>
        <w:t xml:space="preserve">y </w:t>
      </w:r>
      <w:r w:rsidR="00DF6CC1" w:rsidRPr="00F45A6E">
        <w:rPr>
          <w:color w:val="000000" w:themeColor="text1"/>
          <w:sz w:val="24"/>
          <w:szCs w:val="24"/>
        </w:rPr>
        <w:t xml:space="preserve">tampoco es posible </w:t>
      </w:r>
      <w:r w:rsidR="00DF15E2" w:rsidRPr="00F45A6E">
        <w:rPr>
          <w:color w:val="000000" w:themeColor="text1"/>
          <w:sz w:val="24"/>
          <w:szCs w:val="24"/>
        </w:rPr>
        <w:t>deducirl</w:t>
      </w:r>
      <w:r w:rsidR="00DB304C" w:rsidRPr="00F45A6E">
        <w:rPr>
          <w:color w:val="000000" w:themeColor="text1"/>
          <w:sz w:val="24"/>
          <w:szCs w:val="24"/>
        </w:rPr>
        <w:t>a</w:t>
      </w:r>
      <w:r w:rsidR="00DF15E2" w:rsidRPr="00F45A6E">
        <w:rPr>
          <w:color w:val="000000" w:themeColor="text1"/>
          <w:sz w:val="24"/>
          <w:szCs w:val="24"/>
        </w:rPr>
        <w:t xml:space="preserve"> de su escrito</w:t>
      </w:r>
      <w:r w:rsidR="00692F6D" w:rsidRPr="00F45A6E">
        <w:rPr>
          <w:color w:val="000000" w:themeColor="text1"/>
          <w:sz w:val="24"/>
          <w:szCs w:val="24"/>
        </w:rPr>
        <w:t>,</w:t>
      </w:r>
      <w:r w:rsidR="00522927" w:rsidRPr="00F45A6E">
        <w:rPr>
          <w:color w:val="000000" w:themeColor="text1"/>
          <w:sz w:val="24"/>
          <w:szCs w:val="24"/>
        </w:rPr>
        <w:t xml:space="preserve"> en el que no explicó</w:t>
      </w:r>
      <w:r w:rsidR="00FF2389" w:rsidRPr="00F45A6E">
        <w:rPr>
          <w:color w:val="000000" w:themeColor="text1"/>
          <w:sz w:val="24"/>
          <w:szCs w:val="24"/>
        </w:rPr>
        <w:t>,</w:t>
      </w:r>
      <w:r w:rsidR="00522927" w:rsidRPr="00F45A6E">
        <w:rPr>
          <w:color w:val="000000" w:themeColor="text1"/>
          <w:sz w:val="24"/>
          <w:szCs w:val="24"/>
        </w:rPr>
        <w:t xml:space="preserve"> ni</w:t>
      </w:r>
      <w:r w:rsidR="00692F6D" w:rsidRPr="00F45A6E">
        <w:rPr>
          <w:color w:val="000000" w:themeColor="text1"/>
          <w:sz w:val="24"/>
          <w:szCs w:val="24"/>
        </w:rPr>
        <w:t xml:space="preserve"> </w:t>
      </w:r>
      <w:r w:rsidR="00522927" w:rsidRPr="00F45A6E">
        <w:rPr>
          <w:color w:val="000000" w:themeColor="text1"/>
          <w:sz w:val="24"/>
          <w:szCs w:val="24"/>
        </w:rPr>
        <w:t>sumariamente</w:t>
      </w:r>
      <w:r w:rsidR="00FF2389" w:rsidRPr="00F45A6E">
        <w:rPr>
          <w:color w:val="000000" w:themeColor="text1"/>
          <w:sz w:val="24"/>
          <w:szCs w:val="24"/>
        </w:rPr>
        <w:t>,</w:t>
      </w:r>
      <w:r w:rsidR="00522927" w:rsidRPr="00F45A6E">
        <w:rPr>
          <w:color w:val="000000" w:themeColor="text1"/>
          <w:sz w:val="24"/>
          <w:szCs w:val="24"/>
        </w:rPr>
        <w:t xml:space="preserve"> su ausencia de intervención durante el trá</w:t>
      </w:r>
      <w:r w:rsidR="00692F6D" w:rsidRPr="00F45A6E">
        <w:rPr>
          <w:color w:val="000000" w:themeColor="text1"/>
          <w:sz w:val="24"/>
          <w:szCs w:val="24"/>
        </w:rPr>
        <w:t>mite incidental y su demor</w:t>
      </w:r>
      <w:r w:rsidR="00522927" w:rsidRPr="00F45A6E">
        <w:rPr>
          <w:color w:val="000000" w:themeColor="text1"/>
          <w:sz w:val="24"/>
          <w:szCs w:val="24"/>
        </w:rPr>
        <w:t>a para acudir a la acción constitucional</w:t>
      </w:r>
      <w:r w:rsidR="00DF15E2" w:rsidRPr="00F45A6E">
        <w:rPr>
          <w:color w:val="000000" w:themeColor="text1"/>
          <w:sz w:val="24"/>
          <w:szCs w:val="24"/>
        </w:rPr>
        <w:t>. Así las cosas, su</w:t>
      </w:r>
      <w:r w:rsidR="00692F6D" w:rsidRPr="00F45A6E">
        <w:rPr>
          <w:color w:val="000000" w:themeColor="text1"/>
          <w:sz w:val="24"/>
          <w:szCs w:val="24"/>
        </w:rPr>
        <w:t>s actuaciones</w:t>
      </w:r>
      <w:r w:rsidR="00DF15E2" w:rsidRPr="00F45A6E">
        <w:rPr>
          <w:color w:val="000000" w:themeColor="text1"/>
          <w:sz w:val="24"/>
          <w:szCs w:val="24"/>
        </w:rPr>
        <w:t xml:space="preserve"> desvirtúa</w:t>
      </w:r>
      <w:r w:rsidR="00692F6D" w:rsidRPr="00F45A6E">
        <w:rPr>
          <w:color w:val="000000" w:themeColor="text1"/>
          <w:sz w:val="24"/>
          <w:szCs w:val="24"/>
        </w:rPr>
        <w:t>n</w:t>
      </w:r>
      <w:r w:rsidR="00DF15E2" w:rsidRPr="00F45A6E">
        <w:rPr>
          <w:color w:val="000000" w:themeColor="text1"/>
          <w:sz w:val="24"/>
          <w:szCs w:val="24"/>
        </w:rPr>
        <w:t xml:space="preserve"> la necesidad de una protección urgente e inmediata de sus derechos fundamentales y torna</w:t>
      </w:r>
      <w:r w:rsidR="00692F6D" w:rsidRPr="00F45A6E">
        <w:rPr>
          <w:color w:val="000000" w:themeColor="text1"/>
          <w:sz w:val="24"/>
          <w:szCs w:val="24"/>
        </w:rPr>
        <w:t>n</w:t>
      </w:r>
      <w:r w:rsidR="00DF15E2" w:rsidRPr="00F45A6E">
        <w:rPr>
          <w:color w:val="000000" w:themeColor="text1"/>
          <w:sz w:val="24"/>
          <w:szCs w:val="24"/>
        </w:rPr>
        <w:t xml:space="preserve"> improcedente esta solicitud de amparo por no cumplir </w:t>
      </w:r>
      <w:r w:rsidR="00667291" w:rsidRPr="00F45A6E">
        <w:rPr>
          <w:color w:val="000000" w:themeColor="text1"/>
          <w:sz w:val="24"/>
          <w:szCs w:val="24"/>
        </w:rPr>
        <w:t>con la exigencia de</w:t>
      </w:r>
      <w:r w:rsidR="009D340B" w:rsidRPr="00F45A6E">
        <w:rPr>
          <w:color w:val="000000" w:themeColor="text1"/>
          <w:sz w:val="24"/>
          <w:szCs w:val="24"/>
        </w:rPr>
        <w:t>l requisito en comento.</w:t>
      </w:r>
    </w:p>
    <w:p w14:paraId="6F29447F" w14:textId="77777777" w:rsidR="006E62F6" w:rsidRPr="00F45A6E" w:rsidRDefault="006E62F6" w:rsidP="00F45A6E">
      <w:pPr>
        <w:spacing w:line="276" w:lineRule="auto"/>
        <w:rPr>
          <w:rFonts w:eastAsia="Times New Roman"/>
          <w:color w:val="000000" w:themeColor="text1"/>
          <w:sz w:val="24"/>
          <w:szCs w:val="24"/>
        </w:rPr>
      </w:pPr>
    </w:p>
    <w:p w14:paraId="1D35AFE7" w14:textId="77777777" w:rsidR="006E62F6" w:rsidRDefault="006E62F6" w:rsidP="00F45A6E">
      <w:pPr>
        <w:tabs>
          <w:tab w:val="left" w:pos="0"/>
        </w:tabs>
        <w:spacing w:line="276" w:lineRule="auto"/>
        <w:rPr>
          <w:rFonts w:eastAsia="Verdana"/>
          <w:color w:val="000000" w:themeColor="text1"/>
          <w:sz w:val="24"/>
          <w:szCs w:val="24"/>
        </w:rPr>
      </w:pPr>
      <w:r w:rsidRPr="00F45A6E">
        <w:rPr>
          <w:color w:val="000000" w:themeColor="text1"/>
          <w:sz w:val="24"/>
          <w:szCs w:val="24"/>
          <w:bdr w:val="none" w:sz="0" w:space="0" w:color="auto" w:frame="1"/>
          <w:shd w:val="clear" w:color="auto" w:fill="FFFFFF"/>
        </w:rPr>
        <w:t>En mérito de lo</w:t>
      </w:r>
      <w:r w:rsidRPr="00F45A6E">
        <w:rPr>
          <w:rFonts w:eastAsia="Verdana"/>
          <w:color w:val="000000" w:themeColor="text1"/>
          <w:sz w:val="24"/>
          <w:szCs w:val="24"/>
        </w:rPr>
        <w:t xml:space="preserve"> expuesto, la Sección Tercera Subsección “C” de la Sala de lo Contencioso Administrativo del Consejo de Estado, administrando justicia en nombre de la República y por autoridad de la ley, </w:t>
      </w:r>
    </w:p>
    <w:p w14:paraId="3265F80F" w14:textId="77777777" w:rsidR="005567A7" w:rsidRDefault="005567A7" w:rsidP="00F45A6E">
      <w:pPr>
        <w:tabs>
          <w:tab w:val="left" w:pos="0"/>
        </w:tabs>
        <w:spacing w:line="276" w:lineRule="auto"/>
        <w:rPr>
          <w:rFonts w:eastAsia="Verdana"/>
          <w:color w:val="000000" w:themeColor="text1"/>
          <w:sz w:val="24"/>
          <w:szCs w:val="24"/>
        </w:rPr>
      </w:pPr>
    </w:p>
    <w:p w14:paraId="0CEA1CE9" w14:textId="77777777" w:rsidR="005567A7" w:rsidRDefault="005567A7" w:rsidP="00F45A6E">
      <w:pPr>
        <w:tabs>
          <w:tab w:val="left" w:pos="0"/>
        </w:tabs>
        <w:spacing w:line="276" w:lineRule="auto"/>
        <w:rPr>
          <w:rFonts w:eastAsia="Verdana"/>
          <w:color w:val="000000" w:themeColor="text1"/>
          <w:sz w:val="24"/>
          <w:szCs w:val="24"/>
        </w:rPr>
      </w:pPr>
    </w:p>
    <w:p w14:paraId="0C63D8BC" w14:textId="77777777" w:rsidR="005567A7" w:rsidRDefault="005567A7" w:rsidP="00F45A6E">
      <w:pPr>
        <w:tabs>
          <w:tab w:val="left" w:pos="0"/>
        </w:tabs>
        <w:spacing w:line="276" w:lineRule="auto"/>
        <w:rPr>
          <w:rFonts w:eastAsia="Verdana"/>
          <w:color w:val="000000" w:themeColor="text1"/>
          <w:sz w:val="24"/>
          <w:szCs w:val="24"/>
        </w:rPr>
      </w:pPr>
    </w:p>
    <w:p w14:paraId="6D7E5FB6" w14:textId="77777777" w:rsidR="005567A7" w:rsidRPr="00F45A6E" w:rsidRDefault="005567A7" w:rsidP="00F45A6E">
      <w:pPr>
        <w:tabs>
          <w:tab w:val="left" w:pos="0"/>
        </w:tabs>
        <w:spacing w:line="276" w:lineRule="auto"/>
        <w:rPr>
          <w:rFonts w:eastAsia="Verdana"/>
          <w:color w:val="000000" w:themeColor="text1"/>
          <w:sz w:val="24"/>
          <w:szCs w:val="24"/>
        </w:rPr>
      </w:pPr>
    </w:p>
    <w:p w14:paraId="425E80F9" w14:textId="77777777" w:rsidR="00F45A6E" w:rsidRPr="00F45A6E" w:rsidRDefault="00F45A6E" w:rsidP="00F45A6E">
      <w:pPr>
        <w:spacing w:line="276" w:lineRule="auto"/>
        <w:contextualSpacing/>
        <w:rPr>
          <w:b/>
          <w:color w:val="000000" w:themeColor="text1"/>
          <w:sz w:val="24"/>
          <w:szCs w:val="24"/>
        </w:rPr>
      </w:pPr>
    </w:p>
    <w:p w14:paraId="3B88CA91" w14:textId="77777777" w:rsidR="00EA4754" w:rsidRPr="00F45A6E" w:rsidRDefault="00EA4754" w:rsidP="00F45A6E">
      <w:pPr>
        <w:tabs>
          <w:tab w:val="left" w:pos="851"/>
        </w:tabs>
        <w:spacing w:line="276" w:lineRule="auto"/>
        <w:jc w:val="center"/>
        <w:rPr>
          <w:rFonts w:eastAsia="Verdana"/>
          <w:color w:val="000000" w:themeColor="text1"/>
          <w:sz w:val="24"/>
          <w:szCs w:val="24"/>
        </w:rPr>
      </w:pPr>
      <w:r w:rsidRPr="00F45A6E">
        <w:rPr>
          <w:rFonts w:eastAsia="Verdana"/>
          <w:b/>
          <w:color w:val="000000" w:themeColor="text1"/>
          <w:sz w:val="24"/>
          <w:szCs w:val="24"/>
        </w:rPr>
        <w:lastRenderedPageBreak/>
        <w:t>RESUELVE</w:t>
      </w:r>
    </w:p>
    <w:p w14:paraId="09CFF89E" w14:textId="77777777" w:rsidR="00EA4754" w:rsidRPr="00F45A6E" w:rsidRDefault="00EA4754" w:rsidP="00F45A6E">
      <w:pPr>
        <w:tabs>
          <w:tab w:val="left" w:pos="851"/>
        </w:tabs>
        <w:spacing w:line="276" w:lineRule="auto"/>
        <w:rPr>
          <w:rFonts w:eastAsia="Verdana"/>
          <w:color w:val="000000" w:themeColor="text1"/>
          <w:sz w:val="24"/>
          <w:szCs w:val="24"/>
        </w:rPr>
      </w:pPr>
    </w:p>
    <w:p w14:paraId="21255590" w14:textId="68A348F6" w:rsidR="000166CE" w:rsidRPr="000166CE" w:rsidRDefault="00EA4754" w:rsidP="00F45A6E">
      <w:pPr>
        <w:tabs>
          <w:tab w:val="left" w:pos="851"/>
        </w:tabs>
        <w:spacing w:after="160" w:line="276" w:lineRule="auto"/>
        <w:contextualSpacing/>
        <w:rPr>
          <w:rFonts w:eastAsia="Verdana"/>
          <w:color w:val="000000" w:themeColor="text1"/>
          <w:sz w:val="24"/>
          <w:szCs w:val="24"/>
          <w:lang w:eastAsia="en-US"/>
        </w:rPr>
      </w:pPr>
      <w:r w:rsidRPr="009F2C3D">
        <w:rPr>
          <w:rFonts w:eastAsia="Verdana"/>
          <w:b/>
          <w:color w:val="000000" w:themeColor="text1"/>
          <w:sz w:val="24"/>
          <w:szCs w:val="24"/>
          <w:lang w:eastAsia="en-US"/>
        </w:rPr>
        <w:t>PRIMERO:</w:t>
      </w:r>
      <w:r w:rsidR="00693644" w:rsidRPr="009F2C3D">
        <w:rPr>
          <w:rFonts w:eastAsia="Verdana"/>
          <w:b/>
          <w:color w:val="000000" w:themeColor="text1"/>
          <w:sz w:val="24"/>
          <w:szCs w:val="24"/>
          <w:lang w:eastAsia="en-US"/>
        </w:rPr>
        <w:t xml:space="preserve"> DESVINCULAR</w:t>
      </w:r>
      <w:r w:rsidR="000166CE" w:rsidRPr="009F2C3D">
        <w:rPr>
          <w:rFonts w:eastAsia="Verdana"/>
          <w:b/>
          <w:color w:val="000000" w:themeColor="text1"/>
          <w:sz w:val="24"/>
          <w:szCs w:val="24"/>
          <w:lang w:eastAsia="en-US"/>
        </w:rPr>
        <w:t xml:space="preserve"> </w:t>
      </w:r>
      <w:r w:rsidR="000166CE" w:rsidRPr="009F2C3D">
        <w:rPr>
          <w:rFonts w:eastAsia="Verdana"/>
          <w:color w:val="000000" w:themeColor="text1"/>
          <w:sz w:val="24"/>
          <w:szCs w:val="24"/>
          <w:lang w:eastAsia="en-US"/>
        </w:rPr>
        <w:t xml:space="preserve">del presente trámite a </w:t>
      </w:r>
      <w:r w:rsidR="000166CE" w:rsidRPr="009F2C3D">
        <w:rPr>
          <w:sz w:val="24"/>
          <w:szCs w:val="24"/>
        </w:rPr>
        <w:t>Israel Oliveros Guette</w:t>
      </w:r>
      <w:r w:rsidR="00316A98" w:rsidRPr="009F2C3D">
        <w:rPr>
          <w:sz w:val="24"/>
          <w:szCs w:val="24"/>
        </w:rPr>
        <w:t xml:space="preserve"> en su calidad de tercero interviniente, y en su lugar, reconocerle personería para actuar como apoderado de Aida María Navarro de Barbosa, Divineth, Maylin Yanin, Alvaro Antonio y Senelia Barbosa Navarro, en los términos y para los efectos </w:t>
      </w:r>
      <w:r w:rsidR="00AE077D" w:rsidRPr="009F2C3D">
        <w:rPr>
          <w:sz w:val="24"/>
          <w:szCs w:val="24"/>
        </w:rPr>
        <w:t>del poder a él conferido en el archivo electrónico identificado con el certificado</w:t>
      </w:r>
      <w:r w:rsidR="00693644" w:rsidRPr="009F2C3D">
        <w:rPr>
          <w:sz w:val="24"/>
          <w:szCs w:val="24"/>
        </w:rPr>
        <w:t xml:space="preserve"> </w:t>
      </w:r>
      <w:r w:rsidR="007F55E8" w:rsidRPr="007F55E8">
        <w:rPr>
          <w:sz w:val="24"/>
          <w:szCs w:val="24"/>
        </w:rPr>
        <w:t>F574894C29417E9A 441A2A9ECD4391D9 73E981E578D0A72F 43A6F2ACD9A56B51</w:t>
      </w:r>
      <w:r w:rsidR="00AE077D" w:rsidRPr="009F2C3D">
        <w:rPr>
          <w:sz w:val="24"/>
          <w:szCs w:val="24"/>
        </w:rPr>
        <w:t xml:space="preserve"> en el expediente digital.</w:t>
      </w:r>
      <w:r w:rsidR="00AE077D" w:rsidRPr="009F2C3D">
        <w:rPr>
          <w:b/>
          <w:sz w:val="24"/>
          <w:szCs w:val="24"/>
        </w:rPr>
        <w:t xml:space="preserve"> </w:t>
      </w:r>
    </w:p>
    <w:p w14:paraId="0EF75686" w14:textId="77777777" w:rsidR="000166CE" w:rsidRDefault="000166CE" w:rsidP="00F45A6E">
      <w:pPr>
        <w:tabs>
          <w:tab w:val="left" w:pos="851"/>
        </w:tabs>
        <w:spacing w:after="160" w:line="276" w:lineRule="auto"/>
        <w:contextualSpacing/>
        <w:rPr>
          <w:rFonts w:eastAsia="Verdana"/>
          <w:b/>
          <w:color w:val="000000" w:themeColor="text1"/>
          <w:sz w:val="24"/>
          <w:szCs w:val="24"/>
          <w:lang w:eastAsia="en-US"/>
        </w:rPr>
      </w:pPr>
    </w:p>
    <w:p w14:paraId="0A817402" w14:textId="7D68B617" w:rsidR="00EA4754" w:rsidRPr="00F45A6E" w:rsidRDefault="000166CE" w:rsidP="00F45A6E">
      <w:pPr>
        <w:tabs>
          <w:tab w:val="left" w:pos="851"/>
        </w:tabs>
        <w:spacing w:after="160" w:line="276" w:lineRule="auto"/>
        <w:contextualSpacing/>
        <w:rPr>
          <w:rFonts w:eastAsia="Verdana"/>
          <w:color w:val="000000" w:themeColor="text1"/>
          <w:sz w:val="24"/>
          <w:szCs w:val="24"/>
          <w:lang w:eastAsia="en-US"/>
        </w:rPr>
      </w:pPr>
      <w:r>
        <w:rPr>
          <w:rFonts w:eastAsia="Verdana"/>
          <w:b/>
          <w:color w:val="000000" w:themeColor="text1"/>
          <w:sz w:val="24"/>
          <w:szCs w:val="24"/>
          <w:lang w:eastAsia="en-US"/>
        </w:rPr>
        <w:t xml:space="preserve">SEGUNDO: </w:t>
      </w:r>
      <w:r w:rsidR="00EA4754" w:rsidRPr="00F45A6E">
        <w:rPr>
          <w:rFonts w:eastAsia="Verdana"/>
          <w:b/>
          <w:color w:val="000000" w:themeColor="text1"/>
          <w:sz w:val="24"/>
          <w:szCs w:val="24"/>
          <w:lang w:eastAsia="en-US"/>
        </w:rPr>
        <w:t xml:space="preserve">DECLARAR IMPROCEDENTE </w:t>
      </w:r>
      <w:r w:rsidR="00EA4754" w:rsidRPr="00F45A6E">
        <w:rPr>
          <w:rFonts w:eastAsia="Verdana"/>
          <w:color w:val="000000" w:themeColor="text1"/>
          <w:sz w:val="24"/>
          <w:szCs w:val="24"/>
          <w:lang w:eastAsia="en-US"/>
        </w:rPr>
        <w:t>la solicitud de amparo presentada por Claudia Juliana Melo Romero por las razones expuestas en la parte motiva de esta providencia.</w:t>
      </w:r>
    </w:p>
    <w:p w14:paraId="234C2375" w14:textId="77777777" w:rsidR="00EA4754" w:rsidRPr="00F45A6E" w:rsidRDefault="00EA4754" w:rsidP="00F45A6E">
      <w:pPr>
        <w:spacing w:after="160" w:line="276" w:lineRule="auto"/>
        <w:contextualSpacing/>
        <w:rPr>
          <w:rFonts w:eastAsia="Verdana"/>
          <w:b/>
          <w:color w:val="000000" w:themeColor="text1"/>
          <w:sz w:val="24"/>
          <w:szCs w:val="24"/>
          <w:highlight w:val="yellow"/>
          <w:lang w:eastAsia="en-US"/>
        </w:rPr>
      </w:pPr>
    </w:p>
    <w:p w14:paraId="3AF8F1DB" w14:textId="0640F466" w:rsidR="00EA4754" w:rsidRPr="00F45A6E" w:rsidRDefault="000166CE" w:rsidP="00F45A6E">
      <w:pPr>
        <w:spacing w:after="160" w:line="276" w:lineRule="auto"/>
        <w:contextualSpacing/>
        <w:rPr>
          <w:rFonts w:eastAsia="Verdana"/>
          <w:color w:val="000000" w:themeColor="text1"/>
          <w:sz w:val="24"/>
          <w:szCs w:val="24"/>
          <w:lang w:eastAsia="en-US"/>
        </w:rPr>
      </w:pPr>
      <w:r>
        <w:rPr>
          <w:rFonts w:eastAsia="Verdana"/>
          <w:b/>
          <w:color w:val="000000" w:themeColor="text1"/>
          <w:sz w:val="24"/>
          <w:szCs w:val="24"/>
          <w:lang w:eastAsia="en-US"/>
        </w:rPr>
        <w:t>TERCER</w:t>
      </w:r>
      <w:r w:rsidR="00EA4754" w:rsidRPr="00F45A6E">
        <w:rPr>
          <w:rFonts w:eastAsia="Verdana"/>
          <w:b/>
          <w:color w:val="000000" w:themeColor="text1"/>
          <w:sz w:val="24"/>
          <w:szCs w:val="24"/>
          <w:lang w:eastAsia="en-US"/>
        </w:rPr>
        <w:t xml:space="preserve">O: NOTIFICAR </w:t>
      </w:r>
      <w:r w:rsidR="00EA4754" w:rsidRPr="00F45A6E">
        <w:rPr>
          <w:rFonts w:eastAsia="Verdana"/>
          <w:color w:val="000000" w:themeColor="text1"/>
          <w:sz w:val="24"/>
          <w:szCs w:val="24"/>
          <w:lang w:eastAsia="en-US"/>
        </w:rPr>
        <w:t>la presente decisión a las partes y a los interesados, por el medio más expedito.</w:t>
      </w:r>
    </w:p>
    <w:p w14:paraId="7B633ACB" w14:textId="77777777" w:rsidR="00EA4754" w:rsidRPr="00F45A6E" w:rsidRDefault="00EA4754" w:rsidP="00F45A6E">
      <w:pPr>
        <w:tabs>
          <w:tab w:val="left" w:pos="851"/>
        </w:tabs>
        <w:spacing w:after="160" w:line="276" w:lineRule="auto"/>
        <w:contextualSpacing/>
        <w:rPr>
          <w:rFonts w:eastAsia="Verdana"/>
          <w:b/>
          <w:color w:val="000000" w:themeColor="text1"/>
          <w:sz w:val="24"/>
          <w:szCs w:val="24"/>
          <w:highlight w:val="yellow"/>
          <w:lang w:eastAsia="en-US"/>
        </w:rPr>
      </w:pPr>
    </w:p>
    <w:p w14:paraId="28D36E97" w14:textId="20360449" w:rsidR="00EA4754" w:rsidRPr="00F45A6E" w:rsidRDefault="000166CE" w:rsidP="00F45A6E">
      <w:pPr>
        <w:tabs>
          <w:tab w:val="left" w:pos="851"/>
        </w:tabs>
        <w:spacing w:after="160" w:line="276" w:lineRule="auto"/>
        <w:contextualSpacing/>
        <w:rPr>
          <w:rFonts w:eastAsia="Verdana"/>
          <w:color w:val="000000" w:themeColor="text1"/>
          <w:sz w:val="24"/>
          <w:szCs w:val="24"/>
          <w:lang w:eastAsia="en-US"/>
        </w:rPr>
      </w:pPr>
      <w:r>
        <w:rPr>
          <w:rFonts w:eastAsia="Verdana"/>
          <w:b/>
          <w:color w:val="000000" w:themeColor="text1"/>
          <w:sz w:val="24"/>
          <w:szCs w:val="24"/>
          <w:lang w:eastAsia="en-US"/>
        </w:rPr>
        <w:t>CUART</w:t>
      </w:r>
      <w:r w:rsidR="00EA4754" w:rsidRPr="00F45A6E">
        <w:rPr>
          <w:rFonts w:eastAsia="Verdana"/>
          <w:b/>
          <w:color w:val="000000" w:themeColor="text1"/>
          <w:sz w:val="24"/>
          <w:szCs w:val="24"/>
          <w:lang w:eastAsia="en-US"/>
        </w:rPr>
        <w:t xml:space="preserve">O: ENVIAR </w:t>
      </w:r>
      <w:r w:rsidR="00EA4754" w:rsidRPr="00F45A6E">
        <w:rPr>
          <w:rFonts w:eastAsia="Verdana"/>
          <w:color w:val="000000" w:themeColor="text1"/>
          <w:sz w:val="24"/>
          <w:szCs w:val="24"/>
          <w:lang w:eastAsia="en-US"/>
        </w:rPr>
        <w:t>la presente providencia a la Corte Constitucional para su eventual revisión, en caso de que no fuere impugnada.</w:t>
      </w:r>
    </w:p>
    <w:p w14:paraId="52465F9C" w14:textId="77777777" w:rsidR="00EA4754" w:rsidRPr="00F45A6E" w:rsidRDefault="00EA4754" w:rsidP="00F45A6E">
      <w:pPr>
        <w:tabs>
          <w:tab w:val="left" w:pos="851"/>
        </w:tabs>
        <w:spacing w:after="160" w:line="276" w:lineRule="auto"/>
        <w:contextualSpacing/>
        <w:rPr>
          <w:rFonts w:eastAsia="Verdana"/>
          <w:color w:val="000000" w:themeColor="text1"/>
          <w:sz w:val="24"/>
          <w:szCs w:val="24"/>
          <w:lang w:eastAsia="en-US"/>
        </w:rPr>
      </w:pPr>
    </w:p>
    <w:p w14:paraId="70CECBD2" w14:textId="77777777" w:rsidR="00EA4754" w:rsidRPr="00F45A6E" w:rsidRDefault="00EA4754" w:rsidP="00F45A6E">
      <w:pPr>
        <w:tabs>
          <w:tab w:val="left" w:pos="851"/>
        </w:tabs>
        <w:spacing w:after="160" w:line="276" w:lineRule="auto"/>
        <w:contextualSpacing/>
        <w:rPr>
          <w:rFonts w:eastAsia="Verdana"/>
          <w:color w:val="000000" w:themeColor="text1"/>
          <w:sz w:val="24"/>
          <w:szCs w:val="24"/>
          <w:lang w:eastAsia="en-US"/>
        </w:rPr>
      </w:pPr>
      <w:r w:rsidRPr="00F45A6E">
        <w:rPr>
          <w:rFonts w:eastAsia="Verdana"/>
          <w:b/>
          <w:color w:val="000000" w:themeColor="text1"/>
          <w:sz w:val="24"/>
          <w:szCs w:val="24"/>
        </w:rPr>
        <w:t>NOTIFÍQUESE Y CÚMPLASE</w:t>
      </w:r>
    </w:p>
    <w:p w14:paraId="61CDCEAD" w14:textId="77777777" w:rsidR="000C5DB7" w:rsidRPr="00F45A6E" w:rsidRDefault="000C5DB7" w:rsidP="00F45A6E">
      <w:pPr>
        <w:spacing w:line="276" w:lineRule="auto"/>
        <w:contextualSpacing/>
        <w:rPr>
          <w:rFonts w:eastAsia="Verdana"/>
          <w:b/>
          <w:color w:val="000000" w:themeColor="text1"/>
          <w:sz w:val="24"/>
          <w:szCs w:val="24"/>
          <w:lang w:val="es-ES_tradnl"/>
        </w:rPr>
      </w:pPr>
    </w:p>
    <w:p w14:paraId="6BB9E253"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p>
    <w:p w14:paraId="23DE523C"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p>
    <w:p w14:paraId="406AF513" w14:textId="05EC0CDC" w:rsidR="3E32AA38" w:rsidRPr="00F45A6E" w:rsidRDefault="3E32AA38" w:rsidP="00F45A6E">
      <w:pPr>
        <w:spacing w:line="276" w:lineRule="auto"/>
        <w:jc w:val="center"/>
        <w:rPr>
          <w:rFonts w:eastAsia="Verdana"/>
          <w:b/>
          <w:bCs/>
          <w:color w:val="000000" w:themeColor="text1"/>
          <w:sz w:val="24"/>
          <w:szCs w:val="24"/>
          <w:lang w:val="es-ES"/>
        </w:rPr>
      </w:pPr>
      <w:r w:rsidRPr="00F45A6E">
        <w:rPr>
          <w:rFonts w:eastAsia="Verdana"/>
          <w:b/>
          <w:bCs/>
          <w:color w:val="000000" w:themeColor="text1"/>
          <w:sz w:val="24"/>
          <w:szCs w:val="24"/>
          <w:lang w:val="es-ES"/>
        </w:rPr>
        <w:t>GUILLERMO SÁNCHEZ LUQUE</w:t>
      </w:r>
    </w:p>
    <w:p w14:paraId="55568CF1"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r w:rsidRPr="00F45A6E">
        <w:rPr>
          <w:rFonts w:eastAsia="Verdana"/>
          <w:b/>
          <w:color w:val="000000" w:themeColor="text1"/>
          <w:sz w:val="24"/>
          <w:szCs w:val="24"/>
          <w:lang w:val="es-ES_tradnl"/>
        </w:rPr>
        <w:t>Presidente de Sala</w:t>
      </w:r>
    </w:p>
    <w:p w14:paraId="07547A01" w14:textId="6D1A4769" w:rsidR="000C5DB7" w:rsidRPr="00F45A6E" w:rsidRDefault="00317414" w:rsidP="00F45A6E">
      <w:pPr>
        <w:spacing w:line="276" w:lineRule="auto"/>
        <w:contextualSpacing/>
        <w:jc w:val="center"/>
        <w:rPr>
          <w:rFonts w:eastAsia="Verdana"/>
          <w:b/>
          <w:color w:val="000000" w:themeColor="text1"/>
          <w:sz w:val="24"/>
          <w:szCs w:val="24"/>
          <w:lang w:val="es-ES_tradnl"/>
        </w:rPr>
      </w:pPr>
      <w:r w:rsidRPr="00EC7CF8">
        <w:rPr>
          <w:rFonts w:eastAsia="BatangChe"/>
          <w:b/>
          <w:sz w:val="24"/>
          <w:szCs w:val="24"/>
        </w:rPr>
        <w:t>Aclaración de voto Cfr.</w:t>
      </w:r>
      <w:r>
        <w:rPr>
          <w:rFonts w:eastAsia="BatangChe"/>
          <w:b/>
          <w:sz w:val="24"/>
          <w:szCs w:val="24"/>
        </w:rPr>
        <w:t xml:space="preserve"> </w:t>
      </w:r>
      <w:r w:rsidRPr="00EC7CF8">
        <w:rPr>
          <w:rFonts w:eastAsia="BatangChe"/>
          <w:b/>
          <w:sz w:val="24"/>
          <w:szCs w:val="24"/>
        </w:rPr>
        <w:t>Rad.</w:t>
      </w:r>
      <w:r w:rsidRPr="001055E1">
        <w:t xml:space="preserve"> </w:t>
      </w:r>
      <w:r w:rsidRPr="001055E1">
        <w:rPr>
          <w:rFonts w:eastAsia="BatangChe"/>
          <w:b/>
          <w:sz w:val="24"/>
          <w:szCs w:val="24"/>
        </w:rPr>
        <w:t>11001-03-15-000-2019-00022-00</w:t>
      </w:r>
    </w:p>
    <w:p w14:paraId="5043CB0F"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p>
    <w:p w14:paraId="07459315" w14:textId="77777777" w:rsidR="000C5DB7" w:rsidRDefault="000C5DB7" w:rsidP="00F45A6E">
      <w:pPr>
        <w:spacing w:line="276" w:lineRule="auto"/>
        <w:contextualSpacing/>
        <w:jc w:val="center"/>
        <w:rPr>
          <w:rFonts w:eastAsia="Verdana"/>
          <w:b/>
          <w:color w:val="000000" w:themeColor="text1"/>
          <w:sz w:val="24"/>
          <w:szCs w:val="24"/>
          <w:lang w:val="es-ES_tradnl"/>
        </w:rPr>
      </w:pPr>
    </w:p>
    <w:p w14:paraId="24327644" w14:textId="77777777" w:rsidR="00317414" w:rsidRPr="00F45A6E" w:rsidRDefault="00317414" w:rsidP="00F45A6E">
      <w:pPr>
        <w:spacing w:line="276" w:lineRule="auto"/>
        <w:contextualSpacing/>
        <w:jc w:val="center"/>
        <w:rPr>
          <w:rFonts w:eastAsia="Verdana"/>
          <w:b/>
          <w:color w:val="000000" w:themeColor="text1"/>
          <w:sz w:val="24"/>
          <w:szCs w:val="24"/>
          <w:lang w:val="es-ES_tradnl"/>
        </w:rPr>
      </w:pPr>
    </w:p>
    <w:p w14:paraId="4C1AD8C0" w14:textId="46AB2500" w:rsidR="1C71458C" w:rsidRPr="00F45A6E" w:rsidRDefault="1C71458C" w:rsidP="00F45A6E">
      <w:pPr>
        <w:spacing w:line="276" w:lineRule="auto"/>
        <w:jc w:val="center"/>
        <w:rPr>
          <w:rFonts w:eastAsia="Verdana"/>
          <w:b/>
          <w:bCs/>
          <w:color w:val="000000" w:themeColor="text1"/>
          <w:sz w:val="24"/>
          <w:szCs w:val="24"/>
          <w:lang w:val="es-ES"/>
        </w:rPr>
      </w:pPr>
      <w:r w:rsidRPr="00F45A6E">
        <w:rPr>
          <w:rFonts w:eastAsia="Verdana"/>
          <w:b/>
          <w:bCs/>
          <w:color w:val="000000" w:themeColor="text1"/>
          <w:sz w:val="24"/>
          <w:szCs w:val="24"/>
          <w:lang w:val="es-ES"/>
        </w:rPr>
        <w:t>JAIME ENRIQUE RODRÍGUEZ NAVAS</w:t>
      </w:r>
    </w:p>
    <w:p w14:paraId="6DFB9E20" w14:textId="399D7B91" w:rsidR="000C5DB7" w:rsidRPr="00F45A6E" w:rsidRDefault="000C5DB7" w:rsidP="00F45A6E">
      <w:pPr>
        <w:spacing w:line="276" w:lineRule="auto"/>
        <w:contextualSpacing/>
        <w:jc w:val="center"/>
        <w:rPr>
          <w:rFonts w:eastAsia="Verdana"/>
          <w:b/>
          <w:color w:val="000000" w:themeColor="text1"/>
          <w:sz w:val="24"/>
          <w:szCs w:val="24"/>
          <w:lang w:val="es-ES_tradnl"/>
        </w:rPr>
      </w:pPr>
      <w:r w:rsidRPr="00F45A6E">
        <w:rPr>
          <w:rFonts w:eastAsia="Verdana"/>
          <w:b/>
          <w:color w:val="000000" w:themeColor="text1"/>
          <w:sz w:val="24"/>
          <w:szCs w:val="24"/>
          <w:lang w:val="es-ES_tradnl"/>
        </w:rPr>
        <w:t>Magistrado</w:t>
      </w:r>
    </w:p>
    <w:p w14:paraId="70DF9E56"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p>
    <w:p w14:paraId="44E871BC"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p>
    <w:p w14:paraId="144A5D23"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p>
    <w:p w14:paraId="7E3961FD"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r w:rsidRPr="00F45A6E">
        <w:rPr>
          <w:rFonts w:eastAsia="Verdana"/>
          <w:b/>
          <w:color w:val="000000" w:themeColor="text1"/>
          <w:sz w:val="24"/>
          <w:szCs w:val="24"/>
          <w:lang w:val="es-ES_tradnl"/>
        </w:rPr>
        <w:t>NICOLÁS YEPES CORRALES</w:t>
      </w:r>
    </w:p>
    <w:p w14:paraId="3B14489C" w14:textId="77777777" w:rsidR="000C5DB7" w:rsidRPr="00F45A6E" w:rsidRDefault="000C5DB7" w:rsidP="00F45A6E">
      <w:pPr>
        <w:spacing w:line="276" w:lineRule="auto"/>
        <w:contextualSpacing/>
        <w:jc w:val="center"/>
        <w:rPr>
          <w:rFonts w:eastAsia="Verdana"/>
          <w:b/>
          <w:color w:val="000000" w:themeColor="text1"/>
          <w:sz w:val="24"/>
          <w:szCs w:val="24"/>
          <w:lang w:val="es-ES_tradnl"/>
        </w:rPr>
      </w:pPr>
      <w:r w:rsidRPr="00F45A6E">
        <w:rPr>
          <w:rFonts w:eastAsia="Verdana"/>
          <w:b/>
          <w:color w:val="000000" w:themeColor="text1"/>
          <w:sz w:val="24"/>
          <w:szCs w:val="24"/>
          <w:lang w:val="es-ES_tradnl"/>
        </w:rPr>
        <w:t>Magistrado</w:t>
      </w:r>
    </w:p>
    <w:p w14:paraId="738610EB" w14:textId="77777777" w:rsidR="000C5DB7" w:rsidRPr="00F45A6E" w:rsidRDefault="000C5DB7" w:rsidP="00F45A6E">
      <w:pPr>
        <w:spacing w:line="276" w:lineRule="auto"/>
        <w:contextualSpacing/>
        <w:rPr>
          <w:color w:val="000000" w:themeColor="text1"/>
          <w:sz w:val="24"/>
          <w:szCs w:val="24"/>
          <w:lang w:val="es-ES_tradnl"/>
        </w:rPr>
      </w:pPr>
    </w:p>
    <w:p w14:paraId="637805D2" w14:textId="77777777" w:rsidR="000C5DB7" w:rsidRPr="00F45A6E" w:rsidRDefault="000C5DB7" w:rsidP="00F45A6E">
      <w:pPr>
        <w:spacing w:line="276" w:lineRule="auto"/>
        <w:contextualSpacing/>
        <w:rPr>
          <w:color w:val="000000" w:themeColor="text1"/>
          <w:sz w:val="24"/>
          <w:szCs w:val="24"/>
          <w:lang w:val="es-ES_tradnl"/>
        </w:rPr>
      </w:pPr>
    </w:p>
    <w:p w14:paraId="463F29E8" w14:textId="77777777" w:rsidR="004849BB" w:rsidRPr="00F45A6E" w:rsidRDefault="004849BB" w:rsidP="00F45A6E">
      <w:pPr>
        <w:tabs>
          <w:tab w:val="left" w:pos="3109"/>
        </w:tabs>
        <w:spacing w:line="276" w:lineRule="auto"/>
        <w:rPr>
          <w:color w:val="000000" w:themeColor="text1"/>
          <w:sz w:val="24"/>
          <w:szCs w:val="24"/>
        </w:rPr>
      </w:pPr>
    </w:p>
    <w:sectPr w:rsidR="004849BB" w:rsidRPr="00F45A6E"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56222" w16cex:dateUtc="2021-01-10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4916B" w16cid:durableId="23A5622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A3DDC" w14:textId="77777777" w:rsidR="00421B9D" w:rsidRDefault="00421B9D" w:rsidP="00117091">
      <w:r>
        <w:separator/>
      </w:r>
    </w:p>
  </w:endnote>
  <w:endnote w:type="continuationSeparator" w:id="0">
    <w:p w14:paraId="10BD9801" w14:textId="77777777" w:rsidR="00421B9D" w:rsidRDefault="00421B9D"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00"/>
    <w:family w:val="auto"/>
    <w:pitch w:val="variable"/>
    <w:sig w:usb0="F7FFAFFF" w:usb1="E9DFFFFF" w:usb2="0000003F" w:usb3="00000000" w:csb0="003F01FF" w:csb1="00000000"/>
  </w:font>
  <w:font w:name="Dotum">
    <w:panose1 w:val="020B0600000101010101"/>
    <w:charset w:val="81"/>
    <w:family w:val="auto"/>
    <w:pitch w:val="variable"/>
    <w:sig w:usb0="B00002AF" w:usb1="69D77CFB" w:usb2="00000030" w:usb3="00000000" w:csb0="0008009F" w:csb1="00000000"/>
  </w:font>
  <w:font w:name="BatangChe">
    <w:panose1 w:val="02030609000101010101"/>
    <w:charset w:val="81"/>
    <w:family w:val="auto"/>
    <w:pitch w:val="variable"/>
    <w:sig w:usb0="B00002AF" w:usb1="69D77CFB" w:usb2="00000030" w:usb3="00000000" w:csb0="0008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5529F" w14:paraId="4830A873" w14:textId="77777777" w:rsidTr="00B6429B">
      <w:trPr>
        <w:jc w:val="right"/>
      </w:trPr>
      <w:tc>
        <w:tcPr>
          <w:tcW w:w="4795" w:type="dxa"/>
          <w:vAlign w:val="center"/>
        </w:tcPr>
        <w:p w14:paraId="0C43E376" w14:textId="77777777" w:rsidR="00B5529F" w:rsidRDefault="00B5529F"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5529F" w:rsidRPr="00A21194" w:rsidRDefault="00B5529F"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0056C1A5" w:rsidR="00B5529F" w:rsidRPr="00B6429B" w:rsidRDefault="00B5529F" w:rsidP="00B6429B">
          <w:pPr>
            <w:pStyle w:val="Piedepgina"/>
            <w:jc w:val="center"/>
          </w:pPr>
          <w:r w:rsidRPr="00B6429B">
            <w:fldChar w:fldCharType="begin"/>
          </w:r>
          <w:r w:rsidRPr="00B6429B">
            <w:instrText>PAGE   \* MERGEFORMAT</w:instrText>
          </w:r>
          <w:r w:rsidRPr="00B6429B">
            <w:fldChar w:fldCharType="separate"/>
          </w:r>
          <w:r w:rsidR="00C35E5E" w:rsidRPr="00C35E5E">
            <w:rPr>
              <w:noProof/>
              <w:lang w:val="es-ES"/>
            </w:rPr>
            <w:t>5</w:t>
          </w:r>
          <w:r w:rsidRPr="00B6429B">
            <w:fldChar w:fldCharType="end"/>
          </w:r>
        </w:p>
      </w:tc>
    </w:tr>
  </w:tbl>
  <w:p w14:paraId="17AD93B2" w14:textId="77777777" w:rsidR="00B5529F" w:rsidRPr="008C0DBE" w:rsidRDefault="00B5529F" w:rsidP="00394A69">
    <w:pPr>
      <w:pStyle w:val="Piedepgina"/>
      <w:jc w:val="center"/>
      <w:rPr>
        <w:color w:val="767171"/>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5529F" w14:paraId="7BC39794" w14:textId="77777777" w:rsidTr="00B6429B">
      <w:trPr>
        <w:jc w:val="right"/>
      </w:trPr>
      <w:tc>
        <w:tcPr>
          <w:tcW w:w="4795" w:type="dxa"/>
          <w:vAlign w:val="center"/>
        </w:tcPr>
        <w:p w14:paraId="60E1FF49" w14:textId="77777777" w:rsidR="00B5529F" w:rsidRDefault="00B5529F"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B5529F" w:rsidRPr="00A21194" w:rsidRDefault="00B5529F"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D9E524" w:rsidR="00B5529F" w:rsidRPr="00B6429B" w:rsidRDefault="00B5529F">
          <w:pPr>
            <w:pStyle w:val="Piedepgina"/>
            <w:jc w:val="center"/>
          </w:pPr>
          <w:r w:rsidRPr="00B6429B">
            <w:fldChar w:fldCharType="begin"/>
          </w:r>
          <w:r w:rsidRPr="00B6429B">
            <w:instrText>PAGE   \* MERGEFORMAT</w:instrText>
          </w:r>
          <w:r w:rsidRPr="00B6429B">
            <w:fldChar w:fldCharType="separate"/>
          </w:r>
          <w:r w:rsidR="00C35E5E" w:rsidRPr="00C35E5E">
            <w:rPr>
              <w:noProof/>
              <w:lang w:val="es-ES"/>
            </w:rPr>
            <w:t>1</w:t>
          </w:r>
          <w:r w:rsidRPr="00B6429B">
            <w:fldChar w:fldCharType="end"/>
          </w:r>
        </w:p>
      </w:tc>
    </w:tr>
  </w:tbl>
  <w:p w14:paraId="5630AD66" w14:textId="77777777" w:rsidR="00B5529F" w:rsidRDefault="00B5529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E77BE" w14:textId="77777777" w:rsidR="00421B9D" w:rsidRDefault="00421B9D" w:rsidP="00117091">
      <w:r>
        <w:separator/>
      </w:r>
    </w:p>
  </w:footnote>
  <w:footnote w:type="continuationSeparator" w:id="0">
    <w:p w14:paraId="35856D3E" w14:textId="77777777" w:rsidR="00421B9D" w:rsidRDefault="00421B9D" w:rsidP="00117091">
      <w:r>
        <w:continuationSeparator/>
      </w:r>
    </w:p>
  </w:footnote>
  <w:footnote w:id="1">
    <w:p w14:paraId="29D8C134" w14:textId="480A65B4" w:rsidR="00B5529F" w:rsidRPr="002E77E6" w:rsidRDefault="00B5529F" w:rsidP="009B1859">
      <w:pPr>
        <w:pStyle w:val="Textonotapie"/>
        <w:rPr>
          <w:lang w:val="es-ES_tradnl"/>
        </w:rPr>
      </w:pPr>
      <w:r>
        <w:rPr>
          <w:rStyle w:val="Refdenotaalpie"/>
        </w:rPr>
        <w:footnoteRef/>
      </w:r>
      <w:r>
        <w:t xml:space="preserve"> </w:t>
      </w:r>
      <w:r w:rsidRPr="002C7F62">
        <w:t xml:space="preserve">Archivo electrónico identificado con el certificado </w:t>
      </w:r>
      <w:r w:rsidRPr="002E77E6">
        <w:rPr>
          <w:lang w:val="es-ES_tradnl"/>
        </w:rPr>
        <w:t>2B397865B2CC71C7 7FC3A97D5B342D58 935F923B94FC06A5 371DF1D800983A5E</w:t>
      </w:r>
      <w:r w:rsidRPr="002C7F62">
        <w:t xml:space="preserve"> en el expediente digital.</w:t>
      </w:r>
    </w:p>
  </w:footnote>
  <w:footnote w:id="2">
    <w:p w14:paraId="579F15DE" w14:textId="464A528D" w:rsidR="00B5529F" w:rsidRPr="006E0C16" w:rsidRDefault="00B5529F" w:rsidP="009B1859">
      <w:pPr>
        <w:pStyle w:val="Textonotapie"/>
        <w:rPr>
          <w:lang w:val="es-ES_tradnl"/>
        </w:rPr>
      </w:pPr>
      <w:r>
        <w:rPr>
          <w:rStyle w:val="Refdenotaalpie"/>
        </w:rPr>
        <w:footnoteRef/>
      </w:r>
      <w:r>
        <w:t xml:space="preserve"> </w:t>
      </w:r>
      <w:r w:rsidRPr="002C7F62">
        <w:t xml:space="preserve">Archivo electrónico identificado con el certificado </w:t>
      </w:r>
      <w:r w:rsidRPr="006E0C16">
        <w:rPr>
          <w:szCs w:val="20"/>
          <w:lang w:val="es-ES_tradnl"/>
        </w:rPr>
        <w:t>FB4DC3B9D3CAE318 729B00F50D59C43E 74C1BE1F91F4A32E 07AF168C66EC3F2C</w:t>
      </w:r>
      <w:r>
        <w:rPr>
          <w:lang w:val="es-ES_tradnl"/>
        </w:rPr>
        <w:t xml:space="preserve"> </w:t>
      </w:r>
      <w:r w:rsidRPr="002C7F62">
        <w:t>en el expediente digital.</w:t>
      </w:r>
    </w:p>
  </w:footnote>
  <w:footnote w:id="3">
    <w:p w14:paraId="15249FA9" w14:textId="77777777" w:rsidR="00B5529F" w:rsidRPr="002C42F9" w:rsidRDefault="00B5529F" w:rsidP="009B1859">
      <w:pPr>
        <w:pStyle w:val="Textonotapie"/>
        <w:rPr>
          <w:lang w:val="es-ES_tradnl"/>
        </w:rPr>
      </w:pPr>
      <w:r>
        <w:rPr>
          <w:rStyle w:val="Refdenotaalpie"/>
        </w:rPr>
        <w:footnoteRef/>
      </w:r>
      <w:r>
        <w:t xml:space="preserve"> </w:t>
      </w:r>
      <w:r w:rsidRPr="002C7F62">
        <w:t xml:space="preserve">Archivo electrónico identificado con el certificado </w:t>
      </w:r>
      <w:r w:rsidRPr="002C42F9">
        <w:rPr>
          <w:szCs w:val="20"/>
          <w:lang w:val="es-ES_tradnl"/>
        </w:rPr>
        <w:t>F0B3E926F6A6BE77 C7FCE1BF7F767910 5F41990F3287CD03 B9AE052561FA2318</w:t>
      </w:r>
      <w:r>
        <w:rPr>
          <w:lang w:val="es-ES_tradnl"/>
        </w:rPr>
        <w:t xml:space="preserve"> </w:t>
      </w:r>
      <w:r w:rsidRPr="002C7F62">
        <w:t>en el expediente digital.</w:t>
      </w:r>
    </w:p>
  </w:footnote>
  <w:footnote w:id="4">
    <w:p w14:paraId="302C0F75" w14:textId="62EFC811" w:rsidR="00B5529F" w:rsidRPr="0028795E" w:rsidRDefault="00B5529F" w:rsidP="009B1859">
      <w:pPr>
        <w:pStyle w:val="Textonotapie"/>
        <w:rPr>
          <w:lang w:val="es-ES_tradnl"/>
        </w:rPr>
      </w:pPr>
      <w:r>
        <w:rPr>
          <w:rStyle w:val="Refdenotaalpie"/>
        </w:rPr>
        <w:footnoteRef/>
      </w:r>
      <w:r>
        <w:t xml:space="preserve"> </w:t>
      </w:r>
      <w:r w:rsidRPr="002C7F62">
        <w:t xml:space="preserve">Archivo electrónico identificado con el certificado </w:t>
      </w:r>
      <w:r w:rsidRPr="0028795E">
        <w:rPr>
          <w:szCs w:val="20"/>
          <w:lang w:val="es-ES_tradnl"/>
        </w:rPr>
        <w:t>08EC9F639D748577 2B60AE20E71BFCFC D881C16BCD7BF4B1 3CCC3D0D81765B35</w:t>
      </w:r>
      <w:r>
        <w:rPr>
          <w:lang w:val="es-ES_tradnl"/>
        </w:rPr>
        <w:t xml:space="preserve"> </w:t>
      </w:r>
      <w:r w:rsidRPr="002C7F62">
        <w:t>en el expediente digital.</w:t>
      </w:r>
    </w:p>
  </w:footnote>
  <w:footnote w:id="5">
    <w:p w14:paraId="28C4CDD9" w14:textId="75525806" w:rsidR="00B5529F" w:rsidRPr="007B05F3" w:rsidRDefault="00B5529F" w:rsidP="009B1859">
      <w:pPr>
        <w:pStyle w:val="Textonotapie"/>
        <w:rPr>
          <w:lang w:val="es-ES_tradnl"/>
        </w:rPr>
      </w:pPr>
      <w:r>
        <w:rPr>
          <w:rStyle w:val="Refdenotaalpie"/>
        </w:rPr>
        <w:footnoteRef/>
      </w:r>
      <w:r>
        <w:t xml:space="preserve"> </w:t>
      </w:r>
      <w:r w:rsidRPr="002C7F62">
        <w:t xml:space="preserve">Archivo electrónico identificado con el certificado </w:t>
      </w:r>
      <w:r w:rsidRPr="007B05F3">
        <w:rPr>
          <w:lang w:val="es-ES_tradnl"/>
        </w:rPr>
        <w:t>1779C3A6F75362A1 109482D75F5F22E1 902F15D7482300FF 138E4B76A282EC2A</w:t>
      </w:r>
      <w:r>
        <w:rPr>
          <w:lang w:val="es-ES_tradnl"/>
        </w:rPr>
        <w:t xml:space="preserve"> </w:t>
      </w:r>
      <w:r w:rsidRPr="002C7F62">
        <w:t>en el expediente digital.</w:t>
      </w:r>
    </w:p>
  </w:footnote>
  <w:footnote w:id="6">
    <w:p w14:paraId="284EBA2B" w14:textId="24522CD3" w:rsidR="00B5529F" w:rsidRPr="00487615" w:rsidRDefault="00B5529F" w:rsidP="009B1859">
      <w:pPr>
        <w:pStyle w:val="Textonotapie"/>
        <w:rPr>
          <w:szCs w:val="20"/>
          <w:lang w:val="es-ES_tradnl"/>
        </w:rPr>
      </w:pPr>
      <w:r>
        <w:rPr>
          <w:rStyle w:val="Refdenotaalpie"/>
        </w:rPr>
        <w:footnoteRef/>
      </w:r>
      <w:r>
        <w:t xml:space="preserve"> </w:t>
      </w:r>
      <w:r w:rsidRPr="002C7F62">
        <w:t>Archivo electrónico identificado con el certificado</w:t>
      </w:r>
      <w:r>
        <w:t xml:space="preserve"> </w:t>
      </w:r>
      <w:r w:rsidRPr="00487615">
        <w:rPr>
          <w:szCs w:val="20"/>
          <w:lang w:val="es-ES_tradnl"/>
        </w:rPr>
        <w:t>5D5A2ED7463F6C07 C06679CE732F75D2 F20F457830BDECE6 D97778B2147ADF27</w:t>
      </w:r>
      <w:r>
        <w:rPr>
          <w:lang w:val="es-ES_tradnl"/>
        </w:rPr>
        <w:t xml:space="preserve"> </w:t>
      </w:r>
      <w:r w:rsidRPr="002C7F62">
        <w:t>en el expediente digital.</w:t>
      </w:r>
    </w:p>
    <w:p w14:paraId="57DB01A6" w14:textId="7D557E1E" w:rsidR="00B5529F" w:rsidRPr="00487615" w:rsidRDefault="00B5529F" w:rsidP="009B1859">
      <w:pPr>
        <w:pStyle w:val="Textonotapie"/>
      </w:pPr>
    </w:p>
  </w:footnote>
  <w:footnote w:id="7">
    <w:p w14:paraId="0EE0687B" w14:textId="560712F4" w:rsidR="00B5529F" w:rsidRPr="00493DBD" w:rsidRDefault="00B5529F" w:rsidP="009B1859">
      <w:pPr>
        <w:pStyle w:val="Textonotapie"/>
        <w:rPr>
          <w:lang w:val="es-ES_tradnl"/>
        </w:rPr>
      </w:pPr>
      <w:r>
        <w:rPr>
          <w:rStyle w:val="Refdenotaalpie"/>
        </w:rPr>
        <w:footnoteRef/>
      </w:r>
      <w:r>
        <w:t xml:space="preserve"> </w:t>
      </w:r>
      <w:r w:rsidRPr="002C7F62">
        <w:t>Archivo electrónico identificado con el certificado</w:t>
      </w:r>
      <w:r>
        <w:t xml:space="preserve"> </w:t>
      </w:r>
      <w:r w:rsidRPr="00493DBD">
        <w:rPr>
          <w:szCs w:val="20"/>
          <w:lang w:val="es-ES_tradnl"/>
        </w:rPr>
        <w:t>F7098341F06BA36F F42FAF7181B5DE07 DE4E9C567DBBC288 95F33397E9147800</w:t>
      </w:r>
      <w:r>
        <w:rPr>
          <w:lang w:val="es-ES_tradnl"/>
        </w:rPr>
        <w:t xml:space="preserve"> </w:t>
      </w:r>
      <w:r w:rsidRPr="002C7F62">
        <w:t>en el expediente digital.</w:t>
      </w:r>
    </w:p>
  </w:footnote>
  <w:footnote w:id="8">
    <w:p w14:paraId="66BE7F67" w14:textId="5DE91FFF" w:rsidR="00B5529F" w:rsidRPr="00493DBD" w:rsidRDefault="00B5529F" w:rsidP="009B1859">
      <w:pPr>
        <w:pStyle w:val="Textonotapie"/>
      </w:pPr>
      <w:r w:rsidRPr="00493DBD">
        <w:rPr>
          <w:rStyle w:val="Refdenotaalpie"/>
        </w:rPr>
        <w:footnoteRef/>
      </w:r>
      <w:r w:rsidRPr="00493DBD">
        <w:t xml:space="preserve"> Artículo 25 del Acuerdo 080 de 2019.</w:t>
      </w:r>
    </w:p>
  </w:footnote>
  <w:footnote w:id="9">
    <w:p w14:paraId="233EA0BE" w14:textId="4065618C" w:rsidR="00B5529F" w:rsidRPr="002C7F62" w:rsidRDefault="00B5529F" w:rsidP="009B1859">
      <w:pPr>
        <w:pStyle w:val="Textonotapie"/>
        <w:rPr>
          <w:b/>
        </w:rPr>
      </w:pPr>
      <w:r w:rsidRPr="002C7F62">
        <w:rPr>
          <w:rStyle w:val="Refdenotaalpie"/>
          <w:color w:val="000000" w:themeColor="text1"/>
        </w:rPr>
        <w:footnoteRef/>
      </w:r>
      <w:r w:rsidRPr="002C7F62">
        <w:t xml:space="preserve"> Archivo electrónico identificado con el certificado </w:t>
      </w:r>
      <w:r w:rsidRPr="00B00D4C">
        <w:t>BA9B022DC3DC83F2 1EBA9A5D2D95BD90 0B3E0837B68E47D6 B12204687A5AC7DE</w:t>
      </w:r>
      <w:r w:rsidRPr="002C7F62">
        <w:t xml:space="preserve"> en el expediente digital. </w:t>
      </w:r>
    </w:p>
  </w:footnote>
  <w:footnote w:id="10">
    <w:p w14:paraId="00D9B92C" w14:textId="60CA6F69" w:rsidR="00B5529F" w:rsidRPr="00834F55" w:rsidRDefault="00B5529F" w:rsidP="009B1859">
      <w:pPr>
        <w:pStyle w:val="Textonotapie"/>
      </w:pPr>
      <w:r>
        <w:rPr>
          <w:rStyle w:val="Refdenotaalpie"/>
        </w:rPr>
        <w:footnoteRef/>
      </w:r>
      <w:r>
        <w:t xml:space="preserve"> </w:t>
      </w:r>
      <w:r w:rsidRPr="002C7F62">
        <w:t xml:space="preserve">Archivo electrónico identificado con el certificado </w:t>
      </w:r>
      <w:r w:rsidRPr="0046688C">
        <w:t>F63344B39BE1A9B5 3BC9896606D8C21E 5929DABCCFF2320A 927E66041AD97D8C</w:t>
      </w:r>
      <w:r w:rsidRPr="002C7F62">
        <w:t xml:space="preserve"> en el expediente digital</w:t>
      </w:r>
      <w:r>
        <w:t>.</w:t>
      </w:r>
    </w:p>
  </w:footnote>
  <w:footnote w:id="11">
    <w:p w14:paraId="6F76BFC6" w14:textId="4B5E45C2" w:rsidR="00B5529F" w:rsidRPr="00834F55" w:rsidRDefault="00B5529F" w:rsidP="009B1859">
      <w:pPr>
        <w:pStyle w:val="Textonotapie"/>
      </w:pPr>
      <w:r>
        <w:rPr>
          <w:rStyle w:val="Refdenotaalpie"/>
        </w:rPr>
        <w:footnoteRef/>
      </w:r>
      <w:r>
        <w:t xml:space="preserve"> </w:t>
      </w:r>
      <w:r w:rsidRPr="002C7F62">
        <w:t xml:space="preserve">Archivo electrónico identificado con el certificado </w:t>
      </w:r>
      <w:r w:rsidRPr="0046688C">
        <w:t>B129582A0F53E7D6 1AA402177DFB3D09 BA8EAB36BEED87D0 CEEAC808E0BED64E</w:t>
      </w:r>
      <w:r w:rsidRPr="002C7F62">
        <w:t xml:space="preserve"> en el expediente digital</w:t>
      </w:r>
      <w:r>
        <w:t>.</w:t>
      </w:r>
    </w:p>
  </w:footnote>
  <w:footnote w:id="12">
    <w:p w14:paraId="75191495" w14:textId="6F515077" w:rsidR="00B5529F" w:rsidRPr="00834F55" w:rsidRDefault="00B5529F" w:rsidP="009B1859">
      <w:pPr>
        <w:pStyle w:val="Textonotapie"/>
      </w:pPr>
      <w:r>
        <w:rPr>
          <w:rStyle w:val="Refdenotaalpie"/>
        </w:rPr>
        <w:footnoteRef/>
      </w:r>
      <w:r>
        <w:t xml:space="preserve"> </w:t>
      </w:r>
      <w:r w:rsidRPr="002C7F62">
        <w:t xml:space="preserve">Archivo electrónico identificado con el certificado </w:t>
      </w:r>
      <w:r w:rsidRPr="0046688C">
        <w:t>5B18EB723BD68C59 7B209371198F03E5 66182F1D02643138 27815C1DD9311AE6</w:t>
      </w:r>
      <w:r w:rsidRPr="002C7F62">
        <w:t xml:space="preserve"> en el expediente digital</w:t>
      </w:r>
      <w:r>
        <w:t>.</w:t>
      </w:r>
    </w:p>
  </w:footnote>
  <w:footnote w:id="13">
    <w:p w14:paraId="33408236" w14:textId="48083B7F" w:rsidR="00B5529F" w:rsidRPr="00834F55" w:rsidRDefault="00B5529F" w:rsidP="009B1859">
      <w:pPr>
        <w:pStyle w:val="Textonotapie"/>
      </w:pPr>
      <w:r>
        <w:rPr>
          <w:rStyle w:val="Refdenotaalpie"/>
        </w:rPr>
        <w:footnoteRef/>
      </w:r>
      <w:r>
        <w:t xml:space="preserve"> </w:t>
      </w:r>
      <w:r w:rsidRPr="002C7F62">
        <w:t xml:space="preserve">Archivo electrónico identificado con el certificado </w:t>
      </w:r>
      <w:r w:rsidRPr="0046688C">
        <w:t>2E844BD7BD95B9F6 63E39B869B938A2A 3B3755472159A90F 36CAB8F54EA31B4E</w:t>
      </w:r>
      <w:r w:rsidRPr="002C7F62">
        <w:t xml:space="preserve"> en el expediente digital</w:t>
      </w:r>
      <w:r>
        <w:t>.</w:t>
      </w:r>
    </w:p>
  </w:footnote>
  <w:footnote w:id="14">
    <w:p w14:paraId="74056F9F" w14:textId="6412B7FE" w:rsidR="008263BB" w:rsidRPr="00CE2552" w:rsidRDefault="008263BB" w:rsidP="009B1859">
      <w:pPr>
        <w:pStyle w:val="Textonotapie"/>
        <w:rPr>
          <w:lang w:val="es-ES_tradnl"/>
        </w:rPr>
      </w:pPr>
      <w:r>
        <w:rPr>
          <w:rStyle w:val="Refdenotaalpie"/>
        </w:rPr>
        <w:footnoteRef/>
      </w:r>
      <w:r>
        <w:t xml:space="preserve"> </w:t>
      </w:r>
      <w:r w:rsidRPr="002C7F62">
        <w:t xml:space="preserve">Archivo electrónico identificado con el certificado </w:t>
      </w:r>
      <w:r w:rsidR="00CE2552" w:rsidRPr="00CE2552">
        <w:rPr>
          <w:lang w:val="es-ES_tradnl"/>
        </w:rPr>
        <w:t>029D2406B7322FC3 91432BF302EE30D7 62B7EEE1427F5528 C65AB38E1D66E9A4</w:t>
      </w:r>
      <w:r w:rsidRPr="002C7F62">
        <w:t xml:space="preserve"> en el expediente digital</w:t>
      </w:r>
      <w:r>
        <w:t>.</w:t>
      </w:r>
    </w:p>
  </w:footnote>
  <w:footnote w:id="15">
    <w:p w14:paraId="4E44FDAD" w14:textId="1CBA8589" w:rsidR="00B5529F" w:rsidRPr="00834F55" w:rsidRDefault="00B5529F" w:rsidP="009B1859">
      <w:pPr>
        <w:pStyle w:val="Textonotapie"/>
      </w:pPr>
      <w:r>
        <w:rPr>
          <w:rStyle w:val="Refdenotaalpie"/>
        </w:rPr>
        <w:footnoteRef/>
      </w:r>
      <w:r>
        <w:t xml:space="preserve"> </w:t>
      </w:r>
      <w:r w:rsidRPr="002C7F62">
        <w:t xml:space="preserve">Archivo electrónico identificado con el certificado </w:t>
      </w:r>
      <w:r w:rsidRPr="0046688C">
        <w:t>6C4EC10B6C615EDA 4BD3B76C4D57185B 60937C7DE46CEAC5 67D9126477C50337</w:t>
      </w:r>
      <w:r w:rsidRPr="002C7F62">
        <w:t xml:space="preserve"> en el expediente digital</w:t>
      </w:r>
      <w:r>
        <w:t>.</w:t>
      </w:r>
    </w:p>
  </w:footnote>
  <w:footnote w:id="16">
    <w:p w14:paraId="31BD331F" w14:textId="03005540" w:rsidR="00374DA5" w:rsidRDefault="00374DA5">
      <w:pPr>
        <w:pStyle w:val="Textonotapie"/>
      </w:pPr>
      <w:r>
        <w:rPr>
          <w:rStyle w:val="Refdenotaalpie"/>
        </w:rPr>
        <w:footnoteRef/>
      </w:r>
      <w:r>
        <w:t xml:space="preserve"> </w:t>
      </w:r>
      <w:r w:rsidRPr="002C7F62">
        <w:t xml:space="preserve">Archivo electrónico identificado con el certificado </w:t>
      </w:r>
      <w:r w:rsidRPr="0046688C">
        <w:t>6C4EC10B6C615EDA 4BD3B76C4D57185B 60937C7DE46CEAC5 67D9126477C50337</w:t>
      </w:r>
      <w:r w:rsidRPr="002C7F62">
        <w:t xml:space="preserve"> en el expediente digital</w:t>
      </w:r>
      <w:r>
        <w:t>.</w:t>
      </w:r>
    </w:p>
  </w:footnote>
  <w:footnote w:id="17">
    <w:p w14:paraId="5B910816" w14:textId="77777777" w:rsidR="00B5529F" w:rsidRPr="00763A81" w:rsidRDefault="00B5529F" w:rsidP="00B04EDB">
      <w:r w:rsidRPr="00FE2726">
        <w:rPr>
          <w:vertAlign w:val="superscript"/>
        </w:rPr>
        <w:footnoteRef/>
      </w:r>
      <w:r w:rsidRPr="00763A81">
        <w:t xml:space="preserve"> </w:t>
      </w:r>
      <w:r w:rsidRPr="00763A81">
        <w:rPr>
          <w:rFonts w:eastAsia="Arial"/>
          <w:bCs/>
        </w:rPr>
        <w:t>Cfr. Corte Constitucional C-590 de 2005.</w:t>
      </w:r>
    </w:p>
  </w:footnote>
  <w:footnote w:id="18">
    <w:p w14:paraId="65F02103" w14:textId="52353E3C" w:rsidR="00B5529F" w:rsidRPr="00763A81" w:rsidRDefault="00B5529F" w:rsidP="00B04EDB">
      <w:r w:rsidRPr="00FE2726">
        <w:rPr>
          <w:vertAlign w:val="superscript"/>
        </w:rPr>
        <w:footnoteRef/>
      </w:r>
      <w:r w:rsidRPr="00763A81">
        <w:t xml:space="preserve"> </w:t>
      </w:r>
      <w:r w:rsidRPr="00763A81">
        <w:rPr>
          <w:rFonts w:eastAsia="Arial"/>
        </w:rPr>
        <w:t>Antes que todo es necesario (i) verifi</w:t>
      </w:r>
      <w:r w:rsidR="00DC2A5A">
        <w:rPr>
          <w:rFonts w:eastAsia="Arial"/>
        </w:rPr>
        <w:t xml:space="preserve">car la legitimación en la causa, </w:t>
      </w:r>
      <w:r w:rsidRPr="00763A81">
        <w:rPr>
          <w:rFonts w:eastAsia="Arial"/>
        </w:rPr>
        <w:t>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w:t>
      </w:r>
    </w:p>
  </w:footnote>
  <w:footnote w:id="19">
    <w:p w14:paraId="482F54F1" w14:textId="77777777" w:rsidR="00B5529F" w:rsidRPr="00763A81" w:rsidRDefault="00B5529F" w:rsidP="009B1859">
      <w:pPr>
        <w:pStyle w:val="Textonotapie"/>
        <w:rPr>
          <w:b/>
        </w:rPr>
      </w:pPr>
      <w:r w:rsidRPr="00763A81">
        <w:rPr>
          <w:rStyle w:val="Refdenotaalpie"/>
        </w:rPr>
        <w:footnoteRef/>
      </w:r>
      <w:r w:rsidRPr="00763A81">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20">
    <w:p w14:paraId="0574761B" w14:textId="65A3DD91" w:rsidR="00B974AC" w:rsidRPr="00DD4E51" w:rsidRDefault="00B974AC" w:rsidP="009B1859">
      <w:pPr>
        <w:pStyle w:val="Textonotapie"/>
      </w:pPr>
      <w:r>
        <w:rPr>
          <w:rStyle w:val="Refdenotaalpie"/>
        </w:rPr>
        <w:footnoteRef/>
      </w:r>
      <w:r>
        <w:t xml:space="preserve"> </w:t>
      </w:r>
      <w:r w:rsidR="00DC604F">
        <w:t>El</w:t>
      </w:r>
      <w:r w:rsidRPr="00E70987">
        <w:t xml:space="preserve"> requisito se verifica </w:t>
      </w:r>
      <w:r>
        <w:t>e</w:t>
      </w:r>
      <w:r w:rsidRPr="00E70987">
        <w:t xml:space="preserve">n relación </w:t>
      </w:r>
      <w:r>
        <w:t>con</w:t>
      </w:r>
      <w:r w:rsidRPr="00E70987">
        <w:t xml:space="preserve"> este derecho porque solo su vulneración </w:t>
      </w:r>
      <w:r w:rsidRPr="00E70987">
        <w:rPr>
          <w:rFonts w:eastAsia="Times New Roman"/>
          <w:lang w:val="es-ES_tradnl" w:eastAsia="es-ES"/>
        </w:rPr>
        <w:t>habilita el control constitucional concreto sobre providencias judiciales.</w:t>
      </w:r>
      <w:r>
        <w:rPr>
          <w:rFonts w:eastAsia="Times New Roman"/>
          <w:lang w:val="es-ES_tradnl" w:eastAsia="es-ES"/>
        </w:rPr>
        <w:t xml:space="preserve"> </w:t>
      </w:r>
      <w:r w:rsidRPr="00D83286">
        <w:t xml:space="preserve">Cfr. </w:t>
      </w:r>
      <w:r w:rsidRPr="00D83286">
        <w:rPr>
          <w:lang w:val="es-ES"/>
        </w:rPr>
        <w:t>sentencia C-590 de 2005</w:t>
      </w:r>
      <w:r>
        <w:rPr>
          <w:lang w:val="es-ES"/>
        </w:rPr>
        <w:t>.</w:t>
      </w:r>
    </w:p>
  </w:footnote>
  <w:footnote w:id="21">
    <w:p w14:paraId="1A519410" w14:textId="672B6878" w:rsidR="009B1859" w:rsidRPr="009B1859" w:rsidRDefault="009B1859" w:rsidP="009B1859">
      <w:pPr>
        <w:pStyle w:val="Textonotapie"/>
      </w:pPr>
      <w:r w:rsidRPr="009B1859">
        <w:rPr>
          <w:rStyle w:val="Refdenotaalpie"/>
          <w:b/>
        </w:rPr>
        <w:footnoteRef/>
      </w:r>
      <w:r w:rsidRPr="009B1859">
        <w:t xml:space="preserve"> Cfr. </w:t>
      </w:r>
      <w:r w:rsidRPr="009B1859">
        <w:t xml:space="preserve">Corte Constitucional sentencia </w:t>
      </w:r>
      <w:r w:rsidRPr="009B1859">
        <w:t xml:space="preserve">C-1178 de 2001 </w:t>
      </w:r>
      <w:r w:rsidR="004840DE" w:rsidRPr="004840DE">
        <w:t>“</w:t>
      </w:r>
      <w:r w:rsidRPr="004840DE">
        <w:rPr>
          <w:bdr w:val="none" w:sz="0" w:space="0" w:color="auto" w:frame="1"/>
        </w:rPr>
        <w:t>C</w:t>
      </w:r>
      <w:r w:rsidRPr="009B1859">
        <w:rPr>
          <w:bdr w:val="none" w:sz="0" w:space="0" w:color="auto" w:frame="1"/>
        </w:rPr>
        <w:t>uando una de las partes, o de los intervinientes involucrados en un proceso judicial, dispone que determinado profesional del derecho habrá de representarlo en la litis no traslada al elegido la titularidad de su derecho de defensa, de por si inalienable e irrenunciable, sino que, simplemente lo autoriza para ejercer tal derecho a su nombre</w:t>
      </w:r>
      <w:r w:rsidRPr="009B1859">
        <w:t>.”</w:t>
      </w:r>
    </w:p>
  </w:footnote>
  <w:footnote w:id="22">
    <w:p w14:paraId="64B3B6C0" w14:textId="7285DA93" w:rsidR="00B5529F" w:rsidRPr="00DD2C03" w:rsidRDefault="00B5529F" w:rsidP="009B1859">
      <w:pPr>
        <w:pStyle w:val="Textonotapie"/>
        <w:rPr>
          <w:b/>
          <w:lang w:val="es-ES"/>
        </w:rPr>
      </w:pPr>
      <w:r w:rsidRPr="00DD2C03">
        <w:rPr>
          <w:rStyle w:val="Refdenotaalpie"/>
        </w:rPr>
        <w:footnoteRef/>
      </w:r>
      <w:r w:rsidRPr="00DD2C03">
        <w:t xml:space="preserve"> </w:t>
      </w:r>
      <w:r>
        <w:t xml:space="preserve">Cfr. </w:t>
      </w:r>
      <w:r w:rsidRPr="00DD2C03">
        <w:rPr>
          <w:lang w:val="es-ES"/>
        </w:rPr>
        <w:t>Corte Constitucional SU-055 de 2018.</w:t>
      </w:r>
    </w:p>
  </w:footnote>
  <w:footnote w:id="23">
    <w:p w14:paraId="308C78D4" w14:textId="0D30FE37" w:rsidR="00B5529F" w:rsidRPr="00DD2C03" w:rsidRDefault="00B5529F" w:rsidP="009B1859">
      <w:pPr>
        <w:pStyle w:val="Textonotapie"/>
        <w:rPr>
          <w:b/>
          <w:lang w:val="es-ES"/>
        </w:rPr>
      </w:pPr>
      <w:r w:rsidRPr="00DD2C03">
        <w:rPr>
          <w:rStyle w:val="Refdenotaalpie"/>
        </w:rPr>
        <w:footnoteRef/>
      </w:r>
      <w:r w:rsidRPr="00DD2C03">
        <w:t xml:space="preserve"> </w:t>
      </w:r>
      <w:r>
        <w:t xml:space="preserve">Cfr. </w:t>
      </w:r>
      <w:r w:rsidRPr="00DD2C03">
        <w:t xml:space="preserve">Consejo de Estado, Sala Plena, radicación: </w:t>
      </w:r>
      <w:r w:rsidRPr="00DD2C03">
        <w:rPr>
          <w:lang w:val="es-ES" w:eastAsia="es-ES"/>
        </w:rPr>
        <w:t>11001-03-15-000-2012-02201-01(IJ) del 5 de agosto de 2014.</w:t>
      </w:r>
    </w:p>
  </w:footnote>
  <w:footnote w:id="24">
    <w:p w14:paraId="0C1FA036" w14:textId="4A216A4F" w:rsidR="000E3953" w:rsidRPr="000E3953" w:rsidRDefault="000E3953" w:rsidP="009B1859">
      <w:pPr>
        <w:pStyle w:val="Textonotapie"/>
      </w:pPr>
      <w:r>
        <w:rPr>
          <w:rStyle w:val="Refdenotaalpie"/>
        </w:rPr>
        <w:footnoteRef/>
      </w:r>
      <w:r>
        <w:t xml:space="preserve"> </w:t>
      </w:r>
      <w:r w:rsidR="009F1024" w:rsidRPr="002C7F62">
        <w:t xml:space="preserve">Archivo electrónico identificado con el certificado </w:t>
      </w:r>
      <w:r w:rsidR="009F1024" w:rsidRPr="002C42F9">
        <w:rPr>
          <w:szCs w:val="20"/>
          <w:lang w:val="es-ES_tradnl"/>
        </w:rPr>
        <w:t>F0B3E926F6A6BE77 C7FCE1BF7F767910 5F41990F3287CD03 B9AE052561FA2318</w:t>
      </w:r>
      <w:r w:rsidR="009F1024">
        <w:rPr>
          <w:lang w:val="es-ES_tradnl"/>
        </w:rPr>
        <w:t xml:space="preserve"> </w:t>
      </w:r>
      <w:r w:rsidR="009F1024" w:rsidRPr="002C7F62">
        <w:t>en el expediente digital.</w:t>
      </w:r>
    </w:p>
  </w:footnote>
  <w:footnote w:id="25">
    <w:p w14:paraId="140ADA8C" w14:textId="0CEF7DBC" w:rsidR="009F1024" w:rsidRPr="009F1024" w:rsidRDefault="009F1024" w:rsidP="009B1859">
      <w:pPr>
        <w:pStyle w:val="Textonotapie"/>
      </w:pPr>
      <w:r>
        <w:rPr>
          <w:rStyle w:val="Refdenotaalpie"/>
        </w:rPr>
        <w:footnoteRef/>
      </w:r>
      <w:r>
        <w:t xml:space="preserve"> </w:t>
      </w:r>
      <w:r w:rsidRPr="002C7F62">
        <w:t>Archivo electrónico identificado con el certificado</w:t>
      </w:r>
      <w:r>
        <w:t xml:space="preserve"> </w:t>
      </w:r>
      <w:r w:rsidRPr="00487615">
        <w:rPr>
          <w:szCs w:val="20"/>
          <w:lang w:val="es-ES_tradnl"/>
        </w:rPr>
        <w:t>5D5A2ED7463F6C07 C06679CE732F75D2 F20F457830BDECE6 D97778B2147ADF27</w:t>
      </w:r>
      <w:r>
        <w:rPr>
          <w:lang w:val="es-ES_tradnl"/>
        </w:rPr>
        <w:t xml:space="preserve"> </w:t>
      </w:r>
      <w:r w:rsidRPr="002C7F62">
        <w:t>en el expediente digital.</w:t>
      </w:r>
    </w:p>
  </w:footnote>
  <w:footnote w:id="26">
    <w:p w14:paraId="0763087F" w14:textId="096B8420" w:rsidR="00C23213" w:rsidRPr="0010467B" w:rsidRDefault="00C23213" w:rsidP="0010467B">
      <w:pPr>
        <w:rPr>
          <w:rFonts w:eastAsia="Times New Roman"/>
        </w:rPr>
      </w:pPr>
      <w:r w:rsidRPr="00BE6ED0">
        <w:rPr>
          <w:rStyle w:val="Refdenotaalpie"/>
          <w:color w:val="000000" w:themeColor="text1"/>
        </w:rPr>
        <w:footnoteRef/>
      </w:r>
      <w:r w:rsidRPr="00BE6ED0">
        <w:rPr>
          <w:color w:val="000000" w:themeColor="text1"/>
        </w:rPr>
        <w:t xml:space="preserve"> Sobre este lapso de seis meses, ha habido una continua comunicación concordante entre la jurisprudencia de la Corte Constitucional y del Consejo de Estado, quienes, como tribunales de cierre en sus jurisdicciones lo han definido como razonable. Por ejemplo, en la</w:t>
      </w:r>
      <w:r w:rsidR="0010467B">
        <w:rPr>
          <w:color w:val="000000" w:themeColor="text1"/>
        </w:rPr>
        <w:t>s</w:t>
      </w:r>
      <w:r w:rsidRPr="00BE6ED0">
        <w:rPr>
          <w:color w:val="000000" w:themeColor="text1"/>
        </w:rPr>
        <w:t xml:space="preserve"> sentencia</w:t>
      </w:r>
      <w:r w:rsidR="0010467B">
        <w:rPr>
          <w:color w:val="000000" w:themeColor="text1"/>
        </w:rPr>
        <w:t>s</w:t>
      </w:r>
      <w:r w:rsidRPr="00BE6ED0">
        <w:rPr>
          <w:color w:val="000000" w:themeColor="text1"/>
        </w:rPr>
        <w:t xml:space="preserve"> del Tribunal Constitucional </w:t>
      </w:r>
      <w:r w:rsidR="0010467B">
        <w:rPr>
          <w:color w:val="000000" w:themeColor="text1"/>
        </w:rPr>
        <w:t>T-269 de 2018, T-031 de 2016 y</w:t>
      </w:r>
      <w:r w:rsidR="0010467B" w:rsidRPr="00CF7178">
        <w:rPr>
          <w:color w:val="000000" w:themeColor="text1"/>
        </w:rPr>
        <w:t xml:space="preserve"> T-079 de 2018</w:t>
      </w:r>
      <w:r w:rsidRPr="00BE6ED0">
        <w:rPr>
          <w:color w:val="000000" w:themeColor="text1"/>
        </w:rPr>
        <w:t xml:space="preserve">, se alude a este criterio </w:t>
      </w:r>
      <w:r w:rsidR="001128B4">
        <w:rPr>
          <w:color w:val="000000" w:themeColor="text1"/>
        </w:rPr>
        <w:t xml:space="preserve">y asimismo </w:t>
      </w:r>
      <w:r w:rsidR="00660238">
        <w:rPr>
          <w:color w:val="000000" w:themeColor="text1"/>
        </w:rPr>
        <w:t>ocurre en la</w:t>
      </w:r>
      <w:r w:rsidRPr="00BE6ED0">
        <w:rPr>
          <w:color w:val="000000" w:themeColor="text1"/>
        </w:rPr>
        <w:t xml:space="preserve"> sentencia</w:t>
      </w:r>
      <w:r w:rsidR="00660238">
        <w:rPr>
          <w:color w:val="000000" w:themeColor="text1"/>
        </w:rPr>
        <w:t xml:space="preserve"> de unificación</w:t>
      </w:r>
      <w:r w:rsidRPr="00BE6ED0">
        <w:rPr>
          <w:color w:val="000000" w:themeColor="text1"/>
        </w:rPr>
        <w:t xml:space="preserve"> proferida por la Sala Plena de esta Corporación, del 5 de agosto de 2014,  en la que, explícitamente,  “(…) la Sala Plena, </w:t>
      </w:r>
      <w:r w:rsidRPr="00BE6ED0">
        <w:rPr>
          <w:color w:val="000000" w:themeColor="text1"/>
          <w:u w:val="single"/>
        </w:rPr>
        <w:t>como regla general</w:t>
      </w:r>
      <w:r w:rsidRPr="00BE6ED0">
        <w:rPr>
          <w:color w:val="000000" w:themeColor="text1"/>
        </w:rPr>
        <w:t xml:space="preserve">, acoge un plazo de seis meses, contados a partir de la notificación o ejecutoria de la sentencia, según el caso, para determinar si la acción de tutela contra providencias judiciales se ejerce oportunamente” (Radicado: 11001-03-15-000-2012-02201-01). </w:t>
      </w:r>
    </w:p>
    <w:p w14:paraId="7D499CB7" w14:textId="77777777" w:rsidR="00C23213" w:rsidRPr="00E614E6" w:rsidRDefault="00C23213" w:rsidP="009B1859">
      <w:pPr>
        <w:pStyle w:val="Textonotapie"/>
      </w:pPr>
      <w:r w:rsidRPr="00BE6ED0">
        <w:t>Lo anterior, en todo caso, debe tomarse de manera flexible a partir de las condiciones del caso concreto, pues, como lo deja claramente dicho la Corte Constitucional en la ya mencionada sentencia T-246 de 2015, confirmando las sentencias T-328 de 2010, T-860 de 2011, T-217 de 2013 y T-505 del mismo año, “el requisito de la inmediatez deberá ser abordado desde la discrecionalidad y autonomía judicial, con el fin de que cada juez evalúe si la solicitud fue presentada dentro de un plazo razonable y proporcional, toda vez que, </w:t>
      </w:r>
      <w:r w:rsidRPr="00BE6ED0">
        <w:rPr>
          <w:iCs/>
        </w:rPr>
        <w:t>“(…) en algunos casos, seis (6) meses podrían resultar suficientes para declarar la tutela improcedente; pero, en otros eventos, un término de 2 años se podría considerar razonable para ejercer la acción de tutela, ya que todo dependerá de las particularidades del caso”</w:t>
      </w:r>
      <w:r w:rsidRPr="00BE6ED0">
        <w:t>.</w:t>
      </w:r>
    </w:p>
  </w:footnote>
  <w:footnote w:id="27">
    <w:p w14:paraId="235192AB" w14:textId="77777777" w:rsidR="00E1395E" w:rsidRDefault="00E1395E" w:rsidP="009B1859">
      <w:pPr>
        <w:pStyle w:val="Textonotapie"/>
      </w:pPr>
      <w:r>
        <w:rPr>
          <w:rStyle w:val="Refdenotaalpie"/>
        </w:rPr>
        <w:footnoteRef/>
      </w:r>
      <w:r>
        <w:t xml:space="preserve"> </w:t>
      </w:r>
      <w:r w:rsidRPr="00EE3011">
        <w:t>Corte Constitucional. Sentencia T-246 de 2015: “la Corte ha considerado en los asuntos referentes a acciones de tutela contra providencias judiciales, que el análisis de inmediatez debe ser más estricto, con el fin de no trastocar principios de seguridad jurídica y cosa juzgada, pues «la firmeza de las decisiones judiciales no puede mantenerse en la incertidumbre indefinidamente». En otras palabras, ser laxo con la exigencia de inmediatez en estos casos significaría que «la firmeza de las decisiones judiciales estaría siempre a la espera de la controversia constitucional que en cualquier momento, sin límite de tiempo”.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B5529F" w:rsidRPr="00A15ACE" w:rsidRDefault="00B5529F">
    <w:pPr>
      <w:pStyle w:val="Encabezado"/>
    </w:pPr>
    <w:r>
      <w:rPr>
        <w:noProof/>
        <w:lang w:val="es-ES_tradnl"/>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B5529F" w:rsidRPr="00A15ACE" w:rsidRDefault="00B5529F">
    <w:pPr>
      <w:pStyle w:val="Encabezado"/>
    </w:pPr>
  </w:p>
  <w:p w14:paraId="4B90DC7A" w14:textId="77777777" w:rsidR="00B5529F" w:rsidRPr="00A15ACE" w:rsidRDefault="00B5529F">
    <w:pPr>
      <w:pStyle w:val="Encabezado"/>
    </w:pPr>
    <w:r w:rsidRPr="0070023E">
      <w:rPr>
        <w:noProof/>
        <w:sz w:val="20"/>
        <w:szCs w:val="20"/>
        <w:lang w:val="es-ES_tradnl"/>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7DDE8662" w:rsidR="00B5529F" w:rsidRPr="005D30E0" w:rsidRDefault="00B5529F" w:rsidP="0054069D">
    <w:pPr>
      <w:pStyle w:val="Encabezado"/>
      <w:jc w:val="right"/>
      <w:rPr>
        <w:color w:val="808080" w:themeColor="background1" w:themeShade="80"/>
        <w:sz w:val="20"/>
        <w:szCs w:val="20"/>
      </w:rPr>
    </w:pPr>
    <w:r w:rsidRPr="005D30E0">
      <w:rPr>
        <w:color w:val="808080" w:themeColor="background1" w:themeShade="80"/>
        <w:sz w:val="20"/>
        <w:szCs w:val="20"/>
      </w:rPr>
      <w:t>Radicado: 11001-03-15-000-2020-04144-00</w:t>
    </w:r>
  </w:p>
  <w:p w14:paraId="07B33FD0" w14:textId="44BF621C" w:rsidR="00B5529F" w:rsidRPr="005D30E0" w:rsidRDefault="00B5529F" w:rsidP="0054069D">
    <w:pPr>
      <w:pStyle w:val="Encabezado"/>
      <w:jc w:val="right"/>
      <w:rPr>
        <w:color w:val="808080" w:themeColor="background1" w:themeShade="80"/>
        <w:sz w:val="20"/>
        <w:szCs w:val="20"/>
      </w:rPr>
    </w:pPr>
    <w:r w:rsidRPr="005D30E0">
      <w:rPr>
        <w:color w:val="808080" w:themeColor="background1" w:themeShade="80"/>
        <w:sz w:val="20"/>
        <w:szCs w:val="20"/>
      </w:rPr>
      <w:tab/>
    </w:r>
    <w:r w:rsidRPr="005D30E0">
      <w:rPr>
        <w:color w:val="808080" w:themeColor="background1" w:themeShade="80"/>
        <w:sz w:val="20"/>
        <w:szCs w:val="20"/>
      </w:rPr>
      <w:tab/>
      <w:t xml:space="preserve">Accionante: </w:t>
    </w:r>
    <w:r w:rsidRPr="005D30E0">
      <w:rPr>
        <w:bCs/>
        <w:color w:val="808080" w:themeColor="background1" w:themeShade="80"/>
        <w:sz w:val="20"/>
        <w:szCs w:val="20"/>
      </w:rPr>
      <w:t>Claudia Juliana Melo Romero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B5529F" w:rsidRPr="00A15ACE" w:rsidRDefault="00B5529F" w:rsidP="00F1441F">
    <w:pPr>
      <w:pStyle w:val="Encabezado"/>
    </w:pPr>
    <w:r>
      <w:rPr>
        <w:noProof/>
        <w:lang w:val="es-ES_tradnl"/>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B5529F" w:rsidRPr="00A15ACE" w:rsidRDefault="00B5529F" w:rsidP="00F1441F">
    <w:pPr>
      <w:pStyle w:val="Encabezado"/>
      <w:rPr>
        <w:color w:val="767171"/>
      </w:rPr>
    </w:pPr>
  </w:p>
  <w:p w14:paraId="3F3B7A5B" w14:textId="77777777" w:rsidR="00B5529F" w:rsidRPr="007F276C" w:rsidRDefault="00B5529F" w:rsidP="00692F6D">
    <w:pPr>
      <w:pStyle w:val="Sinespaciado"/>
    </w:pPr>
    <w:r w:rsidRPr="007F276C">
      <w:t>CONSEJO DE ESTADO</w:t>
    </w:r>
  </w:p>
  <w:p w14:paraId="6EF027A0" w14:textId="77777777" w:rsidR="00B5529F" w:rsidRPr="007F276C" w:rsidRDefault="00B5529F" w:rsidP="00692F6D">
    <w:pPr>
      <w:pStyle w:val="Sinespaciado"/>
    </w:pPr>
    <w:r w:rsidRPr="007F276C">
      <w:t>SALA DE LO CONTENCIOSO ADMINISTRATIVO</w:t>
    </w:r>
  </w:p>
  <w:p w14:paraId="2FC4305D" w14:textId="77777777" w:rsidR="00B5529F" w:rsidRPr="007F276C" w:rsidRDefault="00B5529F" w:rsidP="00692F6D">
    <w:pPr>
      <w:pStyle w:val="Sinespaciado"/>
    </w:pPr>
    <w:r w:rsidRPr="007F276C">
      <w:t>SECCIÓN TERCERA – SUBSECCIÓN C</w:t>
    </w:r>
  </w:p>
  <w:p w14:paraId="2BA226A1" w14:textId="77777777" w:rsidR="00B5529F" w:rsidRDefault="00B5529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5052EC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6D3C"/>
    <w:rsid w:val="000148B9"/>
    <w:rsid w:val="000153A5"/>
    <w:rsid w:val="000163F7"/>
    <w:rsid w:val="000166CE"/>
    <w:rsid w:val="00017CB3"/>
    <w:rsid w:val="0004332E"/>
    <w:rsid w:val="0004707B"/>
    <w:rsid w:val="00052483"/>
    <w:rsid w:val="00061B93"/>
    <w:rsid w:val="000707E7"/>
    <w:rsid w:val="000728E0"/>
    <w:rsid w:val="00073424"/>
    <w:rsid w:val="00073869"/>
    <w:rsid w:val="00076A2D"/>
    <w:rsid w:val="00083B8F"/>
    <w:rsid w:val="00084416"/>
    <w:rsid w:val="00087421"/>
    <w:rsid w:val="00094E7B"/>
    <w:rsid w:val="000C2B43"/>
    <w:rsid w:val="000C5DB7"/>
    <w:rsid w:val="000C7B4F"/>
    <w:rsid w:val="000D0E41"/>
    <w:rsid w:val="000D1046"/>
    <w:rsid w:val="000D5563"/>
    <w:rsid w:val="000E2D62"/>
    <w:rsid w:val="000E3953"/>
    <w:rsid w:val="000F360D"/>
    <w:rsid w:val="000F6288"/>
    <w:rsid w:val="00102784"/>
    <w:rsid w:val="0010467B"/>
    <w:rsid w:val="001056C4"/>
    <w:rsid w:val="00106DF9"/>
    <w:rsid w:val="00111C15"/>
    <w:rsid w:val="001128B4"/>
    <w:rsid w:val="00117091"/>
    <w:rsid w:val="001314F6"/>
    <w:rsid w:val="00133F91"/>
    <w:rsid w:val="00135786"/>
    <w:rsid w:val="00135C24"/>
    <w:rsid w:val="0015444A"/>
    <w:rsid w:val="00155E78"/>
    <w:rsid w:val="00156B28"/>
    <w:rsid w:val="001618EC"/>
    <w:rsid w:val="001651E5"/>
    <w:rsid w:val="00166AF6"/>
    <w:rsid w:val="0018313D"/>
    <w:rsid w:val="0019304E"/>
    <w:rsid w:val="00194CD0"/>
    <w:rsid w:val="001A0924"/>
    <w:rsid w:val="001B10BD"/>
    <w:rsid w:val="001B1D77"/>
    <w:rsid w:val="001C3C1F"/>
    <w:rsid w:val="001C52C0"/>
    <w:rsid w:val="001D09CE"/>
    <w:rsid w:val="001D4297"/>
    <w:rsid w:val="001D4E62"/>
    <w:rsid w:val="00201EC3"/>
    <w:rsid w:val="0020773B"/>
    <w:rsid w:val="00207E68"/>
    <w:rsid w:val="002105A0"/>
    <w:rsid w:val="00210780"/>
    <w:rsid w:val="00214D23"/>
    <w:rsid w:val="00215D4A"/>
    <w:rsid w:val="0022009E"/>
    <w:rsid w:val="00221E2B"/>
    <w:rsid w:val="002230E3"/>
    <w:rsid w:val="00244914"/>
    <w:rsid w:val="00246239"/>
    <w:rsid w:val="00254098"/>
    <w:rsid w:val="0025717D"/>
    <w:rsid w:val="002755F7"/>
    <w:rsid w:val="002812FA"/>
    <w:rsid w:val="00281874"/>
    <w:rsid w:val="00286000"/>
    <w:rsid w:val="0028665C"/>
    <w:rsid w:val="002866AB"/>
    <w:rsid w:val="0028795E"/>
    <w:rsid w:val="00292101"/>
    <w:rsid w:val="002A072A"/>
    <w:rsid w:val="002A7B7D"/>
    <w:rsid w:val="002B44F1"/>
    <w:rsid w:val="002C12BC"/>
    <w:rsid w:val="002C2510"/>
    <w:rsid w:val="002C42F9"/>
    <w:rsid w:val="002D2D66"/>
    <w:rsid w:val="002D480B"/>
    <w:rsid w:val="002E0464"/>
    <w:rsid w:val="002E1978"/>
    <w:rsid w:val="002E77E6"/>
    <w:rsid w:val="002F467E"/>
    <w:rsid w:val="0030458A"/>
    <w:rsid w:val="0031514A"/>
    <w:rsid w:val="00316A98"/>
    <w:rsid w:val="00317414"/>
    <w:rsid w:val="003213B5"/>
    <w:rsid w:val="003332B6"/>
    <w:rsid w:val="0033510E"/>
    <w:rsid w:val="003419CA"/>
    <w:rsid w:val="00360658"/>
    <w:rsid w:val="00361478"/>
    <w:rsid w:val="0036348D"/>
    <w:rsid w:val="00374674"/>
    <w:rsid w:val="00374DA5"/>
    <w:rsid w:val="00382B56"/>
    <w:rsid w:val="00383156"/>
    <w:rsid w:val="00383425"/>
    <w:rsid w:val="00384507"/>
    <w:rsid w:val="00387BBC"/>
    <w:rsid w:val="003947C0"/>
    <w:rsid w:val="00394A69"/>
    <w:rsid w:val="003A12C4"/>
    <w:rsid w:val="003A4E43"/>
    <w:rsid w:val="003A788C"/>
    <w:rsid w:val="003B061C"/>
    <w:rsid w:val="003B4515"/>
    <w:rsid w:val="003C44E5"/>
    <w:rsid w:val="003D1B94"/>
    <w:rsid w:val="003E1085"/>
    <w:rsid w:val="003E2E88"/>
    <w:rsid w:val="003F2BA3"/>
    <w:rsid w:val="003F4EE1"/>
    <w:rsid w:val="003F7FF5"/>
    <w:rsid w:val="0040213E"/>
    <w:rsid w:val="00402998"/>
    <w:rsid w:val="00406036"/>
    <w:rsid w:val="00407B90"/>
    <w:rsid w:val="0041146A"/>
    <w:rsid w:val="004168CB"/>
    <w:rsid w:val="004211FA"/>
    <w:rsid w:val="00421842"/>
    <w:rsid w:val="00421B9D"/>
    <w:rsid w:val="00424723"/>
    <w:rsid w:val="00430389"/>
    <w:rsid w:val="00430D89"/>
    <w:rsid w:val="004328CE"/>
    <w:rsid w:val="00434214"/>
    <w:rsid w:val="00447956"/>
    <w:rsid w:val="0046688C"/>
    <w:rsid w:val="0047256F"/>
    <w:rsid w:val="00474049"/>
    <w:rsid w:val="00482B16"/>
    <w:rsid w:val="004840DE"/>
    <w:rsid w:val="004849BB"/>
    <w:rsid w:val="004851CF"/>
    <w:rsid w:val="004857F6"/>
    <w:rsid w:val="00487615"/>
    <w:rsid w:val="00491910"/>
    <w:rsid w:val="00491D4D"/>
    <w:rsid w:val="00493DBD"/>
    <w:rsid w:val="00497735"/>
    <w:rsid w:val="004A18C5"/>
    <w:rsid w:val="004A1D38"/>
    <w:rsid w:val="004A59E5"/>
    <w:rsid w:val="004A685E"/>
    <w:rsid w:val="004C36FC"/>
    <w:rsid w:val="004C390C"/>
    <w:rsid w:val="004C4CC1"/>
    <w:rsid w:val="004D5983"/>
    <w:rsid w:val="004D63F2"/>
    <w:rsid w:val="004E3D73"/>
    <w:rsid w:val="004F6EC6"/>
    <w:rsid w:val="004F7934"/>
    <w:rsid w:val="004F7D35"/>
    <w:rsid w:val="00502AA3"/>
    <w:rsid w:val="005031D8"/>
    <w:rsid w:val="00504947"/>
    <w:rsid w:val="00504D23"/>
    <w:rsid w:val="00505263"/>
    <w:rsid w:val="005127CB"/>
    <w:rsid w:val="00515F46"/>
    <w:rsid w:val="00517362"/>
    <w:rsid w:val="00522073"/>
    <w:rsid w:val="00522927"/>
    <w:rsid w:val="0053022F"/>
    <w:rsid w:val="00530CAD"/>
    <w:rsid w:val="00536A62"/>
    <w:rsid w:val="0054069D"/>
    <w:rsid w:val="0054535A"/>
    <w:rsid w:val="00553D0F"/>
    <w:rsid w:val="005567A7"/>
    <w:rsid w:val="00566726"/>
    <w:rsid w:val="00567EA2"/>
    <w:rsid w:val="00572E98"/>
    <w:rsid w:val="00582BAC"/>
    <w:rsid w:val="005843CE"/>
    <w:rsid w:val="00585CA2"/>
    <w:rsid w:val="005A358C"/>
    <w:rsid w:val="005C313C"/>
    <w:rsid w:val="005D1791"/>
    <w:rsid w:val="005D226B"/>
    <w:rsid w:val="005D30E0"/>
    <w:rsid w:val="005E24D6"/>
    <w:rsid w:val="005E5F87"/>
    <w:rsid w:val="005E7546"/>
    <w:rsid w:val="005F0AEA"/>
    <w:rsid w:val="005F29B2"/>
    <w:rsid w:val="005F2D97"/>
    <w:rsid w:val="006052FF"/>
    <w:rsid w:val="006146CC"/>
    <w:rsid w:val="00621638"/>
    <w:rsid w:val="00621F3E"/>
    <w:rsid w:val="0063439D"/>
    <w:rsid w:val="006371BF"/>
    <w:rsid w:val="006512AD"/>
    <w:rsid w:val="00651F05"/>
    <w:rsid w:val="00655C21"/>
    <w:rsid w:val="00660238"/>
    <w:rsid w:val="0066061F"/>
    <w:rsid w:val="006615F2"/>
    <w:rsid w:val="00663267"/>
    <w:rsid w:val="00664A8F"/>
    <w:rsid w:val="00667291"/>
    <w:rsid w:val="00670737"/>
    <w:rsid w:val="006746D4"/>
    <w:rsid w:val="00685672"/>
    <w:rsid w:val="00687E32"/>
    <w:rsid w:val="00692F6D"/>
    <w:rsid w:val="00693644"/>
    <w:rsid w:val="006968D3"/>
    <w:rsid w:val="006A58B7"/>
    <w:rsid w:val="006B723C"/>
    <w:rsid w:val="006B78D5"/>
    <w:rsid w:val="006C10E0"/>
    <w:rsid w:val="006D4799"/>
    <w:rsid w:val="006E0C16"/>
    <w:rsid w:val="006E426C"/>
    <w:rsid w:val="006E62F6"/>
    <w:rsid w:val="006F6047"/>
    <w:rsid w:val="0070023E"/>
    <w:rsid w:val="00701255"/>
    <w:rsid w:val="007063C4"/>
    <w:rsid w:val="00721016"/>
    <w:rsid w:val="0072475A"/>
    <w:rsid w:val="00726B78"/>
    <w:rsid w:val="0074235D"/>
    <w:rsid w:val="00742D3A"/>
    <w:rsid w:val="00745D63"/>
    <w:rsid w:val="00745ECA"/>
    <w:rsid w:val="00746E9B"/>
    <w:rsid w:val="00751493"/>
    <w:rsid w:val="00755A31"/>
    <w:rsid w:val="00757B19"/>
    <w:rsid w:val="00760DAF"/>
    <w:rsid w:val="00761528"/>
    <w:rsid w:val="0076629C"/>
    <w:rsid w:val="007706B2"/>
    <w:rsid w:val="00773A77"/>
    <w:rsid w:val="00773A85"/>
    <w:rsid w:val="00783220"/>
    <w:rsid w:val="007876F3"/>
    <w:rsid w:val="007947F4"/>
    <w:rsid w:val="007B05F3"/>
    <w:rsid w:val="007B4447"/>
    <w:rsid w:val="007B4590"/>
    <w:rsid w:val="007C5FB9"/>
    <w:rsid w:val="007D17A4"/>
    <w:rsid w:val="007D4A96"/>
    <w:rsid w:val="007E0E22"/>
    <w:rsid w:val="007E2317"/>
    <w:rsid w:val="007F276C"/>
    <w:rsid w:val="007F3540"/>
    <w:rsid w:val="007F55E8"/>
    <w:rsid w:val="00817A38"/>
    <w:rsid w:val="00820178"/>
    <w:rsid w:val="00822EDC"/>
    <w:rsid w:val="00823E1F"/>
    <w:rsid w:val="00824184"/>
    <w:rsid w:val="00825D70"/>
    <w:rsid w:val="008263BB"/>
    <w:rsid w:val="008347A2"/>
    <w:rsid w:val="00834F55"/>
    <w:rsid w:val="00835345"/>
    <w:rsid w:val="00836587"/>
    <w:rsid w:val="00855514"/>
    <w:rsid w:val="00855A8A"/>
    <w:rsid w:val="008573D5"/>
    <w:rsid w:val="00871943"/>
    <w:rsid w:val="008800EC"/>
    <w:rsid w:val="00880936"/>
    <w:rsid w:val="00885DA0"/>
    <w:rsid w:val="008879C5"/>
    <w:rsid w:val="00897CE2"/>
    <w:rsid w:val="008B6D3E"/>
    <w:rsid w:val="008C0DBE"/>
    <w:rsid w:val="008C4606"/>
    <w:rsid w:val="008C64B2"/>
    <w:rsid w:val="008C7466"/>
    <w:rsid w:val="008D36ED"/>
    <w:rsid w:val="008D3711"/>
    <w:rsid w:val="008D46E6"/>
    <w:rsid w:val="008D517C"/>
    <w:rsid w:val="008D7532"/>
    <w:rsid w:val="008E5716"/>
    <w:rsid w:val="008F6116"/>
    <w:rsid w:val="00900BD2"/>
    <w:rsid w:val="00900D0F"/>
    <w:rsid w:val="00911738"/>
    <w:rsid w:val="00911C03"/>
    <w:rsid w:val="00911C2B"/>
    <w:rsid w:val="00914D52"/>
    <w:rsid w:val="009210E8"/>
    <w:rsid w:val="009214E2"/>
    <w:rsid w:val="009264A5"/>
    <w:rsid w:val="009306ED"/>
    <w:rsid w:val="009359AE"/>
    <w:rsid w:val="0093627A"/>
    <w:rsid w:val="00940813"/>
    <w:rsid w:val="00946503"/>
    <w:rsid w:val="00947181"/>
    <w:rsid w:val="0095243B"/>
    <w:rsid w:val="00963D4F"/>
    <w:rsid w:val="009705EE"/>
    <w:rsid w:val="009718A6"/>
    <w:rsid w:val="0097486A"/>
    <w:rsid w:val="009814D0"/>
    <w:rsid w:val="00986438"/>
    <w:rsid w:val="00986FEF"/>
    <w:rsid w:val="0099039B"/>
    <w:rsid w:val="00995803"/>
    <w:rsid w:val="00996286"/>
    <w:rsid w:val="009A4799"/>
    <w:rsid w:val="009A5798"/>
    <w:rsid w:val="009B1859"/>
    <w:rsid w:val="009C153F"/>
    <w:rsid w:val="009D340B"/>
    <w:rsid w:val="009D3549"/>
    <w:rsid w:val="009D38B7"/>
    <w:rsid w:val="009F1024"/>
    <w:rsid w:val="009F2C3D"/>
    <w:rsid w:val="009F5813"/>
    <w:rsid w:val="009F751F"/>
    <w:rsid w:val="00A0511A"/>
    <w:rsid w:val="00A0522E"/>
    <w:rsid w:val="00A06350"/>
    <w:rsid w:val="00A1390A"/>
    <w:rsid w:val="00A15ACE"/>
    <w:rsid w:val="00A21194"/>
    <w:rsid w:val="00A23C60"/>
    <w:rsid w:val="00A25C52"/>
    <w:rsid w:val="00A26DEE"/>
    <w:rsid w:val="00A37038"/>
    <w:rsid w:val="00A4379F"/>
    <w:rsid w:val="00A443F8"/>
    <w:rsid w:val="00A4602A"/>
    <w:rsid w:val="00A46151"/>
    <w:rsid w:val="00A467BD"/>
    <w:rsid w:val="00A57777"/>
    <w:rsid w:val="00A60780"/>
    <w:rsid w:val="00A6438B"/>
    <w:rsid w:val="00A73868"/>
    <w:rsid w:val="00A75C51"/>
    <w:rsid w:val="00A7652A"/>
    <w:rsid w:val="00A809E4"/>
    <w:rsid w:val="00A8702B"/>
    <w:rsid w:val="00A93BB2"/>
    <w:rsid w:val="00AA6780"/>
    <w:rsid w:val="00AB19F4"/>
    <w:rsid w:val="00AB3065"/>
    <w:rsid w:val="00AB33F4"/>
    <w:rsid w:val="00AB4D6D"/>
    <w:rsid w:val="00AC5837"/>
    <w:rsid w:val="00AC6FA8"/>
    <w:rsid w:val="00AD33C5"/>
    <w:rsid w:val="00AD3B2F"/>
    <w:rsid w:val="00AE077D"/>
    <w:rsid w:val="00AE5822"/>
    <w:rsid w:val="00AF634C"/>
    <w:rsid w:val="00B00068"/>
    <w:rsid w:val="00B00D4C"/>
    <w:rsid w:val="00B01D8A"/>
    <w:rsid w:val="00B04EDB"/>
    <w:rsid w:val="00B14389"/>
    <w:rsid w:val="00B23FA0"/>
    <w:rsid w:val="00B251D5"/>
    <w:rsid w:val="00B26676"/>
    <w:rsid w:val="00B37568"/>
    <w:rsid w:val="00B44C63"/>
    <w:rsid w:val="00B5529F"/>
    <w:rsid w:val="00B56820"/>
    <w:rsid w:val="00B6429B"/>
    <w:rsid w:val="00B7010E"/>
    <w:rsid w:val="00B866C5"/>
    <w:rsid w:val="00B87058"/>
    <w:rsid w:val="00B9314A"/>
    <w:rsid w:val="00B974AC"/>
    <w:rsid w:val="00B97E8B"/>
    <w:rsid w:val="00BA008F"/>
    <w:rsid w:val="00BB0DD6"/>
    <w:rsid w:val="00BB44CC"/>
    <w:rsid w:val="00BB79AE"/>
    <w:rsid w:val="00BB7BAE"/>
    <w:rsid w:val="00BD4663"/>
    <w:rsid w:val="00BD67B1"/>
    <w:rsid w:val="00BD6EFC"/>
    <w:rsid w:val="00BF2ACB"/>
    <w:rsid w:val="00BF3C8E"/>
    <w:rsid w:val="00BF6472"/>
    <w:rsid w:val="00C018AC"/>
    <w:rsid w:val="00C23213"/>
    <w:rsid w:val="00C35E5E"/>
    <w:rsid w:val="00C36D82"/>
    <w:rsid w:val="00C43CA0"/>
    <w:rsid w:val="00C54A33"/>
    <w:rsid w:val="00C62AC2"/>
    <w:rsid w:val="00C62F77"/>
    <w:rsid w:val="00C7549A"/>
    <w:rsid w:val="00C862C6"/>
    <w:rsid w:val="00C87516"/>
    <w:rsid w:val="00C908A3"/>
    <w:rsid w:val="00C90E0A"/>
    <w:rsid w:val="00CB3811"/>
    <w:rsid w:val="00CB6240"/>
    <w:rsid w:val="00CC1144"/>
    <w:rsid w:val="00CC15BD"/>
    <w:rsid w:val="00CC48D7"/>
    <w:rsid w:val="00CD46C2"/>
    <w:rsid w:val="00CE2552"/>
    <w:rsid w:val="00CE2C4C"/>
    <w:rsid w:val="00CE39C4"/>
    <w:rsid w:val="00D01F0E"/>
    <w:rsid w:val="00D10999"/>
    <w:rsid w:val="00D12297"/>
    <w:rsid w:val="00D1263D"/>
    <w:rsid w:val="00D14AA9"/>
    <w:rsid w:val="00D163C7"/>
    <w:rsid w:val="00D172F9"/>
    <w:rsid w:val="00D27393"/>
    <w:rsid w:val="00D2756B"/>
    <w:rsid w:val="00D31837"/>
    <w:rsid w:val="00D53A8F"/>
    <w:rsid w:val="00D60323"/>
    <w:rsid w:val="00D6758B"/>
    <w:rsid w:val="00D67E46"/>
    <w:rsid w:val="00D729A8"/>
    <w:rsid w:val="00D74A30"/>
    <w:rsid w:val="00D76AE6"/>
    <w:rsid w:val="00D76BEF"/>
    <w:rsid w:val="00DA4061"/>
    <w:rsid w:val="00DA6766"/>
    <w:rsid w:val="00DB304C"/>
    <w:rsid w:val="00DB38D4"/>
    <w:rsid w:val="00DB4688"/>
    <w:rsid w:val="00DB4DAC"/>
    <w:rsid w:val="00DB7A08"/>
    <w:rsid w:val="00DC2A5A"/>
    <w:rsid w:val="00DC4731"/>
    <w:rsid w:val="00DC604F"/>
    <w:rsid w:val="00DE7123"/>
    <w:rsid w:val="00DF15E2"/>
    <w:rsid w:val="00DF3F1E"/>
    <w:rsid w:val="00DF6CC1"/>
    <w:rsid w:val="00DF77E8"/>
    <w:rsid w:val="00E05284"/>
    <w:rsid w:val="00E102A6"/>
    <w:rsid w:val="00E1395E"/>
    <w:rsid w:val="00E4328A"/>
    <w:rsid w:val="00E45687"/>
    <w:rsid w:val="00E47433"/>
    <w:rsid w:val="00E51F6A"/>
    <w:rsid w:val="00E560B5"/>
    <w:rsid w:val="00E70863"/>
    <w:rsid w:val="00E7366C"/>
    <w:rsid w:val="00E800E8"/>
    <w:rsid w:val="00E87355"/>
    <w:rsid w:val="00EA0401"/>
    <w:rsid w:val="00EA161D"/>
    <w:rsid w:val="00EA4754"/>
    <w:rsid w:val="00EA4BB9"/>
    <w:rsid w:val="00EA58FA"/>
    <w:rsid w:val="00EB4637"/>
    <w:rsid w:val="00EB57EA"/>
    <w:rsid w:val="00EB5D99"/>
    <w:rsid w:val="00EB5EDC"/>
    <w:rsid w:val="00EC38ED"/>
    <w:rsid w:val="00ED3B11"/>
    <w:rsid w:val="00ED5CAD"/>
    <w:rsid w:val="00ED72BB"/>
    <w:rsid w:val="00EE50B9"/>
    <w:rsid w:val="00EF16EE"/>
    <w:rsid w:val="00F01167"/>
    <w:rsid w:val="00F0772F"/>
    <w:rsid w:val="00F1441F"/>
    <w:rsid w:val="00F14758"/>
    <w:rsid w:val="00F16FD3"/>
    <w:rsid w:val="00F17CE6"/>
    <w:rsid w:val="00F21E75"/>
    <w:rsid w:val="00F318E7"/>
    <w:rsid w:val="00F41540"/>
    <w:rsid w:val="00F45A6E"/>
    <w:rsid w:val="00F476AA"/>
    <w:rsid w:val="00F51BB7"/>
    <w:rsid w:val="00F532EA"/>
    <w:rsid w:val="00F56225"/>
    <w:rsid w:val="00F6085F"/>
    <w:rsid w:val="00F673C7"/>
    <w:rsid w:val="00F713AF"/>
    <w:rsid w:val="00F9017B"/>
    <w:rsid w:val="00F91B32"/>
    <w:rsid w:val="00F95C6C"/>
    <w:rsid w:val="00FA04BD"/>
    <w:rsid w:val="00FA5BD0"/>
    <w:rsid w:val="00FB5436"/>
    <w:rsid w:val="00FC5274"/>
    <w:rsid w:val="00FC7B65"/>
    <w:rsid w:val="00FD3474"/>
    <w:rsid w:val="00FE09DF"/>
    <w:rsid w:val="00FE10F8"/>
    <w:rsid w:val="00FE2726"/>
    <w:rsid w:val="00FE3D08"/>
    <w:rsid w:val="00FF0BD7"/>
    <w:rsid w:val="00FF190B"/>
    <w:rsid w:val="00FF2389"/>
    <w:rsid w:val="00FF55A8"/>
    <w:rsid w:val="00FF5B79"/>
    <w:rsid w:val="00FF64C7"/>
    <w:rsid w:val="00FF78EA"/>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9B1859"/>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9B1859"/>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692F6D"/>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692F6D"/>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customStyle="1" w:styleId="p1">
    <w:name w:val="p1"/>
    <w:basedOn w:val="Normal"/>
    <w:rsid w:val="004C36FC"/>
    <w:pPr>
      <w:jc w:val="left"/>
    </w:pPr>
    <w:rPr>
      <w:rFonts w:ascii="Helvetica" w:hAnsi="Helvetica" w:cs="Times New Roman"/>
      <w:sz w:val="18"/>
      <w:szCs w:val="18"/>
      <w:lang w:val="es-ES_tradnl"/>
    </w:rPr>
  </w:style>
  <w:style w:type="paragraph" w:customStyle="1" w:styleId="p2">
    <w:name w:val="p2"/>
    <w:basedOn w:val="Normal"/>
    <w:rsid w:val="005F2D97"/>
    <w:pPr>
      <w:jc w:val="left"/>
    </w:pPr>
    <w:rPr>
      <w:sz w:val="17"/>
      <w:szCs w:val="17"/>
      <w:lang w:val="es-ES_tradnl"/>
    </w:rPr>
  </w:style>
  <w:style w:type="character" w:customStyle="1" w:styleId="apple-converted-space">
    <w:name w:val="apple-converted-space"/>
    <w:basedOn w:val="Fuentedeprrafopredeter"/>
    <w:rsid w:val="005F2D97"/>
  </w:style>
  <w:style w:type="paragraph" w:customStyle="1" w:styleId="p3">
    <w:name w:val="p3"/>
    <w:basedOn w:val="Normal"/>
    <w:rsid w:val="00BB7BAE"/>
    <w:pPr>
      <w:jc w:val="left"/>
    </w:pPr>
    <w:rPr>
      <w:sz w:val="17"/>
      <w:szCs w:val="17"/>
      <w:lang w:val="es-ES_tradnl"/>
    </w:rPr>
  </w:style>
  <w:style w:type="character" w:customStyle="1" w:styleId="s1">
    <w:name w:val="s1"/>
    <w:basedOn w:val="Fuentedeprrafopredeter"/>
    <w:rsid w:val="00AC6FA8"/>
    <w:rPr>
      <w:rFonts w:ascii="Helvetica" w:hAnsi="Helvetica" w:hint="default"/>
      <w:sz w:val="11"/>
      <w:szCs w:val="11"/>
    </w:rPr>
  </w:style>
  <w:style w:type="paragraph" w:customStyle="1" w:styleId="Textoindependiente1">
    <w:name w:val="Texto independiente1"/>
    <w:rsid w:val="006E62F6"/>
    <w:pPr>
      <w:suppressAutoHyphens/>
      <w:spacing w:line="480" w:lineRule="auto"/>
      <w:jc w:val="both"/>
    </w:pPr>
    <w:rPr>
      <w:rFonts w:ascii="Courier New" w:eastAsia="ヒラギノ角ゴ Pro W3" w:hAnsi="Courier New" w:cs="Times New Roman"/>
      <w:color w:val="000000"/>
      <w:sz w:val="24"/>
      <w:lang w:val="es-ES_tradnl" w:eastAsia="es-CO"/>
    </w:rPr>
  </w:style>
  <w:style w:type="paragraph" w:styleId="Asuntodelcomentario">
    <w:name w:val="annotation subject"/>
    <w:basedOn w:val="Textocomentario"/>
    <w:next w:val="Textocomentario"/>
    <w:link w:val="AsuntodelcomentarioCar"/>
    <w:uiPriority w:val="99"/>
    <w:semiHidden/>
    <w:unhideWhenUsed/>
    <w:rsid w:val="005F29B2"/>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5F29B2"/>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0554">
      <w:bodyDiv w:val="1"/>
      <w:marLeft w:val="0"/>
      <w:marRight w:val="0"/>
      <w:marTop w:val="0"/>
      <w:marBottom w:val="0"/>
      <w:divBdr>
        <w:top w:val="none" w:sz="0" w:space="0" w:color="auto"/>
        <w:left w:val="none" w:sz="0" w:space="0" w:color="auto"/>
        <w:bottom w:val="none" w:sz="0" w:space="0" w:color="auto"/>
        <w:right w:val="none" w:sz="0" w:space="0" w:color="auto"/>
      </w:divBdr>
    </w:div>
    <w:div w:id="121657196">
      <w:bodyDiv w:val="1"/>
      <w:marLeft w:val="0"/>
      <w:marRight w:val="0"/>
      <w:marTop w:val="0"/>
      <w:marBottom w:val="0"/>
      <w:divBdr>
        <w:top w:val="none" w:sz="0" w:space="0" w:color="auto"/>
        <w:left w:val="none" w:sz="0" w:space="0" w:color="auto"/>
        <w:bottom w:val="none" w:sz="0" w:space="0" w:color="auto"/>
        <w:right w:val="none" w:sz="0" w:space="0" w:color="auto"/>
      </w:divBdr>
    </w:div>
    <w:div w:id="251815681">
      <w:bodyDiv w:val="1"/>
      <w:marLeft w:val="0"/>
      <w:marRight w:val="0"/>
      <w:marTop w:val="0"/>
      <w:marBottom w:val="0"/>
      <w:divBdr>
        <w:top w:val="none" w:sz="0" w:space="0" w:color="auto"/>
        <w:left w:val="none" w:sz="0" w:space="0" w:color="auto"/>
        <w:bottom w:val="none" w:sz="0" w:space="0" w:color="auto"/>
        <w:right w:val="none" w:sz="0" w:space="0" w:color="auto"/>
      </w:divBdr>
    </w:div>
    <w:div w:id="303194921">
      <w:bodyDiv w:val="1"/>
      <w:marLeft w:val="0"/>
      <w:marRight w:val="0"/>
      <w:marTop w:val="0"/>
      <w:marBottom w:val="0"/>
      <w:divBdr>
        <w:top w:val="none" w:sz="0" w:space="0" w:color="auto"/>
        <w:left w:val="none" w:sz="0" w:space="0" w:color="auto"/>
        <w:bottom w:val="none" w:sz="0" w:space="0" w:color="auto"/>
        <w:right w:val="none" w:sz="0" w:space="0" w:color="auto"/>
      </w:divBdr>
    </w:div>
    <w:div w:id="317001107">
      <w:bodyDiv w:val="1"/>
      <w:marLeft w:val="0"/>
      <w:marRight w:val="0"/>
      <w:marTop w:val="0"/>
      <w:marBottom w:val="0"/>
      <w:divBdr>
        <w:top w:val="none" w:sz="0" w:space="0" w:color="auto"/>
        <w:left w:val="none" w:sz="0" w:space="0" w:color="auto"/>
        <w:bottom w:val="none" w:sz="0" w:space="0" w:color="auto"/>
        <w:right w:val="none" w:sz="0" w:space="0" w:color="auto"/>
      </w:divBdr>
    </w:div>
    <w:div w:id="323625502">
      <w:bodyDiv w:val="1"/>
      <w:marLeft w:val="0"/>
      <w:marRight w:val="0"/>
      <w:marTop w:val="0"/>
      <w:marBottom w:val="0"/>
      <w:divBdr>
        <w:top w:val="none" w:sz="0" w:space="0" w:color="auto"/>
        <w:left w:val="none" w:sz="0" w:space="0" w:color="auto"/>
        <w:bottom w:val="none" w:sz="0" w:space="0" w:color="auto"/>
        <w:right w:val="none" w:sz="0" w:space="0" w:color="auto"/>
      </w:divBdr>
    </w:div>
    <w:div w:id="473959291">
      <w:bodyDiv w:val="1"/>
      <w:marLeft w:val="0"/>
      <w:marRight w:val="0"/>
      <w:marTop w:val="0"/>
      <w:marBottom w:val="0"/>
      <w:divBdr>
        <w:top w:val="none" w:sz="0" w:space="0" w:color="auto"/>
        <w:left w:val="none" w:sz="0" w:space="0" w:color="auto"/>
        <w:bottom w:val="none" w:sz="0" w:space="0" w:color="auto"/>
        <w:right w:val="none" w:sz="0" w:space="0" w:color="auto"/>
      </w:divBdr>
    </w:div>
    <w:div w:id="540672641">
      <w:bodyDiv w:val="1"/>
      <w:marLeft w:val="0"/>
      <w:marRight w:val="0"/>
      <w:marTop w:val="0"/>
      <w:marBottom w:val="0"/>
      <w:divBdr>
        <w:top w:val="none" w:sz="0" w:space="0" w:color="auto"/>
        <w:left w:val="none" w:sz="0" w:space="0" w:color="auto"/>
        <w:bottom w:val="none" w:sz="0" w:space="0" w:color="auto"/>
        <w:right w:val="none" w:sz="0" w:space="0" w:color="auto"/>
      </w:divBdr>
    </w:div>
    <w:div w:id="551423544">
      <w:bodyDiv w:val="1"/>
      <w:marLeft w:val="0"/>
      <w:marRight w:val="0"/>
      <w:marTop w:val="0"/>
      <w:marBottom w:val="0"/>
      <w:divBdr>
        <w:top w:val="none" w:sz="0" w:space="0" w:color="auto"/>
        <w:left w:val="none" w:sz="0" w:space="0" w:color="auto"/>
        <w:bottom w:val="none" w:sz="0" w:space="0" w:color="auto"/>
        <w:right w:val="none" w:sz="0" w:space="0" w:color="auto"/>
      </w:divBdr>
    </w:div>
    <w:div w:id="567693073">
      <w:bodyDiv w:val="1"/>
      <w:marLeft w:val="0"/>
      <w:marRight w:val="0"/>
      <w:marTop w:val="0"/>
      <w:marBottom w:val="0"/>
      <w:divBdr>
        <w:top w:val="none" w:sz="0" w:space="0" w:color="auto"/>
        <w:left w:val="none" w:sz="0" w:space="0" w:color="auto"/>
        <w:bottom w:val="none" w:sz="0" w:space="0" w:color="auto"/>
        <w:right w:val="none" w:sz="0" w:space="0" w:color="auto"/>
      </w:divBdr>
    </w:div>
    <w:div w:id="587735777">
      <w:bodyDiv w:val="1"/>
      <w:marLeft w:val="0"/>
      <w:marRight w:val="0"/>
      <w:marTop w:val="0"/>
      <w:marBottom w:val="0"/>
      <w:divBdr>
        <w:top w:val="none" w:sz="0" w:space="0" w:color="auto"/>
        <w:left w:val="none" w:sz="0" w:space="0" w:color="auto"/>
        <w:bottom w:val="none" w:sz="0" w:space="0" w:color="auto"/>
        <w:right w:val="none" w:sz="0" w:space="0" w:color="auto"/>
      </w:divBdr>
    </w:div>
    <w:div w:id="800000095">
      <w:bodyDiv w:val="1"/>
      <w:marLeft w:val="0"/>
      <w:marRight w:val="0"/>
      <w:marTop w:val="0"/>
      <w:marBottom w:val="0"/>
      <w:divBdr>
        <w:top w:val="none" w:sz="0" w:space="0" w:color="auto"/>
        <w:left w:val="none" w:sz="0" w:space="0" w:color="auto"/>
        <w:bottom w:val="none" w:sz="0" w:space="0" w:color="auto"/>
        <w:right w:val="none" w:sz="0" w:space="0" w:color="auto"/>
      </w:divBdr>
    </w:div>
    <w:div w:id="813524021">
      <w:bodyDiv w:val="1"/>
      <w:marLeft w:val="0"/>
      <w:marRight w:val="0"/>
      <w:marTop w:val="0"/>
      <w:marBottom w:val="0"/>
      <w:divBdr>
        <w:top w:val="none" w:sz="0" w:space="0" w:color="auto"/>
        <w:left w:val="none" w:sz="0" w:space="0" w:color="auto"/>
        <w:bottom w:val="none" w:sz="0" w:space="0" w:color="auto"/>
        <w:right w:val="none" w:sz="0" w:space="0" w:color="auto"/>
      </w:divBdr>
    </w:div>
    <w:div w:id="828594225">
      <w:bodyDiv w:val="1"/>
      <w:marLeft w:val="0"/>
      <w:marRight w:val="0"/>
      <w:marTop w:val="0"/>
      <w:marBottom w:val="0"/>
      <w:divBdr>
        <w:top w:val="none" w:sz="0" w:space="0" w:color="auto"/>
        <w:left w:val="none" w:sz="0" w:space="0" w:color="auto"/>
        <w:bottom w:val="none" w:sz="0" w:space="0" w:color="auto"/>
        <w:right w:val="none" w:sz="0" w:space="0" w:color="auto"/>
      </w:divBdr>
    </w:div>
    <w:div w:id="870072626">
      <w:bodyDiv w:val="1"/>
      <w:marLeft w:val="0"/>
      <w:marRight w:val="0"/>
      <w:marTop w:val="0"/>
      <w:marBottom w:val="0"/>
      <w:divBdr>
        <w:top w:val="none" w:sz="0" w:space="0" w:color="auto"/>
        <w:left w:val="none" w:sz="0" w:space="0" w:color="auto"/>
        <w:bottom w:val="none" w:sz="0" w:space="0" w:color="auto"/>
        <w:right w:val="none" w:sz="0" w:space="0" w:color="auto"/>
      </w:divBdr>
    </w:div>
    <w:div w:id="888764675">
      <w:bodyDiv w:val="1"/>
      <w:marLeft w:val="0"/>
      <w:marRight w:val="0"/>
      <w:marTop w:val="0"/>
      <w:marBottom w:val="0"/>
      <w:divBdr>
        <w:top w:val="none" w:sz="0" w:space="0" w:color="auto"/>
        <w:left w:val="none" w:sz="0" w:space="0" w:color="auto"/>
        <w:bottom w:val="none" w:sz="0" w:space="0" w:color="auto"/>
        <w:right w:val="none" w:sz="0" w:space="0" w:color="auto"/>
      </w:divBdr>
    </w:div>
    <w:div w:id="904074938">
      <w:bodyDiv w:val="1"/>
      <w:marLeft w:val="0"/>
      <w:marRight w:val="0"/>
      <w:marTop w:val="0"/>
      <w:marBottom w:val="0"/>
      <w:divBdr>
        <w:top w:val="none" w:sz="0" w:space="0" w:color="auto"/>
        <w:left w:val="none" w:sz="0" w:space="0" w:color="auto"/>
        <w:bottom w:val="none" w:sz="0" w:space="0" w:color="auto"/>
        <w:right w:val="none" w:sz="0" w:space="0" w:color="auto"/>
      </w:divBdr>
    </w:div>
    <w:div w:id="985931727">
      <w:bodyDiv w:val="1"/>
      <w:marLeft w:val="0"/>
      <w:marRight w:val="0"/>
      <w:marTop w:val="0"/>
      <w:marBottom w:val="0"/>
      <w:divBdr>
        <w:top w:val="none" w:sz="0" w:space="0" w:color="auto"/>
        <w:left w:val="none" w:sz="0" w:space="0" w:color="auto"/>
        <w:bottom w:val="none" w:sz="0" w:space="0" w:color="auto"/>
        <w:right w:val="none" w:sz="0" w:space="0" w:color="auto"/>
      </w:divBdr>
    </w:div>
    <w:div w:id="1007682042">
      <w:bodyDiv w:val="1"/>
      <w:marLeft w:val="0"/>
      <w:marRight w:val="0"/>
      <w:marTop w:val="0"/>
      <w:marBottom w:val="0"/>
      <w:divBdr>
        <w:top w:val="none" w:sz="0" w:space="0" w:color="auto"/>
        <w:left w:val="none" w:sz="0" w:space="0" w:color="auto"/>
        <w:bottom w:val="none" w:sz="0" w:space="0" w:color="auto"/>
        <w:right w:val="none" w:sz="0" w:space="0" w:color="auto"/>
      </w:divBdr>
    </w:div>
    <w:div w:id="1010836411">
      <w:bodyDiv w:val="1"/>
      <w:marLeft w:val="0"/>
      <w:marRight w:val="0"/>
      <w:marTop w:val="0"/>
      <w:marBottom w:val="0"/>
      <w:divBdr>
        <w:top w:val="none" w:sz="0" w:space="0" w:color="auto"/>
        <w:left w:val="none" w:sz="0" w:space="0" w:color="auto"/>
        <w:bottom w:val="none" w:sz="0" w:space="0" w:color="auto"/>
        <w:right w:val="none" w:sz="0" w:space="0" w:color="auto"/>
      </w:divBdr>
    </w:div>
    <w:div w:id="1155032810">
      <w:bodyDiv w:val="1"/>
      <w:marLeft w:val="0"/>
      <w:marRight w:val="0"/>
      <w:marTop w:val="0"/>
      <w:marBottom w:val="0"/>
      <w:divBdr>
        <w:top w:val="none" w:sz="0" w:space="0" w:color="auto"/>
        <w:left w:val="none" w:sz="0" w:space="0" w:color="auto"/>
        <w:bottom w:val="none" w:sz="0" w:space="0" w:color="auto"/>
        <w:right w:val="none" w:sz="0" w:space="0" w:color="auto"/>
      </w:divBdr>
    </w:div>
    <w:div w:id="1159034413">
      <w:bodyDiv w:val="1"/>
      <w:marLeft w:val="0"/>
      <w:marRight w:val="0"/>
      <w:marTop w:val="0"/>
      <w:marBottom w:val="0"/>
      <w:divBdr>
        <w:top w:val="none" w:sz="0" w:space="0" w:color="auto"/>
        <w:left w:val="none" w:sz="0" w:space="0" w:color="auto"/>
        <w:bottom w:val="none" w:sz="0" w:space="0" w:color="auto"/>
        <w:right w:val="none" w:sz="0" w:space="0" w:color="auto"/>
      </w:divBdr>
    </w:div>
    <w:div w:id="1195508025">
      <w:bodyDiv w:val="1"/>
      <w:marLeft w:val="0"/>
      <w:marRight w:val="0"/>
      <w:marTop w:val="0"/>
      <w:marBottom w:val="0"/>
      <w:divBdr>
        <w:top w:val="none" w:sz="0" w:space="0" w:color="auto"/>
        <w:left w:val="none" w:sz="0" w:space="0" w:color="auto"/>
        <w:bottom w:val="none" w:sz="0" w:space="0" w:color="auto"/>
        <w:right w:val="none" w:sz="0" w:space="0" w:color="auto"/>
      </w:divBdr>
    </w:div>
    <w:div w:id="1250844382">
      <w:bodyDiv w:val="1"/>
      <w:marLeft w:val="0"/>
      <w:marRight w:val="0"/>
      <w:marTop w:val="0"/>
      <w:marBottom w:val="0"/>
      <w:divBdr>
        <w:top w:val="none" w:sz="0" w:space="0" w:color="auto"/>
        <w:left w:val="none" w:sz="0" w:space="0" w:color="auto"/>
        <w:bottom w:val="none" w:sz="0" w:space="0" w:color="auto"/>
        <w:right w:val="none" w:sz="0" w:space="0" w:color="auto"/>
      </w:divBdr>
    </w:div>
    <w:div w:id="1408261421">
      <w:bodyDiv w:val="1"/>
      <w:marLeft w:val="0"/>
      <w:marRight w:val="0"/>
      <w:marTop w:val="0"/>
      <w:marBottom w:val="0"/>
      <w:divBdr>
        <w:top w:val="none" w:sz="0" w:space="0" w:color="auto"/>
        <w:left w:val="none" w:sz="0" w:space="0" w:color="auto"/>
        <w:bottom w:val="none" w:sz="0" w:space="0" w:color="auto"/>
        <w:right w:val="none" w:sz="0" w:space="0" w:color="auto"/>
      </w:divBdr>
    </w:div>
    <w:div w:id="1490902508">
      <w:bodyDiv w:val="1"/>
      <w:marLeft w:val="0"/>
      <w:marRight w:val="0"/>
      <w:marTop w:val="0"/>
      <w:marBottom w:val="0"/>
      <w:divBdr>
        <w:top w:val="none" w:sz="0" w:space="0" w:color="auto"/>
        <w:left w:val="none" w:sz="0" w:space="0" w:color="auto"/>
        <w:bottom w:val="none" w:sz="0" w:space="0" w:color="auto"/>
        <w:right w:val="none" w:sz="0" w:space="0" w:color="auto"/>
      </w:divBdr>
    </w:div>
    <w:div w:id="1545944964">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688753604">
      <w:bodyDiv w:val="1"/>
      <w:marLeft w:val="0"/>
      <w:marRight w:val="0"/>
      <w:marTop w:val="0"/>
      <w:marBottom w:val="0"/>
      <w:divBdr>
        <w:top w:val="none" w:sz="0" w:space="0" w:color="auto"/>
        <w:left w:val="none" w:sz="0" w:space="0" w:color="auto"/>
        <w:bottom w:val="none" w:sz="0" w:space="0" w:color="auto"/>
        <w:right w:val="none" w:sz="0" w:space="0" w:color="auto"/>
      </w:divBdr>
    </w:div>
    <w:div w:id="1724719443">
      <w:bodyDiv w:val="1"/>
      <w:marLeft w:val="0"/>
      <w:marRight w:val="0"/>
      <w:marTop w:val="0"/>
      <w:marBottom w:val="0"/>
      <w:divBdr>
        <w:top w:val="none" w:sz="0" w:space="0" w:color="auto"/>
        <w:left w:val="none" w:sz="0" w:space="0" w:color="auto"/>
        <w:bottom w:val="none" w:sz="0" w:space="0" w:color="auto"/>
        <w:right w:val="none" w:sz="0" w:space="0" w:color="auto"/>
      </w:divBdr>
    </w:div>
    <w:div w:id="19444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8"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FB7C30ED-90C5-40C1-9BA5-5ECD57755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6D4BB-F919-9949-BA39-60B58387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2442</Words>
  <Characters>13434</Characters>
  <Application>Microsoft Macintosh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Paula Ponce De León Martinez</cp:lastModifiedBy>
  <cp:revision>2</cp:revision>
  <dcterms:created xsi:type="dcterms:W3CDTF">2021-01-14T16:17:00Z</dcterms:created>
  <dcterms:modified xsi:type="dcterms:W3CDTF">2021-01-14T16:17:00Z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