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26B3C27B"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E70DD2">
        <w:rPr>
          <w:bCs/>
          <w:sz w:val="24"/>
          <w:szCs w:val="24"/>
        </w:rPr>
        <w:t>treinta</w:t>
      </w:r>
      <w:r w:rsidR="006A6312" w:rsidRPr="00857BD3">
        <w:rPr>
          <w:bCs/>
          <w:sz w:val="24"/>
          <w:szCs w:val="24"/>
        </w:rPr>
        <w:t xml:space="preserve"> </w:t>
      </w:r>
      <w:r w:rsidRPr="00857BD3">
        <w:rPr>
          <w:bCs/>
          <w:sz w:val="24"/>
          <w:szCs w:val="24"/>
        </w:rPr>
        <w:t>(</w:t>
      </w:r>
      <w:r w:rsidR="00E70DD2">
        <w:rPr>
          <w:bCs/>
          <w:sz w:val="24"/>
          <w:szCs w:val="24"/>
        </w:rPr>
        <w:t>3</w:t>
      </w:r>
      <w:r w:rsidR="00980DDD">
        <w:rPr>
          <w:bCs/>
          <w:sz w:val="24"/>
          <w:szCs w:val="24"/>
        </w:rPr>
        <w:t>0</w:t>
      </w:r>
      <w:r w:rsidRPr="00857BD3">
        <w:rPr>
          <w:bCs/>
          <w:sz w:val="24"/>
          <w:szCs w:val="24"/>
        </w:rPr>
        <w:t>) de</w:t>
      </w:r>
      <w:r w:rsidR="00C53B7C" w:rsidRPr="00857BD3">
        <w:rPr>
          <w:bCs/>
          <w:sz w:val="24"/>
          <w:szCs w:val="24"/>
        </w:rPr>
        <w:t xml:space="preserve"> </w:t>
      </w:r>
      <w:r w:rsidR="00980DDD">
        <w:rPr>
          <w:bCs/>
          <w:sz w:val="24"/>
          <w:szCs w:val="24"/>
        </w:rPr>
        <w:t>junio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58E6CB41"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E70DD2" w:rsidRPr="00E70DD2">
        <w:rPr>
          <w:sz w:val="24"/>
          <w:szCs w:val="24"/>
        </w:rPr>
        <w:t>11001-03-15-000-2021-04090-00</w:t>
      </w:r>
    </w:p>
    <w:p w14:paraId="0D6849AD" w14:textId="3A55FAB2"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E70DD2">
        <w:rPr>
          <w:bCs/>
          <w:sz w:val="24"/>
          <w:szCs w:val="24"/>
        </w:rPr>
        <w:t xml:space="preserve">Inversiones </w:t>
      </w:r>
      <w:proofErr w:type="spellStart"/>
      <w:r w:rsidR="00E70DD2">
        <w:rPr>
          <w:bCs/>
          <w:sz w:val="24"/>
          <w:szCs w:val="24"/>
        </w:rPr>
        <w:t>Fervar</w:t>
      </w:r>
      <w:proofErr w:type="spellEnd"/>
      <w:r w:rsidR="00E70DD2">
        <w:rPr>
          <w:bCs/>
          <w:sz w:val="24"/>
          <w:szCs w:val="24"/>
        </w:rPr>
        <w:t xml:space="preserve"> Ltda.</w:t>
      </w:r>
    </w:p>
    <w:p w14:paraId="74DF3A4D" w14:textId="7D08AF1B"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0C39C0">
        <w:rPr>
          <w:bCs/>
          <w:sz w:val="24"/>
          <w:szCs w:val="24"/>
        </w:rPr>
        <w:t>Consejo Superior de la Judicatura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8EE8DFB" w14:textId="6A8F62F7" w:rsidR="00195FFB" w:rsidRDefault="008C6A06" w:rsidP="00857BD3">
      <w:pPr>
        <w:spacing w:line="276" w:lineRule="auto"/>
        <w:rPr>
          <w:sz w:val="24"/>
          <w:szCs w:val="24"/>
        </w:rPr>
      </w:pPr>
      <w:r>
        <w:rPr>
          <w:sz w:val="24"/>
          <w:szCs w:val="24"/>
        </w:rPr>
        <w:t xml:space="preserve">Inversiones </w:t>
      </w:r>
      <w:proofErr w:type="spellStart"/>
      <w:r>
        <w:rPr>
          <w:sz w:val="24"/>
          <w:szCs w:val="24"/>
        </w:rPr>
        <w:t>Fervar</w:t>
      </w:r>
      <w:proofErr w:type="spellEnd"/>
      <w:r>
        <w:rPr>
          <w:sz w:val="24"/>
          <w:szCs w:val="24"/>
        </w:rPr>
        <w:t xml:space="preserve"> Ltda.</w:t>
      </w:r>
      <w:r w:rsidR="00211F0C" w:rsidRPr="00857BD3">
        <w:rPr>
          <w:sz w:val="24"/>
          <w:szCs w:val="24"/>
        </w:rPr>
        <w:t xml:space="preserve">, </w:t>
      </w:r>
      <w:r>
        <w:rPr>
          <w:sz w:val="24"/>
          <w:szCs w:val="24"/>
        </w:rPr>
        <w:t>a través de su representante legal, Hugo Ernesto Fernández Arias</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sidR="000C39C0">
        <w:rPr>
          <w:sz w:val="24"/>
          <w:szCs w:val="24"/>
        </w:rPr>
        <w:t xml:space="preserve"> </w:t>
      </w:r>
      <w:r w:rsidR="00211F0C" w:rsidRPr="00857BD3">
        <w:rPr>
          <w:sz w:val="24"/>
          <w:szCs w:val="24"/>
        </w:rPr>
        <w:t>su</w:t>
      </w:r>
      <w:r>
        <w:rPr>
          <w:sz w:val="24"/>
          <w:szCs w:val="24"/>
        </w:rPr>
        <w:t>s</w:t>
      </w:r>
      <w:r w:rsidR="00211F0C" w:rsidRPr="00857BD3">
        <w:rPr>
          <w:sz w:val="24"/>
          <w:szCs w:val="24"/>
        </w:rPr>
        <w:t xml:space="preserve"> derecho</w:t>
      </w:r>
      <w:r>
        <w:rPr>
          <w:sz w:val="24"/>
          <w:szCs w:val="24"/>
        </w:rPr>
        <w:t>s</w:t>
      </w:r>
      <w:r w:rsidR="00041C53" w:rsidRPr="00857BD3">
        <w:rPr>
          <w:sz w:val="24"/>
          <w:szCs w:val="24"/>
        </w:rPr>
        <w:t xml:space="preserve"> fundamental</w:t>
      </w:r>
      <w:r>
        <w:rPr>
          <w:sz w:val="24"/>
          <w:szCs w:val="24"/>
        </w:rPr>
        <w:t>es</w:t>
      </w:r>
      <w:r w:rsidR="008E74C7" w:rsidRPr="00857BD3">
        <w:rPr>
          <w:sz w:val="24"/>
          <w:szCs w:val="24"/>
        </w:rPr>
        <w:t xml:space="preserve"> </w:t>
      </w:r>
      <w:r w:rsidR="000C39C0">
        <w:rPr>
          <w:sz w:val="24"/>
          <w:szCs w:val="24"/>
        </w:rPr>
        <w:t xml:space="preserve">de petición, </w:t>
      </w:r>
      <w:r>
        <w:rPr>
          <w:sz w:val="24"/>
          <w:szCs w:val="24"/>
        </w:rPr>
        <w:t xml:space="preserve">a la propiedad privada, al debido proceso y al acceso a la administración de justicia. Tales garantías las </w:t>
      </w:r>
      <w:r w:rsidR="006A6312" w:rsidRPr="00857BD3">
        <w:rPr>
          <w:sz w:val="24"/>
          <w:szCs w:val="24"/>
        </w:rPr>
        <w:t>consider</w:t>
      </w:r>
      <w:r w:rsidR="00C07D40">
        <w:rPr>
          <w:sz w:val="24"/>
          <w:szCs w:val="24"/>
        </w:rPr>
        <w:t>ó</w:t>
      </w:r>
      <w:r w:rsidR="006A6312" w:rsidRPr="00857BD3">
        <w:rPr>
          <w:sz w:val="24"/>
          <w:szCs w:val="24"/>
        </w:rPr>
        <w:t xml:space="preserve"> vulnerad</w:t>
      </w:r>
      <w:r>
        <w:rPr>
          <w:sz w:val="24"/>
          <w:szCs w:val="24"/>
        </w:rPr>
        <w:t>as</w:t>
      </w:r>
      <w:r w:rsidR="00211F0C" w:rsidRPr="00857BD3">
        <w:rPr>
          <w:sz w:val="24"/>
          <w:szCs w:val="24"/>
        </w:rPr>
        <w:t xml:space="preserve"> por </w:t>
      </w:r>
      <w:r w:rsidR="00DC694B">
        <w:rPr>
          <w:sz w:val="24"/>
          <w:szCs w:val="24"/>
        </w:rPr>
        <w:t xml:space="preserve">el </w:t>
      </w:r>
      <w:r w:rsidR="000C39C0">
        <w:rPr>
          <w:sz w:val="24"/>
          <w:szCs w:val="24"/>
        </w:rPr>
        <w:t>Consejo Superior de la Judicatura</w:t>
      </w:r>
      <w:r w:rsidR="004A46BF">
        <w:rPr>
          <w:sz w:val="24"/>
          <w:szCs w:val="24"/>
        </w:rPr>
        <w:t xml:space="preserve">. Manifestó el accionante que </w:t>
      </w:r>
      <w:r w:rsidR="000C39C0">
        <w:rPr>
          <w:sz w:val="24"/>
          <w:szCs w:val="24"/>
        </w:rPr>
        <w:t xml:space="preserve">la autoridad </w:t>
      </w:r>
      <w:r>
        <w:rPr>
          <w:sz w:val="24"/>
          <w:szCs w:val="24"/>
        </w:rPr>
        <w:t xml:space="preserve">accionada no ha contestado a la petición que él radicó el 26 de abril de 2020, por medio de la cual solicitó la devolución de los dineros consignados con el fin de participar en </w:t>
      </w:r>
      <w:r w:rsidR="00195FFB">
        <w:rPr>
          <w:sz w:val="24"/>
          <w:szCs w:val="24"/>
        </w:rPr>
        <w:t>varias</w:t>
      </w:r>
      <w:r>
        <w:rPr>
          <w:sz w:val="24"/>
          <w:szCs w:val="24"/>
        </w:rPr>
        <w:t xml:space="preserve"> diligencias de remate</w:t>
      </w:r>
      <w:r w:rsidR="00D25FB8">
        <w:rPr>
          <w:sz w:val="24"/>
          <w:szCs w:val="24"/>
        </w:rPr>
        <w:t>.</w:t>
      </w:r>
    </w:p>
    <w:p w14:paraId="4186447E" w14:textId="77777777" w:rsidR="00195FFB" w:rsidRDefault="00195FFB" w:rsidP="00857BD3">
      <w:pPr>
        <w:spacing w:line="276" w:lineRule="auto"/>
        <w:rPr>
          <w:sz w:val="24"/>
          <w:szCs w:val="24"/>
        </w:rPr>
      </w:pPr>
    </w:p>
    <w:p w14:paraId="032AABF9" w14:textId="4A8F9F47" w:rsidR="00196199" w:rsidRDefault="00195FFB" w:rsidP="00857BD3">
      <w:pPr>
        <w:spacing w:line="276" w:lineRule="auto"/>
        <w:rPr>
          <w:sz w:val="24"/>
          <w:szCs w:val="24"/>
        </w:rPr>
      </w:pPr>
      <w:r>
        <w:rPr>
          <w:sz w:val="24"/>
          <w:szCs w:val="24"/>
        </w:rPr>
        <w:t>Al escrito de tutela fueron adjuntadas las peticiones que la sociedad accionante presentó ante el organismo accionado y los documentos procesales correspondientes a las diligencias de remate en las que aquella participó</w:t>
      </w:r>
      <w:r w:rsidR="00AE65EA">
        <w:rPr>
          <w:sz w:val="24"/>
          <w:szCs w:val="24"/>
        </w:rPr>
        <w:t xml:space="preserve">. </w:t>
      </w:r>
      <w:r w:rsidR="00CC4776">
        <w:rPr>
          <w:sz w:val="24"/>
          <w:szCs w:val="24"/>
        </w:rPr>
        <w:t>Las piezas</w:t>
      </w:r>
      <w:r w:rsidR="00890662">
        <w:rPr>
          <w:sz w:val="24"/>
          <w:szCs w:val="24"/>
        </w:rPr>
        <w:t xml:space="preserve"> </w:t>
      </w:r>
      <w:r w:rsidR="00AE65EA">
        <w:rPr>
          <w:sz w:val="24"/>
          <w:szCs w:val="24"/>
        </w:rPr>
        <w:t xml:space="preserve">en </w:t>
      </w:r>
      <w:r w:rsidR="00CC4776">
        <w:rPr>
          <w:sz w:val="24"/>
          <w:szCs w:val="24"/>
        </w:rPr>
        <w:t>cita</w:t>
      </w:r>
      <w:r w:rsidR="00AE65EA">
        <w:rPr>
          <w:sz w:val="24"/>
          <w:szCs w:val="24"/>
        </w:rPr>
        <w:t xml:space="preserve"> </w:t>
      </w:r>
      <w:r w:rsidR="004A46BF">
        <w:rPr>
          <w:sz w:val="24"/>
          <w:szCs w:val="24"/>
        </w:rPr>
        <w:t xml:space="preserve">resultan </w:t>
      </w:r>
      <w:r>
        <w:rPr>
          <w:sz w:val="24"/>
          <w:szCs w:val="24"/>
        </w:rPr>
        <w:t>necesarias</w:t>
      </w:r>
      <w:r w:rsidR="00AE65EA">
        <w:rPr>
          <w:sz w:val="24"/>
          <w:szCs w:val="24"/>
        </w:rPr>
        <w:t xml:space="preserve"> para adoptar la decisión que</w:t>
      </w:r>
      <w:r w:rsidR="00890662">
        <w:rPr>
          <w:sz w:val="24"/>
          <w:szCs w:val="24"/>
        </w:rPr>
        <w:t xml:space="preserve"> </w:t>
      </w:r>
      <w:r w:rsidR="00AE65EA">
        <w:rPr>
          <w:sz w:val="24"/>
          <w:szCs w:val="24"/>
        </w:rPr>
        <w:t xml:space="preserve">en </w:t>
      </w:r>
      <w:r>
        <w:rPr>
          <w:sz w:val="24"/>
          <w:szCs w:val="24"/>
        </w:rPr>
        <w:t xml:space="preserve">derecho </w:t>
      </w:r>
      <w:r w:rsidR="00AE65EA">
        <w:rPr>
          <w:sz w:val="24"/>
          <w:szCs w:val="24"/>
        </w:rPr>
        <w:t>corresponda</w:t>
      </w:r>
      <w:r w:rsidR="00890662">
        <w:rPr>
          <w:sz w:val="24"/>
          <w:szCs w:val="24"/>
        </w:rPr>
        <w:t xml:space="preserve"> dentro de este proceso</w:t>
      </w:r>
      <w:r w:rsidR="00AE65EA">
        <w:rPr>
          <w:sz w:val="24"/>
          <w:szCs w:val="24"/>
        </w:rPr>
        <w:t>.</w:t>
      </w:r>
      <w:r w:rsidR="00CC4776">
        <w:rPr>
          <w:sz w:val="24"/>
          <w:szCs w:val="24"/>
        </w:rPr>
        <w:t xml:space="preserve"> Por tanto, se tendrán como pruebas en la parte resolutiva de este </w:t>
      </w:r>
      <w:r w:rsidR="00A84D0A">
        <w:rPr>
          <w:sz w:val="24"/>
          <w:szCs w:val="24"/>
        </w:rPr>
        <w:t>proveído</w:t>
      </w:r>
      <w:r w:rsidR="00CC4776">
        <w:rPr>
          <w:sz w:val="24"/>
          <w:szCs w:val="24"/>
        </w:rPr>
        <w:t>.</w:t>
      </w:r>
    </w:p>
    <w:p w14:paraId="6A4256CF" w14:textId="77777777" w:rsidR="00286F87" w:rsidRPr="00857BD3" w:rsidRDefault="00286F87" w:rsidP="00286F87">
      <w:pPr>
        <w:spacing w:line="276" w:lineRule="auto"/>
        <w:rPr>
          <w:sz w:val="24"/>
          <w:szCs w:val="24"/>
        </w:rPr>
      </w:pPr>
    </w:p>
    <w:p w14:paraId="63AA1059" w14:textId="4A7E3136" w:rsidR="00286F87" w:rsidRPr="00857BD3" w:rsidRDefault="00286F87" w:rsidP="00857BD3">
      <w:pPr>
        <w:spacing w:line="276" w:lineRule="auto"/>
        <w:rPr>
          <w:sz w:val="24"/>
          <w:szCs w:val="24"/>
        </w:rPr>
      </w:pPr>
      <w:r w:rsidRPr="00857BD3">
        <w:rPr>
          <w:sz w:val="24"/>
          <w:szCs w:val="24"/>
        </w:rPr>
        <w:t>En consonancia con lo expuesto se ordenará</w:t>
      </w:r>
      <w:r w:rsidR="00FD2252">
        <w:rPr>
          <w:sz w:val="24"/>
          <w:szCs w:val="24"/>
        </w:rPr>
        <w:t xml:space="preserve"> a la Corporación accionada que rinda informe en el que se pronuncie sobre los fundamentos de hecho y de derecho expuestos en la solicitud de amparo. Por último,</w:t>
      </w:r>
      <w:r>
        <w:rPr>
          <w:sz w:val="24"/>
          <w:szCs w:val="24"/>
        </w:rPr>
        <w:t xml:space="preserve"> s</w:t>
      </w:r>
      <w:r w:rsidRPr="00857BD3">
        <w:rPr>
          <w:sz w:val="24"/>
          <w:szCs w:val="24"/>
        </w:rPr>
        <w:t>e suspenderán los términos del proceso mientras se cumplen las órdenes a dar en la parte resolutiva de este auto</w:t>
      </w:r>
      <w:r>
        <w:rPr>
          <w:sz w:val="24"/>
          <w:szCs w:val="24"/>
        </w:rPr>
        <w:t>.</w:t>
      </w:r>
    </w:p>
    <w:p w14:paraId="32DB5A99" w14:textId="77777777" w:rsidR="00196199" w:rsidRPr="00857BD3" w:rsidRDefault="00196199" w:rsidP="00857BD3">
      <w:pPr>
        <w:spacing w:line="276" w:lineRule="auto"/>
        <w:rPr>
          <w:sz w:val="24"/>
          <w:szCs w:val="24"/>
        </w:rPr>
      </w:pPr>
    </w:p>
    <w:p w14:paraId="47920143" w14:textId="7B56143A"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5319AE86"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3D4CEE">
        <w:rPr>
          <w:sz w:val="24"/>
          <w:szCs w:val="24"/>
        </w:rPr>
        <w:t xml:space="preserve">Inversiones </w:t>
      </w:r>
      <w:proofErr w:type="spellStart"/>
      <w:r w:rsidR="003D4CEE">
        <w:rPr>
          <w:sz w:val="24"/>
          <w:szCs w:val="24"/>
        </w:rPr>
        <w:t>Fervar</w:t>
      </w:r>
      <w:proofErr w:type="spellEnd"/>
      <w:r w:rsidR="003D4CEE">
        <w:rPr>
          <w:sz w:val="24"/>
          <w:szCs w:val="24"/>
        </w:rPr>
        <w:t xml:space="preserve"> Ltda</w:t>
      </w:r>
      <w:r w:rsidR="004A46BF">
        <w:rPr>
          <w:sz w:val="24"/>
          <w:szCs w:val="24"/>
        </w:rPr>
        <w:t xml:space="preserve">. en </w:t>
      </w:r>
      <w:r w:rsidRPr="00857BD3">
        <w:rPr>
          <w:sz w:val="24"/>
          <w:szCs w:val="24"/>
        </w:rPr>
        <w:t xml:space="preserve">contra </w:t>
      </w:r>
      <w:r w:rsidR="004A46BF">
        <w:rPr>
          <w:sz w:val="24"/>
          <w:szCs w:val="24"/>
        </w:rPr>
        <w:t>d</w:t>
      </w:r>
      <w:r w:rsidR="007146D1" w:rsidRPr="007146D1">
        <w:rPr>
          <w:sz w:val="24"/>
          <w:szCs w:val="24"/>
        </w:rPr>
        <w:t xml:space="preserve">el </w:t>
      </w:r>
      <w:r w:rsidR="0046107A" w:rsidRPr="0046107A">
        <w:rPr>
          <w:sz w:val="24"/>
          <w:szCs w:val="24"/>
        </w:rPr>
        <w:t>Consejo Superior de la Judicatura</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lastRenderedPageBreak/>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6B22229A" w14:textId="77777777" w:rsidR="00CC4776" w:rsidRDefault="00CC4776" w:rsidP="00857BD3">
      <w:pPr>
        <w:pStyle w:val="Prrafodelista"/>
        <w:spacing w:line="276" w:lineRule="auto"/>
        <w:ind w:left="0"/>
        <w:rPr>
          <w:sz w:val="24"/>
          <w:szCs w:val="24"/>
        </w:rPr>
      </w:pPr>
    </w:p>
    <w:p w14:paraId="3262F746" w14:textId="1132F65E"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615C55F5"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00CC4776" w:rsidRPr="00CC4776">
        <w:rPr>
          <w:bCs/>
          <w:i/>
          <w:iCs/>
          <w:color w:val="000000"/>
          <w:sz w:val="24"/>
          <w:szCs w:val="24"/>
        </w:rPr>
        <w:t>deberá</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16FB0B23"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C4776">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D326" w14:textId="77777777" w:rsidR="00764553" w:rsidRDefault="00764553" w:rsidP="00117091">
      <w:r>
        <w:separator/>
      </w:r>
    </w:p>
  </w:endnote>
  <w:endnote w:type="continuationSeparator" w:id="0">
    <w:p w14:paraId="08453308" w14:textId="77777777" w:rsidR="00764553" w:rsidRDefault="00764553"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038F" w14:textId="77777777" w:rsidR="00764553" w:rsidRDefault="00764553" w:rsidP="00117091">
      <w:r>
        <w:separator/>
      </w:r>
    </w:p>
  </w:footnote>
  <w:footnote w:type="continuationSeparator" w:id="0">
    <w:p w14:paraId="460A72E9" w14:textId="77777777" w:rsidR="00764553" w:rsidRDefault="00764553" w:rsidP="00117091">
      <w:r>
        <w:continuationSeparator/>
      </w:r>
    </w:p>
  </w:footnote>
  <w:footnote w:id="1">
    <w:p w14:paraId="22F62EC8" w14:textId="0034D422"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8C6A06" w:rsidRPr="008C6A06">
        <w:t>48F684AE34CC0961 990886A60A09F4F6 31D41F1035B3201D 7BA23A992C62C83A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4A885CAF"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CC4776">
      <w:rPr>
        <w:color w:val="767171"/>
        <w:sz w:val="20"/>
        <w:szCs w:val="20"/>
      </w:rPr>
      <w:t>3427</w:t>
    </w:r>
    <w:r w:rsidR="007146D1" w:rsidRPr="007146D1">
      <w:rPr>
        <w:color w:val="767171"/>
        <w:sz w:val="20"/>
        <w:szCs w:val="20"/>
      </w:rPr>
      <w:t>-00</w:t>
    </w:r>
  </w:p>
  <w:p w14:paraId="67DCBAE3" w14:textId="63F227FE"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CC4776">
      <w:rPr>
        <w:color w:val="767171"/>
        <w:sz w:val="20"/>
        <w:szCs w:val="20"/>
      </w:rPr>
      <w:t>Diego Alexander Peña Salamanca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5FFB"/>
    <w:rsid w:val="00196199"/>
    <w:rsid w:val="001B7346"/>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134B"/>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D4CEE"/>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46BF"/>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D485A"/>
    <w:rsid w:val="005E4910"/>
    <w:rsid w:val="005F3CB1"/>
    <w:rsid w:val="00600A22"/>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64553"/>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C6A06"/>
    <w:rsid w:val="008D1C6A"/>
    <w:rsid w:val="008D5505"/>
    <w:rsid w:val="008D7532"/>
    <w:rsid w:val="008D7C1C"/>
    <w:rsid w:val="008E74C7"/>
    <w:rsid w:val="008E7A32"/>
    <w:rsid w:val="008F07E0"/>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6FEF"/>
    <w:rsid w:val="00996286"/>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DD2"/>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E7EFF"/>
    <w:rsid w:val="00EF1924"/>
    <w:rsid w:val="00EF4098"/>
    <w:rsid w:val="00F01167"/>
    <w:rsid w:val="00F069D7"/>
    <w:rsid w:val="00F0772F"/>
    <w:rsid w:val="00F07E3B"/>
    <w:rsid w:val="00F12094"/>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23641982">
      <w:bodyDiv w:val="1"/>
      <w:marLeft w:val="0"/>
      <w:marRight w:val="0"/>
      <w:marTop w:val="0"/>
      <w:marBottom w:val="0"/>
      <w:divBdr>
        <w:top w:val="none" w:sz="0" w:space="0" w:color="auto"/>
        <w:left w:val="none" w:sz="0" w:space="0" w:color="auto"/>
        <w:bottom w:val="none" w:sz="0" w:space="0" w:color="auto"/>
        <w:right w:val="none" w:sz="0" w:space="0" w:color="auto"/>
      </w:divBdr>
      <w:divsChild>
        <w:div w:id="427695571">
          <w:marLeft w:val="0"/>
          <w:marRight w:val="0"/>
          <w:marTop w:val="0"/>
          <w:marBottom w:val="0"/>
          <w:divBdr>
            <w:top w:val="none" w:sz="0" w:space="0" w:color="auto"/>
            <w:left w:val="none" w:sz="0" w:space="0" w:color="auto"/>
            <w:bottom w:val="none" w:sz="0" w:space="0" w:color="auto"/>
            <w:right w:val="none" w:sz="0" w:space="0" w:color="auto"/>
          </w:divBdr>
        </w:div>
      </w:divsChild>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3.xml><?xml version="1.0" encoding="utf-8"?>
<ds:datastoreItem xmlns:ds="http://schemas.openxmlformats.org/officeDocument/2006/customXml" ds:itemID="{D9D68CC2-D5AB-4C00-A2F3-6633A6743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2733</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3</cp:revision>
  <cp:lastPrinted>2020-01-14T15:01:00Z</cp:lastPrinted>
  <dcterms:created xsi:type="dcterms:W3CDTF">2021-06-30T20:36:00Z</dcterms:created>
  <dcterms:modified xsi:type="dcterms:W3CDTF">2021-06-30T23:06:00Z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