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E70FD" w14:textId="77777777" w:rsidR="00BE5393" w:rsidRPr="00BE5393" w:rsidRDefault="00BE5393" w:rsidP="00BE5393">
      <w:pPr>
        <w:spacing w:line="276" w:lineRule="auto"/>
        <w:jc w:val="center"/>
        <w:rPr>
          <w:b/>
          <w:caps/>
          <w:color w:val="000000"/>
          <w:sz w:val="24"/>
        </w:rPr>
      </w:pPr>
      <w:r w:rsidRPr="00BE5393">
        <w:rPr>
          <w:b/>
          <w:caps/>
          <w:color w:val="000000"/>
          <w:sz w:val="24"/>
        </w:rPr>
        <w:t>CONSEJERO PONENTE: JAIME ENRIQUE RODRÍGUEZ NAVAS</w:t>
      </w:r>
    </w:p>
    <w:p w14:paraId="67E18E32" w14:textId="77777777" w:rsidR="00BE5393" w:rsidRPr="00BE5393" w:rsidRDefault="00BE5393" w:rsidP="00BE5393">
      <w:pPr>
        <w:spacing w:line="276" w:lineRule="auto"/>
        <w:contextualSpacing/>
        <w:rPr>
          <w:b/>
          <w:bCs/>
          <w:sz w:val="24"/>
          <w:szCs w:val="24"/>
        </w:rPr>
      </w:pPr>
    </w:p>
    <w:p w14:paraId="531910C5" w14:textId="56562436" w:rsidR="00BE5393" w:rsidRPr="00BE5393" w:rsidRDefault="00BE5393" w:rsidP="00BE5393">
      <w:pPr>
        <w:spacing w:line="276" w:lineRule="auto"/>
        <w:contextualSpacing/>
        <w:rPr>
          <w:bCs/>
          <w:sz w:val="24"/>
          <w:szCs w:val="24"/>
        </w:rPr>
      </w:pPr>
      <w:r w:rsidRPr="00BE5393">
        <w:rPr>
          <w:bCs/>
          <w:sz w:val="24"/>
          <w:szCs w:val="24"/>
        </w:rPr>
        <w:t>Bogotá D.C.,</w:t>
      </w:r>
      <w:r w:rsidR="00353305">
        <w:rPr>
          <w:bCs/>
          <w:sz w:val="24"/>
          <w:szCs w:val="24"/>
        </w:rPr>
        <w:t xml:space="preserve"> </w:t>
      </w:r>
      <w:r w:rsidR="002D6EB0">
        <w:rPr>
          <w:bCs/>
          <w:sz w:val="24"/>
          <w:szCs w:val="24"/>
        </w:rPr>
        <w:t>cuatro</w:t>
      </w:r>
      <w:r w:rsidR="00F516DD">
        <w:rPr>
          <w:bCs/>
          <w:sz w:val="24"/>
          <w:szCs w:val="24"/>
        </w:rPr>
        <w:t xml:space="preserve"> (</w:t>
      </w:r>
      <w:r w:rsidR="002D6EB0">
        <w:rPr>
          <w:bCs/>
          <w:sz w:val="24"/>
          <w:szCs w:val="24"/>
        </w:rPr>
        <w:t>04</w:t>
      </w:r>
      <w:r w:rsidRPr="00BE5393">
        <w:rPr>
          <w:bCs/>
          <w:sz w:val="24"/>
          <w:szCs w:val="24"/>
        </w:rPr>
        <w:t xml:space="preserve">) de </w:t>
      </w:r>
      <w:r w:rsidR="002D6EB0">
        <w:rPr>
          <w:bCs/>
          <w:sz w:val="24"/>
          <w:szCs w:val="24"/>
        </w:rPr>
        <w:t>febrero</w:t>
      </w:r>
      <w:r w:rsidRPr="00BE5393">
        <w:rPr>
          <w:bCs/>
          <w:sz w:val="24"/>
          <w:szCs w:val="24"/>
        </w:rPr>
        <w:t xml:space="preserve"> de dos mil veintiuno (2021).</w:t>
      </w:r>
    </w:p>
    <w:p w14:paraId="03A53208" w14:textId="77777777" w:rsidR="00BE5393" w:rsidRPr="00BE5393" w:rsidRDefault="00BE5393" w:rsidP="00BE5393">
      <w:pPr>
        <w:spacing w:line="276" w:lineRule="auto"/>
        <w:contextualSpacing/>
        <w:rPr>
          <w:b/>
          <w:sz w:val="24"/>
          <w:szCs w:val="24"/>
        </w:rPr>
      </w:pPr>
    </w:p>
    <w:p w14:paraId="737D15ED" w14:textId="003FBAC4" w:rsidR="00BE5393" w:rsidRPr="00BE5393" w:rsidRDefault="00BE5393" w:rsidP="00BE5393">
      <w:pPr>
        <w:tabs>
          <w:tab w:val="left" w:pos="1985"/>
        </w:tabs>
        <w:spacing w:line="276" w:lineRule="auto"/>
        <w:rPr>
          <w:b/>
          <w:sz w:val="24"/>
          <w:szCs w:val="24"/>
          <w:lang w:val="es-ES" w:eastAsia="en-US"/>
        </w:rPr>
      </w:pPr>
      <w:r w:rsidRPr="00BE5393">
        <w:rPr>
          <w:b/>
          <w:sz w:val="24"/>
          <w:szCs w:val="24"/>
          <w:lang w:val="es-ES" w:eastAsia="en-US"/>
        </w:rPr>
        <w:t>Radicación:</w:t>
      </w:r>
      <w:r w:rsidRPr="00BE5393">
        <w:rPr>
          <w:b/>
          <w:sz w:val="24"/>
          <w:szCs w:val="24"/>
          <w:lang w:val="es-ES" w:eastAsia="en-US"/>
        </w:rPr>
        <w:tab/>
      </w:r>
      <w:bookmarkStart w:id="0" w:name="_Hlk62114864"/>
      <w:bookmarkStart w:id="1" w:name="_Hlk38370324"/>
      <w:r w:rsidR="00B0551F">
        <w:rPr>
          <w:bCs/>
          <w:sz w:val="24"/>
          <w:szCs w:val="24"/>
          <w:lang w:eastAsia="en-US"/>
        </w:rPr>
        <w:t>11001-03-15-000-2021</w:t>
      </w:r>
      <w:r w:rsidRPr="00BE5393">
        <w:rPr>
          <w:bCs/>
          <w:sz w:val="24"/>
          <w:szCs w:val="24"/>
          <w:lang w:eastAsia="en-US"/>
        </w:rPr>
        <w:t>-0</w:t>
      </w:r>
      <w:r w:rsidR="00F516DD">
        <w:rPr>
          <w:bCs/>
          <w:sz w:val="24"/>
          <w:szCs w:val="24"/>
          <w:lang w:eastAsia="en-US"/>
        </w:rPr>
        <w:t>0</w:t>
      </w:r>
      <w:r w:rsidR="002D6EB0">
        <w:rPr>
          <w:bCs/>
          <w:sz w:val="24"/>
          <w:szCs w:val="24"/>
          <w:lang w:eastAsia="en-US"/>
        </w:rPr>
        <w:t>362</w:t>
      </w:r>
      <w:r w:rsidRPr="00BE5393">
        <w:rPr>
          <w:bCs/>
          <w:sz w:val="24"/>
          <w:szCs w:val="24"/>
          <w:lang w:eastAsia="en-US"/>
        </w:rPr>
        <w:t>-0</w:t>
      </w:r>
      <w:r w:rsidR="00B0551F">
        <w:rPr>
          <w:bCs/>
          <w:sz w:val="24"/>
          <w:szCs w:val="24"/>
          <w:lang w:eastAsia="en-US"/>
        </w:rPr>
        <w:t>0</w:t>
      </w:r>
      <w:bookmarkEnd w:id="0"/>
    </w:p>
    <w:bookmarkEnd w:id="1"/>
    <w:p w14:paraId="20BF07B5" w14:textId="282D3F43" w:rsidR="00BE5393" w:rsidRPr="002D6EB0" w:rsidRDefault="002D6EB0" w:rsidP="00BE5393">
      <w:pPr>
        <w:tabs>
          <w:tab w:val="left" w:pos="1985"/>
        </w:tabs>
        <w:spacing w:line="276" w:lineRule="auto"/>
        <w:ind w:left="1980" w:hanging="1980"/>
        <w:rPr>
          <w:bCs/>
          <w:sz w:val="24"/>
          <w:szCs w:val="24"/>
          <w:lang w:eastAsia="en-US"/>
        </w:rPr>
      </w:pPr>
      <w:r>
        <w:rPr>
          <w:b/>
          <w:sz w:val="24"/>
          <w:szCs w:val="24"/>
          <w:lang w:val="es-ES" w:eastAsia="en-US"/>
        </w:rPr>
        <w:t>Accionante</w:t>
      </w:r>
      <w:r w:rsidR="00BE5393" w:rsidRPr="00BE5393">
        <w:rPr>
          <w:b/>
          <w:sz w:val="24"/>
          <w:szCs w:val="24"/>
          <w:lang w:val="es-ES" w:eastAsia="en-US"/>
        </w:rPr>
        <w:t>:</w:t>
      </w:r>
      <w:r w:rsidR="00BE5393" w:rsidRPr="00BE5393">
        <w:rPr>
          <w:b/>
          <w:sz w:val="24"/>
          <w:szCs w:val="24"/>
          <w:lang w:val="es-ES" w:eastAsia="en-US"/>
        </w:rPr>
        <w:tab/>
      </w:r>
      <w:bookmarkStart w:id="2" w:name="_Hlk39513731"/>
      <w:r>
        <w:rPr>
          <w:sz w:val="24"/>
          <w:szCs w:val="24"/>
          <w:lang w:val="es-ES" w:eastAsia="en-US"/>
        </w:rPr>
        <w:t>José Alberto Car</w:t>
      </w:r>
      <w:r w:rsidR="005A504A">
        <w:rPr>
          <w:sz w:val="24"/>
          <w:szCs w:val="24"/>
          <w:lang w:val="es-ES" w:eastAsia="en-US"/>
        </w:rPr>
        <w:t>d</w:t>
      </w:r>
      <w:r>
        <w:rPr>
          <w:sz w:val="24"/>
          <w:szCs w:val="24"/>
          <w:lang w:val="es-ES" w:eastAsia="en-US"/>
        </w:rPr>
        <w:t>ona Gutiérrez</w:t>
      </w:r>
    </w:p>
    <w:bookmarkEnd w:id="2"/>
    <w:p w14:paraId="5B975FBA" w14:textId="4FEBA938" w:rsidR="00BE5393" w:rsidRPr="00BE5393" w:rsidRDefault="00BE5393" w:rsidP="00BE5393">
      <w:pPr>
        <w:tabs>
          <w:tab w:val="left" w:pos="1985"/>
        </w:tabs>
        <w:spacing w:line="276" w:lineRule="auto"/>
        <w:ind w:left="1980" w:hanging="1980"/>
        <w:rPr>
          <w:sz w:val="24"/>
          <w:szCs w:val="24"/>
          <w:lang w:val="es-ES" w:eastAsia="en-US"/>
        </w:rPr>
      </w:pPr>
      <w:r w:rsidRPr="00BE5393">
        <w:rPr>
          <w:b/>
          <w:sz w:val="24"/>
          <w:szCs w:val="24"/>
          <w:lang w:val="es-ES" w:eastAsia="en-US"/>
        </w:rPr>
        <w:t>Accionado</w:t>
      </w:r>
      <w:r w:rsidR="002D6EB0">
        <w:rPr>
          <w:b/>
          <w:sz w:val="24"/>
          <w:szCs w:val="24"/>
          <w:lang w:val="es-ES" w:eastAsia="en-US"/>
        </w:rPr>
        <w:t>s</w:t>
      </w:r>
      <w:r w:rsidRPr="00BE5393">
        <w:rPr>
          <w:b/>
          <w:sz w:val="24"/>
          <w:szCs w:val="24"/>
          <w:lang w:val="es-ES" w:eastAsia="en-US"/>
        </w:rPr>
        <w:t>:</w:t>
      </w:r>
      <w:r w:rsidRPr="00BE5393">
        <w:rPr>
          <w:b/>
          <w:sz w:val="24"/>
          <w:szCs w:val="24"/>
          <w:lang w:val="es-ES" w:eastAsia="en-US"/>
        </w:rPr>
        <w:tab/>
      </w:r>
      <w:r w:rsidR="002D6EB0">
        <w:rPr>
          <w:sz w:val="24"/>
          <w:szCs w:val="24"/>
          <w:lang w:eastAsia="en-US"/>
        </w:rPr>
        <w:t xml:space="preserve">Subsección B de la Sección Segunda del Consejo de Estado, Fondo de Pensiones Públicas y la </w:t>
      </w:r>
      <w:r w:rsidR="002D6EB0">
        <w:rPr>
          <w:color w:val="202124"/>
          <w:sz w:val="27"/>
          <w:szCs w:val="27"/>
          <w:shd w:val="clear" w:color="auto" w:fill="FFFFFF"/>
        </w:rPr>
        <w:t>Unidad de Gestión Pensional y Parafiscales de la Protección Social</w:t>
      </w:r>
      <w:r w:rsidR="002D6EB0">
        <w:rPr>
          <w:sz w:val="24"/>
          <w:szCs w:val="24"/>
          <w:lang w:eastAsia="en-US"/>
        </w:rPr>
        <w:t xml:space="preserve"> (UGPP)</w:t>
      </w:r>
    </w:p>
    <w:p w14:paraId="59404C85" w14:textId="77777777" w:rsidR="00BE5393" w:rsidRPr="00BE5393" w:rsidRDefault="00BE5393" w:rsidP="00BE5393">
      <w:pPr>
        <w:tabs>
          <w:tab w:val="left" w:pos="8222"/>
        </w:tabs>
        <w:spacing w:line="276" w:lineRule="auto"/>
        <w:ind w:right="51"/>
        <w:contextualSpacing/>
        <w:rPr>
          <w:b/>
          <w:sz w:val="24"/>
          <w:szCs w:val="24"/>
          <w:lang w:val="es-ES"/>
        </w:rPr>
      </w:pPr>
    </w:p>
    <w:p w14:paraId="12C45E04" w14:textId="77777777" w:rsidR="00BE5393" w:rsidRPr="00BE5393" w:rsidRDefault="00BE5393" w:rsidP="00BE5393">
      <w:pPr>
        <w:pBdr>
          <w:bottom w:val="single" w:sz="12" w:space="0" w:color="auto"/>
        </w:pBdr>
        <w:spacing w:line="276" w:lineRule="auto"/>
        <w:ind w:left="2832" w:hanging="2832"/>
        <w:contextualSpacing/>
        <w:rPr>
          <w:b/>
          <w:sz w:val="24"/>
          <w:szCs w:val="24"/>
        </w:rPr>
      </w:pPr>
      <w:r w:rsidRPr="00BE5393">
        <w:rPr>
          <w:b/>
          <w:sz w:val="24"/>
          <w:szCs w:val="24"/>
        </w:rPr>
        <w:t>AUTO ADMISORIO</w:t>
      </w:r>
    </w:p>
    <w:p w14:paraId="12576ED0" w14:textId="45AC3086" w:rsidR="00BE5393" w:rsidRDefault="00BE5393" w:rsidP="00BE5393">
      <w:pPr>
        <w:autoSpaceDE w:val="0"/>
        <w:autoSpaceDN w:val="0"/>
        <w:adjustRightInd w:val="0"/>
        <w:jc w:val="left"/>
        <w:rPr>
          <w:sz w:val="20"/>
          <w:szCs w:val="20"/>
          <w:lang w:eastAsia="en-US"/>
        </w:rPr>
      </w:pPr>
    </w:p>
    <w:p w14:paraId="79CE6F60" w14:textId="77777777" w:rsidR="006B25DA" w:rsidRPr="00BE5393" w:rsidRDefault="006B25DA" w:rsidP="00BE5393">
      <w:pPr>
        <w:autoSpaceDE w:val="0"/>
        <w:autoSpaceDN w:val="0"/>
        <w:adjustRightInd w:val="0"/>
        <w:jc w:val="left"/>
        <w:rPr>
          <w:sz w:val="20"/>
          <w:szCs w:val="20"/>
          <w:lang w:eastAsia="en-US"/>
        </w:rPr>
      </w:pPr>
    </w:p>
    <w:p w14:paraId="72DC2239" w14:textId="59DF712F" w:rsidR="00A44787" w:rsidRDefault="002D6EB0" w:rsidP="00F516DD">
      <w:pPr>
        <w:tabs>
          <w:tab w:val="left" w:pos="1985"/>
        </w:tabs>
        <w:spacing w:line="276" w:lineRule="auto"/>
        <w:rPr>
          <w:sz w:val="24"/>
          <w:szCs w:val="24"/>
          <w:lang w:eastAsia="en-US"/>
        </w:rPr>
      </w:pPr>
      <w:r>
        <w:rPr>
          <w:sz w:val="24"/>
          <w:szCs w:val="24"/>
          <w:lang w:val="es-ES" w:eastAsia="en-US"/>
        </w:rPr>
        <w:t>José Alberto Car</w:t>
      </w:r>
      <w:r w:rsidR="0085590F">
        <w:rPr>
          <w:sz w:val="24"/>
          <w:szCs w:val="24"/>
          <w:lang w:val="es-ES" w:eastAsia="en-US"/>
        </w:rPr>
        <w:t>d</w:t>
      </w:r>
      <w:r>
        <w:rPr>
          <w:sz w:val="24"/>
          <w:szCs w:val="24"/>
          <w:lang w:val="es-ES" w:eastAsia="en-US"/>
        </w:rPr>
        <w:t>ona Gutiérrez</w:t>
      </w:r>
      <w:r w:rsidR="00751389">
        <w:rPr>
          <w:bCs/>
          <w:sz w:val="24"/>
          <w:szCs w:val="24"/>
          <w:lang w:eastAsia="en-US"/>
        </w:rPr>
        <w:t xml:space="preserve"> </w:t>
      </w:r>
      <w:r>
        <w:rPr>
          <w:sz w:val="24"/>
          <w:szCs w:val="24"/>
          <w:lang w:eastAsia="en-US"/>
        </w:rPr>
        <w:t xml:space="preserve">presentó </w:t>
      </w:r>
      <w:r w:rsidR="00BE5393" w:rsidRPr="00BE5393">
        <w:rPr>
          <w:sz w:val="24"/>
          <w:szCs w:val="24"/>
          <w:lang w:eastAsia="en-US"/>
        </w:rPr>
        <w:t>escrito de tutela en contra</w:t>
      </w:r>
      <w:r w:rsidR="0085590F">
        <w:rPr>
          <w:sz w:val="24"/>
          <w:szCs w:val="24"/>
          <w:lang w:eastAsia="en-US"/>
        </w:rPr>
        <w:t xml:space="preserve"> de la</w:t>
      </w:r>
      <w:r w:rsidR="00BE5393" w:rsidRPr="00BE5393">
        <w:rPr>
          <w:sz w:val="24"/>
          <w:szCs w:val="24"/>
          <w:lang w:eastAsia="en-US"/>
        </w:rPr>
        <w:t xml:space="preserve"> </w:t>
      </w:r>
      <w:r w:rsidRPr="002D6EB0">
        <w:rPr>
          <w:sz w:val="24"/>
          <w:szCs w:val="24"/>
          <w:lang w:eastAsia="en-US"/>
        </w:rPr>
        <w:t>Subsección B de la Sección Segunda del Consejo de Estado,</w:t>
      </w:r>
      <w:r w:rsidR="0085590F">
        <w:rPr>
          <w:sz w:val="24"/>
          <w:szCs w:val="24"/>
          <w:lang w:eastAsia="en-US"/>
        </w:rPr>
        <w:t xml:space="preserve"> </w:t>
      </w:r>
      <w:r w:rsidR="00C040CC">
        <w:rPr>
          <w:sz w:val="24"/>
          <w:szCs w:val="24"/>
          <w:lang w:eastAsia="en-US"/>
        </w:rPr>
        <w:t>d</w:t>
      </w:r>
      <w:r w:rsidR="0085590F">
        <w:rPr>
          <w:sz w:val="24"/>
          <w:szCs w:val="24"/>
          <w:lang w:eastAsia="en-US"/>
        </w:rPr>
        <w:t>el</w:t>
      </w:r>
      <w:r w:rsidRPr="002D6EB0">
        <w:rPr>
          <w:sz w:val="24"/>
          <w:szCs w:val="24"/>
          <w:lang w:eastAsia="en-US"/>
        </w:rPr>
        <w:t xml:space="preserve"> Fondo de Pensiones Públicas</w:t>
      </w:r>
      <w:r w:rsidR="005A504A">
        <w:rPr>
          <w:sz w:val="24"/>
          <w:szCs w:val="24"/>
          <w:lang w:eastAsia="en-US"/>
        </w:rPr>
        <w:t xml:space="preserve"> (FOPEP)</w:t>
      </w:r>
      <w:r w:rsidRPr="002D6EB0">
        <w:rPr>
          <w:sz w:val="24"/>
          <w:szCs w:val="24"/>
          <w:lang w:eastAsia="en-US"/>
        </w:rPr>
        <w:t xml:space="preserve"> y </w:t>
      </w:r>
      <w:r w:rsidR="00C040CC">
        <w:rPr>
          <w:sz w:val="24"/>
          <w:szCs w:val="24"/>
          <w:lang w:eastAsia="en-US"/>
        </w:rPr>
        <w:t xml:space="preserve">de </w:t>
      </w:r>
      <w:r w:rsidRPr="002D6EB0">
        <w:rPr>
          <w:sz w:val="24"/>
          <w:szCs w:val="24"/>
          <w:lang w:eastAsia="en-US"/>
        </w:rPr>
        <w:t>la Unidad de Gestión Pensional y Parafiscales de la Protección Social (UGPP)</w:t>
      </w:r>
      <w:r w:rsidR="00BE5393" w:rsidRPr="00BE5393">
        <w:rPr>
          <w:sz w:val="24"/>
          <w:szCs w:val="24"/>
          <w:lang w:eastAsia="en-US"/>
        </w:rPr>
        <w:t xml:space="preserve">. </w:t>
      </w:r>
      <w:r w:rsidR="00C040CC">
        <w:rPr>
          <w:sz w:val="24"/>
          <w:szCs w:val="24"/>
          <w:lang w:eastAsia="en-US"/>
        </w:rPr>
        <w:t>El</w:t>
      </w:r>
      <w:r w:rsidR="00BE5393" w:rsidRPr="00BE5393">
        <w:rPr>
          <w:sz w:val="24"/>
          <w:szCs w:val="24"/>
          <w:lang w:eastAsia="en-US"/>
        </w:rPr>
        <w:t xml:space="preserve"> </w:t>
      </w:r>
      <w:r w:rsidR="00C040CC">
        <w:rPr>
          <w:sz w:val="24"/>
          <w:szCs w:val="24"/>
          <w:lang w:eastAsia="en-US"/>
        </w:rPr>
        <w:t>accionante solicitó</w:t>
      </w:r>
      <w:r w:rsidR="00BE5393" w:rsidRPr="00BE5393">
        <w:rPr>
          <w:sz w:val="24"/>
          <w:szCs w:val="24"/>
          <w:lang w:eastAsia="en-US"/>
        </w:rPr>
        <w:t xml:space="preserve"> la protecció</w:t>
      </w:r>
      <w:r>
        <w:rPr>
          <w:sz w:val="24"/>
          <w:szCs w:val="24"/>
          <w:lang w:eastAsia="en-US"/>
        </w:rPr>
        <w:t>n de sus derechos fundamentales a “la Salud,</w:t>
      </w:r>
      <w:r w:rsidRPr="00BE5393">
        <w:rPr>
          <w:sz w:val="24"/>
          <w:szCs w:val="24"/>
          <w:lang w:eastAsia="en-US"/>
        </w:rPr>
        <w:t xml:space="preserve"> </w:t>
      </w:r>
      <w:r>
        <w:rPr>
          <w:sz w:val="24"/>
          <w:szCs w:val="24"/>
          <w:lang w:eastAsia="en-US"/>
        </w:rPr>
        <w:t>I</w:t>
      </w:r>
      <w:r w:rsidRPr="00BE5393">
        <w:rPr>
          <w:sz w:val="24"/>
          <w:szCs w:val="24"/>
          <w:lang w:eastAsia="en-US"/>
        </w:rPr>
        <w:t>gualdad</w:t>
      </w:r>
      <w:r>
        <w:rPr>
          <w:sz w:val="24"/>
          <w:szCs w:val="24"/>
          <w:lang w:eastAsia="en-US"/>
        </w:rPr>
        <w:t xml:space="preserve">, Debido proceso, Buena fe, al reconocimiento de una pensión digna y justa; y a la Seguridad Social por afectación a la (bis) mínimo móvil vital en la pensión de vejez”. </w:t>
      </w:r>
    </w:p>
    <w:p w14:paraId="7CD286FB" w14:textId="77777777" w:rsidR="00A44787" w:rsidRDefault="00A44787" w:rsidP="00F516DD">
      <w:pPr>
        <w:tabs>
          <w:tab w:val="left" w:pos="1985"/>
        </w:tabs>
        <w:spacing w:line="276" w:lineRule="auto"/>
        <w:rPr>
          <w:sz w:val="24"/>
          <w:szCs w:val="24"/>
          <w:lang w:eastAsia="en-US"/>
        </w:rPr>
      </w:pPr>
    </w:p>
    <w:p w14:paraId="57DFBFD9" w14:textId="05893C14" w:rsidR="00E25115" w:rsidRDefault="00E25115" w:rsidP="00F516DD">
      <w:pPr>
        <w:tabs>
          <w:tab w:val="left" w:pos="1985"/>
        </w:tabs>
        <w:spacing w:line="276" w:lineRule="auto"/>
        <w:rPr>
          <w:sz w:val="24"/>
          <w:szCs w:val="24"/>
          <w:lang w:eastAsia="en-US"/>
        </w:rPr>
      </w:pPr>
      <w:r>
        <w:rPr>
          <w:sz w:val="24"/>
          <w:szCs w:val="24"/>
          <w:lang w:eastAsia="en-US"/>
        </w:rPr>
        <w:t>La parte actora considera vulneradas las anteriores garantías, con ocasión de:</w:t>
      </w:r>
    </w:p>
    <w:p w14:paraId="3C848F81" w14:textId="61EC3AA9" w:rsidR="009E44CC" w:rsidRPr="009E44CC" w:rsidRDefault="009E44CC" w:rsidP="009E44CC">
      <w:pPr>
        <w:tabs>
          <w:tab w:val="left" w:pos="1985"/>
        </w:tabs>
        <w:spacing w:line="276" w:lineRule="auto"/>
        <w:rPr>
          <w:lang w:eastAsia="en-US"/>
        </w:rPr>
      </w:pPr>
    </w:p>
    <w:p w14:paraId="1F76E735" w14:textId="14867613" w:rsidR="00C040CC" w:rsidRDefault="00A44787" w:rsidP="0085590F">
      <w:pPr>
        <w:pStyle w:val="Prrafodelista"/>
        <w:numPr>
          <w:ilvl w:val="0"/>
          <w:numId w:val="35"/>
        </w:numPr>
        <w:tabs>
          <w:tab w:val="left" w:pos="1985"/>
        </w:tabs>
        <w:spacing w:line="276" w:lineRule="auto"/>
        <w:jc w:val="both"/>
        <w:rPr>
          <w:rFonts w:ascii="Arial" w:hAnsi="Arial" w:cs="Arial"/>
          <w:lang w:eastAsia="en-US"/>
        </w:rPr>
      </w:pPr>
      <w:r>
        <w:rPr>
          <w:rFonts w:ascii="Arial" w:hAnsi="Arial" w:cs="Arial"/>
          <w:lang w:eastAsia="en-US"/>
        </w:rPr>
        <w:t>la</w:t>
      </w:r>
      <w:r w:rsidR="00E25115" w:rsidRPr="00E25115">
        <w:rPr>
          <w:rFonts w:ascii="Arial" w:hAnsi="Arial" w:cs="Arial"/>
          <w:lang w:eastAsia="en-US"/>
        </w:rPr>
        <w:t xml:space="preserve"> providencia del 20 de febrero de 2020 proferida por la Subsección B de la Sección Segunda del Consejo de Estado, que </w:t>
      </w:r>
      <w:r w:rsidR="0085590F">
        <w:rPr>
          <w:rFonts w:ascii="Arial" w:hAnsi="Arial" w:cs="Arial"/>
          <w:lang w:eastAsia="en-US"/>
        </w:rPr>
        <w:t>declaró fundado</w:t>
      </w:r>
      <w:r w:rsidR="00E25115" w:rsidRPr="00E25115">
        <w:rPr>
          <w:rFonts w:ascii="Arial" w:hAnsi="Arial" w:cs="Arial"/>
          <w:lang w:eastAsia="en-US"/>
        </w:rPr>
        <w:t xml:space="preserve"> el recurso extraordinario de revisión interpuesto por la UGPP</w:t>
      </w:r>
      <w:r w:rsidR="00C040CC">
        <w:rPr>
          <w:rFonts w:ascii="Arial" w:hAnsi="Arial" w:cs="Arial"/>
          <w:lang w:eastAsia="en-US"/>
        </w:rPr>
        <w:t>, y</w:t>
      </w:r>
      <w:r w:rsidR="00A72EFF">
        <w:rPr>
          <w:rFonts w:ascii="Arial" w:hAnsi="Arial" w:cs="Arial"/>
          <w:lang w:eastAsia="en-US"/>
        </w:rPr>
        <w:t xml:space="preserve"> que</w:t>
      </w:r>
      <w:r w:rsidR="00C040CC">
        <w:rPr>
          <w:rFonts w:ascii="Arial" w:hAnsi="Arial" w:cs="Arial"/>
          <w:lang w:eastAsia="en-US"/>
        </w:rPr>
        <w:t xml:space="preserve">, en consecuencia, </w:t>
      </w:r>
      <w:r w:rsidR="00A72EFF">
        <w:rPr>
          <w:rFonts w:ascii="Arial" w:hAnsi="Arial" w:cs="Arial"/>
          <w:lang w:eastAsia="en-US"/>
        </w:rPr>
        <w:t>revocó</w:t>
      </w:r>
      <w:r w:rsidR="0085590F">
        <w:rPr>
          <w:rFonts w:ascii="Arial" w:hAnsi="Arial" w:cs="Arial"/>
          <w:lang w:eastAsia="en-US"/>
        </w:rPr>
        <w:t xml:space="preserve"> de manera parcial </w:t>
      </w:r>
      <w:r w:rsidR="00E25115" w:rsidRPr="0085590F">
        <w:rPr>
          <w:rFonts w:ascii="Arial" w:hAnsi="Arial" w:cs="Arial"/>
          <w:lang w:eastAsia="en-US"/>
        </w:rPr>
        <w:t xml:space="preserve">la sentencia </w:t>
      </w:r>
      <w:r w:rsidR="0085590F" w:rsidRPr="0085590F">
        <w:rPr>
          <w:rFonts w:ascii="Arial" w:hAnsi="Arial" w:cs="Arial"/>
          <w:lang w:eastAsia="en-US"/>
        </w:rPr>
        <w:t xml:space="preserve">dictada </w:t>
      </w:r>
      <w:r w:rsidR="00E25115" w:rsidRPr="0085590F">
        <w:rPr>
          <w:rFonts w:ascii="Arial" w:hAnsi="Arial" w:cs="Arial"/>
          <w:lang w:eastAsia="en-US"/>
        </w:rPr>
        <w:t xml:space="preserve">el 25 de mayo de 2012 por el Tribunal Administrativo de Caldas, que confirmó </w:t>
      </w:r>
      <w:r w:rsidR="0085590F" w:rsidRPr="0085590F">
        <w:rPr>
          <w:rFonts w:ascii="Arial" w:hAnsi="Arial" w:cs="Arial"/>
          <w:lang w:eastAsia="en-US"/>
        </w:rPr>
        <w:t>la decisión</w:t>
      </w:r>
      <w:r w:rsidR="00E25115" w:rsidRPr="0085590F">
        <w:rPr>
          <w:rFonts w:ascii="Arial" w:hAnsi="Arial" w:cs="Arial"/>
          <w:lang w:eastAsia="en-US"/>
        </w:rPr>
        <w:t xml:space="preserve"> </w:t>
      </w:r>
      <w:r w:rsidR="0085590F" w:rsidRPr="0085590F">
        <w:rPr>
          <w:rFonts w:ascii="Arial" w:hAnsi="Arial" w:cs="Arial"/>
          <w:lang w:eastAsia="en-US"/>
        </w:rPr>
        <w:t>d</w:t>
      </w:r>
      <w:r w:rsidR="00E25115" w:rsidRPr="0085590F">
        <w:rPr>
          <w:rFonts w:ascii="Arial" w:hAnsi="Arial" w:cs="Arial"/>
          <w:lang w:eastAsia="en-US"/>
        </w:rPr>
        <w:t>el Juzgado Cuarto Administrativo</w:t>
      </w:r>
      <w:r w:rsidR="0085590F">
        <w:rPr>
          <w:rFonts w:ascii="Arial" w:hAnsi="Arial" w:cs="Arial"/>
          <w:lang w:eastAsia="en-US"/>
        </w:rPr>
        <w:t xml:space="preserve"> </w:t>
      </w:r>
      <w:r w:rsidR="00C040CC">
        <w:rPr>
          <w:rFonts w:ascii="Arial" w:hAnsi="Arial" w:cs="Arial"/>
          <w:lang w:eastAsia="en-US"/>
        </w:rPr>
        <w:t xml:space="preserve">de Descongestión </w:t>
      </w:r>
      <w:r w:rsidR="0085590F">
        <w:rPr>
          <w:rFonts w:ascii="Arial" w:hAnsi="Arial" w:cs="Arial"/>
          <w:lang w:eastAsia="en-US"/>
        </w:rPr>
        <w:t>de Manizales</w:t>
      </w:r>
      <w:r w:rsidR="0085590F" w:rsidRPr="0085590F">
        <w:rPr>
          <w:rFonts w:ascii="Arial" w:hAnsi="Arial" w:cs="Arial"/>
          <w:lang w:eastAsia="en-US"/>
        </w:rPr>
        <w:t xml:space="preserve"> de acceder a las pretensiones de la demanda de nulidad y restablecimiento presentada por el señor Cardona Guti</w:t>
      </w:r>
      <w:r w:rsidR="00C040CC">
        <w:rPr>
          <w:rFonts w:ascii="Arial" w:hAnsi="Arial" w:cs="Arial"/>
          <w:lang w:eastAsia="en-US"/>
        </w:rPr>
        <w:t>érrez</w:t>
      </w:r>
      <w:r w:rsidR="0085590F">
        <w:rPr>
          <w:rFonts w:ascii="Arial" w:hAnsi="Arial" w:cs="Arial"/>
          <w:lang w:eastAsia="en-US"/>
        </w:rPr>
        <w:t>.</w:t>
      </w:r>
      <w:r w:rsidR="00C040CC">
        <w:rPr>
          <w:rFonts w:ascii="Arial" w:hAnsi="Arial" w:cs="Arial"/>
          <w:lang w:eastAsia="en-US"/>
        </w:rPr>
        <w:t xml:space="preserve"> </w:t>
      </w:r>
    </w:p>
    <w:p w14:paraId="7C92580D" w14:textId="0862C3BA" w:rsidR="0085590F" w:rsidRPr="0085590F" w:rsidRDefault="00C040CC" w:rsidP="00C040CC">
      <w:pPr>
        <w:pStyle w:val="Prrafodelista"/>
        <w:tabs>
          <w:tab w:val="left" w:pos="1985"/>
        </w:tabs>
        <w:spacing w:line="276" w:lineRule="auto"/>
        <w:jc w:val="both"/>
        <w:rPr>
          <w:rFonts w:ascii="Arial" w:hAnsi="Arial" w:cs="Arial"/>
          <w:lang w:eastAsia="en-US"/>
        </w:rPr>
      </w:pPr>
      <w:r w:rsidRPr="00C040CC">
        <w:rPr>
          <w:rFonts w:ascii="Arial" w:hAnsi="Arial" w:cs="Arial"/>
          <w:lang w:eastAsia="en-US"/>
        </w:rPr>
        <w:t xml:space="preserve">El trámite del </w:t>
      </w:r>
      <w:r w:rsidRPr="00A72EFF">
        <w:rPr>
          <w:rFonts w:ascii="Arial" w:hAnsi="Arial" w:cs="Arial"/>
          <w:lang w:eastAsia="en-US"/>
        </w:rPr>
        <w:t>recurso extraordinario se adelantó bajo el número de radicado 11001-03-25-000-2014-00273-00</w:t>
      </w:r>
      <w:r w:rsidR="00A72EFF">
        <w:rPr>
          <w:rFonts w:ascii="Arial" w:hAnsi="Arial" w:cs="Arial"/>
          <w:lang w:eastAsia="en-US"/>
        </w:rPr>
        <w:t>. I</w:t>
      </w:r>
      <w:r w:rsidR="00A72EFF" w:rsidRPr="00A72EFF">
        <w:rPr>
          <w:rFonts w:ascii="Arial" w:hAnsi="Arial" w:cs="Arial"/>
          <w:lang w:eastAsia="en-US"/>
        </w:rPr>
        <w:t>ntervino como parte recurrente, la UGPP, y como demandado, José Alberto Cardona Gutiérrez.</w:t>
      </w:r>
    </w:p>
    <w:p w14:paraId="3F42CD3F" w14:textId="3D9D468B" w:rsidR="00BE5393" w:rsidRPr="0085590F" w:rsidRDefault="00A44787" w:rsidP="00F516DD">
      <w:pPr>
        <w:pStyle w:val="Prrafodelista"/>
        <w:numPr>
          <w:ilvl w:val="0"/>
          <w:numId w:val="35"/>
        </w:numPr>
        <w:tabs>
          <w:tab w:val="left" w:pos="1985"/>
        </w:tabs>
        <w:spacing w:line="276" w:lineRule="auto"/>
        <w:jc w:val="both"/>
        <w:rPr>
          <w:rFonts w:ascii="Arial" w:hAnsi="Arial" w:cs="Arial"/>
          <w:lang w:eastAsia="en-US"/>
        </w:rPr>
      </w:pPr>
      <w:r>
        <w:rPr>
          <w:rFonts w:ascii="Arial" w:hAnsi="Arial" w:cs="Arial"/>
          <w:lang w:eastAsia="en-US"/>
        </w:rPr>
        <w:t>l</w:t>
      </w:r>
      <w:r w:rsidR="00E25115" w:rsidRPr="0085590F">
        <w:rPr>
          <w:rFonts w:ascii="Arial" w:hAnsi="Arial" w:cs="Arial"/>
          <w:lang w:eastAsia="en-US"/>
        </w:rPr>
        <w:t>a</w:t>
      </w:r>
      <w:r>
        <w:rPr>
          <w:rFonts w:ascii="Arial" w:hAnsi="Arial" w:cs="Arial"/>
          <w:lang w:eastAsia="en-US"/>
        </w:rPr>
        <w:t>s</w:t>
      </w:r>
      <w:r w:rsidR="00E25115" w:rsidRPr="0085590F">
        <w:rPr>
          <w:rFonts w:ascii="Arial" w:hAnsi="Arial" w:cs="Arial"/>
          <w:lang w:eastAsia="en-US"/>
        </w:rPr>
        <w:t xml:space="preserve"> Resoluci</w:t>
      </w:r>
      <w:r>
        <w:rPr>
          <w:rFonts w:ascii="Arial" w:hAnsi="Arial" w:cs="Arial"/>
          <w:lang w:eastAsia="en-US"/>
        </w:rPr>
        <w:t>o</w:t>
      </w:r>
      <w:r w:rsidR="00E25115" w:rsidRPr="0085590F">
        <w:rPr>
          <w:rFonts w:ascii="Arial" w:hAnsi="Arial" w:cs="Arial"/>
          <w:lang w:eastAsia="en-US"/>
        </w:rPr>
        <w:t>n</w:t>
      </w:r>
      <w:r>
        <w:rPr>
          <w:rFonts w:ascii="Arial" w:hAnsi="Arial" w:cs="Arial"/>
          <w:lang w:eastAsia="en-US"/>
        </w:rPr>
        <w:t>es</w:t>
      </w:r>
      <w:r w:rsidR="00E25115" w:rsidRPr="0085590F">
        <w:rPr>
          <w:rFonts w:ascii="Arial" w:hAnsi="Arial" w:cs="Arial"/>
          <w:lang w:eastAsia="en-US"/>
        </w:rPr>
        <w:t xml:space="preserve"> </w:t>
      </w:r>
      <w:r w:rsidRPr="00A44787">
        <w:rPr>
          <w:rFonts w:ascii="Arial" w:hAnsi="Arial" w:cs="Arial"/>
          <w:bCs/>
          <w:lang w:val="es-CO" w:eastAsia="en-US"/>
        </w:rPr>
        <w:t>Nos. RDP29378 d</w:t>
      </w:r>
      <w:r>
        <w:rPr>
          <w:rFonts w:ascii="Arial" w:hAnsi="Arial" w:cs="Arial"/>
          <w:bCs/>
          <w:lang w:val="es-CO" w:eastAsia="en-US"/>
        </w:rPr>
        <w:t>el 17 de diciembre de 2020 y</w:t>
      </w:r>
      <w:r w:rsidRPr="00A44787">
        <w:rPr>
          <w:rFonts w:ascii="Arial" w:hAnsi="Arial" w:cs="Arial"/>
          <w:bCs/>
          <w:lang w:val="es-CO" w:eastAsia="en-US"/>
        </w:rPr>
        <w:t xml:space="preserve"> RDP23690 del 19 de octubre de 2020</w:t>
      </w:r>
      <w:r>
        <w:rPr>
          <w:rFonts w:ascii="Arial" w:hAnsi="Arial" w:cs="Arial"/>
          <w:bCs/>
          <w:lang w:val="es-CO" w:eastAsia="en-US"/>
        </w:rPr>
        <w:t>,</w:t>
      </w:r>
      <w:r w:rsidR="00E25115" w:rsidRPr="0085590F">
        <w:rPr>
          <w:rFonts w:ascii="Arial" w:hAnsi="Arial" w:cs="Arial"/>
          <w:lang w:eastAsia="en-US"/>
        </w:rPr>
        <w:t xml:space="preserve"> expedida</w:t>
      </w:r>
      <w:r>
        <w:rPr>
          <w:rFonts w:ascii="Arial" w:hAnsi="Arial" w:cs="Arial"/>
          <w:lang w:eastAsia="en-US"/>
        </w:rPr>
        <w:t>s</w:t>
      </w:r>
      <w:r w:rsidR="00E25115" w:rsidRPr="0085590F">
        <w:rPr>
          <w:rFonts w:ascii="Arial" w:hAnsi="Arial" w:cs="Arial"/>
          <w:lang w:eastAsia="en-US"/>
        </w:rPr>
        <w:t xml:space="preserve"> por la UGPP</w:t>
      </w:r>
      <w:r>
        <w:rPr>
          <w:rFonts w:ascii="Arial" w:hAnsi="Arial" w:cs="Arial"/>
          <w:lang w:eastAsia="en-US"/>
        </w:rPr>
        <w:t xml:space="preserve"> en cumplimiento de las órdenes impartidas en la providencia acusada.</w:t>
      </w:r>
      <w:r w:rsidR="00E25115" w:rsidRPr="0085590F">
        <w:rPr>
          <w:rFonts w:ascii="Arial" w:hAnsi="Arial" w:cs="Arial"/>
          <w:lang w:eastAsia="en-US"/>
        </w:rPr>
        <w:t xml:space="preserve"> </w:t>
      </w:r>
    </w:p>
    <w:p w14:paraId="01289FB7" w14:textId="77777777" w:rsidR="00BE5393" w:rsidRPr="00A44787" w:rsidRDefault="00BE5393" w:rsidP="00BE5393">
      <w:pPr>
        <w:spacing w:line="276" w:lineRule="auto"/>
        <w:ind w:right="51"/>
        <w:rPr>
          <w:sz w:val="24"/>
          <w:szCs w:val="24"/>
          <w:lang w:val="es-ES_tradnl" w:eastAsia="en-US"/>
        </w:rPr>
      </w:pPr>
    </w:p>
    <w:p w14:paraId="0E83CEFE" w14:textId="6FEFD887" w:rsidR="00BE5393" w:rsidRDefault="009E44CC" w:rsidP="00BE5393">
      <w:pPr>
        <w:spacing w:line="276" w:lineRule="auto"/>
        <w:rPr>
          <w:sz w:val="24"/>
          <w:szCs w:val="24"/>
          <w:lang w:eastAsia="en-US"/>
        </w:rPr>
      </w:pPr>
      <w:r>
        <w:rPr>
          <w:sz w:val="24"/>
          <w:szCs w:val="24"/>
        </w:rPr>
        <w:t>Por otra parte, en las pretensiones del escrito de tu</w:t>
      </w:r>
      <w:r w:rsidR="00A72EFF">
        <w:rPr>
          <w:sz w:val="24"/>
          <w:szCs w:val="24"/>
        </w:rPr>
        <w:t>tela, la parte accionante pide “como medida cautelar”</w:t>
      </w:r>
      <w:r>
        <w:rPr>
          <w:sz w:val="24"/>
          <w:szCs w:val="24"/>
        </w:rPr>
        <w:t xml:space="preserve"> </w:t>
      </w:r>
      <w:r w:rsidR="00673D96">
        <w:rPr>
          <w:sz w:val="24"/>
          <w:szCs w:val="24"/>
        </w:rPr>
        <w:t>que se deje</w:t>
      </w:r>
      <w:r>
        <w:rPr>
          <w:sz w:val="24"/>
          <w:szCs w:val="24"/>
        </w:rPr>
        <w:t xml:space="preserve"> </w:t>
      </w:r>
      <w:r w:rsidR="00673D96">
        <w:rPr>
          <w:sz w:val="24"/>
          <w:szCs w:val="24"/>
        </w:rPr>
        <w:t>“</w:t>
      </w:r>
      <w:r>
        <w:rPr>
          <w:sz w:val="24"/>
          <w:szCs w:val="24"/>
        </w:rPr>
        <w:t>sin efecto</w:t>
      </w:r>
      <w:r w:rsidR="00673D96">
        <w:rPr>
          <w:sz w:val="24"/>
          <w:szCs w:val="24"/>
        </w:rPr>
        <w:t>s jurídicos inmediatos y a futuro o hasta que se enmiende”</w:t>
      </w:r>
      <w:r>
        <w:rPr>
          <w:sz w:val="24"/>
          <w:szCs w:val="24"/>
        </w:rPr>
        <w:t xml:space="preserve"> la sentencia </w:t>
      </w:r>
      <w:r w:rsidRPr="00E25115">
        <w:rPr>
          <w:sz w:val="24"/>
          <w:szCs w:val="24"/>
          <w:lang w:eastAsia="en-US"/>
        </w:rPr>
        <w:t>del 20 de febrero de 2020 proferida por la Subsección B de la Sección Segunda del Consejo de Estado</w:t>
      </w:r>
      <w:r w:rsidR="00673D96">
        <w:rPr>
          <w:sz w:val="24"/>
          <w:szCs w:val="24"/>
          <w:lang w:eastAsia="en-US"/>
        </w:rPr>
        <w:t>.</w:t>
      </w:r>
    </w:p>
    <w:p w14:paraId="18FC850E" w14:textId="3FB90CCA" w:rsidR="00673D96" w:rsidRDefault="00673D96" w:rsidP="00BE5393">
      <w:pPr>
        <w:spacing w:line="276" w:lineRule="auto"/>
        <w:rPr>
          <w:sz w:val="24"/>
          <w:szCs w:val="24"/>
          <w:lang w:eastAsia="en-US"/>
        </w:rPr>
      </w:pPr>
    </w:p>
    <w:p w14:paraId="1A8EF763" w14:textId="77777777" w:rsidR="00673D96" w:rsidRPr="00335975" w:rsidRDefault="00673D96" w:rsidP="00673D96">
      <w:pPr>
        <w:overflowPunct w:val="0"/>
        <w:autoSpaceDE w:val="0"/>
        <w:autoSpaceDN w:val="0"/>
        <w:adjustRightInd w:val="0"/>
        <w:spacing w:line="276" w:lineRule="auto"/>
        <w:textAlignment w:val="baseline"/>
        <w:rPr>
          <w:rFonts w:eastAsia="Times New Roman"/>
          <w:sz w:val="24"/>
          <w:szCs w:val="24"/>
          <w:lang w:val="es-ES_tradnl" w:eastAsia="es-ES"/>
        </w:rPr>
      </w:pPr>
      <w:r w:rsidRPr="00335975">
        <w:rPr>
          <w:rFonts w:eastAsia="Times New Roman"/>
          <w:sz w:val="24"/>
          <w:szCs w:val="24"/>
          <w:lang w:val="es-ES_tradnl" w:eastAsia="es-ES"/>
        </w:rPr>
        <w:t xml:space="preserve">Para resolver sobre esta solicitud, es preciso tener presente que el Decreto 2591 de 1991, </w:t>
      </w:r>
      <w:r w:rsidRPr="00335975">
        <w:rPr>
          <w:rFonts w:eastAsia="Times New Roman"/>
          <w:sz w:val="24"/>
          <w:szCs w:val="24"/>
          <w:lang w:val="es-ES" w:eastAsia="es-ES"/>
        </w:rPr>
        <w:t xml:space="preserve">reglamentario de la acción de tutela, en el artículo 7 prevé que el juez </w:t>
      </w:r>
      <w:r w:rsidRPr="00335975">
        <w:rPr>
          <w:rFonts w:eastAsia="Times New Roman"/>
          <w:sz w:val="24"/>
          <w:szCs w:val="24"/>
          <w:lang w:val="es-ES" w:eastAsia="es-ES"/>
        </w:rPr>
        <w:lastRenderedPageBreak/>
        <w:t xml:space="preserve">constitucional, cuando lo considere necesario y urgente, puede suspender la aplicación del acto concreto que amenace o vulnere el derecho. También establece que, de oficio o a petición de parte, puede disponer la ejecución o la continuidad de la ejecución para evitar perjuicios ciertos e inminentes al interés público o dictar cualquier medida de conservación o seguridad encaminada a proteger el derecho o a evitar que se produzcan otros daños. </w:t>
      </w:r>
    </w:p>
    <w:p w14:paraId="79B54D47" w14:textId="77777777" w:rsidR="00673D96" w:rsidRPr="00335975" w:rsidRDefault="00673D96" w:rsidP="00673D96">
      <w:pPr>
        <w:overflowPunct w:val="0"/>
        <w:autoSpaceDE w:val="0"/>
        <w:autoSpaceDN w:val="0"/>
        <w:adjustRightInd w:val="0"/>
        <w:spacing w:line="276" w:lineRule="auto"/>
        <w:textAlignment w:val="baseline"/>
        <w:rPr>
          <w:rFonts w:eastAsia="Times New Roman"/>
          <w:sz w:val="24"/>
          <w:szCs w:val="24"/>
          <w:lang w:val="es-ES" w:eastAsia="es-ES"/>
        </w:rPr>
      </w:pPr>
    </w:p>
    <w:p w14:paraId="3B62A576" w14:textId="77777777" w:rsidR="00673D96" w:rsidRPr="00335975" w:rsidRDefault="00673D96" w:rsidP="00673D96">
      <w:pPr>
        <w:overflowPunct w:val="0"/>
        <w:autoSpaceDE w:val="0"/>
        <w:autoSpaceDN w:val="0"/>
        <w:adjustRightInd w:val="0"/>
        <w:spacing w:line="276" w:lineRule="auto"/>
        <w:textAlignment w:val="baseline"/>
        <w:rPr>
          <w:rFonts w:eastAsia="Times New Roman"/>
          <w:sz w:val="24"/>
          <w:szCs w:val="24"/>
          <w:lang w:val="es-ES" w:eastAsia="es-ES"/>
        </w:rPr>
      </w:pPr>
      <w:r w:rsidRPr="00335975">
        <w:rPr>
          <w:rFonts w:eastAsia="Times New Roman"/>
          <w:sz w:val="24"/>
          <w:szCs w:val="24"/>
          <w:lang w:val="es-ES" w:eastAsia="es-ES"/>
        </w:rPr>
        <w:t>La Corte Constitucional ha considerado que las medidas provisionales tienen como finalidad: i) la protección de los demandantes con el fin de impedir que un eventual amparo se torne ilusorio; ii) salvaguardar los derechos fundamentales que se encuentran en discusión o en amenaza de vulneración; y iii) evitar que se produzcan otros daños como consecuencia de los hechos objeto de análisis en el proceso, perjuicios que no se circunscriben a los que pueda sufrir el demandante. De ahí que, el juez está facultado para “ordenar lo que considere procedente” pero su discrecionalidad es restringida en razón a que la decisión que decrete las medidas provisionales debe ser “razonada, sopesada y proporcionada a la situación planteada”</w:t>
      </w:r>
      <w:r w:rsidRPr="00335975">
        <w:rPr>
          <w:rFonts w:eastAsia="Times New Roman"/>
          <w:sz w:val="24"/>
          <w:szCs w:val="24"/>
          <w:vertAlign w:val="superscript"/>
          <w:lang w:val="es-ES" w:eastAsia="es-ES"/>
        </w:rPr>
        <w:footnoteReference w:id="1"/>
      </w:r>
      <w:r w:rsidRPr="00335975">
        <w:rPr>
          <w:rFonts w:eastAsia="Times New Roman"/>
          <w:sz w:val="24"/>
          <w:szCs w:val="24"/>
          <w:lang w:val="es-ES" w:eastAsia="es-ES"/>
        </w:rPr>
        <w:t xml:space="preserve">. </w:t>
      </w:r>
    </w:p>
    <w:p w14:paraId="392C8ACF" w14:textId="2B01A278" w:rsidR="00673D96" w:rsidRDefault="00673D96" w:rsidP="00BE5393">
      <w:pPr>
        <w:spacing w:line="276" w:lineRule="auto"/>
        <w:rPr>
          <w:sz w:val="24"/>
          <w:szCs w:val="24"/>
          <w:lang w:val="es-ES"/>
        </w:rPr>
      </w:pPr>
    </w:p>
    <w:p w14:paraId="335B8124" w14:textId="0B79C129" w:rsidR="00673D96" w:rsidRPr="008A45D0" w:rsidRDefault="00673D96" w:rsidP="00673D96">
      <w:pPr>
        <w:overflowPunct w:val="0"/>
        <w:autoSpaceDE w:val="0"/>
        <w:autoSpaceDN w:val="0"/>
        <w:adjustRightInd w:val="0"/>
        <w:spacing w:line="276" w:lineRule="auto"/>
        <w:textAlignment w:val="baseline"/>
        <w:rPr>
          <w:rFonts w:eastAsia="Times New Roman"/>
          <w:sz w:val="24"/>
          <w:szCs w:val="24"/>
        </w:rPr>
      </w:pPr>
      <w:r>
        <w:rPr>
          <w:rFonts w:eastAsia="Times New Roman"/>
          <w:sz w:val="24"/>
          <w:szCs w:val="24"/>
        </w:rPr>
        <w:t xml:space="preserve">En el caso concreto, la parte accionante no expuso </w:t>
      </w:r>
      <w:r w:rsidR="00A72EFF">
        <w:rPr>
          <w:rFonts w:eastAsia="Times New Roman"/>
          <w:sz w:val="24"/>
          <w:szCs w:val="24"/>
        </w:rPr>
        <w:t>argumentos en la solicitud de amparo</w:t>
      </w:r>
      <w:r>
        <w:rPr>
          <w:rFonts w:eastAsia="Times New Roman"/>
          <w:sz w:val="24"/>
          <w:szCs w:val="24"/>
        </w:rPr>
        <w:t xml:space="preserve"> para sustentar la solicitud de “medida cautelar” ya descrita. Lo único que puede desprenderse de la lectura del escrito de tutela es la manifestación</w:t>
      </w:r>
      <w:r w:rsidR="00FF6376">
        <w:rPr>
          <w:rFonts w:eastAsia="Times New Roman"/>
          <w:sz w:val="24"/>
          <w:szCs w:val="24"/>
        </w:rPr>
        <w:t xml:space="preserve"> personal</w:t>
      </w:r>
      <w:r>
        <w:rPr>
          <w:rFonts w:eastAsia="Times New Roman"/>
          <w:sz w:val="24"/>
          <w:szCs w:val="24"/>
        </w:rPr>
        <w:t xml:space="preserve"> de algunas circunstancias relacionadas con </w:t>
      </w:r>
      <w:r w:rsidR="005A504A">
        <w:rPr>
          <w:rFonts w:eastAsia="Times New Roman"/>
          <w:sz w:val="24"/>
          <w:szCs w:val="24"/>
        </w:rPr>
        <w:t>la</w:t>
      </w:r>
      <w:r>
        <w:rPr>
          <w:rFonts w:eastAsia="Times New Roman"/>
          <w:sz w:val="24"/>
          <w:szCs w:val="24"/>
        </w:rPr>
        <w:t xml:space="preserve"> edad</w:t>
      </w:r>
      <w:r w:rsidR="005A504A">
        <w:rPr>
          <w:rFonts w:eastAsia="Times New Roman"/>
          <w:sz w:val="24"/>
          <w:szCs w:val="24"/>
        </w:rPr>
        <w:t xml:space="preserve"> del actor</w:t>
      </w:r>
      <w:r>
        <w:rPr>
          <w:rFonts w:eastAsia="Times New Roman"/>
          <w:sz w:val="24"/>
          <w:szCs w:val="24"/>
        </w:rPr>
        <w:t xml:space="preserve"> y sus condiciones económicas a la luz de la mesada pensional que recibe. Asuntos que, en todo caso, no evidencian una razón de urgencia o un motivo que </w:t>
      </w:r>
      <w:r w:rsidR="00FF6376">
        <w:rPr>
          <w:rFonts w:eastAsia="Times New Roman"/>
          <w:sz w:val="24"/>
          <w:szCs w:val="24"/>
        </w:rPr>
        <w:t>justifique</w:t>
      </w:r>
      <w:r>
        <w:rPr>
          <w:rFonts w:eastAsia="Times New Roman"/>
          <w:sz w:val="24"/>
          <w:szCs w:val="24"/>
        </w:rPr>
        <w:t xml:space="preserve"> la manera en la</w:t>
      </w:r>
      <w:r w:rsidR="00FF6376">
        <w:rPr>
          <w:rFonts w:eastAsia="Times New Roman"/>
          <w:sz w:val="24"/>
          <w:szCs w:val="24"/>
        </w:rPr>
        <w:t xml:space="preserve"> que</w:t>
      </w:r>
      <w:r>
        <w:rPr>
          <w:rFonts w:eastAsia="Times New Roman"/>
          <w:sz w:val="24"/>
          <w:szCs w:val="24"/>
        </w:rPr>
        <w:t xml:space="preserve"> no adoptar la medida, haría ilusorios los efectos de una eventual orden de amparo.</w:t>
      </w:r>
      <w:r w:rsidR="00FF6376">
        <w:rPr>
          <w:rFonts w:eastAsia="Times New Roman"/>
          <w:sz w:val="24"/>
          <w:szCs w:val="24"/>
        </w:rPr>
        <w:t xml:space="preserve"> </w:t>
      </w:r>
      <w:r w:rsidR="00A44787">
        <w:rPr>
          <w:rFonts w:eastAsia="Times New Roman"/>
          <w:sz w:val="24"/>
          <w:szCs w:val="24"/>
        </w:rPr>
        <w:t>Además</w:t>
      </w:r>
      <w:r>
        <w:rPr>
          <w:rFonts w:eastAsia="Times New Roman"/>
          <w:sz w:val="24"/>
          <w:szCs w:val="24"/>
        </w:rPr>
        <w:t xml:space="preserve">, el </w:t>
      </w:r>
      <w:r w:rsidR="005A504A">
        <w:rPr>
          <w:rFonts w:eastAsia="Times New Roman"/>
          <w:sz w:val="24"/>
          <w:szCs w:val="24"/>
        </w:rPr>
        <w:t>señor Cardona Gutiérrez</w:t>
      </w:r>
      <w:r>
        <w:rPr>
          <w:rFonts w:eastAsia="Times New Roman"/>
          <w:sz w:val="24"/>
          <w:szCs w:val="24"/>
        </w:rPr>
        <w:t xml:space="preserve"> tampoco </w:t>
      </w:r>
      <w:r w:rsidRPr="001D500A">
        <w:rPr>
          <w:rFonts w:eastAsia="Times New Roman"/>
          <w:sz w:val="24"/>
          <w:szCs w:val="24"/>
          <w:lang w:eastAsia="es-ES"/>
        </w:rPr>
        <w:t>avista</w:t>
      </w:r>
      <w:r>
        <w:rPr>
          <w:rFonts w:eastAsia="Times New Roman"/>
          <w:sz w:val="24"/>
          <w:szCs w:val="24"/>
          <w:lang w:eastAsia="es-ES"/>
        </w:rPr>
        <w:t xml:space="preserve"> en su petición</w:t>
      </w:r>
      <w:r w:rsidRPr="001D500A">
        <w:rPr>
          <w:rFonts w:eastAsia="Times New Roman"/>
          <w:sz w:val="24"/>
          <w:szCs w:val="24"/>
          <w:lang w:eastAsia="es-ES"/>
        </w:rPr>
        <w:t xml:space="preserve"> que, en caso de una </w:t>
      </w:r>
      <w:r>
        <w:rPr>
          <w:rFonts w:eastAsia="Times New Roman"/>
          <w:sz w:val="24"/>
          <w:szCs w:val="24"/>
          <w:lang w:eastAsia="es-ES"/>
        </w:rPr>
        <w:t>presunta</w:t>
      </w:r>
      <w:r w:rsidRPr="001D500A">
        <w:rPr>
          <w:rFonts w:eastAsia="Times New Roman"/>
          <w:sz w:val="24"/>
          <w:szCs w:val="24"/>
          <w:lang w:eastAsia="es-ES"/>
        </w:rPr>
        <w:t xml:space="preserve"> lesión d</w:t>
      </w:r>
      <w:r>
        <w:rPr>
          <w:rFonts w:eastAsia="Times New Roman"/>
          <w:sz w:val="24"/>
          <w:szCs w:val="24"/>
          <w:lang w:eastAsia="es-ES"/>
        </w:rPr>
        <w:t xml:space="preserve">e los derechos </w:t>
      </w:r>
      <w:r w:rsidRPr="001D500A">
        <w:rPr>
          <w:rFonts w:eastAsia="Times New Roman"/>
          <w:sz w:val="24"/>
          <w:szCs w:val="24"/>
          <w:lang w:eastAsia="es-ES"/>
        </w:rPr>
        <w:t>fundamental</w:t>
      </w:r>
      <w:r>
        <w:rPr>
          <w:rFonts w:eastAsia="Times New Roman"/>
          <w:sz w:val="24"/>
          <w:szCs w:val="24"/>
          <w:lang w:eastAsia="es-ES"/>
        </w:rPr>
        <w:t>es</w:t>
      </w:r>
      <w:r w:rsidRPr="001D500A">
        <w:rPr>
          <w:rFonts w:eastAsia="Times New Roman"/>
          <w:sz w:val="24"/>
          <w:szCs w:val="24"/>
          <w:lang w:eastAsia="es-ES"/>
        </w:rPr>
        <w:t xml:space="preserve"> invocado</w:t>
      </w:r>
      <w:r>
        <w:rPr>
          <w:rFonts w:eastAsia="Times New Roman"/>
          <w:sz w:val="24"/>
          <w:szCs w:val="24"/>
          <w:lang w:eastAsia="es-ES"/>
        </w:rPr>
        <w:t>s</w:t>
      </w:r>
      <w:r w:rsidRPr="001D500A">
        <w:rPr>
          <w:rFonts w:eastAsia="Times New Roman"/>
          <w:sz w:val="24"/>
          <w:szCs w:val="24"/>
          <w:lang w:eastAsia="es-ES"/>
        </w:rPr>
        <w:t xml:space="preserve">, esta no pudiera evitarse con el fallo que corresponda proferir en virtud de este trámite constitucional, que tiene las características de ser un procedimiento preferente y sumario, conforme al artículo 1 </w:t>
      </w:r>
      <w:r>
        <w:rPr>
          <w:rFonts w:eastAsia="Times New Roman"/>
          <w:sz w:val="24"/>
          <w:szCs w:val="24"/>
          <w:lang w:eastAsia="es-ES"/>
        </w:rPr>
        <w:t>del Decreto 2591 de 1991</w:t>
      </w:r>
      <w:r w:rsidRPr="00D15AEC">
        <w:rPr>
          <w:rFonts w:eastAsia="Times New Roman"/>
          <w:sz w:val="24"/>
          <w:szCs w:val="24"/>
          <w:lang w:eastAsia="es-ES"/>
        </w:rPr>
        <w:t>.</w:t>
      </w:r>
      <w:r w:rsidRPr="008A45D0">
        <w:rPr>
          <w:rFonts w:eastAsia="Times New Roman"/>
          <w:sz w:val="24"/>
          <w:szCs w:val="24"/>
          <w:lang w:eastAsia="es-ES"/>
        </w:rPr>
        <w:t xml:space="preserve"> </w:t>
      </w:r>
      <w:r w:rsidRPr="00F83E58">
        <w:rPr>
          <w:rFonts w:eastAsia="Times New Roman"/>
          <w:sz w:val="24"/>
          <w:szCs w:val="24"/>
          <w:lang w:eastAsia="es-ES"/>
        </w:rPr>
        <w:t xml:space="preserve">En </w:t>
      </w:r>
      <w:r>
        <w:rPr>
          <w:rFonts w:eastAsia="Times New Roman"/>
          <w:sz w:val="24"/>
          <w:szCs w:val="24"/>
          <w:lang w:eastAsia="es-ES"/>
        </w:rPr>
        <w:t>consecuencia,</w:t>
      </w:r>
      <w:r w:rsidRPr="00F83E58">
        <w:rPr>
          <w:rFonts w:eastAsia="Times New Roman"/>
          <w:sz w:val="24"/>
          <w:szCs w:val="24"/>
          <w:lang w:eastAsia="es-ES"/>
        </w:rPr>
        <w:t xml:space="preserve"> </w:t>
      </w:r>
      <w:r>
        <w:rPr>
          <w:rFonts w:eastAsia="Times New Roman"/>
          <w:sz w:val="24"/>
          <w:szCs w:val="24"/>
          <w:lang w:eastAsia="es-ES"/>
        </w:rPr>
        <w:t xml:space="preserve">esta Judicatura negará </w:t>
      </w:r>
      <w:r w:rsidRPr="00F83E58">
        <w:rPr>
          <w:rFonts w:eastAsia="Times New Roman"/>
          <w:sz w:val="24"/>
          <w:szCs w:val="24"/>
          <w:lang w:eastAsia="es-ES"/>
        </w:rPr>
        <w:t xml:space="preserve">la medida provisional </w:t>
      </w:r>
      <w:r>
        <w:rPr>
          <w:rFonts w:eastAsia="Times New Roman"/>
          <w:sz w:val="24"/>
          <w:szCs w:val="24"/>
          <w:lang w:eastAsia="es-ES"/>
        </w:rPr>
        <w:t>solicitada</w:t>
      </w:r>
      <w:r w:rsidRPr="00F83E58">
        <w:rPr>
          <w:rFonts w:eastAsia="Times New Roman"/>
          <w:sz w:val="24"/>
          <w:szCs w:val="24"/>
          <w:lang w:eastAsia="es-ES"/>
        </w:rPr>
        <w:t>.</w:t>
      </w:r>
    </w:p>
    <w:p w14:paraId="71A89524" w14:textId="3A253156" w:rsidR="00BE5393" w:rsidRPr="00BE5393" w:rsidRDefault="00A72EFF" w:rsidP="00BE5393">
      <w:pPr>
        <w:spacing w:line="276" w:lineRule="auto"/>
        <w:ind w:right="51"/>
        <w:rPr>
          <w:sz w:val="24"/>
          <w:szCs w:val="24"/>
          <w:lang w:eastAsia="en-US"/>
        </w:rPr>
      </w:pPr>
      <w:r>
        <w:rPr>
          <w:sz w:val="24"/>
          <w:szCs w:val="24"/>
          <w:lang w:eastAsia="en-US"/>
        </w:rPr>
        <w:t xml:space="preserve"> </w:t>
      </w:r>
    </w:p>
    <w:p w14:paraId="6B6E6FE0"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r w:rsidRPr="00BE5393">
        <w:rPr>
          <w:rFonts w:eastAsia="Times New Roman"/>
          <w:sz w:val="24"/>
          <w:szCs w:val="24"/>
          <w:lang w:val="es-ES_tradnl" w:eastAsia="es-ES"/>
        </w:rPr>
        <w:t>El Despacho, al encontrar reunidos los requisitos previstos en el artículo 14 del Decreto 2591 de 1991 y por ser competente para conocer del trámite de la presente acción de conformidad con lo establecido en el artículo 86 de la Constitución Política, en el Decreto 2591 de 1991, en el Decreto 1069 de 2015, modificado por el Decreto 1983 de 2017 y en el Acuerdo de Sala Plena del Consejo de Estado No. 080 de 12 de marzo de 2019,</w:t>
      </w:r>
    </w:p>
    <w:p w14:paraId="4DE2188C" w14:textId="4DFE9451" w:rsidR="00CA09CB" w:rsidRPr="00BE5393" w:rsidRDefault="00CA09CB"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1439762D" w14:textId="77777777" w:rsidR="00BE5393" w:rsidRPr="00BE5393" w:rsidRDefault="00BE5393" w:rsidP="00BE5393">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RESUELVE</w:t>
      </w:r>
    </w:p>
    <w:p w14:paraId="7B774E3F"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highlight w:val="yellow"/>
          <w:lang w:val="es-ES_tradnl" w:eastAsia="es-ES"/>
        </w:rPr>
      </w:pPr>
    </w:p>
    <w:p w14:paraId="2B01C60B" w14:textId="6DEB3FE9" w:rsidR="00BE5393" w:rsidRPr="00BE5393" w:rsidRDefault="00BE5393" w:rsidP="00BE5393">
      <w:pPr>
        <w:spacing w:line="276" w:lineRule="auto"/>
        <w:ind w:right="51"/>
        <w:rPr>
          <w:bCs/>
          <w:sz w:val="24"/>
          <w:szCs w:val="24"/>
          <w:lang w:eastAsia="en-US"/>
        </w:rPr>
      </w:pPr>
      <w:r w:rsidRPr="00BE5393">
        <w:rPr>
          <w:b/>
          <w:sz w:val="24"/>
          <w:szCs w:val="24"/>
          <w:lang w:val="es-ES" w:eastAsia="en-US"/>
        </w:rPr>
        <w:t>PRIMERO:</w:t>
      </w:r>
      <w:r w:rsidRPr="00BE5393">
        <w:rPr>
          <w:sz w:val="24"/>
          <w:szCs w:val="24"/>
          <w:lang w:val="es-ES" w:eastAsia="en-US"/>
        </w:rPr>
        <w:t xml:space="preserve"> </w:t>
      </w:r>
      <w:r w:rsidRPr="00BE5393">
        <w:rPr>
          <w:b/>
          <w:sz w:val="24"/>
          <w:szCs w:val="24"/>
          <w:lang w:val="es-ES" w:eastAsia="en-US"/>
        </w:rPr>
        <w:t>ADMITIR</w:t>
      </w:r>
      <w:r w:rsidRPr="00BE5393">
        <w:rPr>
          <w:sz w:val="24"/>
          <w:szCs w:val="24"/>
          <w:lang w:val="es-ES" w:eastAsia="en-US"/>
        </w:rPr>
        <w:t xml:space="preserve"> la acción de tutela presentada por </w:t>
      </w:r>
      <w:r w:rsidR="0085590F">
        <w:rPr>
          <w:sz w:val="24"/>
          <w:szCs w:val="24"/>
          <w:lang w:val="es-ES" w:eastAsia="en-US"/>
        </w:rPr>
        <w:t>José Alberto Cardona Gutiérrez</w:t>
      </w:r>
      <w:r w:rsidR="0085590F">
        <w:rPr>
          <w:bCs/>
          <w:sz w:val="24"/>
          <w:szCs w:val="24"/>
          <w:lang w:eastAsia="en-US"/>
        </w:rPr>
        <w:t xml:space="preserve"> </w:t>
      </w:r>
      <w:r w:rsidRPr="00BE5393">
        <w:rPr>
          <w:sz w:val="24"/>
          <w:szCs w:val="24"/>
          <w:lang w:val="es-ES" w:eastAsia="en-US"/>
        </w:rPr>
        <w:t xml:space="preserve">en contra </w:t>
      </w:r>
      <w:r w:rsidR="0085590F">
        <w:rPr>
          <w:sz w:val="24"/>
          <w:szCs w:val="24"/>
          <w:lang w:eastAsia="en-US"/>
        </w:rPr>
        <w:t>de la</w:t>
      </w:r>
      <w:r w:rsidR="0085590F" w:rsidRPr="00BE5393">
        <w:rPr>
          <w:sz w:val="24"/>
          <w:szCs w:val="24"/>
          <w:lang w:eastAsia="en-US"/>
        </w:rPr>
        <w:t xml:space="preserve"> </w:t>
      </w:r>
      <w:r w:rsidR="0085590F" w:rsidRPr="002D6EB0">
        <w:rPr>
          <w:sz w:val="24"/>
          <w:szCs w:val="24"/>
          <w:lang w:eastAsia="en-US"/>
        </w:rPr>
        <w:t xml:space="preserve">Subsección B de la Sección Segunda del Consejo de Estado, </w:t>
      </w:r>
      <w:r w:rsidR="00A72EFF">
        <w:rPr>
          <w:sz w:val="24"/>
          <w:szCs w:val="24"/>
          <w:lang w:eastAsia="en-US"/>
        </w:rPr>
        <w:t>d</w:t>
      </w:r>
      <w:r w:rsidR="00C040CC">
        <w:rPr>
          <w:sz w:val="24"/>
          <w:szCs w:val="24"/>
          <w:lang w:eastAsia="en-US"/>
        </w:rPr>
        <w:t xml:space="preserve">el </w:t>
      </w:r>
      <w:r w:rsidR="0085590F" w:rsidRPr="002D6EB0">
        <w:rPr>
          <w:sz w:val="24"/>
          <w:szCs w:val="24"/>
          <w:lang w:eastAsia="en-US"/>
        </w:rPr>
        <w:t>Fondo de Pensiones Públicas</w:t>
      </w:r>
      <w:r w:rsidR="005A504A">
        <w:rPr>
          <w:sz w:val="24"/>
          <w:szCs w:val="24"/>
          <w:lang w:eastAsia="en-US"/>
        </w:rPr>
        <w:t xml:space="preserve"> (FOPEP)</w:t>
      </w:r>
      <w:r w:rsidR="0085590F" w:rsidRPr="002D6EB0">
        <w:rPr>
          <w:sz w:val="24"/>
          <w:szCs w:val="24"/>
          <w:lang w:eastAsia="en-US"/>
        </w:rPr>
        <w:t xml:space="preserve"> y</w:t>
      </w:r>
      <w:r w:rsidR="00A72EFF">
        <w:rPr>
          <w:sz w:val="24"/>
          <w:szCs w:val="24"/>
          <w:lang w:eastAsia="en-US"/>
        </w:rPr>
        <w:t xml:space="preserve"> de</w:t>
      </w:r>
      <w:r w:rsidR="0085590F" w:rsidRPr="002D6EB0">
        <w:rPr>
          <w:sz w:val="24"/>
          <w:szCs w:val="24"/>
          <w:lang w:eastAsia="en-US"/>
        </w:rPr>
        <w:t xml:space="preserve"> la Unidad de Gestión Pensional y Parafiscales de la Protección Social (UGPP)</w:t>
      </w:r>
      <w:r w:rsidR="0085590F" w:rsidRPr="00BE5393">
        <w:rPr>
          <w:sz w:val="24"/>
          <w:szCs w:val="24"/>
          <w:lang w:eastAsia="en-US"/>
        </w:rPr>
        <w:t>.</w:t>
      </w:r>
    </w:p>
    <w:p w14:paraId="7E1750E9" w14:textId="77777777" w:rsidR="00BE5393" w:rsidRPr="00BE5393" w:rsidRDefault="00BE5393" w:rsidP="00BE5393">
      <w:pPr>
        <w:spacing w:line="276" w:lineRule="auto"/>
        <w:ind w:right="51"/>
        <w:rPr>
          <w:sz w:val="24"/>
          <w:szCs w:val="24"/>
          <w:lang w:val="es-ES" w:eastAsia="en-US"/>
        </w:rPr>
      </w:pPr>
    </w:p>
    <w:p w14:paraId="5F87EE55" w14:textId="74625D05" w:rsidR="00BE5393" w:rsidRPr="00BE5393" w:rsidRDefault="00BE5393" w:rsidP="00BE5393">
      <w:pPr>
        <w:spacing w:line="276" w:lineRule="auto"/>
        <w:ind w:right="51"/>
        <w:rPr>
          <w:sz w:val="24"/>
          <w:szCs w:val="24"/>
          <w:lang w:val="es-ES" w:eastAsia="en-US"/>
        </w:rPr>
      </w:pPr>
      <w:r w:rsidRPr="00BE5393">
        <w:rPr>
          <w:rFonts w:eastAsia="Times New Roman"/>
          <w:b/>
          <w:bCs/>
          <w:color w:val="000000"/>
          <w:sz w:val="24"/>
          <w:szCs w:val="24"/>
          <w:shd w:val="clear" w:color="auto" w:fill="FFFFFF"/>
          <w:lang w:val="es-ES" w:eastAsia="en-US"/>
        </w:rPr>
        <w:t xml:space="preserve">SEGUNDO: </w:t>
      </w:r>
      <w:r w:rsidR="0085590F" w:rsidRPr="00BE5393">
        <w:rPr>
          <w:b/>
          <w:sz w:val="24"/>
          <w:szCs w:val="24"/>
          <w:lang w:val="es-ES_tradnl"/>
        </w:rPr>
        <w:t xml:space="preserve">SOLICITAR </w:t>
      </w:r>
      <w:r w:rsidR="0085590F" w:rsidRPr="0085590F">
        <w:rPr>
          <w:sz w:val="24"/>
          <w:szCs w:val="24"/>
          <w:lang w:val="es-ES_tradnl"/>
        </w:rPr>
        <w:t>a</w:t>
      </w:r>
      <w:r w:rsidR="0085590F">
        <w:rPr>
          <w:b/>
          <w:sz w:val="24"/>
          <w:szCs w:val="24"/>
          <w:lang w:val="es-ES_tradnl"/>
        </w:rPr>
        <w:t xml:space="preserve"> </w:t>
      </w:r>
      <w:r w:rsidR="0085590F">
        <w:rPr>
          <w:sz w:val="24"/>
          <w:szCs w:val="24"/>
          <w:lang w:eastAsia="en-US"/>
        </w:rPr>
        <w:t>la</w:t>
      </w:r>
      <w:r w:rsidR="0085590F" w:rsidRPr="00BE5393">
        <w:rPr>
          <w:sz w:val="24"/>
          <w:szCs w:val="24"/>
          <w:lang w:eastAsia="en-US"/>
        </w:rPr>
        <w:t xml:space="preserve"> </w:t>
      </w:r>
      <w:r w:rsidR="0085590F" w:rsidRPr="002D6EB0">
        <w:rPr>
          <w:sz w:val="24"/>
          <w:szCs w:val="24"/>
          <w:lang w:eastAsia="en-US"/>
        </w:rPr>
        <w:t>Subsección B de la Sección Segunda del Consejo de Estado</w:t>
      </w:r>
      <w:r w:rsidR="0085590F" w:rsidRPr="00BE5393">
        <w:rPr>
          <w:sz w:val="24"/>
          <w:szCs w:val="24"/>
          <w:lang w:val="es-ES"/>
        </w:rPr>
        <w:t xml:space="preserve"> </w:t>
      </w:r>
      <w:r w:rsidRPr="00BE5393">
        <w:rPr>
          <w:sz w:val="24"/>
          <w:szCs w:val="24"/>
          <w:lang w:val="es-ES"/>
        </w:rPr>
        <w:t xml:space="preserve">para que, </w:t>
      </w:r>
      <w:r w:rsidR="00A44787">
        <w:rPr>
          <w:sz w:val="24"/>
          <w:szCs w:val="24"/>
          <w:lang w:val="es-ES"/>
        </w:rPr>
        <w:t>respecto d</w:t>
      </w:r>
      <w:r w:rsidRPr="00BE5393">
        <w:rPr>
          <w:sz w:val="24"/>
          <w:szCs w:val="24"/>
          <w:lang w:val="es-ES"/>
        </w:rPr>
        <w:t xml:space="preserve">el </w:t>
      </w:r>
      <w:r w:rsidRPr="00BE5393">
        <w:rPr>
          <w:sz w:val="24"/>
          <w:szCs w:val="24"/>
          <w:lang w:val="es-ES_tradnl"/>
        </w:rPr>
        <w:t xml:space="preserve">expediente del </w:t>
      </w:r>
      <w:r w:rsidRPr="00BE5393">
        <w:rPr>
          <w:sz w:val="24"/>
          <w:szCs w:val="24"/>
        </w:rPr>
        <w:t xml:space="preserve">proceso adelantado bajo el </w:t>
      </w:r>
      <w:r w:rsidR="0085590F">
        <w:rPr>
          <w:sz w:val="24"/>
          <w:szCs w:val="24"/>
        </w:rPr>
        <w:t>recurso extraordinario de revisi</w:t>
      </w:r>
      <w:r w:rsidR="00C040CC">
        <w:rPr>
          <w:sz w:val="24"/>
          <w:szCs w:val="24"/>
        </w:rPr>
        <w:t>ón</w:t>
      </w:r>
      <w:r w:rsidRPr="00BE5393">
        <w:rPr>
          <w:sz w:val="24"/>
          <w:szCs w:val="24"/>
        </w:rPr>
        <w:t xml:space="preserve"> con número de radicado </w:t>
      </w:r>
      <w:r w:rsidR="0085590F">
        <w:rPr>
          <w:sz w:val="24"/>
          <w:szCs w:val="24"/>
          <w:lang w:eastAsia="en-US"/>
        </w:rPr>
        <w:t>11001-03-25-000-2014</w:t>
      </w:r>
      <w:r w:rsidR="00FD7869">
        <w:rPr>
          <w:sz w:val="24"/>
          <w:szCs w:val="24"/>
          <w:lang w:eastAsia="en-US"/>
        </w:rPr>
        <w:t>-00</w:t>
      </w:r>
      <w:r w:rsidR="0085590F">
        <w:rPr>
          <w:sz w:val="24"/>
          <w:szCs w:val="24"/>
          <w:lang w:eastAsia="en-US"/>
        </w:rPr>
        <w:t>273-00</w:t>
      </w:r>
      <w:r w:rsidRPr="00BE5393">
        <w:rPr>
          <w:sz w:val="24"/>
          <w:szCs w:val="24"/>
          <w:lang w:val="es-ES" w:eastAsia="en-US"/>
        </w:rPr>
        <w:t xml:space="preserve">, </w:t>
      </w:r>
      <w:r w:rsidRPr="00BE5393">
        <w:rPr>
          <w:sz w:val="24"/>
          <w:szCs w:val="24"/>
          <w:lang w:val="es-ES_tradnl"/>
        </w:rPr>
        <w:t xml:space="preserve">informe a este Despacho los nombres y direcciones de las personas que integran la parte </w:t>
      </w:r>
      <w:r w:rsidR="005A504A">
        <w:rPr>
          <w:sz w:val="24"/>
          <w:szCs w:val="24"/>
          <w:lang w:val="es-ES_tradnl"/>
        </w:rPr>
        <w:t>recurrente</w:t>
      </w:r>
      <w:r w:rsidRPr="00BE5393">
        <w:rPr>
          <w:sz w:val="24"/>
          <w:szCs w:val="24"/>
          <w:lang w:val="es-ES_tradnl"/>
        </w:rPr>
        <w:t>, la parte demandada y terceros dentro del citado proceso.</w:t>
      </w:r>
    </w:p>
    <w:p w14:paraId="7CCF1E19" w14:textId="77777777" w:rsidR="00BE5393" w:rsidRPr="00BE5393" w:rsidRDefault="00BE5393" w:rsidP="00BE5393">
      <w:pPr>
        <w:spacing w:line="276" w:lineRule="auto"/>
        <w:rPr>
          <w:sz w:val="24"/>
          <w:szCs w:val="24"/>
          <w:lang w:val="es-ES"/>
        </w:rPr>
      </w:pPr>
    </w:p>
    <w:p w14:paraId="30C2A283" w14:textId="70330E15" w:rsidR="00BE5393" w:rsidRPr="00BE5393" w:rsidRDefault="00BE5393" w:rsidP="00BE5393">
      <w:pPr>
        <w:spacing w:line="276" w:lineRule="auto"/>
        <w:rPr>
          <w:sz w:val="24"/>
          <w:szCs w:val="24"/>
          <w:lang w:val="es-ES" w:eastAsia="en-US"/>
        </w:rPr>
      </w:pPr>
      <w:r w:rsidRPr="00BE5393">
        <w:rPr>
          <w:rFonts w:eastAsia="Times New Roman"/>
          <w:b/>
          <w:bCs/>
          <w:color w:val="000000"/>
          <w:sz w:val="24"/>
          <w:szCs w:val="24"/>
          <w:shd w:val="clear" w:color="auto" w:fill="FFFFFF"/>
          <w:lang w:val="es-ES" w:eastAsia="en-US"/>
        </w:rPr>
        <w:t xml:space="preserve">TERCERO: </w:t>
      </w:r>
      <w:r w:rsidRPr="00BE5393">
        <w:rPr>
          <w:rFonts w:eastAsia="Times New Roman"/>
          <w:b/>
          <w:bCs/>
          <w:color w:val="000000"/>
          <w:sz w:val="24"/>
          <w:szCs w:val="24"/>
          <w:shd w:val="clear" w:color="auto" w:fill="FFFFFF"/>
        </w:rPr>
        <w:t>VINCULAR</w:t>
      </w:r>
      <w:r w:rsidRPr="00BE5393">
        <w:rPr>
          <w:rFonts w:eastAsia="Times New Roman"/>
          <w:bCs/>
          <w:color w:val="000000"/>
          <w:sz w:val="24"/>
          <w:szCs w:val="24"/>
          <w:shd w:val="clear" w:color="auto" w:fill="FFFFFF"/>
        </w:rPr>
        <w:t xml:space="preserve"> a la presente acción, como terceras personas interesadas, </w:t>
      </w:r>
      <w:r w:rsidR="00C040CC">
        <w:rPr>
          <w:rFonts w:eastAsia="Times New Roman"/>
          <w:bCs/>
          <w:color w:val="000000"/>
          <w:sz w:val="24"/>
          <w:szCs w:val="24"/>
          <w:shd w:val="clear" w:color="auto" w:fill="FFFFFF"/>
        </w:rPr>
        <w:t xml:space="preserve">al </w:t>
      </w:r>
      <w:r w:rsidR="00E25115" w:rsidRPr="0085590F">
        <w:rPr>
          <w:rFonts w:eastAsia="Times New Roman"/>
          <w:bCs/>
          <w:color w:val="000000"/>
          <w:sz w:val="24"/>
          <w:szCs w:val="24"/>
          <w:shd w:val="clear" w:color="auto" w:fill="FFFFFF"/>
        </w:rPr>
        <w:t>Juzgado Cuarto Administrativo</w:t>
      </w:r>
      <w:r w:rsidR="0085590F" w:rsidRPr="0085590F">
        <w:rPr>
          <w:rFonts w:eastAsia="Times New Roman"/>
          <w:bCs/>
          <w:color w:val="000000"/>
          <w:sz w:val="24"/>
          <w:szCs w:val="24"/>
          <w:shd w:val="clear" w:color="auto" w:fill="FFFFFF"/>
        </w:rPr>
        <w:t xml:space="preserve"> </w:t>
      </w:r>
      <w:r w:rsidR="00C040CC">
        <w:rPr>
          <w:rFonts w:eastAsia="Times New Roman"/>
          <w:bCs/>
          <w:color w:val="000000"/>
          <w:sz w:val="24"/>
          <w:szCs w:val="24"/>
          <w:shd w:val="clear" w:color="auto" w:fill="FFFFFF"/>
        </w:rPr>
        <w:t xml:space="preserve">de Descongestión </w:t>
      </w:r>
      <w:r w:rsidR="0085590F" w:rsidRPr="0085590F">
        <w:rPr>
          <w:rFonts w:eastAsia="Times New Roman"/>
          <w:bCs/>
          <w:color w:val="000000"/>
          <w:sz w:val="24"/>
          <w:szCs w:val="24"/>
          <w:shd w:val="clear" w:color="auto" w:fill="FFFFFF"/>
        </w:rPr>
        <w:t>de Manizales</w:t>
      </w:r>
      <w:r w:rsidR="00CA09CB">
        <w:rPr>
          <w:sz w:val="24"/>
          <w:szCs w:val="24"/>
        </w:rPr>
        <w:t xml:space="preserve">, </w:t>
      </w:r>
      <w:r w:rsidR="0085590F">
        <w:rPr>
          <w:sz w:val="24"/>
          <w:szCs w:val="24"/>
        </w:rPr>
        <w:t xml:space="preserve">al </w:t>
      </w:r>
      <w:r w:rsidR="0085590F" w:rsidRPr="0085590F">
        <w:rPr>
          <w:sz w:val="24"/>
          <w:szCs w:val="24"/>
          <w:lang w:eastAsia="en-US"/>
        </w:rPr>
        <w:t>Tribunal Administrativo de Caldas</w:t>
      </w:r>
      <w:r w:rsidR="0085590F">
        <w:rPr>
          <w:sz w:val="24"/>
          <w:szCs w:val="24"/>
          <w:lang w:eastAsia="en-US"/>
        </w:rPr>
        <w:t>,</w:t>
      </w:r>
      <w:r w:rsidR="0085590F">
        <w:rPr>
          <w:sz w:val="24"/>
          <w:szCs w:val="24"/>
        </w:rPr>
        <w:t xml:space="preserve"> </w:t>
      </w:r>
      <w:r w:rsidR="00CA09CB">
        <w:rPr>
          <w:sz w:val="24"/>
          <w:szCs w:val="24"/>
        </w:rPr>
        <w:t>y</w:t>
      </w:r>
      <w:r w:rsidRPr="00BE5393">
        <w:rPr>
          <w:sz w:val="24"/>
          <w:szCs w:val="24"/>
        </w:rPr>
        <w:t xml:space="preserve"> a l</w:t>
      </w:r>
      <w:r w:rsidR="00FD7869">
        <w:rPr>
          <w:sz w:val="24"/>
          <w:szCs w:val="24"/>
        </w:rPr>
        <w:t>o</w:t>
      </w:r>
      <w:r w:rsidRPr="00BE5393">
        <w:rPr>
          <w:sz w:val="24"/>
          <w:szCs w:val="24"/>
        </w:rPr>
        <w:t xml:space="preserve">s </w:t>
      </w:r>
      <w:r w:rsidR="00CA09CB">
        <w:rPr>
          <w:sz w:val="24"/>
          <w:szCs w:val="24"/>
        </w:rPr>
        <w:t>sujetos vinculados</w:t>
      </w:r>
      <w:r w:rsidRPr="00BE5393">
        <w:rPr>
          <w:sz w:val="24"/>
          <w:szCs w:val="24"/>
        </w:rPr>
        <w:t xml:space="preserve"> en el </w:t>
      </w:r>
      <w:r w:rsidR="0085590F" w:rsidRPr="0085590F">
        <w:rPr>
          <w:sz w:val="24"/>
          <w:szCs w:val="24"/>
        </w:rPr>
        <w:t>proceso adelantado bajo el recurso extraordinario de revisi</w:t>
      </w:r>
      <w:r w:rsidR="00A72EFF">
        <w:rPr>
          <w:sz w:val="24"/>
          <w:szCs w:val="24"/>
        </w:rPr>
        <w:t>ón</w:t>
      </w:r>
      <w:r w:rsidR="0085590F" w:rsidRPr="0085590F">
        <w:rPr>
          <w:sz w:val="24"/>
          <w:szCs w:val="24"/>
        </w:rPr>
        <w:t xml:space="preserve"> con número de radicado 11001-03-25-000-2014-00273-00</w:t>
      </w:r>
      <w:r w:rsidRPr="00BE5393">
        <w:rPr>
          <w:sz w:val="24"/>
          <w:szCs w:val="24"/>
        </w:rPr>
        <w:t>,</w:t>
      </w:r>
      <w:r w:rsidRPr="00BE5393">
        <w:rPr>
          <w:sz w:val="24"/>
          <w:szCs w:val="24"/>
          <w:lang w:val="es-ES" w:eastAsia="en-US"/>
        </w:rPr>
        <w:t xml:space="preserve"> </w:t>
      </w:r>
      <w:r w:rsidRPr="00BE5393">
        <w:rPr>
          <w:sz w:val="24"/>
          <w:szCs w:val="24"/>
        </w:rPr>
        <w:t>de acuerdo con el informe que se expida en virtud de la orden contenida en el numeral segundo de esta providencia.</w:t>
      </w:r>
      <w:r w:rsidR="00866CDE">
        <w:rPr>
          <w:sz w:val="24"/>
          <w:szCs w:val="24"/>
        </w:rPr>
        <w:t xml:space="preserve"> </w:t>
      </w:r>
    </w:p>
    <w:p w14:paraId="35E15821" w14:textId="77777777" w:rsidR="00BE5393" w:rsidRPr="00BE5393" w:rsidRDefault="00BE5393" w:rsidP="00BE5393">
      <w:pPr>
        <w:spacing w:line="276" w:lineRule="auto"/>
        <w:rPr>
          <w:rFonts w:eastAsia="Times New Roman"/>
          <w:b/>
          <w:bCs/>
          <w:color w:val="000000"/>
          <w:sz w:val="24"/>
          <w:szCs w:val="24"/>
          <w:shd w:val="clear" w:color="auto" w:fill="FFFFFF"/>
          <w:lang w:val="es-ES" w:eastAsia="en-US"/>
        </w:rPr>
      </w:pPr>
    </w:p>
    <w:p w14:paraId="20FEA9FB" w14:textId="77777777" w:rsidR="00BE5393" w:rsidRPr="00BE5393" w:rsidRDefault="00BE5393" w:rsidP="00BE5393">
      <w:pPr>
        <w:spacing w:line="276" w:lineRule="auto"/>
        <w:rPr>
          <w:rFonts w:eastAsia="Times New Roman"/>
          <w:color w:val="000000"/>
          <w:sz w:val="24"/>
          <w:szCs w:val="24"/>
          <w:shd w:val="clear" w:color="auto" w:fill="FFFFFF"/>
          <w:lang w:val="es-ES" w:eastAsia="en-US"/>
        </w:rPr>
      </w:pPr>
      <w:r w:rsidRPr="00BE5393">
        <w:rPr>
          <w:rFonts w:eastAsia="Times New Roman"/>
          <w:b/>
          <w:sz w:val="24"/>
          <w:szCs w:val="24"/>
          <w:lang w:val="es-ES_tradnl" w:eastAsia="es-ES"/>
        </w:rPr>
        <w:t xml:space="preserve">CUARTO: </w:t>
      </w:r>
      <w:r w:rsidRPr="00BE5393">
        <w:rPr>
          <w:rFonts w:eastAsia="Times New Roman"/>
          <w:b/>
          <w:bCs/>
          <w:color w:val="000000"/>
          <w:sz w:val="24"/>
          <w:szCs w:val="24"/>
          <w:shd w:val="clear" w:color="auto" w:fill="FFFFFF"/>
          <w:lang w:val="es-ES" w:eastAsia="en-US"/>
        </w:rPr>
        <w:t>NOTIFICAR</w:t>
      </w:r>
      <w:r w:rsidRPr="00BE5393">
        <w:rPr>
          <w:rFonts w:eastAsia="Times New Roman"/>
          <w:color w:val="000000"/>
          <w:sz w:val="24"/>
          <w:szCs w:val="24"/>
          <w:shd w:val="clear" w:color="auto" w:fill="FFFFFF"/>
          <w:lang w:val="es-ES" w:eastAsia="en-US"/>
        </w:rPr>
        <w:t> el presente auto a las partes y a los sujetos vinculados de la forma más expedita posible. Esta providencia deberá ser publicada en las páginas web del Consejo de Estado y de la Rama Judicial.</w:t>
      </w:r>
    </w:p>
    <w:p w14:paraId="64CBBA4E" w14:textId="77777777" w:rsidR="00BE5393" w:rsidRPr="00BE5393" w:rsidRDefault="00BE5393" w:rsidP="00BE5393">
      <w:pPr>
        <w:overflowPunct w:val="0"/>
        <w:autoSpaceDE w:val="0"/>
        <w:autoSpaceDN w:val="0"/>
        <w:adjustRightInd w:val="0"/>
        <w:spacing w:line="276" w:lineRule="auto"/>
        <w:textAlignment w:val="baseline"/>
        <w:rPr>
          <w:rFonts w:eastAsia="Times New Roman"/>
          <w:bCs/>
          <w:sz w:val="24"/>
          <w:szCs w:val="24"/>
          <w:lang w:val="es-ES_tradnl" w:eastAsia="es-ES"/>
        </w:rPr>
      </w:pPr>
    </w:p>
    <w:p w14:paraId="76B71E0C" w14:textId="77777777" w:rsidR="00BE5393" w:rsidRPr="00BE5393" w:rsidRDefault="00BE5393" w:rsidP="00BE5393">
      <w:pPr>
        <w:overflowPunct w:val="0"/>
        <w:autoSpaceDE w:val="0"/>
        <w:autoSpaceDN w:val="0"/>
        <w:adjustRightInd w:val="0"/>
        <w:spacing w:line="276" w:lineRule="auto"/>
        <w:textAlignment w:val="baseline"/>
        <w:rPr>
          <w:rFonts w:eastAsia="Times New Roman"/>
          <w:color w:val="000000"/>
          <w:sz w:val="24"/>
          <w:szCs w:val="24"/>
          <w:lang w:val="es-ES_tradnl" w:eastAsia="es-ES"/>
        </w:rPr>
      </w:pPr>
      <w:r w:rsidRPr="00BE5393">
        <w:rPr>
          <w:rFonts w:eastAsia="Times New Roman"/>
          <w:b/>
          <w:sz w:val="24"/>
          <w:szCs w:val="24"/>
          <w:lang w:val="es-ES_tradnl" w:eastAsia="es-ES"/>
        </w:rPr>
        <w:t>QUINTO</w:t>
      </w:r>
      <w:r w:rsidRPr="00BE5393">
        <w:rPr>
          <w:rFonts w:eastAsia="Times New Roman"/>
          <w:b/>
          <w:color w:val="000000"/>
          <w:sz w:val="24"/>
          <w:szCs w:val="24"/>
          <w:lang w:val="es-ES_tradnl" w:eastAsia="es-ES"/>
        </w:rPr>
        <w:t>:</w:t>
      </w:r>
      <w:r w:rsidRPr="00BE5393">
        <w:rPr>
          <w:rFonts w:eastAsia="Times New Roman"/>
          <w:b/>
          <w:sz w:val="24"/>
          <w:szCs w:val="24"/>
          <w:lang w:val="es-ES_tradnl" w:eastAsia="es-ES"/>
        </w:rPr>
        <w:t xml:space="preserve"> </w:t>
      </w:r>
      <w:r w:rsidRPr="00BE5393">
        <w:rPr>
          <w:rFonts w:eastAsia="Times New Roman"/>
          <w:b/>
          <w:color w:val="000000"/>
          <w:sz w:val="24"/>
          <w:szCs w:val="24"/>
          <w:lang w:val="es-ES_tradnl" w:eastAsia="es-ES"/>
        </w:rPr>
        <w:t>COMUNICAR</w:t>
      </w:r>
      <w:r w:rsidRPr="00BE5393">
        <w:rPr>
          <w:rFonts w:eastAsia="Times New Roman"/>
          <w:color w:val="000000"/>
          <w:sz w:val="24"/>
          <w:szCs w:val="24"/>
          <w:lang w:val="es-ES_tradnl" w:eastAsia="es-ES"/>
        </w:rPr>
        <w:t xml:space="preserve"> a las partes y a los sujetos vinculados que podrán presentar informes sobre los hechos en que se sustenta la presente acción, </w:t>
      </w:r>
      <w:r w:rsidRPr="00BE5393">
        <w:rPr>
          <w:rFonts w:eastAsia="Times New Roman"/>
          <w:sz w:val="24"/>
          <w:szCs w:val="24"/>
          <w:lang w:val="es-ES_tradnl" w:eastAsia="es-ES"/>
        </w:rPr>
        <w:t>en el término de dos (2) días contados a partir del recibo de la notificación.</w:t>
      </w:r>
      <w:r w:rsidRPr="00BE5393">
        <w:rPr>
          <w:rFonts w:eastAsia="Times New Roman"/>
          <w:color w:val="000000"/>
          <w:sz w:val="24"/>
          <w:szCs w:val="24"/>
          <w:lang w:val="es-ES_tradnl" w:eastAsia="es-ES"/>
        </w:rPr>
        <w:t xml:space="preserve"> Estos se considerarán rendidos bajo juramento (artículos 19 y 20 del Decreto 2591 de 1991).</w:t>
      </w:r>
    </w:p>
    <w:p w14:paraId="6A0898C9" w14:textId="77777777" w:rsidR="00BE5393" w:rsidRPr="00BE5393" w:rsidRDefault="00BE5393" w:rsidP="00BE5393">
      <w:pPr>
        <w:overflowPunct w:val="0"/>
        <w:autoSpaceDE w:val="0"/>
        <w:autoSpaceDN w:val="0"/>
        <w:adjustRightInd w:val="0"/>
        <w:spacing w:line="276" w:lineRule="auto"/>
        <w:textAlignment w:val="baseline"/>
        <w:rPr>
          <w:rFonts w:eastAsia="Times New Roman"/>
          <w:color w:val="000000"/>
          <w:sz w:val="24"/>
          <w:szCs w:val="24"/>
          <w:lang w:val="es-ES_tradnl" w:eastAsia="es-ES"/>
        </w:rPr>
      </w:pPr>
    </w:p>
    <w:p w14:paraId="66DA3C8C" w14:textId="77777777" w:rsidR="00BE5393" w:rsidRPr="00BE5393" w:rsidRDefault="00BE5393" w:rsidP="00BE5393">
      <w:pPr>
        <w:spacing w:line="276" w:lineRule="auto"/>
        <w:ind w:right="51"/>
        <w:rPr>
          <w:bCs/>
          <w:sz w:val="24"/>
          <w:szCs w:val="24"/>
          <w:lang w:val="es-ES_tradnl" w:eastAsia="en-US"/>
        </w:rPr>
      </w:pPr>
      <w:r w:rsidRPr="00BE5393">
        <w:rPr>
          <w:b/>
          <w:sz w:val="24"/>
          <w:szCs w:val="24"/>
          <w:lang w:val="es-ES" w:eastAsia="en-US"/>
        </w:rPr>
        <w:t xml:space="preserve">SEXTO: </w:t>
      </w:r>
      <w:r w:rsidRPr="00BE5393">
        <w:rPr>
          <w:b/>
          <w:sz w:val="24"/>
          <w:szCs w:val="24"/>
          <w:lang w:val="es-ES_tradnl" w:eastAsia="en-US"/>
        </w:rPr>
        <w:t xml:space="preserve">TENER </w:t>
      </w:r>
      <w:r w:rsidRPr="00BE5393">
        <w:rPr>
          <w:bCs/>
          <w:sz w:val="24"/>
          <w:szCs w:val="24"/>
          <w:lang w:val="es-ES_tradnl" w:eastAsia="en-US"/>
        </w:rPr>
        <w:t>como pruebas los documentos aportados con el escrito de tutela.</w:t>
      </w:r>
    </w:p>
    <w:p w14:paraId="5D51A56B" w14:textId="77777777" w:rsidR="00BE5393" w:rsidRPr="00BE5393" w:rsidRDefault="00BE5393" w:rsidP="00BE5393">
      <w:pPr>
        <w:spacing w:line="276" w:lineRule="auto"/>
        <w:rPr>
          <w:rFonts w:eastAsia="Times New Roman"/>
          <w:sz w:val="24"/>
          <w:szCs w:val="24"/>
          <w:lang w:val="es-ES" w:eastAsia="en-US"/>
        </w:rPr>
      </w:pPr>
    </w:p>
    <w:p w14:paraId="4E622147" w14:textId="4CE97A0B" w:rsidR="00FF6376" w:rsidRDefault="00BE5393" w:rsidP="009E44CC">
      <w:pPr>
        <w:spacing w:line="276" w:lineRule="auto"/>
        <w:ind w:right="51"/>
        <w:rPr>
          <w:b/>
          <w:sz w:val="24"/>
          <w:szCs w:val="24"/>
        </w:rPr>
      </w:pPr>
      <w:r w:rsidRPr="00BE5393">
        <w:rPr>
          <w:b/>
          <w:sz w:val="24"/>
          <w:szCs w:val="24"/>
          <w:lang w:val="es-ES" w:eastAsia="en-US"/>
        </w:rPr>
        <w:t>SÉPTIMO:</w:t>
      </w:r>
      <w:r w:rsidRPr="00BE5393">
        <w:rPr>
          <w:b/>
          <w:sz w:val="24"/>
          <w:szCs w:val="24"/>
        </w:rPr>
        <w:t xml:space="preserve"> </w:t>
      </w:r>
      <w:r w:rsidR="00FF6376" w:rsidRPr="008A45D0">
        <w:rPr>
          <w:b/>
          <w:sz w:val="24"/>
          <w:szCs w:val="24"/>
          <w:lang w:val="es-ES" w:eastAsia="en-US"/>
        </w:rPr>
        <w:t xml:space="preserve">NEGAR </w:t>
      </w:r>
      <w:r w:rsidR="00FF6376" w:rsidRPr="008A45D0">
        <w:rPr>
          <w:sz w:val="24"/>
          <w:szCs w:val="24"/>
          <w:lang w:val="es-ES" w:eastAsia="en-US"/>
        </w:rPr>
        <w:t>la solicitud de medida provisional</w:t>
      </w:r>
      <w:r w:rsidR="00A72EFF">
        <w:rPr>
          <w:sz w:val="24"/>
          <w:szCs w:val="24"/>
          <w:lang w:val="es-ES" w:eastAsia="en-US"/>
        </w:rPr>
        <w:t xml:space="preserve"> presentada por la parte actora</w:t>
      </w:r>
      <w:r w:rsidR="00FF6376" w:rsidRPr="008A45D0">
        <w:rPr>
          <w:sz w:val="24"/>
          <w:szCs w:val="24"/>
          <w:lang w:val="es-ES" w:eastAsia="en-US"/>
        </w:rPr>
        <w:t>, por las razones expuestas en la parte motiva de esta providencia.</w:t>
      </w:r>
    </w:p>
    <w:p w14:paraId="05197174" w14:textId="77777777" w:rsidR="00FF6376" w:rsidRDefault="00FF6376" w:rsidP="009E44CC">
      <w:pPr>
        <w:spacing w:line="276" w:lineRule="auto"/>
        <w:ind w:right="51"/>
        <w:rPr>
          <w:b/>
          <w:sz w:val="24"/>
          <w:szCs w:val="24"/>
        </w:rPr>
      </w:pPr>
    </w:p>
    <w:p w14:paraId="6670EF87" w14:textId="2B087A7A" w:rsidR="00BE5393" w:rsidRDefault="00FF6376" w:rsidP="009E44CC">
      <w:pPr>
        <w:spacing w:line="276" w:lineRule="auto"/>
        <w:ind w:right="51"/>
        <w:rPr>
          <w:bCs/>
          <w:sz w:val="24"/>
          <w:szCs w:val="24"/>
        </w:rPr>
      </w:pPr>
      <w:r>
        <w:rPr>
          <w:b/>
          <w:sz w:val="24"/>
          <w:szCs w:val="24"/>
          <w:lang w:val="es-ES"/>
        </w:rPr>
        <w:t xml:space="preserve">OCTAVO: </w:t>
      </w:r>
      <w:r w:rsidR="00BE5393" w:rsidRPr="00BE5393">
        <w:rPr>
          <w:b/>
          <w:sz w:val="24"/>
          <w:szCs w:val="24"/>
          <w:lang w:val="es-ES"/>
        </w:rPr>
        <w:t xml:space="preserve">OFICIAR </w:t>
      </w:r>
      <w:r w:rsidR="009E44CC">
        <w:rPr>
          <w:sz w:val="24"/>
          <w:szCs w:val="24"/>
          <w:lang w:val="es-ES"/>
        </w:rPr>
        <w:t>a</w:t>
      </w:r>
      <w:r w:rsidR="00CA09CB" w:rsidRPr="00BE5393">
        <w:rPr>
          <w:sz w:val="24"/>
          <w:szCs w:val="24"/>
          <w:lang w:val="es-ES"/>
        </w:rPr>
        <w:t xml:space="preserve"> </w:t>
      </w:r>
      <w:r w:rsidR="0085590F" w:rsidRPr="0085590F">
        <w:rPr>
          <w:sz w:val="24"/>
          <w:szCs w:val="24"/>
          <w:lang w:eastAsia="en-US"/>
        </w:rPr>
        <w:t>la Subsección B de la Sección Segunda del Consejo de Estado</w:t>
      </w:r>
      <w:r w:rsidR="0085590F" w:rsidRPr="0085590F">
        <w:rPr>
          <w:bCs/>
          <w:sz w:val="24"/>
          <w:szCs w:val="24"/>
          <w:lang w:val="es-ES" w:eastAsia="en-US"/>
        </w:rPr>
        <w:t xml:space="preserve"> </w:t>
      </w:r>
      <w:r w:rsidR="00C040CC">
        <w:rPr>
          <w:bCs/>
          <w:sz w:val="24"/>
          <w:szCs w:val="24"/>
          <w:lang w:val="es-ES"/>
        </w:rPr>
        <w:t>para que</w:t>
      </w:r>
      <w:r w:rsidR="00BE5393" w:rsidRPr="00BE5393">
        <w:rPr>
          <w:bCs/>
          <w:sz w:val="24"/>
          <w:szCs w:val="24"/>
          <w:lang w:val="es-ES"/>
        </w:rPr>
        <w:t xml:space="preserve"> </w:t>
      </w:r>
      <w:r w:rsidR="00C040CC" w:rsidRPr="00BE5393">
        <w:rPr>
          <w:bCs/>
          <w:sz w:val="24"/>
          <w:szCs w:val="24"/>
        </w:rPr>
        <w:t>alle</w:t>
      </w:r>
      <w:r w:rsidR="00A72EFF">
        <w:rPr>
          <w:bCs/>
          <w:sz w:val="24"/>
          <w:szCs w:val="24"/>
        </w:rPr>
        <w:t>gue, con ocasión d</w:t>
      </w:r>
      <w:r w:rsidR="00A72EFF" w:rsidRPr="00BE5393">
        <w:rPr>
          <w:bCs/>
          <w:sz w:val="24"/>
          <w:szCs w:val="24"/>
          <w:lang w:val="es-ES"/>
        </w:rPr>
        <w:t xml:space="preserve">el </w:t>
      </w:r>
      <w:r w:rsidR="00A72EFF" w:rsidRPr="00BE5393">
        <w:rPr>
          <w:bCs/>
          <w:sz w:val="24"/>
          <w:szCs w:val="24"/>
          <w:lang w:val="es-ES_tradnl"/>
        </w:rPr>
        <w:t xml:space="preserve">expediente del </w:t>
      </w:r>
      <w:r w:rsidR="00A72EFF" w:rsidRPr="0085590F">
        <w:rPr>
          <w:bCs/>
          <w:sz w:val="24"/>
          <w:szCs w:val="24"/>
        </w:rPr>
        <w:t>proceso adelantado bajo el recurso extraordinario de revisi</w:t>
      </w:r>
      <w:r w:rsidR="00A72EFF">
        <w:rPr>
          <w:bCs/>
          <w:sz w:val="24"/>
          <w:szCs w:val="24"/>
        </w:rPr>
        <w:t xml:space="preserve">ón </w:t>
      </w:r>
      <w:r w:rsidR="00A72EFF" w:rsidRPr="0085590F">
        <w:rPr>
          <w:bCs/>
          <w:sz w:val="24"/>
          <w:szCs w:val="24"/>
        </w:rPr>
        <w:t>con número de radicado 11001-03-25-000-2014-00273-00</w:t>
      </w:r>
      <w:r w:rsidR="00A72EFF">
        <w:rPr>
          <w:bCs/>
          <w:sz w:val="24"/>
          <w:szCs w:val="24"/>
        </w:rPr>
        <w:t>, las siguientes piezas procesales, en cualquier medio digital:</w:t>
      </w:r>
      <w:r w:rsidR="00C040CC" w:rsidRPr="00BE5393">
        <w:rPr>
          <w:bCs/>
          <w:sz w:val="24"/>
          <w:szCs w:val="24"/>
        </w:rPr>
        <w:t xml:space="preserve"> </w:t>
      </w:r>
      <w:r w:rsidR="00A72EFF">
        <w:rPr>
          <w:bCs/>
          <w:sz w:val="24"/>
          <w:szCs w:val="24"/>
        </w:rPr>
        <w:t xml:space="preserve">(i) </w:t>
      </w:r>
      <w:r w:rsidR="00C040CC">
        <w:rPr>
          <w:bCs/>
          <w:sz w:val="24"/>
          <w:szCs w:val="24"/>
        </w:rPr>
        <w:t>la constancia de notificación de l</w:t>
      </w:r>
      <w:r w:rsidR="00C040CC" w:rsidRPr="009E44CC">
        <w:rPr>
          <w:bCs/>
          <w:sz w:val="24"/>
          <w:szCs w:val="24"/>
        </w:rPr>
        <w:t xml:space="preserve">a </w:t>
      </w:r>
      <w:r w:rsidR="00C040CC">
        <w:rPr>
          <w:bCs/>
          <w:sz w:val="24"/>
          <w:szCs w:val="24"/>
        </w:rPr>
        <w:t>sentencia</w:t>
      </w:r>
      <w:r w:rsidR="00C040CC" w:rsidRPr="009E44CC">
        <w:rPr>
          <w:bCs/>
          <w:sz w:val="24"/>
          <w:szCs w:val="24"/>
        </w:rPr>
        <w:t xml:space="preserve"> del 20 de febrero de 2020</w:t>
      </w:r>
      <w:r w:rsidR="00C040CC">
        <w:rPr>
          <w:bCs/>
          <w:sz w:val="24"/>
          <w:szCs w:val="24"/>
        </w:rPr>
        <w:t xml:space="preserve"> dictada por </w:t>
      </w:r>
      <w:r w:rsidR="00C040CC" w:rsidRPr="0085590F">
        <w:rPr>
          <w:sz w:val="24"/>
          <w:szCs w:val="24"/>
          <w:lang w:eastAsia="en-US"/>
        </w:rPr>
        <w:t>la Subsección B de la Sección Segunda del Consejo de Estado</w:t>
      </w:r>
      <w:r w:rsidR="00A72EFF">
        <w:rPr>
          <w:bCs/>
          <w:sz w:val="24"/>
          <w:szCs w:val="24"/>
        </w:rPr>
        <w:t xml:space="preserve">; (ii) contestación del recurso extraordinario de revisión presentada por </w:t>
      </w:r>
      <w:r w:rsidR="00A72EFF">
        <w:rPr>
          <w:sz w:val="24"/>
          <w:szCs w:val="24"/>
          <w:lang w:val="es-ES" w:eastAsia="en-US"/>
        </w:rPr>
        <w:t>José Alberto Cardona Gutiérrez</w:t>
      </w:r>
      <w:r w:rsidR="00A72EFF">
        <w:rPr>
          <w:bCs/>
          <w:sz w:val="24"/>
          <w:szCs w:val="24"/>
          <w:lang w:val="es-ES"/>
        </w:rPr>
        <w:t>; y (iii) sentencia del 25 de mayo de 2012 proferida por el Tribunal Administrativo de Caldas</w:t>
      </w:r>
      <w:r w:rsidR="00C040CC">
        <w:rPr>
          <w:bCs/>
          <w:sz w:val="24"/>
          <w:szCs w:val="24"/>
        </w:rPr>
        <w:t>.</w:t>
      </w:r>
    </w:p>
    <w:p w14:paraId="4FDB1C2E" w14:textId="77777777" w:rsidR="009E44CC" w:rsidRPr="009E44CC" w:rsidRDefault="009E44CC" w:rsidP="009E44CC">
      <w:pPr>
        <w:spacing w:line="276" w:lineRule="auto"/>
        <w:ind w:right="51"/>
        <w:rPr>
          <w:bCs/>
          <w:sz w:val="24"/>
          <w:szCs w:val="24"/>
        </w:rPr>
      </w:pPr>
    </w:p>
    <w:p w14:paraId="2A9B3C8D" w14:textId="5B3DEF34" w:rsidR="009E44CC" w:rsidRDefault="00FF6376" w:rsidP="009E44CC">
      <w:pPr>
        <w:spacing w:line="276" w:lineRule="auto"/>
        <w:ind w:right="51"/>
        <w:rPr>
          <w:bCs/>
          <w:sz w:val="24"/>
          <w:szCs w:val="24"/>
        </w:rPr>
      </w:pPr>
      <w:r>
        <w:rPr>
          <w:b/>
          <w:sz w:val="24"/>
          <w:szCs w:val="24"/>
          <w:lang w:val="es-ES" w:eastAsia="en-US"/>
        </w:rPr>
        <w:t>NOVENO</w:t>
      </w:r>
      <w:r w:rsidR="00BE5393" w:rsidRPr="00BE5393">
        <w:rPr>
          <w:b/>
          <w:sz w:val="24"/>
          <w:szCs w:val="24"/>
          <w:lang w:val="es-ES" w:eastAsia="en-US"/>
        </w:rPr>
        <w:t xml:space="preserve">: </w:t>
      </w:r>
      <w:r w:rsidR="009E44CC">
        <w:rPr>
          <w:b/>
          <w:bCs/>
          <w:color w:val="000000"/>
          <w:sz w:val="24"/>
          <w:szCs w:val="24"/>
        </w:rPr>
        <w:t xml:space="preserve">OFICIAR </w:t>
      </w:r>
      <w:r w:rsidR="009E44CC">
        <w:rPr>
          <w:sz w:val="24"/>
          <w:szCs w:val="24"/>
          <w:lang w:val="es-ES"/>
        </w:rPr>
        <w:t>a</w:t>
      </w:r>
      <w:r w:rsidR="009E44CC" w:rsidRPr="00BE5393">
        <w:rPr>
          <w:sz w:val="24"/>
          <w:szCs w:val="24"/>
          <w:lang w:val="es-ES"/>
        </w:rPr>
        <w:t xml:space="preserve"> </w:t>
      </w:r>
      <w:r w:rsidR="009E44CC" w:rsidRPr="0085590F">
        <w:rPr>
          <w:sz w:val="24"/>
          <w:szCs w:val="24"/>
          <w:lang w:eastAsia="en-US"/>
        </w:rPr>
        <w:t xml:space="preserve">la </w:t>
      </w:r>
      <w:r w:rsidR="009E44CC">
        <w:rPr>
          <w:sz w:val="24"/>
          <w:szCs w:val="24"/>
          <w:lang w:eastAsia="en-US"/>
        </w:rPr>
        <w:t>UGPP</w:t>
      </w:r>
      <w:r w:rsidR="009E44CC" w:rsidRPr="0085590F">
        <w:rPr>
          <w:bCs/>
          <w:sz w:val="24"/>
          <w:szCs w:val="24"/>
          <w:lang w:val="es-ES" w:eastAsia="en-US"/>
        </w:rPr>
        <w:t xml:space="preserve"> </w:t>
      </w:r>
      <w:r w:rsidR="009E44CC">
        <w:rPr>
          <w:bCs/>
          <w:sz w:val="24"/>
          <w:szCs w:val="24"/>
          <w:lang w:val="es-ES"/>
        </w:rPr>
        <w:t xml:space="preserve">para que </w:t>
      </w:r>
      <w:r w:rsidR="009E44CC" w:rsidRPr="00BE5393">
        <w:rPr>
          <w:bCs/>
          <w:sz w:val="24"/>
          <w:szCs w:val="24"/>
        </w:rPr>
        <w:t xml:space="preserve">allegue, en cualquier medio digital, </w:t>
      </w:r>
      <w:r w:rsidR="009E44CC">
        <w:rPr>
          <w:bCs/>
          <w:sz w:val="24"/>
          <w:szCs w:val="24"/>
        </w:rPr>
        <w:t>la</w:t>
      </w:r>
      <w:r w:rsidR="00A72EFF">
        <w:rPr>
          <w:bCs/>
          <w:sz w:val="24"/>
          <w:szCs w:val="24"/>
        </w:rPr>
        <w:t>s</w:t>
      </w:r>
      <w:r w:rsidR="009E44CC">
        <w:rPr>
          <w:bCs/>
          <w:sz w:val="24"/>
          <w:szCs w:val="24"/>
        </w:rPr>
        <w:t xml:space="preserve"> </w:t>
      </w:r>
      <w:r>
        <w:rPr>
          <w:bCs/>
          <w:sz w:val="24"/>
          <w:szCs w:val="24"/>
        </w:rPr>
        <w:t xml:space="preserve">Resoluciones Nos. RDP29378 del 17 de diciembre de 2020, </w:t>
      </w:r>
      <w:r w:rsidR="00C040CC">
        <w:rPr>
          <w:bCs/>
          <w:sz w:val="24"/>
          <w:szCs w:val="24"/>
        </w:rPr>
        <w:t>RDP</w:t>
      </w:r>
      <w:r>
        <w:rPr>
          <w:bCs/>
          <w:sz w:val="24"/>
          <w:szCs w:val="24"/>
        </w:rPr>
        <w:t xml:space="preserve">23690 del 19 de octubre de 2020 y </w:t>
      </w:r>
      <w:r w:rsidR="00C040CC">
        <w:rPr>
          <w:bCs/>
          <w:sz w:val="24"/>
          <w:szCs w:val="24"/>
        </w:rPr>
        <w:t>RDP</w:t>
      </w:r>
      <w:r>
        <w:rPr>
          <w:bCs/>
          <w:sz w:val="24"/>
          <w:szCs w:val="24"/>
        </w:rPr>
        <w:t>15189 del 13 de noviembre de 2012, con la constancia de haberse notificado cada uno de estos actos administrativos a los sujetos interesados.</w:t>
      </w:r>
    </w:p>
    <w:p w14:paraId="01158616" w14:textId="278A6114" w:rsidR="00BE5393" w:rsidRPr="00BE5393" w:rsidRDefault="00BE5393" w:rsidP="00BE5393">
      <w:pPr>
        <w:spacing w:line="276" w:lineRule="auto"/>
        <w:ind w:right="51"/>
        <w:rPr>
          <w:b/>
          <w:sz w:val="24"/>
          <w:szCs w:val="24"/>
        </w:rPr>
      </w:pPr>
    </w:p>
    <w:p w14:paraId="06777376" w14:textId="2AB517CA" w:rsidR="00BE5393" w:rsidRPr="00BE5393" w:rsidRDefault="00FF6376" w:rsidP="00BE5393">
      <w:pPr>
        <w:spacing w:line="276" w:lineRule="auto"/>
        <w:ind w:right="51"/>
        <w:rPr>
          <w:b/>
          <w:sz w:val="24"/>
          <w:szCs w:val="24"/>
        </w:rPr>
      </w:pPr>
      <w:r>
        <w:rPr>
          <w:b/>
          <w:sz w:val="24"/>
          <w:szCs w:val="24"/>
          <w:lang w:val="es-ES"/>
        </w:rPr>
        <w:t>DÉCIMO</w:t>
      </w:r>
      <w:r w:rsidR="00BE5393" w:rsidRPr="00BE5393">
        <w:rPr>
          <w:b/>
          <w:sz w:val="24"/>
          <w:szCs w:val="24"/>
          <w:lang w:val="es-ES"/>
        </w:rPr>
        <w:t xml:space="preserve">: </w:t>
      </w:r>
      <w:r w:rsidR="0085590F" w:rsidRPr="00BE5393">
        <w:rPr>
          <w:b/>
          <w:sz w:val="24"/>
          <w:szCs w:val="24"/>
        </w:rPr>
        <w:t>SUSPENDER</w:t>
      </w:r>
      <w:r w:rsidR="0085590F" w:rsidRPr="00BE5393">
        <w:rPr>
          <w:sz w:val="24"/>
          <w:szCs w:val="24"/>
        </w:rPr>
        <w:t xml:space="preserve"> </w:t>
      </w:r>
      <w:r w:rsidR="0085590F" w:rsidRPr="00BE5393">
        <w:rPr>
          <w:sz w:val="24"/>
          <w:szCs w:val="24"/>
          <w:lang w:val="es-ES"/>
        </w:rPr>
        <w:t>los términos de la presente acción constitucional hasta tanto se dé cumplimiento a las órdenes impartidas en esta providencia y el expediente regrese al Despacho desde la Secretaría General.</w:t>
      </w:r>
    </w:p>
    <w:p w14:paraId="09C8A66A" w14:textId="77777777" w:rsidR="00BE5393" w:rsidRPr="00BE5393" w:rsidRDefault="00BE5393" w:rsidP="00BE5393">
      <w:pPr>
        <w:overflowPunct w:val="0"/>
        <w:autoSpaceDE w:val="0"/>
        <w:autoSpaceDN w:val="0"/>
        <w:adjustRightInd w:val="0"/>
        <w:spacing w:line="276" w:lineRule="auto"/>
        <w:textAlignment w:val="baseline"/>
        <w:rPr>
          <w:rFonts w:eastAsia="Times New Roman"/>
          <w:b/>
          <w:sz w:val="24"/>
          <w:szCs w:val="24"/>
          <w:lang w:val="es-ES_tradnl" w:eastAsia="es-ES"/>
        </w:rPr>
      </w:pPr>
    </w:p>
    <w:p w14:paraId="71A4E43E"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r w:rsidRPr="00BE5393">
        <w:rPr>
          <w:rFonts w:eastAsia="Times New Roman"/>
          <w:b/>
          <w:sz w:val="24"/>
          <w:szCs w:val="24"/>
          <w:lang w:val="es-ES_tradnl" w:eastAsia="es-ES"/>
        </w:rPr>
        <w:t>Notifíquese y Cúmplase</w:t>
      </w:r>
      <w:r w:rsidRPr="00BE5393">
        <w:rPr>
          <w:rFonts w:eastAsia="Times New Roman"/>
          <w:sz w:val="24"/>
          <w:szCs w:val="24"/>
          <w:lang w:val="es-ES_tradnl" w:eastAsia="es-ES"/>
        </w:rPr>
        <w:t>,</w:t>
      </w:r>
    </w:p>
    <w:p w14:paraId="5DD51BC4"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53970C63"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64C3182A" w14:textId="77777777" w:rsidR="00BE5393" w:rsidRPr="00BE5393" w:rsidRDefault="00BE5393" w:rsidP="00BE5393">
      <w:pPr>
        <w:overflowPunct w:val="0"/>
        <w:autoSpaceDE w:val="0"/>
        <w:autoSpaceDN w:val="0"/>
        <w:adjustRightInd w:val="0"/>
        <w:spacing w:line="276" w:lineRule="auto"/>
        <w:textAlignment w:val="baseline"/>
        <w:rPr>
          <w:rFonts w:eastAsia="Times New Roman"/>
          <w:sz w:val="24"/>
          <w:szCs w:val="24"/>
          <w:lang w:val="es-ES_tradnl" w:eastAsia="es-ES"/>
        </w:rPr>
      </w:pPr>
    </w:p>
    <w:p w14:paraId="2B82FA2C" w14:textId="77777777" w:rsidR="00BE5393" w:rsidRPr="00BE5393" w:rsidRDefault="00BE5393" w:rsidP="00BE5393">
      <w:pPr>
        <w:overflowPunct w:val="0"/>
        <w:autoSpaceDE w:val="0"/>
        <w:autoSpaceDN w:val="0"/>
        <w:adjustRightInd w:val="0"/>
        <w:spacing w:line="276" w:lineRule="auto"/>
        <w:jc w:val="center"/>
        <w:textAlignment w:val="baseline"/>
        <w:rPr>
          <w:rFonts w:eastAsia="Times New Roman"/>
          <w:b/>
          <w:sz w:val="24"/>
          <w:szCs w:val="24"/>
          <w:lang w:val="es-ES_tradnl" w:eastAsia="es-ES"/>
        </w:rPr>
      </w:pPr>
      <w:r w:rsidRPr="00BE5393">
        <w:rPr>
          <w:rFonts w:eastAsia="Times New Roman"/>
          <w:b/>
          <w:sz w:val="24"/>
          <w:szCs w:val="24"/>
          <w:lang w:val="es-ES_tradnl" w:eastAsia="es-ES"/>
        </w:rPr>
        <w:t>JAIME ENRIQUE RODRÍGUEZ NAVAS</w:t>
      </w:r>
    </w:p>
    <w:p w14:paraId="5AC42793" w14:textId="77777777" w:rsidR="00BE5393" w:rsidRPr="00BE5393" w:rsidRDefault="00BE5393" w:rsidP="00BE5393">
      <w:pPr>
        <w:overflowPunct w:val="0"/>
        <w:autoSpaceDE w:val="0"/>
        <w:autoSpaceDN w:val="0"/>
        <w:adjustRightInd w:val="0"/>
        <w:spacing w:line="276" w:lineRule="auto"/>
        <w:jc w:val="center"/>
        <w:textAlignment w:val="baseline"/>
        <w:rPr>
          <w:rFonts w:eastAsia="Times New Roman"/>
          <w:sz w:val="24"/>
          <w:szCs w:val="24"/>
          <w:lang w:val="es-ES_tradnl" w:eastAsia="es-ES"/>
        </w:rPr>
      </w:pPr>
      <w:r w:rsidRPr="00BE5393">
        <w:rPr>
          <w:rFonts w:eastAsia="Times New Roman"/>
          <w:b/>
          <w:sz w:val="24"/>
          <w:szCs w:val="24"/>
          <w:lang w:val="es-ES_tradnl" w:eastAsia="es-ES"/>
        </w:rPr>
        <w:t>Magistrado</w:t>
      </w:r>
    </w:p>
    <w:p w14:paraId="463F29E8" w14:textId="77777777" w:rsidR="004849BB" w:rsidRPr="00BE5393" w:rsidRDefault="004849BB" w:rsidP="00BE5393"/>
    <w:sectPr w:rsidR="004849BB" w:rsidRPr="00BE5393"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8A490" w14:textId="77777777" w:rsidR="00961AD4" w:rsidRDefault="00961AD4" w:rsidP="00117091">
      <w:r>
        <w:separator/>
      </w:r>
    </w:p>
  </w:endnote>
  <w:endnote w:type="continuationSeparator" w:id="0">
    <w:p w14:paraId="282FFB1F" w14:textId="77777777" w:rsidR="00961AD4" w:rsidRDefault="00961AD4"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B6429B" w14:paraId="4830A873" w14:textId="77777777" w:rsidTr="00B6429B">
      <w:trPr>
        <w:jc w:val="right"/>
      </w:trPr>
      <w:tc>
        <w:tcPr>
          <w:tcW w:w="4795" w:type="dxa"/>
          <w:vAlign w:val="center"/>
        </w:tcPr>
        <w:p w14:paraId="0C43E376" w14:textId="77777777" w:rsidR="00B6429B" w:rsidRDefault="00B6429B"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B6429B" w:rsidRPr="00A21194" w:rsidRDefault="00B6429B"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6AE963C6" w:rsidR="00B6429B" w:rsidRPr="00B6429B" w:rsidRDefault="00B6429B" w:rsidP="00B6429B">
          <w:pPr>
            <w:pStyle w:val="Piedepgina"/>
            <w:jc w:val="center"/>
          </w:pPr>
          <w:r w:rsidRPr="00B6429B">
            <w:fldChar w:fldCharType="begin"/>
          </w:r>
          <w:r w:rsidRPr="00B6429B">
            <w:instrText>PAGE   \* MERGEFORMAT</w:instrText>
          </w:r>
          <w:r w:rsidRPr="00B6429B">
            <w:fldChar w:fldCharType="separate"/>
          </w:r>
          <w:r w:rsidR="005A504A" w:rsidRPr="005A504A">
            <w:rPr>
              <w:noProof/>
              <w:lang w:val="es-ES"/>
            </w:rPr>
            <w:t>4</w:t>
          </w:r>
          <w:r w:rsidRPr="00B6429B">
            <w:fldChar w:fldCharType="end"/>
          </w:r>
        </w:p>
      </w:tc>
    </w:tr>
  </w:tbl>
  <w:p w14:paraId="17AD93B2" w14:textId="77777777" w:rsidR="00EC38ED" w:rsidRPr="008C0DBE" w:rsidRDefault="00EC38ED"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A21194" w14:paraId="7BC39794" w14:textId="77777777" w:rsidTr="00B6429B">
      <w:trPr>
        <w:jc w:val="right"/>
      </w:trPr>
      <w:tc>
        <w:tcPr>
          <w:tcW w:w="4795" w:type="dxa"/>
          <w:vAlign w:val="center"/>
        </w:tcPr>
        <w:p w14:paraId="60E1FF49" w14:textId="77777777" w:rsidR="00B6429B" w:rsidRDefault="00A21194"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A21194" w:rsidRPr="00A21194" w:rsidRDefault="00A21194"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2262FA01" w:rsidR="00A21194" w:rsidRPr="00B6429B" w:rsidRDefault="00A21194">
          <w:pPr>
            <w:pStyle w:val="Piedepgina"/>
            <w:jc w:val="center"/>
          </w:pPr>
          <w:r w:rsidRPr="00B6429B">
            <w:fldChar w:fldCharType="begin"/>
          </w:r>
          <w:r w:rsidRPr="00B6429B">
            <w:instrText>PAGE   \* MERGEFORMAT</w:instrText>
          </w:r>
          <w:r w:rsidRPr="00B6429B">
            <w:fldChar w:fldCharType="separate"/>
          </w:r>
          <w:r w:rsidR="005A504A" w:rsidRPr="005A504A">
            <w:rPr>
              <w:noProof/>
              <w:lang w:val="es-ES"/>
            </w:rPr>
            <w:t>1</w:t>
          </w:r>
          <w:r w:rsidRPr="00B6429B">
            <w:fldChar w:fldCharType="end"/>
          </w:r>
        </w:p>
      </w:tc>
    </w:tr>
  </w:tbl>
  <w:p w14:paraId="5630AD66" w14:textId="77777777" w:rsidR="00F91B32" w:rsidRDefault="00F91B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55721" w14:textId="77777777" w:rsidR="00961AD4" w:rsidRDefault="00961AD4" w:rsidP="00117091">
      <w:r>
        <w:separator/>
      </w:r>
    </w:p>
  </w:footnote>
  <w:footnote w:type="continuationSeparator" w:id="0">
    <w:p w14:paraId="370CA1A4" w14:textId="77777777" w:rsidR="00961AD4" w:rsidRDefault="00961AD4" w:rsidP="00117091">
      <w:r>
        <w:continuationSeparator/>
      </w:r>
    </w:p>
  </w:footnote>
  <w:footnote w:id="1">
    <w:p w14:paraId="527285B2" w14:textId="73686695" w:rsidR="00673D96" w:rsidRPr="00CB74DF" w:rsidRDefault="00673D96" w:rsidP="00673D96">
      <w:pPr>
        <w:pStyle w:val="Textonotapie"/>
      </w:pPr>
      <w:r w:rsidRPr="00CB74DF">
        <w:rPr>
          <w:rStyle w:val="Refdenotaalpie"/>
        </w:rPr>
        <w:footnoteRef/>
      </w:r>
      <w:r w:rsidRPr="00CB74DF">
        <w:t xml:space="preserve"> Corte Constitucional, sentencia T-1</w:t>
      </w:r>
      <w:r w:rsidR="00A44787">
        <w:t>031 de 23 de marzo de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6ABD7" w14:textId="779D7B45" w:rsidR="00117091" w:rsidRPr="00A15ACE" w:rsidRDefault="00687E32">
    <w:pPr>
      <w:pStyle w:val="Encabezado"/>
    </w:pPr>
    <w:r>
      <w:rPr>
        <w:noProof/>
        <w:lang w:val="en-US" w:eastAsia="en-U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117091" w:rsidRPr="00A15ACE" w:rsidRDefault="00117091">
    <w:pPr>
      <w:pStyle w:val="Encabezado"/>
    </w:pPr>
  </w:p>
  <w:p w14:paraId="4B90DC7A" w14:textId="77777777" w:rsidR="00117091" w:rsidRPr="00A15ACE" w:rsidRDefault="00687E32">
    <w:pPr>
      <w:pStyle w:val="Encabezado"/>
    </w:pPr>
    <w:r w:rsidRPr="0070023E">
      <w:rPr>
        <w:noProof/>
        <w:sz w:val="20"/>
        <w:szCs w:val="20"/>
        <w:lang w:val="en-US" w:eastAsia="en-U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68F4C983" w:rsidR="00D86793" w:rsidRPr="00B0551F" w:rsidRDefault="00D86793"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85590F" w:rsidRPr="0085590F">
      <w:rPr>
        <w:bCs/>
        <w:color w:val="767171"/>
        <w:sz w:val="20"/>
        <w:szCs w:val="20"/>
      </w:rPr>
      <w:t>11001-03-15-000-2021-00362-00</w:t>
    </w:r>
  </w:p>
  <w:p w14:paraId="7EFCCC8F" w14:textId="1A2B8675" w:rsidR="00151E0E" w:rsidRPr="00151E0E" w:rsidRDefault="00D86793" w:rsidP="00151E0E">
    <w:pPr>
      <w:tabs>
        <w:tab w:val="center" w:pos="4252"/>
        <w:tab w:val="right" w:pos="8504"/>
      </w:tabs>
      <w:jc w:val="right"/>
      <w:rPr>
        <w:b/>
        <w:bCs/>
        <w:color w:val="767171"/>
        <w:sz w:val="20"/>
        <w:szCs w:val="20"/>
      </w:rPr>
    </w:pPr>
    <w:r w:rsidRPr="00D86793">
      <w:rPr>
        <w:color w:val="767171"/>
        <w:sz w:val="20"/>
        <w:szCs w:val="20"/>
      </w:rPr>
      <w:tab/>
    </w:r>
    <w:r w:rsidRPr="00D86793">
      <w:rPr>
        <w:color w:val="767171"/>
        <w:sz w:val="20"/>
        <w:szCs w:val="20"/>
      </w:rPr>
      <w:tab/>
      <w:t xml:space="preserve">Accionante: </w:t>
    </w:r>
    <w:r w:rsidR="0085590F" w:rsidRPr="0085590F">
      <w:rPr>
        <w:bCs/>
        <w:color w:val="767171"/>
        <w:sz w:val="20"/>
        <w:szCs w:val="20"/>
        <w:lang w:val="es-ES"/>
      </w:rPr>
      <w:t>José Alberto Car</w:t>
    </w:r>
    <w:r w:rsidR="005A504A">
      <w:rPr>
        <w:bCs/>
        <w:color w:val="767171"/>
        <w:sz w:val="20"/>
        <w:szCs w:val="20"/>
        <w:lang w:val="es-ES"/>
      </w:rPr>
      <w:t>d</w:t>
    </w:r>
    <w:r w:rsidR="0085590F" w:rsidRPr="0085590F">
      <w:rPr>
        <w:bCs/>
        <w:color w:val="767171"/>
        <w:sz w:val="20"/>
        <w:szCs w:val="20"/>
        <w:lang w:val="es-ES"/>
      </w:rPr>
      <w:t>ona Gutiérrez</w:t>
    </w:r>
  </w:p>
  <w:p w14:paraId="0991BC67" w14:textId="26B16858" w:rsidR="00D86793" w:rsidRPr="00D86793" w:rsidRDefault="00D86793" w:rsidP="00D86793">
    <w:pPr>
      <w:tabs>
        <w:tab w:val="center" w:pos="4252"/>
        <w:tab w:val="right" w:pos="8504"/>
      </w:tabs>
      <w:jc w:val="right"/>
      <w:rPr>
        <w:bCs/>
        <w:color w:val="767171"/>
        <w:sz w:val="20"/>
        <w:szCs w:val="20"/>
      </w:rPr>
    </w:pPr>
  </w:p>
  <w:p w14:paraId="07B33FD0" w14:textId="25561C82" w:rsidR="00117091" w:rsidRPr="00F532EA" w:rsidRDefault="00117091"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9D0D6" w14:textId="77777777" w:rsidR="00F1441F" w:rsidRPr="00A15ACE" w:rsidRDefault="00687E32" w:rsidP="00F1441F">
    <w:pPr>
      <w:pStyle w:val="Encabezado"/>
    </w:pPr>
    <w:r>
      <w:rPr>
        <w:noProof/>
        <w:lang w:val="en-US" w:eastAsia="en-U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1441F" w:rsidRPr="00A15ACE" w:rsidRDefault="00F1441F" w:rsidP="00F1441F">
    <w:pPr>
      <w:pStyle w:val="Encabezado"/>
      <w:rPr>
        <w:color w:val="767171"/>
      </w:rPr>
    </w:pPr>
  </w:p>
  <w:p w14:paraId="3F3B7A5B" w14:textId="77777777" w:rsidR="0074235D" w:rsidRPr="007F276C" w:rsidRDefault="0074235D" w:rsidP="00D86793">
    <w:pPr>
      <w:pStyle w:val="Sinespaciado"/>
    </w:pPr>
    <w:r w:rsidRPr="007F276C">
      <w:t>CONSEJO DE ESTADO</w:t>
    </w:r>
  </w:p>
  <w:p w14:paraId="6EF027A0" w14:textId="77777777" w:rsidR="0074235D" w:rsidRPr="007F276C" w:rsidRDefault="0074235D" w:rsidP="00D86793">
    <w:pPr>
      <w:pStyle w:val="Sinespaciado"/>
    </w:pPr>
    <w:r w:rsidRPr="007F276C">
      <w:t>SALA DE LO CONTENCIOSO ADMINISTRATIVO</w:t>
    </w:r>
  </w:p>
  <w:p w14:paraId="2FC4305D" w14:textId="77777777" w:rsidR="0074235D" w:rsidRPr="007F276C" w:rsidRDefault="0074235D" w:rsidP="00D86793">
    <w:pPr>
      <w:pStyle w:val="Sinespaciado"/>
    </w:pPr>
    <w:r w:rsidRPr="007F276C">
      <w:t>SECCIÓN TERCERA – SUBSECCIÓN C</w:t>
    </w:r>
  </w:p>
  <w:p w14:paraId="2BA226A1"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2F821EA"/>
    <w:multiLevelType w:val="hybridMultilevel"/>
    <w:tmpl w:val="9650E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4"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13"/>
  </w:num>
  <w:num w:numId="6">
    <w:abstractNumId w:val="28"/>
  </w:num>
  <w:num w:numId="7">
    <w:abstractNumId w:val="22"/>
  </w:num>
  <w:num w:numId="8">
    <w:abstractNumId w:val="31"/>
  </w:num>
  <w:num w:numId="9">
    <w:abstractNumId w:val="14"/>
  </w:num>
  <w:num w:numId="10">
    <w:abstractNumId w:val="12"/>
  </w:num>
  <w:num w:numId="11">
    <w:abstractNumId w:val="29"/>
  </w:num>
  <w:num w:numId="12">
    <w:abstractNumId w:val="9"/>
  </w:num>
  <w:num w:numId="13">
    <w:abstractNumId w:val="20"/>
  </w:num>
  <w:num w:numId="14">
    <w:abstractNumId w:val="23"/>
  </w:num>
  <w:num w:numId="15">
    <w:abstractNumId w:val="25"/>
  </w:num>
  <w:num w:numId="16">
    <w:abstractNumId w:val="26"/>
  </w:num>
  <w:num w:numId="17">
    <w:abstractNumId w:val="18"/>
  </w:num>
  <w:num w:numId="18">
    <w:abstractNumId w:val="32"/>
  </w:num>
  <w:num w:numId="19">
    <w:abstractNumId w:val="17"/>
  </w:num>
  <w:num w:numId="20">
    <w:abstractNumId w:val="6"/>
  </w:num>
  <w:num w:numId="21">
    <w:abstractNumId w:val="10"/>
  </w:num>
  <w:num w:numId="22">
    <w:abstractNumId w:val="30"/>
  </w:num>
  <w:num w:numId="23">
    <w:abstractNumId w:val="27"/>
  </w:num>
  <w:num w:numId="24">
    <w:abstractNumId w:val="21"/>
  </w:num>
  <w:num w:numId="25">
    <w:abstractNumId w:val="1"/>
  </w:num>
  <w:num w:numId="26">
    <w:abstractNumId w:val="2"/>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6"/>
  </w:num>
  <w:num w:numId="30">
    <w:abstractNumId w:val="8"/>
  </w:num>
  <w:num w:numId="31">
    <w:abstractNumId w:val="15"/>
  </w:num>
  <w:num w:numId="32">
    <w:abstractNumId w:val="5"/>
  </w:num>
  <w:num w:numId="33">
    <w:abstractNumId w:val="19"/>
  </w:num>
  <w:num w:numId="34">
    <w:abstractNumId w:val="3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0FE"/>
    <w:rsid w:val="00006D3C"/>
    <w:rsid w:val="00017CB3"/>
    <w:rsid w:val="00047317"/>
    <w:rsid w:val="000572F7"/>
    <w:rsid w:val="00061B93"/>
    <w:rsid w:val="000728E0"/>
    <w:rsid w:val="00073869"/>
    <w:rsid w:val="00083B8F"/>
    <w:rsid w:val="00094E7B"/>
    <w:rsid w:val="000A0B33"/>
    <w:rsid w:val="000C2B43"/>
    <w:rsid w:val="000C5DB7"/>
    <w:rsid w:val="000C7B4F"/>
    <w:rsid w:val="000D0E41"/>
    <w:rsid w:val="000D5563"/>
    <w:rsid w:val="000E2D62"/>
    <w:rsid w:val="00117091"/>
    <w:rsid w:val="001314F6"/>
    <w:rsid w:val="00133F91"/>
    <w:rsid w:val="00151E0E"/>
    <w:rsid w:val="0015444A"/>
    <w:rsid w:val="00155E78"/>
    <w:rsid w:val="00166AF6"/>
    <w:rsid w:val="00194CD0"/>
    <w:rsid w:val="001A5C79"/>
    <w:rsid w:val="001C3C1F"/>
    <w:rsid w:val="001D4E62"/>
    <w:rsid w:val="001F4779"/>
    <w:rsid w:val="00201EC3"/>
    <w:rsid w:val="00214D23"/>
    <w:rsid w:val="002230E3"/>
    <w:rsid w:val="00246239"/>
    <w:rsid w:val="00254098"/>
    <w:rsid w:val="002603B7"/>
    <w:rsid w:val="00281874"/>
    <w:rsid w:val="0028665C"/>
    <w:rsid w:val="002C12BC"/>
    <w:rsid w:val="002D31DC"/>
    <w:rsid w:val="002D480B"/>
    <w:rsid w:val="002D6EB0"/>
    <w:rsid w:val="002E1978"/>
    <w:rsid w:val="002F03BA"/>
    <w:rsid w:val="00306BD4"/>
    <w:rsid w:val="0031514A"/>
    <w:rsid w:val="003361BF"/>
    <w:rsid w:val="003512C0"/>
    <w:rsid w:val="00353305"/>
    <w:rsid w:val="00360658"/>
    <w:rsid w:val="00361478"/>
    <w:rsid w:val="00374674"/>
    <w:rsid w:val="00383156"/>
    <w:rsid w:val="00383425"/>
    <w:rsid w:val="00384507"/>
    <w:rsid w:val="00387BBC"/>
    <w:rsid w:val="00394A69"/>
    <w:rsid w:val="00396358"/>
    <w:rsid w:val="003A12C4"/>
    <w:rsid w:val="003B4515"/>
    <w:rsid w:val="003D1B94"/>
    <w:rsid w:val="003E3CA0"/>
    <w:rsid w:val="003F2BA3"/>
    <w:rsid w:val="003F47EC"/>
    <w:rsid w:val="003F4EE1"/>
    <w:rsid w:val="003F7FF5"/>
    <w:rsid w:val="0040213E"/>
    <w:rsid w:val="00402998"/>
    <w:rsid w:val="0040696B"/>
    <w:rsid w:val="004168CB"/>
    <w:rsid w:val="004211FA"/>
    <w:rsid w:val="00424723"/>
    <w:rsid w:val="00430389"/>
    <w:rsid w:val="00430D89"/>
    <w:rsid w:val="00447956"/>
    <w:rsid w:val="0047256F"/>
    <w:rsid w:val="004849BB"/>
    <w:rsid w:val="004857F6"/>
    <w:rsid w:val="00491910"/>
    <w:rsid w:val="00491D4D"/>
    <w:rsid w:val="00497735"/>
    <w:rsid w:val="004A1D38"/>
    <w:rsid w:val="004A4030"/>
    <w:rsid w:val="004A59E5"/>
    <w:rsid w:val="004D5983"/>
    <w:rsid w:val="004D63F2"/>
    <w:rsid w:val="004E3D73"/>
    <w:rsid w:val="00505263"/>
    <w:rsid w:val="005127CB"/>
    <w:rsid w:val="00522073"/>
    <w:rsid w:val="00530CAD"/>
    <w:rsid w:val="0054069D"/>
    <w:rsid w:val="00566726"/>
    <w:rsid w:val="00581826"/>
    <w:rsid w:val="00585CA2"/>
    <w:rsid w:val="005A1ED5"/>
    <w:rsid w:val="005A358C"/>
    <w:rsid w:val="005A504A"/>
    <w:rsid w:val="005D1791"/>
    <w:rsid w:val="005F0AEA"/>
    <w:rsid w:val="006146CC"/>
    <w:rsid w:val="00621F3E"/>
    <w:rsid w:val="006371BF"/>
    <w:rsid w:val="00651F05"/>
    <w:rsid w:val="006615F2"/>
    <w:rsid w:val="00661781"/>
    <w:rsid w:val="0066298E"/>
    <w:rsid w:val="00663267"/>
    <w:rsid w:val="00664A8F"/>
    <w:rsid w:val="00670737"/>
    <w:rsid w:val="00673D96"/>
    <w:rsid w:val="00685672"/>
    <w:rsid w:val="00687E32"/>
    <w:rsid w:val="006B25DA"/>
    <w:rsid w:val="006B3BF6"/>
    <w:rsid w:val="006D4799"/>
    <w:rsid w:val="006F6047"/>
    <w:rsid w:val="0070023E"/>
    <w:rsid w:val="00701255"/>
    <w:rsid w:val="0072475A"/>
    <w:rsid w:val="00734A1C"/>
    <w:rsid w:val="0074235D"/>
    <w:rsid w:val="00745D63"/>
    <w:rsid w:val="00746E9B"/>
    <w:rsid w:val="00751389"/>
    <w:rsid w:val="00751493"/>
    <w:rsid w:val="00760DAF"/>
    <w:rsid w:val="007706B2"/>
    <w:rsid w:val="00773A85"/>
    <w:rsid w:val="007C0DAA"/>
    <w:rsid w:val="007C7F6D"/>
    <w:rsid w:val="007D4A96"/>
    <w:rsid w:val="007E03C4"/>
    <w:rsid w:val="007F276C"/>
    <w:rsid w:val="007F3540"/>
    <w:rsid w:val="00817A38"/>
    <w:rsid w:val="008203B5"/>
    <w:rsid w:val="00822EDC"/>
    <w:rsid w:val="00823E1F"/>
    <w:rsid w:val="00835345"/>
    <w:rsid w:val="0085590F"/>
    <w:rsid w:val="00866CDE"/>
    <w:rsid w:val="00871943"/>
    <w:rsid w:val="00880936"/>
    <w:rsid w:val="008879C5"/>
    <w:rsid w:val="00893200"/>
    <w:rsid w:val="008C0DBE"/>
    <w:rsid w:val="008C4606"/>
    <w:rsid w:val="008C64B2"/>
    <w:rsid w:val="008D54E2"/>
    <w:rsid w:val="008D7532"/>
    <w:rsid w:val="00900BD2"/>
    <w:rsid w:val="00911C03"/>
    <w:rsid w:val="00911C2B"/>
    <w:rsid w:val="009210E8"/>
    <w:rsid w:val="009214E2"/>
    <w:rsid w:val="00940813"/>
    <w:rsid w:val="00961AD4"/>
    <w:rsid w:val="009705EE"/>
    <w:rsid w:val="0097196F"/>
    <w:rsid w:val="0097486A"/>
    <w:rsid w:val="00986FEF"/>
    <w:rsid w:val="00996286"/>
    <w:rsid w:val="009A4799"/>
    <w:rsid w:val="009A5798"/>
    <w:rsid w:val="009D3549"/>
    <w:rsid w:val="009E44CC"/>
    <w:rsid w:val="009F5813"/>
    <w:rsid w:val="00A0511A"/>
    <w:rsid w:val="00A15ACE"/>
    <w:rsid w:val="00A21194"/>
    <w:rsid w:val="00A25C52"/>
    <w:rsid w:val="00A26DEE"/>
    <w:rsid w:val="00A37038"/>
    <w:rsid w:val="00A4379F"/>
    <w:rsid w:val="00A44787"/>
    <w:rsid w:val="00A467BD"/>
    <w:rsid w:val="00A72EFF"/>
    <w:rsid w:val="00A73868"/>
    <w:rsid w:val="00A8702B"/>
    <w:rsid w:val="00AA2FDB"/>
    <w:rsid w:val="00AB33F4"/>
    <w:rsid w:val="00AC5837"/>
    <w:rsid w:val="00AD3B2F"/>
    <w:rsid w:val="00AE1E80"/>
    <w:rsid w:val="00AE2EC6"/>
    <w:rsid w:val="00AE5822"/>
    <w:rsid w:val="00AF634C"/>
    <w:rsid w:val="00B00068"/>
    <w:rsid w:val="00B0026D"/>
    <w:rsid w:val="00B04EDB"/>
    <w:rsid w:val="00B0551F"/>
    <w:rsid w:val="00B14389"/>
    <w:rsid w:val="00B251D5"/>
    <w:rsid w:val="00B6429B"/>
    <w:rsid w:val="00B866C5"/>
    <w:rsid w:val="00B9314A"/>
    <w:rsid w:val="00B97E8B"/>
    <w:rsid w:val="00BB0DD6"/>
    <w:rsid w:val="00BB79AE"/>
    <w:rsid w:val="00BC416A"/>
    <w:rsid w:val="00BD2E8B"/>
    <w:rsid w:val="00BD67B1"/>
    <w:rsid w:val="00BE5393"/>
    <w:rsid w:val="00BE7028"/>
    <w:rsid w:val="00BF2ACB"/>
    <w:rsid w:val="00BF6472"/>
    <w:rsid w:val="00C018AC"/>
    <w:rsid w:val="00C040CC"/>
    <w:rsid w:val="00C43CA0"/>
    <w:rsid w:val="00C47FCD"/>
    <w:rsid w:val="00C54A33"/>
    <w:rsid w:val="00C54C36"/>
    <w:rsid w:val="00C7549A"/>
    <w:rsid w:val="00C87516"/>
    <w:rsid w:val="00CA09CB"/>
    <w:rsid w:val="00CB3811"/>
    <w:rsid w:val="00CC660B"/>
    <w:rsid w:val="00CE2C4C"/>
    <w:rsid w:val="00D163C7"/>
    <w:rsid w:val="00D2756B"/>
    <w:rsid w:val="00D2782F"/>
    <w:rsid w:val="00D31837"/>
    <w:rsid w:val="00D53A8F"/>
    <w:rsid w:val="00D67E46"/>
    <w:rsid w:val="00D729A8"/>
    <w:rsid w:val="00D86793"/>
    <w:rsid w:val="00DA1179"/>
    <w:rsid w:val="00DB4688"/>
    <w:rsid w:val="00DB630F"/>
    <w:rsid w:val="00DB7A08"/>
    <w:rsid w:val="00DC4C5E"/>
    <w:rsid w:val="00DD05CC"/>
    <w:rsid w:val="00DE7123"/>
    <w:rsid w:val="00E06348"/>
    <w:rsid w:val="00E145E5"/>
    <w:rsid w:val="00E15C7E"/>
    <w:rsid w:val="00E25115"/>
    <w:rsid w:val="00E4328A"/>
    <w:rsid w:val="00E45687"/>
    <w:rsid w:val="00E560B5"/>
    <w:rsid w:val="00E653CA"/>
    <w:rsid w:val="00E70863"/>
    <w:rsid w:val="00E800E8"/>
    <w:rsid w:val="00E87355"/>
    <w:rsid w:val="00EA58FA"/>
    <w:rsid w:val="00EB57EA"/>
    <w:rsid w:val="00EC3766"/>
    <w:rsid w:val="00EC38ED"/>
    <w:rsid w:val="00ED72BB"/>
    <w:rsid w:val="00EE50B9"/>
    <w:rsid w:val="00EF190F"/>
    <w:rsid w:val="00F01167"/>
    <w:rsid w:val="00F0772F"/>
    <w:rsid w:val="00F1441F"/>
    <w:rsid w:val="00F16FD3"/>
    <w:rsid w:val="00F41540"/>
    <w:rsid w:val="00F476AA"/>
    <w:rsid w:val="00F50F79"/>
    <w:rsid w:val="00F516DD"/>
    <w:rsid w:val="00F532EA"/>
    <w:rsid w:val="00F6085F"/>
    <w:rsid w:val="00F713AF"/>
    <w:rsid w:val="00F87BDC"/>
    <w:rsid w:val="00F91B32"/>
    <w:rsid w:val="00F939AB"/>
    <w:rsid w:val="00FA5BD0"/>
    <w:rsid w:val="00FC20EB"/>
    <w:rsid w:val="00FD3474"/>
    <w:rsid w:val="00FD7869"/>
    <w:rsid w:val="00FE09DF"/>
    <w:rsid w:val="00FE2726"/>
    <w:rsid w:val="00FE3D08"/>
    <w:rsid w:val="00FF0BD7"/>
    <w:rsid w:val="00FF190B"/>
    <w:rsid w:val="00FF55A8"/>
    <w:rsid w:val="00FF5B79"/>
    <w:rsid w:val="00FF6376"/>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9" ma:contentTypeDescription="Crear nuevo documento." ma:contentTypeScope="" ma:versionID="c24aefc1d590a92ae63b1a31f49daae1">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518eb03f14dfa85a3db9d37bada8ca48"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2.xml><?xml version="1.0" encoding="utf-8"?>
<ds:datastoreItem xmlns:ds="http://schemas.openxmlformats.org/officeDocument/2006/customXml" ds:itemID="{46A920BA-0F20-4D6B-9C1D-96466D9BC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082E73-8049-4499-B6B8-873443A5C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1254</Words>
  <Characters>6903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jaime rodríguez</cp:lastModifiedBy>
  <cp:revision>2</cp:revision>
  <dcterms:created xsi:type="dcterms:W3CDTF">2021-02-04T01:59:00Z</dcterms:created>
  <dcterms:modified xsi:type="dcterms:W3CDTF">2021-02-04T01:59:00Z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