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A924" w14:textId="77777777" w:rsidR="000C5DB7" w:rsidRPr="00FA1629" w:rsidRDefault="000C5DB7" w:rsidP="00FA1629">
      <w:pPr>
        <w:pStyle w:val="Sinespaciado"/>
        <w:rPr>
          <w:szCs w:val="24"/>
        </w:rPr>
      </w:pPr>
      <w:r w:rsidRPr="00FA1629">
        <w:rPr>
          <w:szCs w:val="24"/>
        </w:rPr>
        <w:t>CONSEJERO PONENTE: JAIME ENRIQUE RODRÍGUEZ NAVAS</w:t>
      </w:r>
    </w:p>
    <w:p w14:paraId="50299F1F" w14:textId="77777777" w:rsidR="00F91B32" w:rsidRPr="00FA1629" w:rsidRDefault="00F91B32" w:rsidP="00FA1629">
      <w:pPr>
        <w:spacing w:line="276" w:lineRule="auto"/>
        <w:contextualSpacing/>
        <w:rPr>
          <w:b/>
          <w:bCs/>
          <w:sz w:val="24"/>
          <w:szCs w:val="24"/>
        </w:rPr>
      </w:pPr>
    </w:p>
    <w:p w14:paraId="67CA4851" w14:textId="750CAD82" w:rsidR="000C5DB7" w:rsidRPr="00FA1629" w:rsidRDefault="000C5DB7" w:rsidP="00FA1629">
      <w:pPr>
        <w:spacing w:line="276" w:lineRule="auto"/>
        <w:contextualSpacing/>
        <w:rPr>
          <w:bCs/>
          <w:sz w:val="24"/>
          <w:szCs w:val="24"/>
        </w:rPr>
      </w:pPr>
      <w:r w:rsidRPr="00FA1629">
        <w:rPr>
          <w:bCs/>
          <w:sz w:val="24"/>
          <w:szCs w:val="24"/>
        </w:rPr>
        <w:t xml:space="preserve">Bogotá D.C., </w:t>
      </w:r>
      <w:r w:rsidR="00E518A5">
        <w:rPr>
          <w:bCs/>
          <w:sz w:val="24"/>
          <w:szCs w:val="24"/>
        </w:rPr>
        <w:t>veinti</w:t>
      </w:r>
      <w:r w:rsidR="00875D9E">
        <w:rPr>
          <w:bCs/>
          <w:sz w:val="24"/>
          <w:szCs w:val="24"/>
        </w:rPr>
        <w:t xml:space="preserve">uno </w:t>
      </w:r>
      <w:r w:rsidR="003F6339" w:rsidRPr="00FA1629">
        <w:rPr>
          <w:bCs/>
          <w:sz w:val="24"/>
          <w:szCs w:val="24"/>
        </w:rPr>
        <w:t>(</w:t>
      </w:r>
      <w:r w:rsidR="00E518A5">
        <w:rPr>
          <w:bCs/>
          <w:sz w:val="24"/>
          <w:szCs w:val="24"/>
        </w:rPr>
        <w:t>2</w:t>
      </w:r>
      <w:r w:rsidR="00875D9E">
        <w:rPr>
          <w:bCs/>
          <w:sz w:val="24"/>
          <w:szCs w:val="24"/>
        </w:rPr>
        <w:t>1</w:t>
      </w:r>
      <w:r w:rsidR="003F6339" w:rsidRPr="00FA1629">
        <w:rPr>
          <w:bCs/>
          <w:sz w:val="24"/>
          <w:szCs w:val="24"/>
        </w:rPr>
        <w:t xml:space="preserve">) de </w:t>
      </w:r>
      <w:r w:rsidR="004D6E58" w:rsidRPr="00FA1629">
        <w:rPr>
          <w:bCs/>
          <w:sz w:val="24"/>
          <w:szCs w:val="24"/>
        </w:rPr>
        <w:t>mayo</w:t>
      </w:r>
      <w:r w:rsidR="003F6339" w:rsidRPr="00FA1629">
        <w:rPr>
          <w:bCs/>
          <w:sz w:val="24"/>
          <w:szCs w:val="24"/>
        </w:rPr>
        <w:t xml:space="preserve"> </w:t>
      </w:r>
      <w:r w:rsidR="007414B9" w:rsidRPr="00FA1629">
        <w:rPr>
          <w:bCs/>
          <w:sz w:val="24"/>
          <w:szCs w:val="24"/>
        </w:rPr>
        <w:t>de</w:t>
      </w:r>
      <w:r w:rsidRPr="00FA1629">
        <w:rPr>
          <w:bCs/>
          <w:sz w:val="24"/>
          <w:szCs w:val="24"/>
        </w:rPr>
        <w:t xml:space="preserve"> dos mil </w:t>
      </w:r>
      <w:r w:rsidR="00726B1F" w:rsidRPr="00FA1629">
        <w:rPr>
          <w:bCs/>
          <w:sz w:val="24"/>
          <w:szCs w:val="24"/>
        </w:rPr>
        <w:t>veintiuno</w:t>
      </w:r>
      <w:r w:rsidRPr="00FA1629">
        <w:rPr>
          <w:bCs/>
          <w:sz w:val="24"/>
          <w:szCs w:val="24"/>
        </w:rPr>
        <w:t xml:space="preserve"> (</w:t>
      </w:r>
      <w:r w:rsidR="00726B1F" w:rsidRPr="00FA1629">
        <w:rPr>
          <w:bCs/>
          <w:sz w:val="24"/>
          <w:szCs w:val="24"/>
        </w:rPr>
        <w:t>2021</w:t>
      </w:r>
      <w:r w:rsidRPr="00FA1629">
        <w:rPr>
          <w:bCs/>
          <w:sz w:val="24"/>
          <w:szCs w:val="24"/>
        </w:rPr>
        <w:t>)</w:t>
      </w:r>
    </w:p>
    <w:p w14:paraId="13702E31" w14:textId="77777777" w:rsidR="00C45E2F" w:rsidRPr="00FA1629" w:rsidRDefault="00C45E2F" w:rsidP="00FA1629">
      <w:pPr>
        <w:spacing w:line="276" w:lineRule="auto"/>
        <w:contextualSpacing/>
        <w:rPr>
          <w:b/>
          <w:sz w:val="24"/>
          <w:szCs w:val="24"/>
        </w:rPr>
      </w:pPr>
    </w:p>
    <w:p w14:paraId="51A8CD30" w14:textId="77777777" w:rsidR="00C45E2F" w:rsidRPr="00FA1629" w:rsidRDefault="00C45E2F" w:rsidP="00FA1629">
      <w:pPr>
        <w:spacing w:line="276" w:lineRule="auto"/>
        <w:ind w:left="1620" w:hanging="1620"/>
        <w:contextualSpacing/>
        <w:rPr>
          <w:b/>
          <w:sz w:val="24"/>
          <w:szCs w:val="24"/>
        </w:rPr>
      </w:pPr>
      <w:r w:rsidRPr="00FA1629">
        <w:rPr>
          <w:b/>
          <w:sz w:val="24"/>
          <w:szCs w:val="24"/>
        </w:rPr>
        <w:t xml:space="preserve">Referencia: </w:t>
      </w:r>
      <w:r w:rsidRPr="00FA1629">
        <w:rPr>
          <w:b/>
          <w:sz w:val="24"/>
          <w:szCs w:val="24"/>
        </w:rPr>
        <w:tab/>
      </w:r>
      <w:r w:rsidRPr="00FA1629">
        <w:rPr>
          <w:sz w:val="24"/>
          <w:szCs w:val="24"/>
        </w:rPr>
        <w:t>Acción de Tutela</w:t>
      </w:r>
    </w:p>
    <w:p w14:paraId="53D49DE7" w14:textId="77777777" w:rsidR="00C45E2F" w:rsidRPr="00FA1629" w:rsidRDefault="00C45E2F" w:rsidP="00FA1629">
      <w:pPr>
        <w:spacing w:line="276" w:lineRule="auto"/>
        <w:ind w:left="1620" w:hanging="1620"/>
        <w:contextualSpacing/>
        <w:rPr>
          <w:sz w:val="24"/>
          <w:szCs w:val="24"/>
        </w:rPr>
      </w:pPr>
      <w:r w:rsidRPr="00FA1629">
        <w:rPr>
          <w:b/>
          <w:sz w:val="24"/>
          <w:szCs w:val="24"/>
        </w:rPr>
        <w:t>Radicación:</w:t>
      </w:r>
      <w:r w:rsidRPr="00FA1629">
        <w:rPr>
          <w:b/>
          <w:sz w:val="24"/>
          <w:szCs w:val="24"/>
        </w:rPr>
        <w:tab/>
      </w:r>
      <w:r w:rsidRPr="00FA1629">
        <w:rPr>
          <w:sz w:val="24"/>
          <w:szCs w:val="24"/>
        </w:rPr>
        <w:t>11001-03-15-000-2021-01459-00</w:t>
      </w:r>
    </w:p>
    <w:p w14:paraId="1EBA7D3D" w14:textId="77777777" w:rsidR="00C45E2F" w:rsidRPr="00FA1629" w:rsidRDefault="00C45E2F" w:rsidP="00FA1629">
      <w:pPr>
        <w:spacing w:line="276" w:lineRule="auto"/>
        <w:ind w:left="1620" w:hanging="1620"/>
        <w:contextualSpacing/>
        <w:rPr>
          <w:sz w:val="24"/>
          <w:szCs w:val="24"/>
        </w:rPr>
      </w:pPr>
      <w:r w:rsidRPr="00FA1629">
        <w:rPr>
          <w:b/>
          <w:sz w:val="24"/>
          <w:szCs w:val="24"/>
        </w:rPr>
        <w:t>Accionante:</w:t>
      </w:r>
      <w:r w:rsidRPr="00FA1629">
        <w:rPr>
          <w:b/>
          <w:sz w:val="24"/>
          <w:szCs w:val="24"/>
        </w:rPr>
        <w:tab/>
      </w:r>
      <w:r w:rsidRPr="00FA1629">
        <w:rPr>
          <w:bCs/>
          <w:sz w:val="24"/>
          <w:szCs w:val="24"/>
        </w:rPr>
        <w:t>Fabiola Rodríguez Marín</w:t>
      </w:r>
    </w:p>
    <w:p w14:paraId="73634A39" w14:textId="77777777" w:rsidR="00C45E2F" w:rsidRPr="00FA1629" w:rsidRDefault="00C45E2F" w:rsidP="00FA1629">
      <w:pPr>
        <w:spacing w:line="276" w:lineRule="auto"/>
        <w:ind w:left="1620" w:right="51" w:hanging="1620"/>
        <w:contextualSpacing/>
        <w:rPr>
          <w:bCs/>
          <w:sz w:val="24"/>
          <w:szCs w:val="24"/>
        </w:rPr>
      </w:pPr>
      <w:r w:rsidRPr="00FA1629">
        <w:rPr>
          <w:b/>
          <w:sz w:val="24"/>
          <w:szCs w:val="24"/>
        </w:rPr>
        <w:t>Accionados:</w:t>
      </w:r>
      <w:r w:rsidRPr="00FA1629">
        <w:rPr>
          <w:b/>
          <w:sz w:val="24"/>
          <w:szCs w:val="24"/>
        </w:rPr>
        <w:tab/>
      </w:r>
      <w:r w:rsidRPr="00FA1629">
        <w:rPr>
          <w:bCs/>
          <w:sz w:val="24"/>
          <w:szCs w:val="24"/>
        </w:rPr>
        <w:t>Juzgado Cuarto Administrativo del Circuito Judicial de Florencia, Tribunal Administrativo del Caquetá y Unidad Administrativa Especial de Gestión Pensional y Contribuciones Parafiscales de la Protección Social (UGPP)</w:t>
      </w:r>
    </w:p>
    <w:p w14:paraId="43236E55" w14:textId="77777777" w:rsidR="00C45E2F" w:rsidRPr="00FA1629" w:rsidRDefault="00C45E2F" w:rsidP="00FA1629">
      <w:pPr>
        <w:spacing w:line="276" w:lineRule="auto"/>
        <w:ind w:right="51"/>
        <w:contextualSpacing/>
        <w:rPr>
          <w:b/>
          <w:sz w:val="24"/>
          <w:szCs w:val="24"/>
        </w:rPr>
      </w:pPr>
    </w:p>
    <w:p w14:paraId="5502B028" w14:textId="2DBBA438" w:rsidR="000C5DB7" w:rsidRPr="00FA1629" w:rsidRDefault="000C5DB7" w:rsidP="00FA1629">
      <w:pPr>
        <w:pBdr>
          <w:bottom w:val="single" w:sz="12" w:space="0" w:color="auto"/>
        </w:pBdr>
        <w:spacing w:line="276" w:lineRule="auto"/>
        <w:ind w:left="2832" w:hanging="2832"/>
        <w:contextualSpacing/>
        <w:rPr>
          <w:b/>
          <w:sz w:val="24"/>
          <w:szCs w:val="24"/>
        </w:rPr>
      </w:pPr>
      <w:r w:rsidRPr="00FA1629">
        <w:rPr>
          <w:b/>
          <w:sz w:val="24"/>
          <w:szCs w:val="24"/>
        </w:rPr>
        <w:t xml:space="preserve">SENTENCIA DE </w:t>
      </w:r>
      <w:r w:rsidR="001A5D58" w:rsidRPr="00FA1629">
        <w:rPr>
          <w:b/>
          <w:sz w:val="24"/>
          <w:szCs w:val="24"/>
        </w:rPr>
        <w:t>PRIMERA</w:t>
      </w:r>
      <w:r w:rsidRPr="00FA1629">
        <w:rPr>
          <w:b/>
          <w:sz w:val="24"/>
          <w:szCs w:val="24"/>
        </w:rPr>
        <w:t xml:space="preserve"> INSTANCIA</w:t>
      </w:r>
    </w:p>
    <w:p w14:paraId="632CC7FE" w14:textId="77777777" w:rsidR="000C5DB7" w:rsidRPr="00FA1629" w:rsidRDefault="000C5DB7" w:rsidP="00FA1629">
      <w:pPr>
        <w:spacing w:line="276" w:lineRule="auto"/>
        <w:contextualSpacing/>
        <w:rPr>
          <w:b/>
          <w:sz w:val="24"/>
          <w:szCs w:val="24"/>
        </w:rPr>
      </w:pPr>
    </w:p>
    <w:p w14:paraId="480156D4" w14:textId="7C61F580" w:rsidR="0097486A" w:rsidRPr="00FA1629" w:rsidRDefault="000C5DB7" w:rsidP="00FA1629">
      <w:pPr>
        <w:spacing w:line="276" w:lineRule="auto"/>
        <w:contextualSpacing/>
        <w:rPr>
          <w:sz w:val="24"/>
          <w:szCs w:val="24"/>
        </w:rPr>
      </w:pPr>
      <w:r w:rsidRPr="00FA1629">
        <w:rPr>
          <w:sz w:val="24"/>
          <w:szCs w:val="24"/>
        </w:rPr>
        <w:t>La Sala decide</w:t>
      </w:r>
      <w:r w:rsidR="0097486A" w:rsidRPr="00FA1629">
        <w:rPr>
          <w:sz w:val="24"/>
          <w:szCs w:val="24"/>
        </w:rPr>
        <w:t xml:space="preserve"> </w:t>
      </w:r>
      <w:r w:rsidR="005717A7" w:rsidRPr="00FA1629">
        <w:rPr>
          <w:sz w:val="24"/>
          <w:szCs w:val="24"/>
        </w:rPr>
        <w:t xml:space="preserve">la </w:t>
      </w:r>
      <w:r w:rsidR="009E4D16" w:rsidRPr="00FA1629">
        <w:rPr>
          <w:sz w:val="24"/>
          <w:szCs w:val="24"/>
        </w:rPr>
        <w:t>solicitud de amparo</w:t>
      </w:r>
      <w:r w:rsidR="005717A7" w:rsidRPr="00FA1629">
        <w:rPr>
          <w:sz w:val="24"/>
          <w:szCs w:val="24"/>
        </w:rPr>
        <w:t xml:space="preserve"> que</w:t>
      </w:r>
      <w:r w:rsidR="00A545B5" w:rsidRPr="00FA1629">
        <w:rPr>
          <w:sz w:val="24"/>
          <w:szCs w:val="24"/>
        </w:rPr>
        <w:t xml:space="preserve"> </w:t>
      </w:r>
      <w:r w:rsidR="005717A7" w:rsidRPr="00FA1629">
        <w:rPr>
          <w:sz w:val="24"/>
          <w:szCs w:val="24"/>
        </w:rPr>
        <w:t>present</w:t>
      </w:r>
      <w:r w:rsidR="00C87D14" w:rsidRPr="00FA1629">
        <w:rPr>
          <w:sz w:val="24"/>
          <w:szCs w:val="24"/>
        </w:rPr>
        <w:t>ó</w:t>
      </w:r>
      <w:r w:rsidR="005717A7" w:rsidRPr="00FA1629">
        <w:rPr>
          <w:sz w:val="24"/>
          <w:szCs w:val="24"/>
        </w:rPr>
        <w:t xml:space="preserve"> </w:t>
      </w:r>
      <w:r w:rsidR="00C87D14" w:rsidRPr="00FA1629">
        <w:rPr>
          <w:bCs/>
          <w:sz w:val="24"/>
          <w:szCs w:val="24"/>
        </w:rPr>
        <w:t>Fabiola Rodríguez Marín</w:t>
      </w:r>
      <w:r w:rsidR="00B93639" w:rsidRPr="00FA1629">
        <w:rPr>
          <w:sz w:val="24"/>
          <w:szCs w:val="24"/>
        </w:rPr>
        <w:t xml:space="preserve"> </w:t>
      </w:r>
      <w:r w:rsidR="005717A7" w:rsidRPr="00FA1629">
        <w:rPr>
          <w:sz w:val="24"/>
          <w:szCs w:val="24"/>
        </w:rPr>
        <w:t xml:space="preserve">contra </w:t>
      </w:r>
      <w:r w:rsidR="00C87D14" w:rsidRPr="00FA1629">
        <w:rPr>
          <w:sz w:val="24"/>
          <w:szCs w:val="24"/>
        </w:rPr>
        <w:t>el Juzgado Cuarto Administrativo del Circuito Judicial de Florencia, el Tribunal Administrativo del Caquetá y la Unidad Administrativa Especial de Gestión Pensional y Contribuciones Parafiscales de la Protección Social (UGPP)</w:t>
      </w:r>
      <w:r w:rsidR="004D6E58" w:rsidRPr="00FA1629">
        <w:rPr>
          <w:bCs/>
          <w:sz w:val="24"/>
          <w:szCs w:val="24"/>
        </w:rPr>
        <w:t>.</w:t>
      </w:r>
    </w:p>
    <w:p w14:paraId="766CF102" w14:textId="77777777" w:rsidR="00E57BB4" w:rsidRPr="00FA1629" w:rsidRDefault="00E57BB4" w:rsidP="00FA1629">
      <w:pPr>
        <w:spacing w:line="276" w:lineRule="auto"/>
        <w:contextualSpacing/>
        <w:rPr>
          <w:sz w:val="24"/>
          <w:szCs w:val="24"/>
        </w:rPr>
      </w:pPr>
    </w:p>
    <w:p w14:paraId="4C66CC71" w14:textId="77777777" w:rsidR="000C5DB7" w:rsidRPr="00FA1629" w:rsidRDefault="000C5DB7" w:rsidP="00FA1629">
      <w:pPr>
        <w:pStyle w:val="Ttulo1"/>
        <w:spacing w:before="0" w:after="0"/>
        <w:rPr>
          <w:rFonts w:cs="Arial"/>
          <w:kern w:val="0"/>
          <w:szCs w:val="24"/>
        </w:rPr>
      </w:pPr>
      <w:r w:rsidRPr="00FA1629">
        <w:rPr>
          <w:rFonts w:cs="Arial"/>
          <w:kern w:val="0"/>
          <w:szCs w:val="24"/>
        </w:rPr>
        <w:t>ANTECEDENTES</w:t>
      </w:r>
    </w:p>
    <w:p w14:paraId="1EBDE87D" w14:textId="77777777" w:rsidR="00E57BB4" w:rsidRPr="00FA1629" w:rsidRDefault="00E57BB4" w:rsidP="00FA1629">
      <w:pPr>
        <w:pStyle w:val="Ttulo2"/>
        <w:numPr>
          <w:ilvl w:val="0"/>
          <w:numId w:val="0"/>
        </w:numPr>
        <w:spacing w:before="0" w:after="0" w:line="276" w:lineRule="auto"/>
        <w:rPr>
          <w:rFonts w:cs="Arial"/>
          <w:szCs w:val="24"/>
          <w:lang w:eastAsia="es-ES"/>
        </w:rPr>
      </w:pPr>
    </w:p>
    <w:p w14:paraId="768CCA4A" w14:textId="405CC458" w:rsidR="00FF190B" w:rsidRPr="00FA1629" w:rsidRDefault="000C5DB7" w:rsidP="00FA1629">
      <w:pPr>
        <w:pStyle w:val="Ttulo2"/>
        <w:spacing w:before="0" w:after="0" w:line="276" w:lineRule="auto"/>
        <w:ind w:left="0" w:firstLine="0"/>
        <w:rPr>
          <w:rFonts w:cs="Arial"/>
          <w:szCs w:val="24"/>
          <w:lang w:eastAsia="es-ES"/>
        </w:rPr>
      </w:pPr>
      <w:r w:rsidRPr="00FA1629">
        <w:rPr>
          <w:rFonts w:cs="Arial"/>
          <w:szCs w:val="24"/>
          <w:lang w:eastAsia="es-ES"/>
        </w:rPr>
        <w:t>Solicitud de tutela</w:t>
      </w:r>
      <w:r w:rsidR="00F340F8" w:rsidRPr="00FA1629">
        <w:rPr>
          <w:rFonts w:cs="Arial"/>
          <w:szCs w:val="24"/>
          <w:lang w:eastAsia="es-ES"/>
        </w:rPr>
        <w:t xml:space="preserve"> y pretensiones</w:t>
      </w:r>
    </w:p>
    <w:p w14:paraId="123972A5" w14:textId="77777777" w:rsidR="00FF190B" w:rsidRPr="00FA1629" w:rsidRDefault="00FF190B" w:rsidP="00FA1629">
      <w:pPr>
        <w:overflowPunct w:val="0"/>
        <w:autoSpaceDE w:val="0"/>
        <w:autoSpaceDN w:val="0"/>
        <w:adjustRightInd w:val="0"/>
        <w:spacing w:line="276" w:lineRule="auto"/>
        <w:contextualSpacing/>
        <w:textAlignment w:val="baseline"/>
        <w:rPr>
          <w:sz w:val="24"/>
          <w:szCs w:val="24"/>
        </w:rPr>
      </w:pPr>
    </w:p>
    <w:p w14:paraId="27F404EA" w14:textId="18660614" w:rsidR="00C87D14" w:rsidRPr="00FA1629" w:rsidRDefault="00C87D14" w:rsidP="00FA1629">
      <w:pPr>
        <w:spacing w:line="276" w:lineRule="auto"/>
        <w:rPr>
          <w:sz w:val="24"/>
          <w:szCs w:val="24"/>
        </w:rPr>
      </w:pPr>
      <w:r w:rsidRPr="00C87D14">
        <w:rPr>
          <w:sz w:val="24"/>
          <w:szCs w:val="24"/>
        </w:rPr>
        <w:t>Fabiola Rodríguez Marín, por conducto de apoderado judicial, solicitó el amparo</w:t>
      </w:r>
      <w:bookmarkStart w:id="0" w:name="_Ref70499263"/>
      <w:r w:rsidRPr="00C87D14">
        <w:rPr>
          <w:sz w:val="24"/>
          <w:szCs w:val="24"/>
          <w:vertAlign w:val="superscript"/>
        </w:rPr>
        <w:footnoteReference w:id="2"/>
      </w:r>
      <w:bookmarkEnd w:id="0"/>
      <w:r w:rsidRPr="00C87D14">
        <w:rPr>
          <w:sz w:val="24"/>
          <w:szCs w:val="24"/>
        </w:rPr>
        <w:t xml:space="preserve"> de sus derechos fundamentales a la vida digna, </w:t>
      </w:r>
      <w:r w:rsidRPr="00FA1629">
        <w:rPr>
          <w:sz w:val="24"/>
          <w:szCs w:val="24"/>
        </w:rPr>
        <w:t xml:space="preserve">a la igualdad de trato, </w:t>
      </w:r>
      <w:r w:rsidRPr="00C87D14">
        <w:rPr>
          <w:sz w:val="24"/>
          <w:szCs w:val="24"/>
        </w:rPr>
        <w:t>al mínimo vital, a la seguridad social y al debido proceso. Tales garantías las consideró vulneradas por el Juzgado Cuarto Administrativo del Circuito Judicial de Florencia, el Tribunal Administrativo del Caquetá y la Unidad Administrativa Especial de Gestión Pensional y Contribuciones Parafiscales de la Protección Social (UGPP). En su memorial, se dirigió contra los fallos del 29 de junio de 2018</w:t>
      </w:r>
      <w:r w:rsidRPr="00C87D14">
        <w:rPr>
          <w:sz w:val="24"/>
          <w:szCs w:val="24"/>
          <w:vertAlign w:val="superscript"/>
        </w:rPr>
        <w:t>[</w:t>
      </w:r>
      <w:r w:rsidRPr="00C87D14">
        <w:rPr>
          <w:sz w:val="24"/>
          <w:szCs w:val="24"/>
          <w:vertAlign w:val="superscript"/>
        </w:rPr>
        <w:footnoteReference w:id="3"/>
      </w:r>
      <w:r w:rsidRPr="00C87D14">
        <w:rPr>
          <w:sz w:val="24"/>
          <w:szCs w:val="24"/>
          <w:vertAlign w:val="superscript"/>
        </w:rPr>
        <w:t>]</w:t>
      </w:r>
      <w:r w:rsidRPr="00C87D14">
        <w:rPr>
          <w:sz w:val="24"/>
          <w:szCs w:val="24"/>
        </w:rPr>
        <w:t xml:space="preserve"> y 27 de octubre de 2020</w:t>
      </w:r>
      <w:r w:rsidRPr="00C87D14">
        <w:rPr>
          <w:sz w:val="24"/>
          <w:szCs w:val="24"/>
          <w:vertAlign w:val="superscript"/>
        </w:rPr>
        <w:t>[</w:t>
      </w:r>
      <w:r w:rsidRPr="00C87D14">
        <w:rPr>
          <w:sz w:val="24"/>
          <w:szCs w:val="24"/>
          <w:vertAlign w:val="superscript"/>
        </w:rPr>
        <w:footnoteReference w:id="4"/>
      </w:r>
      <w:r w:rsidRPr="00C87D14">
        <w:rPr>
          <w:sz w:val="24"/>
          <w:szCs w:val="24"/>
          <w:vertAlign w:val="superscript"/>
        </w:rPr>
        <w:t>]</w:t>
      </w:r>
      <w:r w:rsidRPr="00C87D14">
        <w:rPr>
          <w:sz w:val="24"/>
          <w:szCs w:val="24"/>
        </w:rPr>
        <w:t xml:space="preserve">, proferidos dentro del medio de control de nulidad y restablecimiento del derecho identificado con el n.° único de radicación 18001-33-40-004-2016-00310-01. En </w:t>
      </w:r>
      <w:r w:rsidR="00166703">
        <w:rPr>
          <w:sz w:val="24"/>
          <w:szCs w:val="24"/>
        </w:rPr>
        <w:t>esas</w:t>
      </w:r>
      <w:r w:rsidRPr="00C87D14">
        <w:rPr>
          <w:sz w:val="24"/>
          <w:szCs w:val="24"/>
        </w:rPr>
        <w:t xml:space="preserve"> providencias, las</w:t>
      </w:r>
      <w:r w:rsidR="00AF70CE">
        <w:rPr>
          <w:sz w:val="24"/>
          <w:szCs w:val="24"/>
        </w:rPr>
        <w:t xml:space="preserve"> autoridades contra las que dirige su</w:t>
      </w:r>
      <w:r w:rsidRPr="00C87D14">
        <w:rPr>
          <w:sz w:val="24"/>
          <w:szCs w:val="24"/>
        </w:rPr>
        <w:t xml:space="preserve"> acci</w:t>
      </w:r>
      <w:r w:rsidR="00AF70CE">
        <w:rPr>
          <w:sz w:val="24"/>
          <w:szCs w:val="24"/>
        </w:rPr>
        <w:t>ó</w:t>
      </w:r>
      <w:r w:rsidRPr="00C87D14">
        <w:rPr>
          <w:sz w:val="24"/>
          <w:szCs w:val="24"/>
        </w:rPr>
        <w:t>n consideraron que la indemnización sustitutiva que la demandada le concedió estuvo liquidada conforme a la ley.</w:t>
      </w:r>
    </w:p>
    <w:p w14:paraId="2AD13ADF" w14:textId="37CC5714" w:rsidR="00714113" w:rsidRPr="00FA1629" w:rsidRDefault="00714113" w:rsidP="00FA1629">
      <w:pPr>
        <w:spacing w:line="276" w:lineRule="auto"/>
        <w:rPr>
          <w:sz w:val="24"/>
          <w:szCs w:val="24"/>
        </w:rPr>
      </w:pPr>
    </w:p>
    <w:p w14:paraId="35355A7B" w14:textId="315DFACE" w:rsidR="00714113" w:rsidRPr="00C87D14" w:rsidRDefault="00714113" w:rsidP="00FA1629">
      <w:pPr>
        <w:spacing w:line="276" w:lineRule="auto"/>
        <w:rPr>
          <w:sz w:val="24"/>
          <w:szCs w:val="24"/>
        </w:rPr>
      </w:pPr>
      <w:r w:rsidRPr="00FA1629">
        <w:rPr>
          <w:sz w:val="24"/>
          <w:szCs w:val="24"/>
        </w:rPr>
        <w:t xml:space="preserve">La </w:t>
      </w:r>
      <w:r w:rsidR="00FA1629" w:rsidRPr="00FA1629">
        <w:rPr>
          <w:sz w:val="24"/>
          <w:szCs w:val="24"/>
        </w:rPr>
        <w:t>peticionaria</w:t>
      </w:r>
      <w:r w:rsidRPr="00FA1629">
        <w:rPr>
          <w:sz w:val="24"/>
          <w:szCs w:val="24"/>
        </w:rPr>
        <w:t xml:space="preserve"> </w:t>
      </w:r>
      <w:r w:rsidR="001750CF">
        <w:rPr>
          <w:sz w:val="24"/>
          <w:szCs w:val="24"/>
        </w:rPr>
        <w:t>requirió</w:t>
      </w:r>
      <w:r w:rsidRPr="00FA1629">
        <w:rPr>
          <w:sz w:val="24"/>
          <w:szCs w:val="24"/>
        </w:rPr>
        <w:t xml:space="preserve"> que las sentencias enjuiciadas se</w:t>
      </w:r>
      <w:r w:rsidR="00FA1629" w:rsidRPr="00FA1629">
        <w:rPr>
          <w:sz w:val="24"/>
          <w:szCs w:val="24"/>
        </w:rPr>
        <w:t>an</w:t>
      </w:r>
      <w:r w:rsidRPr="00FA1629">
        <w:rPr>
          <w:sz w:val="24"/>
          <w:szCs w:val="24"/>
        </w:rPr>
        <w:t xml:space="preserve"> dej</w:t>
      </w:r>
      <w:r w:rsidR="00FA1629" w:rsidRPr="00FA1629">
        <w:rPr>
          <w:sz w:val="24"/>
          <w:szCs w:val="24"/>
        </w:rPr>
        <w:t>adas</w:t>
      </w:r>
      <w:r w:rsidRPr="00FA1629">
        <w:rPr>
          <w:sz w:val="24"/>
          <w:szCs w:val="24"/>
        </w:rPr>
        <w:t xml:space="preserve"> sin efectos jurídicos y que, en su lugar, </w:t>
      </w:r>
      <w:r w:rsidR="00C56A07" w:rsidRPr="00FA1629">
        <w:rPr>
          <w:sz w:val="24"/>
          <w:szCs w:val="24"/>
        </w:rPr>
        <w:t>este fallador ordene dictar proveído de reemplazo en el que se acceda a las pretensiones de la demanda, de manera tal que su indemnización sustitutiva se calcule con base en la fórmula presentada por ella en sede de apelación.</w:t>
      </w:r>
    </w:p>
    <w:p w14:paraId="445C6BF3" w14:textId="1D03E683" w:rsidR="00FA1629" w:rsidRDefault="00FA1629" w:rsidP="00FA1629">
      <w:pPr>
        <w:spacing w:line="276" w:lineRule="auto"/>
        <w:contextualSpacing/>
        <w:rPr>
          <w:rFonts w:eastAsia="Verdana"/>
          <w:sz w:val="24"/>
          <w:szCs w:val="24"/>
        </w:rPr>
      </w:pPr>
    </w:p>
    <w:p w14:paraId="39AF00BD" w14:textId="77777777" w:rsidR="008821C7" w:rsidRDefault="008821C7" w:rsidP="00FA1629">
      <w:pPr>
        <w:spacing w:line="276" w:lineRule="auto"/>
        <w:contextualSpacing/>
        <w:rPr>
          <w:rFonts w:eastAsia="Verdana"/>
          <w:sz w:val="24"/>
          <w:szCs w:val="24"/>
        </w:rPr>
      </w:pPr>
    </w:p>
    <w:p w14:paraId="6BFE7B8B" w14:textId="1CD67551" w:rsidR="00166703" w:rsidRDefault="00166703" w:rsidP="00FA1629">
      <w:pPr>
        <w:spacing w:line="276" w:lineRule="auto"/>
        <w:contextualSpacing/>
        <w:rPr>
          <w:rFonts w:eastAsia="Verdana"/>
          <w:sz w:val="24"/>
          <w:szCs w:val="24"/>
        </w:rPr>
      </w:pPr>
    </w:p>
    <w:p w14:paraId="3FAB417C" w14:textId="0EBF2791" w:rsidR="000C5DB7" w:rsidRPr="00FA1629" w:rsidRDefault="000C5DB7" w:rsidP="00FA1629">
      <w:pPr>
        <w:numPr>
          <w:ilvl w:val="0"/>
          <w:numId w:val="3"/>
        </w:numPr>
        <w:spacing w:line="276" w:lineRule="auto"/>
        <w:ind w:left="0" w:firstLine="0"/>
        <w:contextualSpacing/>
        <w:rPr>
          <w:rFonts w:eastAsia="Verdana"/>
          <w:b/>
          <w:sz w:val="24"/>
          <w:szCs w:val="24"/>
        </w:rPr>
      </w:pPr>
      <w:r w:rsidRPr="00FA1629">
        <w:rPr>
          <w:rFonts w:eastAsia="Verdana"/>
          <w:b/>
          <w:sz w:val="24"/>
          <w:szCs w:val="24"/>
        </w:rPr>
        <w:lastRenderedPageBreak/>
        <w:t>Hechos</w:t>
      </w:r>
    </w:p>
    <w:p w14:paraId="565D945B" w14:textId="77777777" w:rsidR="00DC7B18" w:rsidRPr="00FA1629" w:rsidRDefault="00DC7B18" w:rsidP="00FA1629">
      <w:pPr>
        <w:spacing w:line="276" w:lineRule="auto"/>
        <w:contextualSpacing/>
        <w:rPr>
          <w:rFonts w:eastAsia="Verdana"/>
          <w:b/>
          <w:sz w:val="24"/>
          <w:szCs w:val="24"/>
        </w:rPr>
      </w:pPr>
    </w:p>
    <w:p w14:paraId="07BB5C8C" w14:textId="2DB97B87" w:rsidR="00DC7B18" w:rsidRPr="00FA1629" w:rsidRDefault="0043386E" w:rsidP="00FA1629">
      <w:pPr>
        <w:numPr>
          <w:ilvl w:val="1"/>
          <w:numId w:val="3"/>
        </w:numPr>
        <w:spacing w:line="276" w:lineRule="auto"/>
        <w:ind w:left="0" w:firstLine="0"/>
        <w:contextualSpacing/>
        <w:rPr>
          <w:rFonts w:eastAsia="Verdana"/>
          <w:bCs/>
          <w:sz w:val="24"/>
          <w:szCs w:val="24"/>
        </w:rPr>
      </w:pPr>
      <w:r w:rsidRPr="00FA1629">
        <w:rPr>
          <w:rFonts w:eastAsia="Verdana"/>
          <w:bCs/>
          <w:sz w:val="24"/>
          <w:szCs w:val="24"/>
        </w:rPr>
        <w:t>La UGPP</w:t>
      </w:r>
      <w:r w:rsidR="00433744" w:rsidRPr="00FA1629">
        <w:rPr>
          <w:rStyle w:val="Refdenotaalpie"/>
          <w:rFonts w:eastAsia="Verdana"/>
          <w:bCs/>
          <w:sz w:val="24"/>
          <w:szCs w:val="24"/>
        </w:rPr>
        <w:footnoteReference w:id="5"/>
      </w:r>
      <w:r w:rsidRPr="00FA1629">
        <w:rPr>
          <w:rFonts w:eastAsia="Verdana"/>
          <w:bCs/>
          <w:sz w:val="24"/>
          <w:szCs w:val="24"/>
        </w:rPr>
        <w:t>, en Resolución</w:t>
      </w:r>
      <w:r w:rsidRPr="00FA1629">
        <w:rPr>
          <w:rStyle w:val="Refdenotaalpie"/>
          <w:rFonts w:eastAsia="Verdana"/>
          <w:bCs/>
          <w:sz w:val="24"/>
          <w:szCs w:val="24"/>
        </w:rPr>
        <w:footnoteReference w:id="6"/>
      </w:r>
      <w:r w:rsidRPr="00FA1629">
        <w:rPr>
          <w:rFonts w:eastAsia="Verdana"/>
          <w:bCs/>
          <w:sz w:val="24"/>
          <w:szCs w:val="24"/>
        </w:rPr>
        <w:t xml:space="preserve"> RDP 002703 del 23 de enero de 2015, reconoció</w:t>
      </w:r>
      <w:r w:rsidR="00FA1629">
        <w:rPr>
          <w:rFonts w:eastAsia="Verdana"/>
          <w:bCs/>
          <w:sz w:val="24"/>
          <w:szCs w:val="24"/>
        </w:rPr>
        <w:t xml:space="preserve"> </w:t>
      </w:r>
      <w:r w:rsidR="00166703">
        <w:rPr>
          <w:rFonts w:eastAsia="Verdana"/>
          <w:bCs/>
          <w:sz w:val="24"/>
          <w:szCs w:val="24"/>
        </w:rPr>
        <w:t xml:space="preserve">a </w:t>
      </w:r>
      <w:r w:rsidR="00166703" w:rsidRPr="00166703">
        <w:rPr>
          <w:rFonts w:eastAsia="Verdana"/>
          <w:bCs/>
          <w:sz w:val="24"/>
          <w:szCs w:val="24"/>
        </w:rPr>
        <w:t xml:space="preserve">Fabiola Rodríguez Marín </w:t>
      </w:r>
      <w:r w:rsidR="00FA1629">
        <w:rPr>
          <w:rFonts w:eastAsia="Verdana"/>
          <w:bCs/>
          <w:sz w:val="24"/>
          <w:szCs w:val="24"/>
        </w:rPr>
        <w:t xml:space="preserve">la </w:t>
      </w:r>
      <w:r w:rsidRPr="00FA1629">
        <w:rPr>
          <w:rFonts w:eastAsia="Verdana"/>
          <w:bCs/>
          <w:sz w:val="24"/>
          <w:szCs w:val="24"/>
        </w:rPr>
        <w:t xml:space="preserve">indemnización sustitutiva de la pensión de vejez. </w:t>
      </w:r>
      <w:r w:rsidR="00166703">
        <w:rPr>
          <w:rFonts w:eastAsia="Verdana"/>
          <w:bCs/>
          <w:sz w:val="24"/>
          <w:szCs w:val="24"/>
        </w:rPr>
        <w:t>L</w:t>
      </w:r>
      <w:r w:rsidRPr="00FA1629">
        <w:rPr>
          <w:rFonts w:eastAsia="Verdana"/>
          <w:bCs/>
          <w:sz w:val="24"/>
          <w:szCs w:val="24"/>
        </w:rPr>
        <w:t>a citada autoridad tuvo en cuenta que la señora Rodríguez trabajó</w:t>
      </w:r>
      <w:r w:rsidR="00433744" w:rsidRPr="00FA1629">
        <w:rPr>
          <w:rStyle w:val="Refdenotaalpie"/>
          <w:rFonts w:eastAsia="Verdana"/>
          <w:bCs/>
          <w:sz w:val="24"/>
          <w:szCs w:val="24"/>
        </w:rPr>
        <w:footnoteReference w:id="7"/>
      </w:r>
      <w:r w:rsidRPr="00FA1629">
        <w:rPr>
          <w:rFonts w:eastAsia="Verdana"/>
          <w:bCs/>
          <w:sz w:val="24"/>
          <w:szCs w:val="24"/>
        </w:rPr>
        <w:t xml:space="preserve"> </w:t>
      </w:r>
      <w:r w:rsidR="006E14EB" w:rsidRPr="00FA1629">
        <w:rPr>
          <w:rFonts w:eastAsia="Verdana"/>
          <w:bCs/>
          <w:sz w:val="24"/>
          <w:szCs w:val="24"/>
        </w:rPr>
        <w:t>d</w:t>
      </w:r>
      <w:r w:rsidRPr="00FA1629">
        <w:rPr>
          <w:rFonts w:eastAsia="Verdana"/>
          <w:bCs/>
          <w:sz w:val="24"/>
          <w:szCs w:val="24"/>
        </w:rPr>
        <w:t xml:space="preserve">el 14 de febrero de 1980 </w:t>
      </w:r>
      <w:r w:rsidR="006E14EB" w:rsidRPr="00FA1629">
        <w:rPr>
          <w:rFonts w:eastAsia="Verdana"/>
          <w:bCs/>
          <w:sz w:val="24"/>
          <w:szCs w:val="24"/>
        </w:rPr>
        <w:t>a</w:t>
      </w:r>
      <w:r w:rsidRPr="00FA1629">
        <w:rPr>
          <w:rFonts w:eastAsia="Verdana"/>
          <w:bCs/>
          <w:sz w:val="24"/>
          <w:szCs w:val="24"/>
        </w:rPr>
        <w:t xml:space="preserve">l 1 de octubre de 1988. </w:t>
      </w:r>
      <w:r w:rsidR="006E14EB" w:rsidRPr="00FA1629">
        <w:rPr>
          <w:rFonts w:eastAsia="Verdana"/>
          <w:bCs/>
          <w:sz w:val="24"/>
          <w:szCs w:val="24"/>
        </w:rPr>
        <w:t>Luego,</w:t>
      </w:r>
      <w:r w:rsidRPr="00FA1629">
        <w:rPr>
          <w:rFonts w:eastAsia="Verdana"/>
          <w:bCs/>
          <w:sz w:val="24"/>
          <w:szCs w:val="24"/>
        </w:rPr>
        <w:t xml:space="preserve"> liquid</w:t>
      </w:r>
      <w:r w:rsidR="006E14EB" w:rsidRPr="00FA1629">
        <w:rPr>
          <w:rFonts w:eastAsia="Verdana"/>
          <w:bCs/>
          <w:sz w:val="24"/>
          <w:szCs w:val="24"/>
        </w:rPr>
        <w:t>ó</w:t>
      </w:r>
      <w:r w:rsidRPr="00FA1629">
        <w:rPr>
          <w:rFonts w:eastAsia="Verdana"/>
          <w:bCs/>
          <w:sz w:val="24"/>
          <w:szCs w:val="24"/>
        </w:rPr>
        <w:t xml:space="preserve"> la prestación </w:t>
      </w:r>
      <w:r w:rsidR="00166703">
        <w:rPr>
          <w:rFonts w:eastAsia="Verdana"/>
          <w:bCs/>
          <w:sz w:val="24"/>
          <w:szCs w:val="24"/>
        </w:rPr>
        <w:t xml:space="preserve">solicitada </w:t>
      </w:r>
      <w:r w:rsidRPr="00FA1629">
        <w:rPr>
          <w:rFonts w:eastAsia="Verdana"/>
          <w:bCs/>
          <w:sz w:val="24"/>
          <w:szCs w:val="24"/>
        </w:rPr>
        <w:t>de acuerdo con lo dispuesto en el artículo 37</w:t>
      </w:r>
      <w:r w:rsidR="006E14EB" w:rsidRPr="00FA1629">
        <w:rPr>
          <w:rFonts w:eastAsia="Verdana"/>
          <w:bCs/>
          <w:sz w:val="24"/>
          <w:szCs w:val="24"/>
          <w:vertAlign w:val="superscript"/>
        </w:rPr>
        <w:t>[</w:t>
      </w:r>
      <w:r w:rsidR="006E14EB" w:rsidRPr="00FA1629">
        <w:rPr>
          <w:rStyle w:val="Refdenotaalpie"/>
          <w:rFonts w:eastAsia="Verdana"/>
          <w:bCs/>
          <w:sz w:val="24"/>
          <w:szCs w:val="24"/>
        </w:rPr>
        <w:footnoteReference w:id="8"/>
      </w:r>
      <w:r w:rsidR="006E14EB" w:rsidRPr="00FA1629">
        <w:rPr>
          <w:rFonts w:eastAsia="Verdana"/>
          <w:bCs/>
          <w:sz w:val="24"/>
          <w:szCs w:val="24"/>
          <w:vertAlign w:val="superscript"/>
        </w:rPr>
        <w:t>]</w:t>
      </w:r>
      <w:r w:rsidRPr="00FA1629">
        <w:rPr>
          <w:rFonts w:eastAsia="Verdana"/>
          <w:bCs/>
          <w:sz w:val="24"/>
          <w:szCs w:val="24"/>
        </w:rPr>
        <w:t xml:space="preserve"> de la Ley 100 de 1993</w:t>
      </w:r>
      <w:r w:rsidR="00FA1629">
        <w:rPr>
          <w:rFonts w:eastAsia="Verdana"/>
          <w:bCs/>
          <w:sz w:val="24"/>
          <w:szCs w:val="24"/>
          <w:vertAlign w:val="superscript"/>
        </w:rPr>
        <w:t>[</w:t>
      </w:r>
      <w:r w:rsidR="006E14EB" w:rsidRPr="00FA1629">
        <w:rPr>
          <w:rStyle w:val="Refdenotaalpie"/>
          <w:rFonts w:eastAsia="Verdana"/>
          <w:bCs/>
          <w:sz w:val="24"/>
          <w:szCs w:val="24"/>
        </w:rPr>
        <w:footnoteReference w:id="9"/>
      </w:r>
      <w:r w:rsidR="00FA1629">
        <w:rPr>
          <w:rFonts w:eastAsia="Verdana"/>
          <w:bCs/>
          <w:sz w:val="24"/>
          <w:szCs w:val="24"/>
          <w:vertAlign w:val="superscript"/>
        </w:rPr>
        <w:t>]</w:t>
      </w:r>
      <w:r w:rsidRPr="00FA1629">
        <w:rPr>
          <w:rFonts w:eastAsia="Verdana"/>
          <w:bCs/>
          <w:sz w:val="24"/>
          <w:szCs w:val="24"/>
        </w:rPr>
        <w:t>. De ese modo,</w:t>
      </w:r>
      <w:r w:rsidR="006E14EB" w:rsidRPr="00FA1629">
        <w:rPr>
          <w:rFonts w:eastAsia="Verdana"/>
          <w:bCs/>
          <w:sz w:val="24"/>
          <w:szCs w:val="24"/>
        </w:rPr>
        <w:t xml:space="preserve"> sobre la base de las semanas </w:t>
      </w:r>
      <w:r w:rsidR="00166703" w:rsidRPr="00166703">
        <w:rPr>
          <w:rFonts w:eastAsia="Verdana"/>
          <w:bCs/>
          <w:sz w:val="24"/>
          <w:szCs w:val="24"/>
        </w:rPr>
        <w:t xml:space="preserve">(444) </w:t>
      </w:r>
      <w:r w:rsidR="006E14EB" w:rsidRPr="00FA1629">
        <w:rPr>
          <w:rFonts w:eastAsia="Verdana"/>
          <w:bCs/>
          <w:sz w:val="24"/>
          <w:szCs w:val="24"/>
        </w:rPr>
        <w:t xml:space="preserve">cotizadas por la citada señora, </w:t>
      </w:r>
      <w:r w:rsidRPr="00FA1629">
        <w:rPr>
          <w:rFonts w:eastAsia="Verdana"/>
          <w:bCs/>
          <w:sz w:val="24"/>
          <w:szCs w:val="24"/>
        </w:rPr>
        <w:t xml:space="preserve">tomó </w:t>
      </w:r>
      <w:r w:rsidR="006E14EB" w:rsidRPr="00FA1629">
        <w:rPr>
          <w:rFonts w:eastAsia="Verdana"/>
          <w:bCs/>
          <w:sz w:val="24"/>
          <w:szCs w:val="24"/>
        </w:rPr>
        <w:t xml:space="preserve">el valor acumulado respectivo a </w:t>
      </w:r>
      <w:r w:rsidRPr="00FA1629">
        <w:rPr>
          <w:rFonts w:eastAsia="Verdana"/>
          <w:bCs/>
          <w:sz w:val="24"/>
          <w:szCs w:val="24"/>
        </w:rPr>
        <w:t xml:space="preserve">la asignación básica </w:t>
      </w:r>
      <w:r w:rsidR="006E14EB" w:rsidRPr="00FA1629">
        <w:rPr>
          <w:rFonts w:eastAsia="Verdana"/>
          <w:bCs/>
          <w:sz w:val="24"/>
          <w:szCs w:val="24"/>
        </w:rPr>
        <w:t xml:space="preserve">mensual </w:t>
      </w:r>
      <w:r w:rsidRPr="00FA1629">
        <w:rPr>
          <w:rFonts w:eastAsia="Verdana"/>
          <w:bCs/>
          <w:sz w:val="24"/>
          <w:szCs w:val="24"/>
        </w:rPr>
        <w:t xml:space="preserve">de cada </w:t>
      </w:r>
      <w:r w:rsidR="006E14EB" w:rsidRPr="00FA1629">
        <w:rPr>
          <w:rFonts w:eastAsia="Verdana"/>
          <w:bCs/>
          <w:sz w:val="24"/>
          <w:szCs w:val="24"/>
        </w:rPr>
        <w:t>año</w:t>
      </w:r>
      <w:r w:rsidRPr="00FA1629">
        <w:rPr>
          <w:rFonts w:eastAsia="Verdana"/>
          <w:bCs/>
          <w:sz w:val="24"/>
          <w:szCs w:val="24"/>
        </w:rPr>
        <w:t>, le aplicó el Ingreso Base de Liquidación (IBL) y obtuvo el valor actualizado</w:t>
      </w:r>
      <w:r w:rsidR="006E14EB" w:rsidRPr="00FA1629">
        <w:rPr>
          <w:rFonts w:eastAsia="Verdana"/>
          <w:bCs/>
          <w:sz w:val="24"/>
          <w:szCs w:val="24"/>
        </w:rPr>
        <w:t>. De allí resultó la suma de dos millones catorce mil quinientos veintiún pesos ($2.014.521.</w:t>
      </w:r>
      <w:r w:rsidR="006E14EB" w:rsidRPr="00FA1629">
        <w:rPr>
          <w:rFonts w:eastAsia="Verdana"/>
          <w:bCs/>
          <w:sz w:val="24"/>
          <w:szCs w:val="24"/>
          <w:vertAlign w:val="subscript"/>
        </w:rPr>
        <w:t>00</w:t>
      </w:r>
      <w:r w:rsidR="006E14EB" w:rsidRPr="00FA1629">
        <w:rPr>
          <w:rFonts w:eastAsia="Verdana"/>
          <w:bCs/>
          <w:sz w:val="24"/>
          <w:szCs w:val="24"/>
        </w:rPr>
        <w:t>). Por último, no incluyó factores salariales distintos a los señalados en el Decreto 1158 de 1994</w:t>
      </w:r>
      <w:bookmarkStart w:id="1" w:name="_Ref70499151"/>
      <w:r w:rsidR="00612661">
        <w:rPr>
          <w:rFonts w:eastAsia="Verdana"/>
          <w:bCs/>
          <w:sz w:val="24"/>
          <w:szCs w:val="24"/>
          <w:vertAlign w:val="superscript"/>
        </w:rPr>
        <w:t>[</w:t>
      </w:r>
      <w:r w:rsidR="00206C27" w:rsidRPr="00FA1629">
        <w:rPr>
          <w:rStyle w:val="Refdenotaalpie"/>
          <w:rFonts w:eastAsia="Verdana"/>
          <w:bCs/>
          <w:sz w:val="24"/>
          <w:szCs w:val="24"/>
        </w:rPr>
        <w:footnoteReference w:id="10"/>
      </w:r>
      <w:bookmarkEnd w:id="1"/>
      <w:r w:rsidR="00612661">
        <w:rPr>
          <w:rFonts w:eastAsia="Verdana"/>
          <w:bCs/>
          <w:sz w:val="24"/>
          <w:szCs w:val="24"/>
          <w:vertAlign w:val="superscript"/>
        </w:rPr>
        <w:t>]</w:t>
      </w:r>
      <w:r w:rsidR="006E14EB" w:rsidRPr="00FA1629">
        <w:rPr>
          <w:rFonts w:eastAsia="Verdana"/>
          <w:bCs/>
          <w:sz w:val="24"/>
          <w:szCs w:val="24"/>
        </w:rPr>
        <w:t xml:space="preserve">, por no haber sido señalados </w:t>
      </w:r>
      <w:r w:rsidR="00166703">
        <w:rPr>
          <w:rFonts w:eastAsia="Verdana"/>
          <w:bCs/>
          <w:sz w:val="24"/>
          <w:szCs w:val="24"/>
        </w:rPr>
        <w:t>en</w:t>
      </w:r>
      <w:r w:rsidR="006E14EB" w:rsidRPr="00FA1629">
        <w:rPr>
          <w:rFonts w:eastAsia="Verdana"/>
          <w:bCs/>
          <w:sz w:val="24"/>
          <w:szCs w:val="24"/>
        </w:rPr>
        <w:t xml:space="preserve"> el artículo 37 de la Ley 100 y por cuanto, sobre ellos, no se efectuó aporte alguno.</w:t>
      </w:r>
    </w:p>
    <w:p w14:paraId="20AEC7CA" w14:textId="77777777" w:rsidR="00206C27" w:rsidRPr="00FA1629" w:rsidRDefault="00206C27" w:rsidP="00FA1629">
      <w:pPr>
        <w:spacing w:line="276" w:lineRule="auto"/>
        <w:contextualSpacing/>
        <w:rPr>
          <w:rFonts w:eastAsia="Verdana"/>
          <w:bCs/>
          <w:sz w:val="24"/>
          <w:szCs w:val="24"/>
        </w:rPr>
      </w:pPr>
    </w:p>
    <w:p w14:paraId="3A1DD217" w14:textId="5FA5B51D" w:rsidR="00A77302" w:rsidRPr="00FA1629" w:rsidRDefault="00206C27" w:rsidP="00FA1629">
      <w:pPr>
        <w:numPr>
          <w:ilvl w:val="1"/>
          <w:numId w:val="3"/>
        </w:numPr>
        <w:spacing w:line="276" w:lineRule="auto"/>
        <w:ind w:left="0" w:firstLine="0"/>
        <w:contextualSpacing/>
        <w:rPr>
          <w:rFonts w:eastAsia="Verdana"/>
          <w:bCs/>
          <w:sz w:val="24"/>
          <w:szCs w:val="24"/>
        </w:rPr>
      </w:pPr>
      <w:r w:rsidRPr="00FA1629">
        <w:rPr>
          <w:rFonts w:eastAsia="Verdana"/>
          <w:bCs/>
          <w:sz w:val="24"/>
          <w:szCs w:val="24"/>
        </w:rPr>
        <w:t>Con el fin de resolver el recurso de reposición interpuesto por la actora contra el acto reseñado en el numeral anterior</w:t>
      </w:r>
      <w:r w:rsidR="00093F01">
        <w:rPr>
          <w:rFonts w:eastAsia="Verdana"/>
          <w:bCs/>
          <w:sz w:val="24"/>
          <w:szCs w:val="24"/>
        </w:rPr>
        <w:t>,</w:t>
      </w:r>
      <w:r w:rsidRPr="00FA1629">
        <w:rPr>
          <w:rFonts w:eastAsia="Verdana"/>
          <w:bCs/>
          <w:sz w:val="24"/>
          <w:szCs w:val="24"/>
        </w:rPr>
        <w:t xml:space="preserve"> la UGPP expidió la Resolución RDP 0009056 del 6 de marzo de 2015. Allí estimó que no asistía razón a la recurrente cuando propuso que el promedio ponderado de los porcentajes sobre los cuales ella cotizó se </w:t>
      </w:r>
      <w:r w:rsidR="00A77302" w:rsidRPr="00FA1629">
        <w:rPr>
          <w:rFonts w:eastAsia="Verdana"/>
          <w:bCs/>
          <w:sz w:val="24"/>
          <w:szCs w:val="24"/>
        </w:rPr>
        <w:t>debió</w:t>
      </w:r>
      <w:r w:rsidRPr="00FA1629">
        <w:rPr>
          <w:rFonts w:eastAsia="Verdana"/>
          <w:bCs/>
          <w:sz w:val="24"/>
          <w:szCs w:val="24"/>
        </w:rPr>
        <w:t xml:space="preserve"> </w:t>
      </w:r>
      <w:r w:rsidR="00A77302" w:rsidRPr="00FA1629">
        <w:rPr>
          <w:rFonts w:eastAsia="Verdana"/>
          <w:bCs/>
          <w:sz w:val="24"/>
          <w:szCs w:val="24"/>
        </w:rPr>
        <w:t>establecer</w:t>
      </w:r>
      <w:r w:rsidRPr="00FA1629">
        <w:rPr>
          <w:rFonts w:eastAsia="Verdana"/>
          <w:bCs/>
          <w:sz w:val="24"/>
          <w:szCs w:val="24"/>
        </w:rPr>
        <w:t xml:space="preserve"> en un diez por ciento (10%).</w:t>
      </w:r>
      <w:r w:rsidR="00B0065C" w:rsidRPr="00FA1629">
        <w:rPr>
          <w:rFonts w:eastAsia="Verdana"/>
          <w:bCs/>
          <w:sz w:val="24"/>
          <w:szCs w:val="24"/>
        </w:rPr>
        <w:t xml:space="preserve"> Para el efecto, indicó que había liquidado la prestación reclamada a partir de la fórmula dispuesta por el artículo 3.°</w:t>
      </w:r>
      <w:r w:rsidR="00526AFB" w:rsidRPr="00FA1629">
        <w:rPr>
          <w:rFonts w:eastAsia="Verdana"/>
          <w:bCs/>
          <w:sz w:val="24"/>
          <w:szCs w:val="24"/>
          <w:vertAlign w:val="superscript"/>
        </w:rPr>
        <w:t>[</w:t>
      </w:r>
      <w:r w:rsidR="00526AFB" w:rsidRPr="00FA1629">
        <w:rPr>
          <w:rStyle w:val="Refdenotaalpie"/>
          <w:rFonts w:eastAsia="Verdana"/>
          <w:bCs/>
          <w:sz w:val="24"/>
          <w:szCs w:val="24"/>
        </w:rPr>
        <w:footnoteReference w:id="11"/>
      </w:r>
      <w:r w:rsidR="00526AFB" w:rsidRPr="00FA1629">
        <w:rPr>
          <w:rFonts w:eastAsia="Verdana"/>
          <w:bCs/>
          <w:sz w:val="24"/>
          <w:szCs w:val="24"/>
          <w:vertAlign w:val="superscript"/>
        </w:rPr>
        <w:t>]</w:t>
      </w:r>
      <w:r w:rsidR="00B0065C" w:rsidRPr="00FA1629">
        <w:rPr>
          <w:rFonts w:eastAsia="Verdana"/>
          <w:bCs/>
          <w:sz w:val="24"/>
          <w:szCs w:val="24"/>
        </w:rPr>
        <w:t xml:space="preserve"> del Decreto 1730 de 2001</w:t>
      </w:r>
      <w:r w:rsidR="00526AFB" w:rsidRPr="00FA1629">
        <w:rPr>
          <w:rFonts w:eastAsia="Verdana"/>
          <w:bCs/>
          <w:sz w:val="24"/>
          <w:szCs w:val="24"/>
          <w:vertAlign w:val="superscript"/>
        </w:rPr>
        <w:t>[</w:t>
      </w:r>
      <w:r w:rsidR="00526AFB" w:rsidRPr="00FA1629">
        <w:rPr>
          <w:rStyle w:val="Refdenotaalpie"/>
          <w:rFonts w:eastAsia="Verdana"/>
          <w:bCs/>
          <w:sz w:val="24"/>
          <w:szCs w:val="24"/>
        </w:rPr>
        <w:footnoteReference w:id="12"/>
      </w:r>
      <w:r w:rsidR="00526AFB" w:rsidRPr="00FA1629">
        <w:rPr>
          <w:rFonts w:eastAsia="Verdana"/>
          <w:bCs/>
          <w:sz w:val="24"/>
          <w:szCs w:val="24"/>
          <w:vertAlign w:val="superscript"/>
        </w:rPr>
        <w:t>]</w:t>
      </w:r>
      <w:r w:rsidR="00B0065C" w:rsidRPr="00FA1629">
        <w:rPr>
          <w:rFonts w:eastAsia="Verdana"/>
          <w:bCs/>
          <w:sz w:val="24"/>
          <w:szCs w:val="24"/>
        </w:rPr>
        <w:t xml:space="preserve">, con base en los factores incluidos en el </w:t>
      </w:r>
      <w:r w:rsidR="00CE461F" w:rsidRPr="00FA1629">
        <w:rPr>
          <w:rFonts w:eastAsia="Verdana"/>
          <w:bCs/>
          <w:sz w:val="24"/>
          <w:szCs w:val="24"/>
        </w:rPr>
        <w:t>artículo 1.°</w:t>
      </w:r>
      <w:r w:rsidR="004C7E51" w:rsidRPr="00FA1629">
        <w:rPr>
          <w:rFonts w:eastAsia="Verdana"/>
          <w:bCs/>
          <w:sz w:val="24"/>
          <w:szCs w:val="24"/>
          <w:vertAlign w:val="superscript"/>
        </w:rPr>
        <w:t>[</w:t>
      </w:r>
      <w:r w:rsidR="00526AFB" w:rsidRPr="00FA1629">
        <w:rPr>
          <w:rStyle w:val="Refdenotaalpie"/>
          <w:rFonts w:eastAsia="Verdana"/>
          <w:bCs/>
          <w:sz w:val="24"/>
          <w:szCs w:val="24"/>
        </w:rPr>
        <w:footnoteReference w:id="13"/>
      </w:r>
      <w:r w:rsidR="004C7E51" w:rsidRPr="00FA1629">
        <w:rPr>
          <w:rFonts w:eastAsia="Verdana"/>
          <w:bCs/>
          <w:sz w:val="24"/>
          <w:szCs w:val="24"/>
          <w:vertAlign w:val="superscript"/>
        </w:rPr>
        <w:t>]</w:t>
      </w:r>
      <w:r w:rsidR="00CE461F" w:rsidRPr="00FA1629">
        <w:rPr>
          <w:rFonts w:eastAsia="Verdana"/>
          <w:bCs/>
          <w:sz w:val="24"/>
          <w:szCs w:val="24"/>
        </w:rPr>
        <w:t xml:space="preserve"> del </w:t>
      </w:r>
      <w:r w:rsidR="00B0065C" w:rsidRPr="00FA1629">
        <w:rPr>
          <w:rFonts w:eastAsia="Verdana"/>
          <w:bCs/>
          <w:sz w:val="24"/>
          <w:szCs w:val="24"/>
        </w:rPr>
        <w:t xml:space="preserve">Decreto </w:t>
      </w:r>
      <w:r w:rsidR="00B0065C" w:rsidRPr="00FA1629">
        <w:rPr>
          <w:rFonts w:eastAsia="Verdana"/>
          <w:bCs/>
          <w:sz w:val="24"/>
          <w:szCs w:val="24"/>
        </w:rPr>
        <w:lastRenderedPageBreak/>
        <w:t>1158 de 1994</w:t>
      </w:r>
      <w:r w:rsidR="004C7E51" w:rsidRPr="00FA1629">
        <w:rPr>
          <w:rFonts w:eastAsia="Verdana"/>
          <w:bCs/>
          <w:sz w:val="24"/>
          <w:szCs w:val="24"/>
          <w:vertAlign w:val="superscript"/>
        </w:rPr>
        <w:t>[</w:t>
      </w:r>
      <w:r w:rsidR="004C7E51" w:rsidRPr="00FA1629">
        <w:rPr>
          <w:rStyle w:val="Refdenotaalpie"/>
          <w:rFonts w:eastAsia="Verdana"/>
          <w:bCs/>
          <w:sz w:val="24"/>
          <w:szCs w:val="24"/>
        </w:rPr>
        <w:footnoteReference w:id="14"/>
      </w:r>
      <w:r w:rsidR="004C7E51" w:rsidRPr="00FA1629">
        <w:rPr>
          <w:rFonts w:eastAsia="Verdana"/>
          <w:bCs/>
          <w:sz w:val="24"/>
          <w:szCs w:val="24"/>
          <w:vertAlign w:val="superscript"/>
        </w:rPr>
        <w:t>]</w:t>
      </w:r>
      <w:r w:rsidR="00B0065C" w:rsidRPr="00FA1629">
        <w:rPr>
          <w:rFonts w:eastAsia="Verdana"/>
          <w:bCs/>
          <w:sz w:val="24"/>
          <w:szCs w:val="24"/>
        </w:rPr>
        <w:t xml:space="preserve">. De ese modo, para </w:t>
      </w:r>
      <w:r w:rsidR="00A77302" w:rsidRPr="00FA1629">
        <w:rPr>
          <w:rFonts w:eastAsia="Verdana"/>
          <w:bCs/>
          <w:sz w:val="24"/>
          <w:szCs w:val="24"/>
        </w:rPr>
        <w:t>el cálculo en concreto</w:t>
      </w:r>
      <w:r w:rsidR="00C45BDF">
        <w:rPr>
          <w:rFonts w:eastAsia="Verdana"/>
          <w:bCs/>
          <w:sz w:val="24"/>
          <w:szCs w:val="24"/>
        </w:rPr>
        <w:t>,</w:t>
      </w:r>
      <w:r w:rsidR="00A77302" w:rsidRPr="00FA1629">
        <w:rPr>
          <w:rFonts w:eastAsia="Verdana"/>
          <w:bCs/>
          <w:sz w:val="24"/>
          <w:szCs w:val="24"/>
        </w:rPr>
        <w:t xml:space="preserve"> tomó el cuarenta y cinco coma cuarenta y cinco por ciento (45,45%), el cual multiplicó por el cinco por ciento sobre cien (5%/100), lo </w:t>
      </w:r>
      <w:r w:rsidR="00612661">
        <w:rPr>
          <w:rFonts w:eastAsia="Verdana"/>
          <w:bCs/>
          <w:sz w:val="24"/>
          <w:szCs w:val="24"/>
        </w:rPr>
        <w:t>que</w:t>
      </w:r>
      <w:r w:rsidR="00A77302" w:rsidRPr="00FA1629">
        <w:rPr>
          <w:rFonts w:eastAsia="Verdana"/>
          <w:bCs/>
          <w:sz w:val="24"/>
          <w:szCs w:val="24"/>
        </w:rPr>
        <w:t xml:space="preserve"> </w:t>
      </w:r>
      <w:r w:rsidR="00C77A34" w:rsidRPr="00FA1629">
        <w:rPr>
          <w:rFonts w:eastAsia="Verdana"/>
          <w:bCs/>
          <w:sz w:val="24"/>
          <w:szCs w:val="24"/>
        </w:rPr>
        <w:t>dio</w:t>
      </w:r>
      <w:r w:rsidR="00A77302" w:rsidRPr="00FA1629">
        <w:rPr>
          <w:rFonts w:eastAsia="Verdana"/>
          <w:bCs/>
          <w:sz w:val="24"/>
          <w:szCs w:val="24"/>
        </w:rPr>
        <w:t xml:space="preserve"> como resultado un porcentaje equivalente al dos coma veintisiete (2,27%), que </w:t>
      </w:r>
      <w:r w:rsidR="00305DD7">
        <w:rPr>
          <w:rFonts w:eastAsia="Verdana"/>
          <w:bCs/>
          <w:sz w:val="24"/>
          <w:szCs w:val="24"/>
        </w:rPr>
        <w:t>adujo como</w:t>
      </w:r>
      <w:r w:rsidR="00A77302" w:rsidRPr="00FA1629">
        <w:rPr>
          <w:rFonts w:eastAsia="Verdana"/>
          <w:bCs/>
          <w:sz w:val="24"/>
          <w:szCs w:val="24"/>
        </w:rPr>
        <w:t xml:space="preserve"> </w:t>
      </w:r>
      <w:r w:rsidR="00C77A34" w:rsidRPr="00FA1629">
        <w:rPr>
          <w:rFonts w:eastAsia="Verdana"/>
          <w:bCs/>
          <w:sz w:val="24"/>
          <w:szCs w:val="24"/>
        </w:rPr>
        <w:t>adecuado</w:t>
      </w:r>
      <w:r w:rsidR="00A77302" w:rsidRPr="00FA1629">
        <w:rPr>
          <w:rFonts w:eastAsia="Verdana"/>
          <w:bCs/>
          <w:sz w:val="24"/>
          <w:szCs w:val="24"/>
        </w:rPr>
        <w:t xml:space="preserve"> para aplicar a casos ocurridos antes de la entrada en vigor de la Ley 100 de 1993</w:t>
      </w:r>
      <w:r w:rsidR="00305DD7">
        <w:rPr>
          <w:rFonts w:eastAsia="Verdana"/>
          <w:bCs/>
          <w:sz w:val="24"/>
          <w:szCs w:val="24"/>
        </w:rPr>
        <w:t xml:space="preserve"> como el de la actora</w:t>
      </w:r>
      <w:r w:rsidR="00C77A34" w:rsidRPr="00FA1629">
        <w:rPr>
          <w:rFonts w:eastAsia="Verdana"/>
          <w:bCs/>
          <w:sz w:val="24"/>
          <w:szCs w:val="24"/>
        </w:rPr>
        <w:t>.</w:t>
      </w:r>
    </w:p>
    <w:p w14:paraId="08B8345E" w14:textId="77777777" w:rsidR="00C77A34" w:rsidRPr="00713362" w:rsidRDefault="00C77A34" w:rsidP="00713362">
      <w:pPr>
        <w:spacing w:line="276" w:lineRule="auto"/>
        <w:rPr>
          <w:rFonts w:eastAsia="Verdana"/>
          <w:bCs/>
          <w:sz w:val="24"/>
          <w:szCs w:val="24"/>
        </w:rPr>
      </w:pPr>
    </w:p>
    <w:p w14:paraId="2E77185D" w14:textId="77777777" w:rsidR="00F95BFD" w:rsidRPr="00FA1629" w:rsidRDefault="0063044A" w:rsidP="00FA1629">
      <w:pPr>
        <w:numPr>
          <w:ilvl w:val="1"/>
          <w:numId w:val="3"/>
        </w:numPr>
        <w:spacing w:line="276" w:lineRule="auto"/>
        <w:ind w:left="0" w:firstLine="0"/>
        <w:contextualSpacing/>
        <w:rPr>
          <w:rFonts w:eastAsia="Verdana"/>
          <w:bCs/>
          <w:sz w:val="24"/>
          <w:szCs w:val="24"/>
        </w:rPr>
      </w:pPr>
      <w:r w:rsidRPr="00FA1629">
        <w:rPr>
          <w:rFonts w:eastAsia="Verdana"/>
          <w:bCs/>
          <w:sz w:val="24"/>
          <w:szCs w:val="24"/>
        </w:rPr>
        <w:t xml:space="preserve">Con el propósito de resolver el recurso de apelación presentado por la accionante, </w:t>
      </w:r>
      <w:r w:rsidR="00433744" w:rsidRPr="00FA1629">
        <w:rPr>
          <w:rFonts w:eastAsia="Verdana"/>
          <w:bCs/>
          <w:sz w:val="24"/>
          <w:szCs w:val="24"/>
        </w:rPr>
        <w:t>la UGPP</w:t>
      </w:r>
      <w:r w:rsidR="00433744" w:rsidRPr="00FA1629">
        <w:rPr>
          <w:rStyle w:val="Refdenotaalpie"/>
          <w:rFonts w:eastAsia="Verdana"/>
          <w:bCs/>
          <w:sz w:val="24"/>
          <w:szCs w:val="24"/>
        </w:rPr>
        <w:footnoteReference w:id="15"/>
      </w:r>
      <w:r w:rsidR="00433744" w:rsidRPr="00FA1629">
        <w:rPr>
          <w:rFonts w:eastAsia="Verdana"/>
          <w:bCs/>
          <w:sz w:val="24"/>
          <w:szCs w:val="24"/>
        </w:rPr>
        <w:t xml:space="preserve"> expidió la Resolución RDP 013872 del 10 de abril de 2015.</w:t>
      </w:r>
      <w:r w:rsidR="00F95BFD" w:rsidRPr="00FA1629">
        <w:rPr>
          <w:rFonts w:eastAsia="Verdana"/>
          <w:bCs/>
          <w:sz w:val="24"/>
          <w:szCs w:val="24"/>
        </w:rPr>
        <w:t xml:space="preserve"> En resumen, revisó la normatividad aplicable y el cálculo efectuado. De ello concluyó que lo resuelto en el acto recurrido estuvo conforme a derecho, por lo cual lo confirmó.</w:t>
      </w:r>
    </w:p>
    <w:p w14:paraId="29EE7C15" w14:textId="77777777" w:rsidR="00F95BFD" w:rsidRPr="00713362" w:rsidRDefault="00F95BFD" w:rsidP="00713362">
      <w:pPr>
        <w:spacing w:line="276" w:lineRule="auto"/>
        <w:rPr>
          <w:rFonts w:eastAsia="Verdana"/>
          <w:bCs/>
          <w:sz w:val="24"/>
          <w:szCs w:val="24"/>
        </w:rPr>
      </w:pPr>
    </w:p>
    <w:p w14:paraId="432F4D60" w14:textId="2835D70A" w:rsidR="00C77A34" w:rsidRPr="00FA1629" w:rsidRDefault="00F95BFD" w:rsidP="00FA1629">
      <w:pPr>
        <w:numPr>
          <w:ilvl w:val="1"/>
          <w:numId w:val="3"/>
        </w:numPr>
        <w:spacing w:line="276" w:lineRule="auto"/>
        <w:ind w:left="0" w:firstLine="0"/>
        <w:contextualSpacing/>
        <w:rPr>
          <w:rFonts w:eastAsia="Verdana"/>
          <w:bCs/>
          <w:sz w:val="24"/>
          <w:szCs w:val="24"/>
        </w:rPr>
      </w:pPr>
      <w:r w:rsidRPr="00FA1629">
        <w:rPr>
          <w:rFonts w:eastAsia="Verdana"/>
          <w:bCs/>
          <w:sz w:val="24"/>
          <w:szCs w:val="24"/>
        </w:rPr>
        <w:t>La señora Rodríguez instauró demanda de nulidad y restablecimiento del derecho contra la UGPP. Allí pretendió la nulidad de los actos administrativos reseñad</w:t>
      </w:r>
      <w:r w:rsidR="00DC32E6" w:rsidRPr="00FA1629">
        <w:rPr>
          <w:rFonts w:eastAsia="Verdana"/>
          <w:bCs/>
          <w:sz w:val="24"/>
          <w:szCs w:val="24"/>
        </w:rPr>
        <w:t>o</w:t>
      </w:r>
      <w:r w:rsidRPr="00FA1629">
        <w:rPr>
          <w:rFonts w:eastAsia="Verdana"/>
          <w:bCs/>
          <w:sz w:val="24"/>
          <w:szCs w:val="24"/>
        </w:rPr>
        <w:t>s en los numerales anteriores. A título de restablecimiento del derecho solicitó que su indemnización sustitutiva fuera liquidada con base en un promedio ponderado de los porcentajes de cotización equivalente al diez por ciento (10%).</w:t>
      </w:r>
    </w:p>
    <w:p w14:paraId="688DB860" w14:textId="77777777" w:rsidR="00DC32E6" w:rsidRPr="00713362" w:rsidRDefault="00DC32E6" w:rsidP="002D7204">
      <w:pPr>
        <w:spacing w:line="276" w:lineRule="auto"/>
        <w:rPr>
          <w:rFonts w:eastAsia="Verdana"/>
          <w:bCs/>
          <w:sz w:val="24"/>
          <w:szCs w:val="24"/>
        </w:rPr>
      </w:pPr>
    </w:p>
    <w:p w14:paraId="52E9A5E2" w14:textId="462256F4" w:rsidR="00DC32E6" w:rsidRPr="00FA1629" w:rsidRDefault="00DC32E6" w:rsidP="00FA1629">
      <w:pPr>
        <w:numPr>
          <w:ilvl w:val="1"/>
          <w:numId w:val="3"/>
        </w:numPr>
        <w:spacing w:line="276" w:lineRule="auto"/>
        <w:ind w:left="0" w:firstLine="0"/>
        <w:contextualSpacing/>
        <w:rPr>
          <w:rFonts w:eastAsia="Verdana"/>
          <w:bCs/>
          <w:sz w:val="24"/>
          <w:szCs w:val="24"/>
        </w:rPr>
      </w:pPr>
      <w:r w:rsidRPr="00FA1629">
        <w:rPr>
          <w:rFonts w:eastAsia="Verdana"/>
          <w:bCs/>
          <w:sz w:val="24"/>
          <w:szCs w:val="24"/>
        </w:rPr>
        <w:t>En primera instancia, el Juzgado Cuarto Administrativo del Circuito de Florencia, en fallo</w:t>
      </w:r>
      <w:r w:rsidR="004C7E51" w:rsidRPr="00FA1629">
        <w:rPr>
          <w:rStyle w:val="Refdenotaalpie"/>
          <w:rFonts w:eastAsia="Verdana"/>
          <w:bCs/>
          <w:sz w:val="24"/>
          <w:szCs w:val="24"/>
        </w:rPr>
        <w:footnoteReference w:id="16"/>
      </w:r>
      <w:r w:rsidRPr="00FA1629">
        <w:rPr>
          <w:rFonts w:eastAsia="Verdana"/>
          <w:bCs/>
          <w:sz w:val="24"/>
          <w:szCs w:val="24"/>
        </w:rPr>
        <w:t xml:space="preserve"> del 29 de junio de 2018, negó las pretensiones de la demanda. </w:t>
      </w:r>
      <w:r w:rsidR="00F720F9">
        <w:rPr>
          <w:rFonts w:eastAsia="Verdana"/>
          <w:bCs/>
          <w:sz w:val="24"/>
          <w:szCs w:val="24"/>
        </w:rPr>
        <w:t>En</w:t>
      </w:r>
      <w:r w:rsidR="005D3299" w:rsidRPr="00FA1629">
        <w:rPr>
          <w:rFonts w:eastAsia="Verdana"/>
          <w:bCs/>
          <w:sz w:val="24"/>
          <w:szCs w:val="24"/>
        </w:rPr>
        <w:t xml:space="preserve"> su decisión identificó que el punto de debate giraba alrededor del promedio ponderado de los porcentajes de cotización (PPC), pues, mientras que la UGPP aplicó un dos coma veintisiete por ciento (2,27%), la demandante implementó un diez (10%). Al respecto, afirmó que le asistía razón a la UGPP </w:t>
      </w:r>
      <w:r w:rsidR="00713362">
        <w:rPr>
          <w:rFonts w:eastAsia="Verdana"/>
          <w:bCs/>
          <w:sz w:val="24"/>
          <w:szCs w:val="24"/>
        </w:rPr>
        <w:t>por</w:t>
      </w:r>
      <w:r w:rsidR="005D3299" w:rsidRPr="00FA1629">
        <w:rPr>
          <w:rFonts w:eastAsia="Verdana"/>
          <w:bCs/>
          <w:sz w:val="24"/>
          <w:szCs w:val="24"/>
        </w:rPr>
        <w:t xml:space="preserve">que el porcentaje </w:t>
      </w:r>
      <w:r w:rsidR="002D7204">
        <w:rPr>
          <w:rFonts w:eastAsia="Verdana"/>
          <w:bCs/>
          <w:sz w:val="24"/>
          <w:szCs w:val="24"/>
        </w:rPr>
        <w:t>empleado</w:t>
      </w:r>
      <w:r w:rsidR="005D3299" w:rsidRPr="00FA1629">
        <w:rPr>
          <w:rFonts w:eastAsia="Verdana"/>
          <w:bCs/>
          <w:sz w:val="24"/>
          <w:szCs w:val="24"/>
        </w:rPr>
        <w:t xml:space="preserve"> por esta era el </w:t>
      </w:r>
      <w:r w:rsidR="00713362">
        <w:rPr>
          <w:rFonts w:eastAsia="Verdana"/>
          <w:bCs/>
          <w:sz w:val="24"/>
          <w:szCs w:val="24"/>
        </w:rPr>
        <w:t>respectivo</w:t>
      </w:r>
      <w:r w:rsidR="005D3299" w:rsidRPr="00FA1629">
        <w:rPr>
          <w:rFonts w:eastAsia="Verdana"/>
          <w:bCs/>
          <w:sz w:val="24"/>
          <w:szCs w:val="24"/>
        </w:rPr>
        <w:t xml:space="preserve"> a la situación fáctica </w:t>
      </w:r>
      <w:r w:rsidR="00713362">
        <w:rPr>
          <w:rFonts w:eastAsia="Verdana"/>
          <w:bCs/>
          <w:sz w:val="24"/>
          <w:szCs w:val="24"/>
        </w:rPr>
        <w:t xml:space="preserve">bajo su examen, en tanto </w:t>
      </w:r>
      <w:r w:rsidR="005D3299" w:rsidRPr="00FA1629">
        <w:rPr>
          <w:rFonts w:eastAsia="Verdana"/>
          <w:bCs/>
          <w:sz w:val="24"/>
          <w:szCs w:val="24"/>
        </w:rPr>
        <w:t xml:space="preserve">la peticionaria </w:t>
      </w:r>
      <w:r w:rsidR="00713362">
        <w:rPr>
          <w:rFonts w:eastAsia="Verdana"/>
          <w:bCs/>
          <w:sz w:val="24"/>
          <w:szCs w:val="24"/>
        </w:rPr>
        <w:t>efectuó sus</w:t>
      </w:r>
      <w:r w:rsidR="005D3299" w:rsidRPr="00FA1629">
        <w:rPr>
          <w:rFonts w:eastAsia="Verdana"/>
          <w:bCs/>
          <w:sz w:val="24"/>
          <w:szCs w:val="24"/>
        </w:rPr>
        <w:t xml:space="preserve"> cotizaciones antes de la entrada en vigencia de la Ley 100 de 1993</w:t>
      </w:r>
      <w:r w:rsidR="00713362">
        <w:rPr>
          <w:rFonts w:eastAsia="Verdana"/>
          <w:bCs/>
          <w:sz w:val="24"/>
          <w:szCs w:val="24"/>
          <w:vertAlign w:val="superscript"/>
        </w:rPr>
        <w:t>[</w:t>
      </w:r>
      <w:r w:rsidR="00A25B46" w:rsidRPr="00FA1629">
        <w:rPr>
          <w:rStyle w:val="Refdenotaalpie"/>
          <w:rFonts w:eastAsia="Verdana"/>
          <w:bCs/>
          <w:sz w:val="24"/>
          <w:szCs w:val="24"/>
        </w:rPr>
        <w:footnoteReference w:id="17"/>
      </w:r>
      <w:r w:rsidR="00713362">
        <w:rPr>
          <w:rFonts w:eastAsia="Verdana"/>
          <w:bCs/>
          <w:sz w:val="24"/>
          <w:szCs w:val="24"/>
          <w:vertAlign w:val="superscript"/>
        </w:rPr>
        <w:t>]</w:t>
      </w:r>
      <w:r w:rsidR="005D3299" w:rsidRPr="00FA1629">
        <w:rPr>
          <w:rFonts w:eastAsia="Verdana"/>
          <w:bCs/>
          <w:sz w:val="24"/>
          <w:szCs w:val="24"/>
        </w:rPr>
        <w:t>.</w:t>
      </w:r>
    </w:p>
    <w:p w14:paraId="33032929" w14:textId="77777777" w:rsidR="00A25B46" w:rsidRPr="00713362" w:rsidRDefault="00A25B46" w:rsidP="00713362">
      <w:pPr>
        <w:spacing w:line="276" w:lineRule="auto"/>
        <w:rPr>
          <w:rFonts w:eastAsia="Verdana"/>
          <w:bCs/>
          <w:sz w:val="24"/>
          <w:szCs w:val="24"/>
        </w:rPr>
      </w:pPr>
    </w:p>
    <w:p w14:paraId="13E4F1C2" w14:textId="1D54071E" w:rsidR="00206C27" w:rsidRPr="00B46165" w:rsidRDefault="00A25B46" w:rsidP="00B46165">
      <w:pPr>
        <w:numPr>
          <w:ilvl w:val="1"/>
          <w:numId w:val="3"/>
        </w:numPr>
        <w:spacing w:line="276" w:lineRule="auto"/>
        <w:ind w:left="0" w:firstLine="0"/>
        <w:contextualSpacing/>
        <w:rPr>
          <w:rFonts w:eastAsia="Verdana"/>
          <w:bCs/>
          <w:sz w:val="24"/>
          <w:szCs w:val="24"/>
        </w:rPr>
      </w:pPr>
      <w:r w:rsidRPr="00FA1629">
        <w:rPr>
          <w:rFonts w:eastAsia="Verdana"/>
          <w:bCs/>
          <w:sz w:val="24"/>
          <w:szCs w:val="24"/>
        </w:rPr>
        <w:t>En segunda instancia, el Tribunal Administrativo del Caquetá, en sentencia</w:t>
      </w:r>
      <w:r w:rsidRPr="00FA1629">
        <w:rPr>
          <w:rStyle w:val="Refdenotaalpie"/>
          <w:rFonts w:eastAsia="Verdana"/>
          <w:bCs/>
          <w:sz w:val="24"/>
          <w:szCs w:val="24"/>
        </w:rPr>
        <w:footnoteReference w:id="18"/>
      </w:r>
      <w:r w:rsidRPr="00FA1629">
        <w:rPr>
          <w:rFonts w:eastAsia="Verdana"/>
          <w:bCs/>
          <w:sz w:val="24"/>
          <w:szCs w:val="24"/>
        </w:rPr>
        <w:t xml:space="preserve"> del 27 de octubre de 2020, confirmó el proveído apelado por la parte demandante. </w:t>
      </w:r>
      <w:r w:rsidR="00714113" w:rsidRPr="00FA1629">
        <w:rPr>
          <w:rFonts w:eastAsia="Verdana"/>
          <w:bCs/>
          <w:sz w:val="24"/>
          <w:szCs w:val="24"/>
        </w:rPr>
        <w:t>Desde su perspectiva, el PPC reclamado por la recurrente no es aplicable al caso concreto, toda vez</w:t>
      </w:r>
      <w:r w:rsidR="002D7204">
        <w:rPr>
          <w:rFonts w:eastAsia="Verdana"/>
          <w:bCs/>
          <w:sz w:val="24"/>
          <w:szCs w:val="24"/>
        </w:rPr>
        <w:t xml:space="preserve"> que</w:t>
      </w:r>
      <w:r w:rsidR="00714113" w:rsidRPr="00FA1629">
        <w:rPr>
          <w:rFonts w:eastAsia="Verdana"/>
          <w:bCs/>
          <w:sz w:val="24"/>
          <w:szCs w:val="24"/>
        </w:rPr>
        <w:t xml:space="preserve"> este se previó para quienes hubieran cotizado en vigencia de la Ley 100 de 1993. Para esa época, continuó, el porcentaje de cotización fijado por la Ley 4.</w:t>
      </w:r>
      <w:r w:rsidR="00714113" w:rsidRPr="00B46165">
        <w:rPr>
          <w:rFonts w:eastAsia="Verdana"/>
          <w:bCs/>
          <w:sz w:val="24"/>
          <w:szCs w:val="24"/>
          <w:vertAlign w:val="superscript"/>
        </w:rPr>
        <w:t>a</w:t>
      </w:r>
      <w:r w:rsidR="00714113" w:rsidRPr="00FA1629">
        <w:rPr>
          <w:rFonts w:eastAsia="Verdana"/>
          <w:bCs/>
          <w:sz w:val="24"/>
          <w:szCs w:val="24"/>
        </w:rPr>
        <w:t xml:space="preserve"> de 1966 era equivalente al cinco por ciento (5%). De ese modo, encontró que el porcentaje sobre el cual la actora hizo aportes fue el indicado anteriormente. Así las cosas, estimó que el punto de partida para calcular el PPC fue el correcto</w:t>
      </w:r>
      <w:r w:rsidR="00714113" w:rsidRPr="00FA1629">
        <w:rPr>
          <w:rStyle w:val="Refdenotaalpie"/>
          <w:rFonts w:eastAsia="Verdana"/>
          <w:bCs/>
          <w:sz w:val="24"/>
          <w:szCs w:val="24"/>
        </w:rPr>
        <w:footnoteReference w:id="19"/>
      </w:r>
      <w:r w:rsidR="00714113" w:rsidRPr="00FA1629">
        <w:rPr>
          <w:rFonts w:eastAsia="Verdana"/>
          <w:bCs/>
          <w:sz w:val="24"/>
          <w:szCs w:val="24"/>
        </w:rPr>
        <w:t>.</w:t>
      </w:r>
    </w:p>
    <w:p w14:paraId="27FBFA21" w14:textId="4DBFBA75" w:rsidR="00166AF6" w:rsidRPr="00FA1629" w:rsidRDefault="00166AF6" w:rsidP="00FA1629">
      <w:pPr>
        <w:spacing w:line="276" w:lineRule="auto"/>
        <w:contextualSpacing/>
        <w:rPr>
          <w:rFonts w:eastAsia="Verdana"/>
          <w:sz w:val="24"/>
          <w:szCs w:val="24"/>
        </w:rPr>
      </w:pPr>
    </w:p>
    <w:p w14:paraId="1A1C16A6" w14:textId="36F20041" w:rsidR="000C5DB7" w:rsidRPr="00B46165" w:rsidRDefault="000C5DB7" w:rsidP="00FA1629">
      <w:pPr>
        <w:numPr>
          <w:ilvl w:val="0"/>
          <w:numId w:val="3"/>
        </w:numPr>
        <w:overflowPunct w:val="0"/>
        <w:autoSpaceDE w:val="0"/>
        <w:autoSpaceDN w:val="0"/>
        <w:adjustRightInd w:val="0"/>
        <w:spacing w:line="276" w:lineRule="auto"/>
        <w:ind w:left="0" w:firstLine="0"/>
        <w:contextualSpacing/>
        <w:rPr>
          <w:sz w:val="24"/>
          <w:szCs w:val="24"/>
        </w:rPr>
      </w:pPr>
      <w:r w:rsidRPr="00FA1629">
        <w:rPr>
          <w:rFonts w:eastAsia="Arial Unicode MS"/>
          <w:b/>
          <w:sz w:val="24"/>
          <w:szCs w:val="24"/>
        </w:rPr>
        <w:t>Argumentos de la solicitud de tutela</w:t>
      </w:r>
    </w:p>
    <w:p w14:paraId="7D00A04A" w14:textId="77777777" w:rsidR="00B46165" w:rsidRPr="00B46165" w:rsidRDefault="00B46165" w:rsidP="00B46165">
      <w:pPr>
        <w:overflowPunct w:val="0"/>
        <w:autoSpaceDE w:val="0"/>
        <w:autoSpaceDN w:val="0"/>
        <w:adjustRightInd w:val="0"/>
        <w:spacing w:line="276" w:lineRule="auto"/>
        <w:contextualSpacing/>
        <w:rPr>
          <w:sz w:val="24"/>
          <w:szCs w:val="24"/>
        </w:rPr>
      </w:pPr>
    </w:p>
    <w:p w14:paraId="6ABD2251" w14:textId="57421690" w:rsidR="00B46165" w:rsidRDefault="00B46165" w:rsidP="00B46165">
      <w:pPr>
        <w:numPr>
          <w:ilvl w:val="1"/>
          <w:numId w:val="3"/>
        </w:numPr>
        <w:overflowPunct w:val="0"/>
        <w:autoSpaceDE w:val="0"/>
        <w:autoSpaceDN w:val="0"/>
        <w:adjustRightInd w:val="0"/>
        <w:spacing w:line="276" w:lineRule="auto"/>
        <w:ind w:left="0" w:firstLine="0"/>
        <w:contextualSpacing/>
        <w:rPr>
          <w:sz w:val="24"/>
          <w:szCs w:val="24"/>
        </w:rPr>
      </w:pPr>
      <w:r>
        <w:rPr>
          <w:sz w:val="24"/>
          <w:szCs w:val="24"/>
        </w:rPr>
        <w:t xml:space="preserve">Para la peticionaria, los fallos cuestionados incurrieron en </w:t>
      </w:r>
      <w:r w:rsidRPr="00187E48">
        <w:rPr>
          <w:b/>
          <w:bCs/>
          <w:sz w:val="24"/>
          <w:szCs w:val="24"/>
        </w:rPr>
        <w:t>defecto sustantivo</w:t>
      </w:r>
      <w:r>
        <w:rPr>
          <w:sz w:val="24"/>
          <w:szCs w:val="24"/>
        </w:rPr>
        <w:t xml:space="preserve"> por interpretación irrazonable de la fórmula matemática que la ley prevé para calcular la indemnización sustitutiva de la pensión de vejez. En su criterio, los artículos </w:t>
      </w:r>
      <w:r w:rsidR="00644150">
        <w:rPr>
          <w:sz w:val="24"/>
          <w:szCs w:val="24"/>
        </w:rPr>
        <w:t xml:space="preserve">20 y </w:t>
      </w:r>
      <w:r>
        <w:rPr>
          <w:sz w:val="24"/>
          <w:szCs w:val="24"/>
        </w:rPr>
        <w:t>37 de la Ley 100 de 1993</w:t>
      </w:r>
      <w:r w:rsidR="00644150">
        <w:rPr>
          <w:sz w:val="24"/>
          <w:szCs w:val="24"/>
        </w:rPr>
        <w:t xml:space="preserve"> y</w:t>
      </w:r>
      <w:r>
        <w:rPr>
          <w:sz w:val="24"/>
          <w:szCs w:val="24"/>
        </w:rPr>
        <w:t xml:space="preserve"> 3.° del Decreto 1730 de 2001</w:t>
      </w:r>
      <w:r w:rsidR="00644150">
        <w:rPr>
          <w:sz w:val="24"/>
          <w:szCs w:val="24"/>
        </w:rPr>
        <w:t xml:space="preserve"> fueron leídos irrazonablemente, pues de estos se desprende que el PPC le ha debido ser calculado en un diez por ciento (10%) y no en un </w:t>
      </w:r>
      <w:r w:rsidR="00644150" w:rsidRPr="00644150">
        <w:rPr>
          <w:sz w:val="24"/>
          <w:szCs w:val="24"/>
        </w:rPr>
        <w:t>dos coma veintisiete por ciento (2,27%)</w:t>
      </w:r>
      <w:r w:rsidR="00644150">
        <w:rPr>
          <w:sz w:val="24"/>
          <w:szCs w:val="24"/>
        </w:rPr>
        <w:t>.</w:t>
      </w:r>
      <w:r w:rsidR="00DF5918">
        <w:rPr>
          <w:sz w:val="24"/>
          <w:szCs w:val="24"/>
        </w:rPr>
        <w:t xml:space="preserve"> En concreto, </w:t>
      </w:r>
      <w:r w:rsidR="002D7204">
        <w:rPr>
          <w:sz w:val="24"/>
          <w:szCs w:val="24"/>
        </w:rPr>
        <w:t>especificó</w:t>
      </w:r>
      <w:r w:rsidR="00F720F9">
        <w:rPr>
          <w:sz w:val="24"/>
          <w:szCs w:val="24"/>
        </w:rPr>
        <w:t xml:space="preserve"> que</w:t>
      </w:r>
      <w:r w:rsidR="002D7204">
        <w:rPr>
          <w:sz w:val="24"/>
          <w:szCs w:val="24"/>
        </w:rPr>
        <w:t xml:space="preserve"> </w:t>
      </w:r>
      <w:r w:rsidR="00DF5918">
        <w:rPr>
          <w:sz w:val="24"/>
          <w:szCs w:val="24"/>
        </w:rPr>
        <w:t>así lo dice el inciso primero del citado artículo 20 de la Ley 100.</w:t>
      </w:r>
    </w:p>
    <w:p w14:paraId="5FDC0C77" w14:textId="77777777" w:rsidR="00644150" w:rsidRDefault="00644150" w:rsidP="00644150">
      <w:pPr>
        <w:overflowPunct w:val="0"/>
        <w:autoSpaceDE w:val="0"/>
        <w:autoSpaceDN w:val="0"/>
        <w:adjustRightInd w:val="0"/>
        <w:spacing w:line="276" w:lineRule="auto"/>
        <w:contextualSpacing/>
        <w:rPr>
          <w:sz w:val="24"/>
          <w:szCs w:val="24"/>
        </w:rPr>
      </w:pPr>
    </w:p>
    <w:p w14:paraId="367FB513" w14:textId="35A05BD8" w:rsidR="00644150" w:rsidRPr="00FA1629" w:rsidRDefault="00644150" w:rsidP="00B46165">
      <w:pPr>
        <w:numPr>
          <w:ilvl w:val="1"/>
          <w:numId w:val="3"/>
        </w:numPr>
        <w:overflowPunct w:val="0"/>
        <w:autoSpaceDE w:val="0"/>
        <w:autoSpaceDN w:val="0"/>
        <w:adjustRightInd w:val="0"/>
        <w:spacing w:line="276" w:lineRule="auto"/>
        <w:ind w:left="0" w:firstLine="0"/>
        <w:contextualSpacing/>
        <w:rPr>
          <w:sz w:val="24"/>
          <w:szCs w:val="24"/>
        </w:rPr>
      </w:pPr>
      <w:r>
        <w:rPr>
          <w:sz w:val="24"/>
          <w:szCs w:val="24"/>
        </w:rPr>
        <w:t xml:space="preserve">Según la solicitante, </w:t>
      </w:r>
      <w:r w:rsidR="001A4ABE">
        <w:rPr>
          <w:sz w:val="24"/>
          <w:szCs w:val="24"/>
        </w:rPr>
        <w:t>la</w:t>
      </w:r>
      <w:r>
        <w:rPr>
          <w:sz w:val="24"/>
          <w:szCs w:val="24"/>
        </w:rPr>
        <w:t xml:space="preserve"> decisi</w:t>
      </w:r>
      <w:r w:rsidR="00563E04">
        <w:rPr>
          <w:sz w:val="24"/>
          <w:szCs w:val="24"/>
        </w:rPr>
        <w:t>ón de segunda instancia</w:t>
      </w:r>
      <w:r>
        <w:rPr>
          <w:sz w:val="24"/>
          <w:szCs w:val="24"/>
        </w:rPr>
        <w:t xml:space="preserve"> </w:t>
      </w:r>
      <w:r w:rsidR="001A4ABE">
        <w:rPr>
          <w:sz w:val="24"/>
          <w:szCs w:val="24"/>
        </w:rPr>
        <w:t xml:space="preserve">censurada </w:t>
      </w:r>
      <w:r>
        <w:rPr>
          <w:sz w:val="24"/>
          <w:szCs w:val="24"/>
        </w:rPr>
        <w:t>desconoci</w:t>
      </w:r>
      <w:r w:rsidR="00563E04">
        <w:rPr>
          <w:sz w:val="24"/>
          <w:szCs w:val="24"/>
        </w:rPr>
        <w:t>ó</w:t>
      </w:r>
      <w:r>
        <w:rPr>
          <w:sz w:val="24"/>
          <w:szCs w:val="24"/>
        </w:rPr>
        <w:t xml:space="preserve"> su derecho a la </w:t>
      </w:r>
      <w:r w:rsidRPr="00187E48">
        <w:rPr>
          <w:b/>
          <w:bCs/>
          <w:sz w:val="24"/>
          <w:szCs w:val="24"/>
        </w:rPr>
        <w:t>igualdad de trato</w:t>
      </w:r>
      <w:r>
        <w:rPr>
          <w:sz w:val="24"/>
          <w:szCs w:val="24"/>
        </w:rPr>
        <w:t xml:space="preserve">. </w:t>
      </w:r>
      <w:r w:rsidR="001A4ABE">
        <w:rPr>
          <w:sz w:val="24"/>
          <w:szCs w:val="24"/>
        </w:rPr>
        <w:t>Sobre el</w:t>
      </w:r>
      <w:r w:rsidR="002D7204">
        <w:rPr>
          <w:sz w:val="24"/>
          <w:szCs w:val="24"/>
        </w:rPr>
        <w:t xml:space="preserve"> </w:t>
      </w:r>
      <w:r w:rsidR="001A4ABE">
        <w:rPr>
          <w:sz w:val="24"/>
          <w:szCs w:val="24"/>
        </w:rPr>
        <w:t>punto</w:t>
      </w:r>
      <w:r>
        <w:rPr>
          <w:sz w:val="24"/>
          <w:szCs w:val="24"/>
        </w:rPr>
        <w:t xml:space="preserve">, citó </w:t>
      </w:r>
      <w:r w:rsidR="00563E04">
        <w:rPr>
          <w:sz w:val="24"/>
          <w:szCs w:val="24"/>
        </w:rPr>
        <w:t>el fallo</w:t>
      </w:r>
      <w:r>
        <w:rPr>
          <w:sz w:val="24"/>
          <w:szCs w:val="24"/>
        </w:rPr>
        <w:t xml:space="preserve"> del 15 de septiembre de 2020, por </w:t>
      </w:r>
      <w:r w:rsidR="00F720F9">
        <w:rPr>
          <w:sz w:val="24"/>
          <w:szCs w:val="24"/>
        </w:rPr>
        <w:t>el</w:t>
      </w:r>
      <w:r>
        <w:rPr>
          <w:sz w:val="24"/>
          <w:szCs w:val="24"/>
        </w:rPr>
        <w:t xml:space="preserve"> cual el </w:t>
      </w:r>
      <w:r w:rsidRPr="00644150">
        <w:rPr>
          <w:sz w:val="24"/>
          <w:szCs w:val="24"/>
        </w:rPr>
        <w:t xml:space="preserve">Tribunal Administrativo del Huila </w:t>
      </w:r>
      <w:r>
        <w:rPr>
          <w:sz w:val="24"/>
          <w:szCs w:val="24"/>
        </w:rPr>
        <w:t xml:space="preserve">resolvió en segunda instancia el medio de control </w:t>
      </w:r>
      <w:r w:rsidR="00882A71">
        <w:rPr>
          <w:sz w:val="24"/>
          <w:szCs w:val="24"/>
        </w:rPr>
        <w:t xml:space="preserve">de nulidad y restablecimiento del derecho identificado con el n.° único de radicación </w:t>
      </w:r>
      <w:r w:rsidR="00882A71" w:rsidRPr="00882A71">
        <w:rPr>
          <w:sz w:val="24"/>
          <w:szCs w:val="24"/>
        </w:rPr>
        <w:t>41001</w:t>
      </w:r>
      <w:r w:rsidR="00882A71">
        <w:rPr>
          <w:sz w:val="24"/>
          <w:szCs w:val="24"/>
        </w:rPr>
        <w:t>-</w:t>
      </w:r>
      <w:r w:rsidR="00882A71" w:rsidRPr="00882A71">
        <w:rPr>
          <w:sz w:val="24"/>
          <w:szCs w:val="24"/>
        </w:rPr>
        <w:t>33</w:t>
      </w:r>
      <w:r w:rsidR="00882A71">
        <w:rPr>
          <w:sz w:val="24"/>
          <w:szCs w:val="24"/>
        </w:rPr>
        <w:t>-</w:t>
      </w:r>
      <w:r w:rsidR="00882A71" w:rsidRPr="00882A71">
        <w:rPr>
          <w:sz w:val="24"/>
          <w:szCs w:val="24"/>
        </w:rPr>
        <w:t>33</w:t>
      </w:r>
      <w:r w:rsidR="00882A71">
        <w:rPr>
          <w:sz w:val="24"/>
          <w:szCs w:val="24"/>
        </w:rPr>
        <w:t>-</w:t>
      </w:r>
      <w:r w:rsidR="00882A71" w:rsidRPr="00882A71">
        <w:rPr>
          <w:sz w:val="24"/>
          <w:szCs w:val="24"/>
        </w:rPr>
        <w:t>002</w:t>
      </w:r>
      <w:r w:rsidR="00882A71">
        <w:rPr>
          <w:sz w:val="24"/>
          <w:szCs w:val="24"/>
        </w:rPr>
        <w:t>-</w:t>
      </w:r>
      <w:r w:rsidR="00882A71" w:rsidRPr="00882A71">
        <w:rPr>
          <w:sz w:val="24"/>
          <w:szCs w:val="24"/>
        </w:rPr>
        <w:t>2015</w:t>
      </w:r>
      <w:r w:rsidR="00882A71">
        <w:rPr>
          <w:sz w:val="24"/>
          <w:szCs w:val="24"/>
        </w:rPr>
        <w:t>-</w:t>
      </w:r>
      <w:r w:rsidR="00882A71" w:rsidRPr="00882A71">
        <w:rPr>
          <w:sz w:val="24"/>
          <w:szCs w:val="24"/>
        </w:rPr>
        <w:t>00113</w:t>
      </w:r>
      <w:r w:rsidR="00882A71">
        <w:rPr>
          <w:sz w:val="24"/>
          <w:szCs w:val="24"/>
        </w:rPr>
        <w:t>-</w:t>
      </w:r>
      <w:r w:rsidR="00882A71" w:rsidRPr="00882A71">
        <w:rPr>
          <w:sz w:val="24"/>
          <w:szCs w:val="24"/>
        </w:rPr>
        <w:t>01</w:t>
      </w:r>
      <w:r w:rsidR="00882A71">
        <w:rPr>
          <w:sz w:val="24"/>
          <w:szCs w:val="24"/>
        </w:rPr>
        <w:t xml:space="preserve">. Para ese caso, el referido </w:t>
      </w:r>
      <w:r w:rsidR="00C45BDF">
        <w:rPr>
          <w:sz w:val="24"/>
          <w:szCs w:val="24"/>
        </w:rPr>
        <w:t>tribunal</w:t>
      </w:r>
      <w:r w:rsidR="00882A71">
        <w:rPr>
          <w:sz w:val="24"/>
          <w:szCs w:val="24"/>
        </w:rPr>
        <w:t xml:space="preserve"> ordenó que la indemnización sustitutiva que le fue concedida al allí demandante</w:t>
      </w:r>
      <w:r w:rsidR="0073489D">
        <w:rPr>
          <w:rStyle w:val="Refdenotaalpie"/>
          <w:sz w:val="24"/>
          <w:szCs w:val="24"/>
        </w:rPr>
        <w:footnoteReference w:id="20"/>
      </w:r>
      <w:r w:rsidR="00882A71">
        <w:rPr>
          <w:sz w:val="24"/>
          <w:szCs w:val="24"/>
        </w:rPr>
        <w:t xml:space="preserve"> se liquidara con base en un PPC equivalente al diez por ciento (10%). En su criterio, </w:t>
      </w:r>
      <w:r w:rsidR="001A4ABE">
        <w:rPr>
          <w:sz w:val="24"/>
          <w:szCs w:val="24"/>
        </w:rPr>
        <w:t xml:space="preserve">no existe razón para que, en el proceso de su interés, se haya aplicado de forma distinta la fórmula preceptuada en el artículo 3.° del Decreto 1730 de 2001. Ello, continuó, </w:t>
      </w:r>
      <w:r w:rsidR="00CD2FD0" w:rsidRPr="00187E48">
        <w:rPr>
          <w:b/>
          <w:bCs/>
          <w:sz w:val="24"/>
          <w:szCs w:val="24"/>
        </w:rPr>
        <w:t>inobserva el precedente horizontal</w:t>
      </w:r>
      <w:r w:rsidR="001A4ABE">
        <w:rPr>
          <w:sz w:val="24"/>
          <w:szCs w:val="24"/>
        </w:rPr>
        <w:t>, pues se trata de la misma prestación económica, el mismo régimen, la misma demandada y hechos comparables entre sí.</w:t>
      </w:r>
    </w:p>
    <w:p w14:paraId="729AA432" w14:textId="77777777" w:rsidR="00870E37" w:rsidRPr="00FA1629" w:rsidRDefault="00870E37" w:rsidP="00FA1629">
      <w:pPr>
        <w:pStyle w:val="Prrafodelista"/>
        <w:overflowPunct w:val="0"/>
        <w:autoSpaceDE w:val="0"/>
        <w:autoSpaceDN w:val="0"/>
        <w:adjustRightInd w:val="0"/>
        <w:spacing w:line="276" w:lineRule="auto"/>
        <w:ind w:left="0"/>
        <w:rPr>
          <w:sz w:val="24"/>
          <w:szCs w:val="24"/>
        </w:rPr>
      </w:pPr>
    </w:p>
    <w:p w14:paraId="6E13F4BD" w14:textId="77777777" w:rsidR="000C5DB7" w:rsidRPr="00FA1629" w:rsidRDefault="00E800E8" w:rsidP="00FA1629">
      <w:pPr>
        <w:numPr>
          <w:ilvl w:val="0"/>
          <w:numId w:val="3"/>
        </w:numPr>
        <w:overflowPunct w:val="0"/>
        <w:autoSpaceDE w:val="0"/>
        <w:autoSpaceDN w:val="0"/>
        <w:adjustRightInd w:val="0"/>
        <w:spacing w:line="276" w:lineRule="auto"/>
        <w:ind w:left="0" w:firstLine="0"/>
        <w:contextualSpacing/>
        <w:rPr>
          <w:rFonts w:eastAsia="Times New Roman"/>
          <w:b/>
          <w:sz w:val="24"/>
          <w:szCs w:val="24"/>
          <w:lang w:eastAsia="es-ES"/>
        </w:rPr>
      </w:pPr>
      <w:r w:rsidRPr="00FA1629">
        <w:rPr>
          <w:b/>
          <w:sz w:val="24"/>
          <w:szCs w:val="24"/>
        </w:rPr>
        <w:t>Trámite</w:t>
      </w:r>
      <w:r w:rsidR="00166AF6" w:rsidRPr="00FA1629">
        <w:rPr>
          <w:b/>
          <w:sz w:val="24"/>
          <w:szCs w:val="24"/>
        </w:rPr>
        <w:t xml:space="preserve"> de tutela e intervenciones  </w:t>
      </w:r>
    </w:p>
    <w:p w14:paraId="0EA0EF99" w14:textId="77777777" w:rsidR="000C5DB7" w:rsidRPr="00FA1629" w:rsidRDefault="000C5DB7" w:rsidP="00FA1629">
      <w:pPr>
        <w:overflowPunct w:val="0"/>
        <w:autoSpaceDE w:val="0"/>
        <w:autoSpaceDN w:val="0"/>
        <w:adjustRightInd w:val="0"/>
        <w:spacing w:line="276" w:lineRule="auto"/>
        <w:contextualSpacing/>
        <w:rPr>
          <w:b/>
          <w:sz w:val="24"/>
          <w:szCs w:val="24"/>
        </w:rPr>
      </w:pPr>
    </w:p>
    <w:p w14:paraId="5FB229BD" w14:textId="158686AE" w:rsidR="00E57BB4" w:rsidRPr="00FA1629" w:rsidRDefault="00261359" w:rsidP="00FA1629">
      <w:pPr>
        <w:pStyle w:val="Prrafodelista"/>
        <w:numPr>
          <w:ilvl w:val="1"/>
          <w:numId w:val="3"/>
        </w:numPr>
        <w:overflowPunct w:val="0"/>
        <w:autoSpaceDE w:val="0"/>
        <w:autoSpaceDN w:val="0"/>
        <w:adjustRightInd w:val="0"/>
        <w:spacing w:line="276" w:lineRule="auto"/>
        <w:ind w:left="0" w:firstLine="0"/>
        <w:rPr>
          <w:rFonts w:eastAsia="Verdana"/>
          <w:sz w:val="24"/>
          <w:szCs w:val="24"/>
        </w:rPr>
      </w:pPr>
      <w:r w:rsidRPr="00FA1629">
        <w:rPr>
          <w:rFonts w:eastAsia="Verdana"/>
          <w:sz w:val="24"/>
          <w:szCs w:val="24"/>
        </w:rPr>
        <w:t xml:space="preserve">El despacho sustanciador, mediante auto proferido el </w:t>
      </w:r>
      <w:r w:rsidR="008B721A" w:rsidRPr="00FA1629">
        <w:rPr>
          <w:color w:val="000000"/>
          <w:sz w:val="24"/>
          <w:szCs w:val="24"/>
          <w:lang w:eastAsia="en-US"/>
        </w:rPr>
        <w:t>1</w:t>
      </w:r>
      <w:r w:rsidR="00DF5918">
        <w:rPr>
          <w:color w:val="000000"/>
          <w:sz w:val="24"/>
          <w:szCs w:val="24"/>
          <w:lang w:eastAsia="en-US"/>
        </w:rPr>
        <w:t>3</w:t>
      </w:r>
      <w:r w:rsidR="0017431B" w:rsidRPr="00FA1629">
        <w:rPr>
          <w:color w:val="000000"/>
          <w:sz w:val="24"/>
          <w:szCs w:val="24"/>
          <w:lang w:eastAsia="en-US"/>
        </w:rPr>
        <w:t xml:space="preserve"> </w:t>
      </w:r>
      <w:r w:rsidR="00563912" w:rsidRPr="00FA1629">
        <w:rPr>
          <w:color w:val="000000"/>
          <w:sz w:val="24"/>
          <w:szCs w:val="24"/>
          <w:lang w:eastAsia="en-US"/>
        </w:rPr>
        <w:t xml:space="preserve">de </w:t>
      </w:r>
      <w:r w:rsidR="00DF5918">
        <w:rPr>
          <w:color w:val="000000"/>
          <w:sz w:val="24"/>
          <w:szCs w:val="24"/>
          <w:lang w:eastAsia="en-US"/>
        </w:rPr>
        <w:t>abril</w:t>
      </w:r>
      <w:r w:rsidR="00563912" w:rsidRPr="00FA1629">
        <w:rPr>
          <w:color w:val="000000"/>
          <w:sz w:val="24"/>
          <w:szCs w:val="24"/>
          <w:lang w:eastAsia="en-US"/>
        </w:rPr>
        <w:t xml:space="preserve"> de </w:t>
      </w:r>
      <w:r w:rsidR="000813DB" w:rsidRPr="00FA1629">
        <w:rPr>
          <w:color w:val="000000"/>
          <w:sz w:val="24"/>
          <w:szCs w:val="24"/>
          <w:lang w:eastAsia="en-US"/>
        </w:rPr>
        <w:t>202</w:t>
      </w:r>
      <w:r w:rsidR="008B721A" w:rsidRPr="00FA1629">
        <w:rPr>
          <w:color w:val="000000"/>
          <w:sz w:val="24"/>
          <w:szCs w:val="24"/>
          <w:lang w:eastAsia="en-US"/>
        </w:rPr>
        <w:t>1</w:t>
      </w:r>
      <w:r w:rsidR="008B721A" w:rsidRPr="00FA1629">
        <w:rPr>
          <w:color w:val="000000"/>
          <w:sz w:val="24"/>
          <w:szCs w:val="24"/>
          <w:vertAlign w:val="superscript"/>
          <w:lang w:eastAsia="en-US"/>
        </w:rPr>
        <w:t>[</w:t>
      </w:r>
      <w:r w:rsidR="007046B1" w:rsidRPr="00FA1629">
        <w:rPr>
          <w:rStyle w:val="Refdenotaalpie"/>
          <w:color w:val="000000"/>
          <w:sz w:val="24"/>
          <w:szCs w:val="24"/>
          <w:lang w:eastAsia="en-US"/>
        </w:rPr>
        <w:footnoteReference w:id="21"/>
      </w:r>
      <w:r w:rsidR="008B721A" w:rsidRPr="00FA1629">
        <w:rPr>
          <w:color w:val="000000"/>
          <w:sz w:val="24"/>
          <w:szCs w:val="24"/>
          <w:vertAlign w:val="superscript"/>
          <w:lang w:eastAsia="en-US"/>
        </w:rPr>
        <w:t>]</w:t>
      </w:r>
      <w:r w:rsidRPr="00FA1629">
        <w:rPr>
          <w:rFonts w:eastAsia="Verdana"/>
          <w:sz w:val="24"/>
          <w:szCs w:val="24"/>
        </w:rPr>
        <w:t xml:space="preserve">, admitió la </w:t>
      </w:r>
      <w:r w:rsidR="00563912" w:rsidRPr="00FA1629">
        <w:rPr>
          <w:rFonts w:eastAsia="Verdana"/>
          <w:sz w:val="24"/>
          <w:szCs w:val="24"/>
        </w:rPr>
        <w:t>solicitud de tutela</w:t>
      </w:r>
      <w:r w:rsidR="00193204" w:rsidRPr="00FA1629">
        <w:rPr>
          <w:rFonts w:eastAsia="Verdana"/>
          <w:sz w:val="24"/>
          <w:szCs w:val="24"/>
        </w:rPr>
        <w:t>.</w:t>
      </w:r>
      <w:r w:rsidR="0017431B" w:rsidRPr="00FA1629">
        <w:rPr>
          <w:rFonts w:eastAsia="Verdana"/>
          <w:sz w:val="24"/>
          <w:szCs w:val="24"/>
        </w:rPr>
        <w:t xml:space="preserve"> </w:t>
      </w:r>
      <w:r w:rsidR="00A77310" w:rsidRPr="00FA1629">
        <w:rPr>
          <w:rFonts w:eastAsia="Verdana"/>
          <w:sz w:val="24"/>
          <w:szCs w:val="24"/>
        </w:rPr>
        <w:t>Además</w:t>
      </w:r>
      <w:r w:rsidR="0017431B" w:rsidRPr="00FA1629">
        <w:rPr>
          <w:rFonts w:eastAsia="Verdana"/>
          <w:sz w:val="24"/>
          <w:szCs w:val="24"/>
        </w:rPr>
        <w:t xml:space="preserve">, </w:t>
      </w:r>
      <w:r w:rsidR="00B04958">
        <w:rPr>
          <w:rFonts w:eastAsia="Verdana"/>
          <w:sz w:val="24"/>
          <w:szCs w:val="24"/>
        </w:rPr>
        <w:t>vinculó a quienes hubieran actuado en calidad de terceros interesados dentro del proceso ordinario individualizado arriba</w:t>
      </w:r>
      <w:r w:rsidR="00650DE8" w:rsidRPr="00FA1629">
        <w:rPr>
          <w:rFonts w:eastAsia="Verdana"/>
          <w:sz w:val="24"/>
          <w:szCs w:val="24"/>
        </w:rPr>
        <w:t>.</w:t>
      </w:r>
    </w:p>
    <w:p w14:paraId="57D783C8" w14:textId="77777777" w:rsidR="00B04958" w:rsidRPr="006F3464" w:rsidRDefault="00B04958" w:rsidP="006F3464">
      <w:pPr>
        <w:rPr>
          <w:rFonts w:eastAsia="Verdana"/>
          <w:sz w:val="24"/>
          <w:szCs w:val="24"/>
        </w:rPr>
      </w:pPr>
    </w:p>
    <w:p w14:paraId="2D5287C7" w14:textId="2AD2E152" w:rsidR="00BA6DF5" w:rsidRDefault="00D00ACB" w:rsidP="00FA1629">
      <w:pPr>
        <w:pStyle w:val="Prrafodelista"/>
        <w:numPr>
          <w:ilvl w:val="1"/>
          <w:numId w:val="3"/>
        </w:numPr>
        <w:overflowPunct w:val="0"/>
        <w:autoSpaceDE w:val="0"/>
        <w:autoSpaceDN w:val="0"/>
        <w:adjustRightInd w:val="0"/>
        <w:spacing w:line="276" w:lineRule="auto"/>
        <w:ind w:left="0" w:firstLine="0"/>
        <w:rPr>
          <w:rFonts w:eastAsia="Verdana"/>
          <w:sz w:val="24"/>
          <w:szCs w:val="24"/>
        </w:rPr>
      </w:pPr>
      <w:r w:rsidRPr="00FA1629">
        <w:rPr>
          <w:rFonts w:eastAsia="Verdana"/>
          <w:sz w:val="24"/>
          <w:szCs w:val="24"/>
        </w:rPr>
        <w:t>El</w:t>
      </w:r>
      <w:r w:rsidR="004D2B8C" w:rsidRPr="00FA1629">
        <w:rPr>
          <w:rFonts w:eastAsia="Verdana"/>
          <w:sz w:val="24"/>
          <w:szCs w:val="24"/>
        </w:rPr>
        <w:t xml:space="preserve"> </w:t>
      </w:r>
      <w:r w:rsidRPr="00FA1629">
        <w:rPr>
          <w:rFonts w:eastAsia="Verdana"/>
          <w:b/>
          <w:bCs/>
          <w:sz w:val="24"/>
          <w:szCs w:val="24"/>
        </w:rPr>
        <w:t xml:space="preserve">Tribunal Administrativo </w:t>
      </w:r>
      <w:r w:rsidR="00525602" w:rsidRPr="00FA1629">
        <w:rPr>
          <w:rFonts w:eastAsia="Verdana"/>
          <w:b/>
          <w:bCs/>
          <w:sz w:val="24"/>
          <w:szCs w:val="24"/>
        </w:rPr>
        <w:t>de</w:t>
      </w:r>
      <w:r w:rsidR="00B04958">
        <w:rPr>
          <w:rFonts w:eastAsia="Verdana"/>
          <w:b/>
          <w:bCs/>
          <w:sz w:val="24"/>
          <w:szCs w:val="24"/>
        </w:rPr>
        <w:t xml:space="preserve">l Caquetá </w:t>
      </w:r>
      <w:r w:rsidR="006F3464">
        <w:rPr>
          <w:rFonts w:eastAsia="Verdana"/>
          <w:sz w:val="24"/>
          <w:szCs w:val="24"/>
        </w:rPr>
        <w:t>remitió</w:t>
      </w:r>
      <w:r w:rsidR="006F3464">
        <w:rPr>
          <w:rStyle w:val="Refdenotaalpie"/>
          <w:rFonts w:eastAsia="Verdana"/>
          <w:sz w:val="24"/>
          <w:szCs w:val="24"/>
        </w:rPr>
        <w:footnoteReference w:id="22"/>
      </w:r>
      <w:r w:rsidR="006F3464">
        <w:rPr>
          <w:rFonts w:eastAsia="Verdana"/>
          <w:sz w:val="24"/>
          <w:szCs w:val="24"/>
        </w:rPr>
        <w:t xml:space="preserve"> la actuación al </w:t>
      </w:r>
      <w:r w:rsidR="006F3464" w:rsidRPr="006F3464">
        <w:rPr>
          <w:rFonts w:eastAsia="Verdana"/>
          <w:sz w:val="24"/>
          <w:szCs w:val="24"/>
        </w:rPr>
        <w:t>Juzgado Cuarto Administrativo del Circuito de Florencia</w:t>
      </w:r>
      <w:r w:rsidR="006F3464">
        <w:rPr>
          <w:rFonts w:eastAsia="Verdana"/>
          <w:sz w:val="24"/>
          <w:szCs w:val="24"/>
        </w:rPr>
        <w:t xml:space="preserve"> para que este se pronunciara</w:t>
      </w:r>
      <w:r w:rsidR="00B04958">
        <w:rPr>
          <w:rFonts w:eastAsia="Verdana"/>
          <w:sz w:val="24"/>
          <w:szCs w:val="24"/>
        </w:rPr>
        <w:t>.</w:t>
      </w:r>
    </w:p>
    <w:p w14:paraId="771ADBC1" w14:textId="77777777" w:rsidR="006F3464" w:rsidRPr="00FA1629" w:rsidRDefault="006F3464" w:rsidP="006F3464">
      <w:pPr>
        <w:pStyle w:val="Prrafodelista"/>
        <w:overflowPunct w:val="0"/>
        <w:autoSpaceDE w:val="0"/>
        <w:autoSpaceDN w:val="0"/>
        <w:adjustRightInd w:val="0"/>
        <w:spacing w:line="276" w:lineRule="auto"/>
        <w:ind w:left="0"/>
        <w:rPr>
          <w:rFonts w:eastAsia="Verdana"/>
          <w:sz w:val="24"/>
          <w:szCs w:val="24"/>
        </w:rPr>
      </w:pPr>
    </w:p>
    <w:p w14:paraId="752427C4" w14:textId="40ECBCAF" w:rsidR="006F3464" w:rsidRDefault="006F3464" w:rsidP="006F3464">
      <w:pPr>
        <w:pStyle w:val="Prrafodelista"/>
        <w:numPr>
          <w:ilvl w:val="1"/>
          <w:numId w:val="3"/>
        </w:numPr>
        <w:overflowPunct w:val="0"/>
        <w:autoSpaceDE w:val="0"/>
        <w:autoSpaceDN w:val="0"/>
        <w:adjustRightInd w:val="0"/>
        <w:spacing w:line="276" w:lineRule="auto"/>
        <w:ind w:left="0" w:firstLine="0"/>
        <w:rPr>
          <w:rFonts w:eastAsia="Verdana"/>
          <w:sz w:val="24"/>
          <w:szCs w:val="24"/>
        </w:rPr>
      </w:pPr>
      <w:r>
        <w:rPr>
          <w:rFonts w:eastAsia="Verdana"/>
          <w:sz w:val="24"/>
          <w:szCs w:val="24"/>
        </w:rPr>
        <w:t xml:space="preserve">El </w:t>
      </w:r>
      <w:r>
        <w:rPr>
          <w:rFonts w:eastAsia="Verdana"/>
          <w:b/>
          <w:bCs/>
          <w:sz w:val="24"/>
          <w:szCs w:val="24"/>
        </w:rPr>
        <w:t>Juzgado Cuarto Administrativo del Circuito de Florencia</w:t>
      </w:r>
      <w:r>
        <w:rPr>
          <w:rFonts w:eastAsia="Verdana"/>
          <w:sz w:val="24"/>
          <w:szCs w:val="24"/>
        </w:rPr>
        <w:t xml:space="preserve"> allegó</w:t>
      </w:r>
      <w:r>
        <w:rPr>
          <w:rStyle w:val="Refdenotaalpie"/>
          <w:rFonts w:eastAsia="Verdana"/>
          <w:sz w:val="24"/>
          <w:szCs w:val="24"/>
        </w:rPr>
        <w:footnoteReference w:id="23"/>
      </w:r>
      <w:r>
        <w:rPr>
          <w:rFonts w:eastAsia="Verdana"/>
          <w:sz w:val="24"/>
          <w:szCs w:val="24"/>
        </w:rPr>
        <w:t xml:space="preserve"> a este proceso el expediente</w:t>
      </w:r>
      <w:r>
        <w:rPr>
          <w:rStyle w:val="Refdenotaalpie"/>
          <w:rFonts w:eastAsia="Verdana"/>
          <w:sz w:val="24"/>
          <w:szCs w:val="24"/>
        </w:rPr>
        <w:footnoteReference w:id="24"/>
      </w:r>
      <w:r>
        <w:rPr>
          <w:rFonts w:eastAsia="Verdana"/>
          <w:sz w:val="24"/>
          <w:szCs w:val="24"/>
        </w:rPr>
        <w:t xml:space="preserve"> contentivo del medio de control ordinario ya identificado.</w:t>
      </w:r>
    </w:p>
    <w:p w14:paraId="74895D4F" w14:textId="77777777" w:rsidR="006F3464" w:rsidRPr="00F720F9" w:rsidRDefault="006F3464" w:rsidP="00F720F9">
      <w:pPr>
        <w:rPr>
          <w:rFonts w:eastAsia="Verdana"/>
          <w:sz w:val="24"/>
          <w:szCs w:val="24"/>
        </w:rPr>
      </w:pPr>
    </w:p>
    <w:p w14:paraId="65F148F9" w14:textId="452F4904" w:rsidR="006F3464" w:rsidRDefault="006F3464" w:rsidP="006F3464">
      <w:pPr>
        <w:pStyle w:val="Prrafodelista"/>
        <w:numPr>
          <w:ilvl w:val="1"/>
          <w:numId w:val="3"/>
        </w:numPr>
        <w:overflowPunct w:val="0"/>
        <w:autoSpaceDE w:val="0"/>
        <w:autoSpaceDN w:val="0"/>
        <w:adjustRightInd w:val="0"/>
        <w:spacing w:line="276" w:lineRule="auto"/>
        <w:ind w:left="0" w:firstLine="0"/>
        <w:rPr>
          <w:rFonts w:eastAsia="Verdana"/>
          <w:sz w:val="24"/>
          <w:szCs w:val="24"/>
        </w:rPr>
      </w:pPr>
      <w:r>
        <w:rPr>
          <w:rFonts w:eastAsia="Verdana"/>
          <w:sz w:val="24"/>
          <w:szCs w:val="24"/>
        </w:rPr>
        <w:t xml:space="preserve">La </w:t>
      </w:r>
      <w:r w:rsidRPr="006F3464">
        <w:rPr>
          <w:rFonts w:eastAsia="Verdana"/>
          <w:b/>
          <w:bCs/>
          <w:sz w:val="24"/>
          <w:szCs w:val="24"/>
        </w:rPr>
        <w:t>UGPP</w:t>
      </w:r>
      <w:r>
        <w:rPr>
          <w:rFonts w:eastAsia="Verdana"/>
          <w:sz w:val="24"/>
          <w:szCs w:val="24"/>
        </w:rPr>
        <w:t xml:space="preserve"> consideró que el </w:t>
      </w:r>
      <w:r w:rsidR="00893B03">
        <w:rPr>
          <w:rFonts w:eastAsia="Verdana"/>
          <w:sz w:val="24"/>
          <w:szCs w:val="24"/>
        </w:rPr>
        <w:t>fin</w:t>
      </w:r>
      <w:r>
        <w:rPr>
          <w:rFonts w:eastAsia="Verdana"/>
          <w:sz w:val="24"/>
          <w:szCs w:val="24"/>
        </w:rPr>
        <w:t xml:space="preserve"> de la actora es que este fallador revise </w:t>
      </w:r>
      <w:r w:rsidR="00893B03">
        <w:rPr>
          <w:rFonts w:eastAsia="Verdana"/>
          <w:sz w:val="24"/>
          <w:szCs w:val="24"/>
        </w:rPr>
        <w:t>un asunto</w:t>
      </w:r>
      <w:r>
        <w:rPr>
          <w:rFonts w:eastAsia="Verdana"/>
          <w:sz w:val="24"/>
          <w:szCs w:val="24"/>
        </w:rPr>
        <w:t xml:space="preserve"> ya concluid</w:t>
      </w:r>
      <w:r w:rsidR="00893B03">
        <w:rPr>
          <w:rFonts w:eastAsia="Verdana"/>
          <w:sz w:val="24"/>
          <w:szCs w:val="24"/>
        </w:rPr>
        <w:t>o</w:t>
      </w:r>
      <w:r>
        <w:rPr>
          <w:rFonts w:eastAsia="Verdana"/>
          <w:sz w:val="24"/>
          <w:szCs w:val="24"/>
        </w:rPr>
        <w:t xml:space="preserve">. </w:t>
      </w:r>
      <w:r w:rsidR="00F228D2">
        <w:rPr>
          <w:rFonts w:eastAsia="Verdana"/>
          <w:sz w:val="24"/>
          <w:szCs w:val="24"/>
        </w:rPr>
        <w:t>Además</w:t>
      </w:r>
      <w:r>
        <w:rPr>
          <w:rFonts w:eastAsia="Verdana"/>
          <w:sz w:val="24"/>
          <w:szCs w:val="24"/>
        </w:rPr>
        <w:t xml:space="preserve">, acotó que, tanto en sede administrativa como judicial, se mostró que el PPC objeto de controversia fue calculado </w:t>
      </w:r>
      <w:r w:rsidR="00011282">
        <w:rPr>
          <w:rFonts w:eastAsia="Verdana"/>
          <w:sz w:val="24"/>
          <w:szCs w:val="24"/>
        </w:rPr>
        <w:t xml:space="preserve">correctamente. En concreto, </w:t>
      </w:r>
      <w:r w:rsidR="00893B03">
        <w:rPr>
          <w:rFonts w:eastAsia="Verdana"/>
          <w:sz w:val="24"/>
          <w:szCs w:val="24"/>
        </w:rPr>
        <w:t xml:space="preserve">adujo que partió de la base de que </w:t>
      </w:r>
      <w:r w:rsidR="00011282">
        <w:rPr>
          <w:rFonts w:eastAsia="Verdana"/>
          <w:sz w:val="24"/>
          <w:szCs w:val="24"/>
        </w:rPr>
        <w:t xml:space="preserve">a </w:t>
      </w:r>
      <w:r>
        <w:rPr>
          <w:rFonts w:eastAsia="Verdana"/>
          <w:sz w:val="24"/>
          <w:szCs w:val="24"/>
        </w:rPr>
        <w:t xml:space="preserve">la accionante </w:t>
      </w:r>
      <w:r w:rsidR="00011282">
        <w:rPr>
          <w:rFonts w:eastAsia="Verdana"/>
          <w:sz w:val="24"/>
          <w:szCs w:val="24"/>
        </w:rPr>
        <w:t>le fueron efectuados los descuentos por concepto de aportes</w:t>
      </w:r>
      <w:r w:rsidR="00893B03">
        <w:rPr>
          <w:rFonts w:eastAsia="Verdana"/>
          <w:sz w:val="24"/>
          <w:szCs w:val="24"/>
        </w:rPr>
        <w:t xml:space="preserve"> en un</w:t>
      </w:r>
      <w:r w:rsidR="00011282">
        <w:rPr>
          <w:rFonts w:eastAsia="Verdana"/>
          <w:sz w:val="24"/>
          <w:szCs w:val="24"/>
        </w:rPr>
        <w:t xml:space="preserve"> momento para el cual no estaba vigente la Ley 100 de 1993.</w:t>
      </w:r>
    </w:p>
    <w:p w14:paraId="795BBE4A" w14:textId="77777777" w:rsidR="004D2B8C" w:rsidRPr="00FA1629" w:rsidRDefault="004D2B8C" w:rsidP="00FA1629">
      <w:pPr>
        <w:overflowPunct w:val="0"/>
        <w:autoSpaceDE w:val="0"/>
        <w:autoSpaceDN w:val="0"/>
        <w:adjustRightInd w:val="0"/>
        <w:spacing w:line="276" w:lineRule="auto"/>
        <w:rPr>
          <w:rFonts w:eastAsia="Verdana"/>
          <w:sz w:val="24"/>
          <w:szCs w:val="24"/>
        </w:rPr>
      </w:pPr>
    </w:p>
    <w:p w14:paraId="3DA09BAF" w14:textId="77777777" w:rsidR="00155E78" w:rsidRPr="00FA1629" w:rsidRDefault="000C5DB7" w:rsidP="00FA1629">
      <w:pPr>
        <w:pStyle w:val="Ttulo1"/>
        <w:spacing w:before="0" w:after="0"/>
        <w:rPr>
          <w:rFonts w:cs="Arial"/>
          <w:kern w:val="0"/>
          <w:szCs w:val="24"/>
        </w:rPr>
      </w:pPr>
      <w:r w:rsidRPr="00FA1629">
        <w:rPr>
          <w:rFonts w:cs="Arial"/>
          <w:kern w:val="0"/>
          <w:szCs w:val="24"/>
        </w:rPr>
        <w:t>CONSIDERACIONES</w:t>
      </w:r>
    </w:p>
    <w:p w14:paraId="558155F9" w14:textId="77777777" w:rsidR="00E57BB4" w:rsidRPr="00FA1629" w:rsidRDefault="00E57BB4" w:rsidP="00FA1629">
      <w:pPr>
        <w:spacing w:line="276" w:lineRule="auto"/>
        <w:rPr>
          <w:sz w:val="24"/>
          <w:szCs w:val="24"/>
        </w:rPr>
      </w:pPr>
    </w:p>
    <w:p w14:paraId="5DCC23A5" w14:textId="77777777" w:rsidR="000C5DB7" w:rsidRPr="00FA1629" w:rsidRDefault="000C5DB7" w:rsidP="00FA1629">
      <w:pPr>
        <w:numPr>
          <w:ilvl w:val="0"/>
          <w:numId w:val="1"/>
        </w:numPr>
        <w:spacing w:line="276" w:lineRule="auto"/>
        <w:ind w:left="0" w:firstLine="0"/>
        <w:contextualSpacing/>
        <w:rPr>
          <w:b/>
          <w:sz w:val="24"/>
          <w:szCs w:val="24"/>
        </w:rPr>
      </w:pPr>
      <w:r w:rsidRPr="00FA1629">
        <w:rPr>
          <w:b/>
          <w:sz w:val="24"/>
          <w:szCs w:val="24"/>
        </w:rPr>
        <w:t>Competencia</w:t>
      </w:r>
    </w:p>
    <w:p w14:paraId="1B28E563" w14:textId="2F37B350" w:rsidR="000C7E44" w:rsidRPr="00FA1629" w:rsidRDefault="000C7E44" w:rsidP="00FA1629">
      <w:pPr>
        <w:overflowPunct w:val="0"/>
        <w:autoSpaceDE w:val="0"/>
        <w:autoSpaceDN w:val="0"/>
        <w:adjustRightInd w:val="0"/>
        <w:spacing w:line="276" w:lineRule="auto"/>
        <w:contextualSpacing/>
        <w:rPr>
          <w:rFonts w:eastAsia="Times New Roman"/>
          <w:sz w:val="24"/>
          <w:szCs w:val="24"/>
          <w:lang w:eastAsia="es-ES"/>
        </w:rPr>
      </w:pPr>
      <w:bookmarkStart w:id="2" w:name="_Hlk35352023"/>
    </w:p>
    <w:p w14:paraId="20683EF9" w14:textId="0C83A964" w:rsidR="00467AA9" w:rsidRDefault="00754BBE" w:rsidP="002949B2">
      <w:pPr>
        <w:overflowPunct w:val="0"/>
        <w:autoSpaceDE w:val="0"/>
        <w:autoSpaceDN w:val="0"/>
        <w:adjustRightInd w:val="0"/>
        <w:spacing w:line="276" w:lineRule="auto"/>
        <w:contextualSpacing/>
        <w:rPr>
          <w:rFonts w:eastAsia="Times New Roman"/>
          <w:sz w:val="24"/>
          <w:szCs w:val="24"/>
          <w:lang w:eastAsia="es-ES"/>
        </w:rPr>
      </w:pPr>
      <w:r w:rsidRPr="00FA1629">
        <w:rPr>
          <w:rFonts w:eastAsia="Times New Roman"/>
          <w:sz w:val="24"/>
          <w:szCs w:val="24"/>
          <w:lang w:eastAsia="es-ES"/>
        </w:rPr>
        <w:t xml:space="preserve">Esta Sala es competente para decidir la presente acción de tutela en virtud de lo establecido en el artículo 86 </w:t>
      </w:r>
      <w:r w:rsidR="006E1E45" w:rsidRPr="00FA1629">
        <w:rPr>
          <w:rFonts w:eastAsia="Times New Roman"/>
          <w:sz w:val="24"/>
          <w:szCs w:val="24"/>
          <w:lang w:eastAsia="es-ES"/>
        </w:rPr>
        <w:t>Superior</w:t>
      </w:r>
      <w:r w:rsidRPr="00FA1629">
        <w:rPr>
          <w:rFonts w:eastAsia="Times New Roman"/>
          <w:sz w:val="24"/>
          <w:szCs w:val="24"/>
          <w:lang w:eastAsia="es-ES"/>
        </w:rPr>
        <w:t xml:space="preserve">, el artículo 37 del Decreto 2591 de 1991, el Decreto 1069 de 2015, modificado por el Decreto </w:t>
      </w:r>
      <w:r w:rsidR="00093F01">
        <w:rPr>
          <w:rFonts w:eastAsia="Times New Roman"/>
          <w:sz w:val="24"/>
          <w:szCs w:val="24"/>
          <w:lang w:eastAsia="es-ES"/>
        </w:rPr>
        <w:t>333</w:t>
      </w:r>
      <w:r w:rsidRPr="00FA1629">
        <w:rPr>
          <w:rFonts w:eastAsia="Times New Roman"/>
          <w:sz w:val="24"/>
          <w:szCs w:val="24"/>
          <w:lang w:eastAsia="es-ES"/>
        </w:rPr>
        <w:t xml:space="preserve"> de 20</w:t>
      </w:r>
      <w:r w:rsidR="00093F01">
        <w:rPr>
          <w:rFonts w:eastAsia="Times New Roman"/>
          <w:sz w:val="24"/>
          <w:szCs w:val="24"/>
          <w:lang w:eastAsia="es-ES"/>
        </w:rPr>
        <w:t>2</w:t>
      </w:r>
      <w:r w:rsidRPr="00FA1629">
        <w:rPr>
          <w:rFonts w:eastAsia="Times New Roman"/>
          <w:sz w:val="24"/>
          <w:szCs w:val="24"/>
          <w:lang w:eastAsia="es-ES"/>
        </w:rPr>
        <w:t>1, y el Acuerdo 080 de</w:t>
      </w:r>
      <w:r w:rsidR="00A21377" w:rsidRPr="00FA1629">
        <w:rPr>
          <w:rFonts w:eastAsia="Times New Roman"/>
          <w:sz w:val="24"/>
          <w:szCs w:val="24"/>
          <w:lang w:eastAsia="es-ES"/>
        </w:rPr>
        <w:t>l</w:t>
      </w:r>
      <w:r w:rsidRPr="00FA1629">
        <w:rPr>
          <w:rFonts w:eastAsia="Times New Roman"/>
          <w:sz w:val="24"/>
          <w:szCs w:val="24"/>
          <w:lang w:eastAsia="es-ES"/>
        </w:rPr>
        <w:t xml:space="preserve"> 12 de marzo de 2019</w:t>
      </w:r>
      <w:r w:rsidR="00430BCE" w:rsidRPr="00FA1629">
        <w:rPr>
          <w:rFonts w:eastAsia="Times New Roman"/>
          <w:sz w:val="24"/>
          <w:szCs w:val="24"/>
          <w:lang w:eastAsia="es-ES"/>
        </w:rPr>
        <w:t>, expedido por la Sala Plena de esta Corporación</w:t>
      </w:r>
      <w:r w:rsidRPr="00FA1629">
        <w:rPr>
          <w:rStyle w:val="Refdenotaalpie"/>
          <w:rFonts w:eastAsia="Times New Roman"/>
          <w:sz w:val="24"/>
          <w:szCs w:val="24"/>
          <w:lang w:eastAsia="es-ES"/>
        </w:rPr>
        <w:footnoteReference w:id="25"/>
      </w:r>
      <w:r w:rsidRPr="00FA1629">
        <w:rPr>
          <w:rFonts w:eastAsia="Times New Roman"/>
          <w:sz w:val="24"/>
          <w:szCs w:val="24"/>
          <w:lang w:eastAsia="es-ES"/>
        </w:rPr>
        <w:t>.</w:t>
      </w:r>
      <w:bookmarkEnd w:id="2"/>
    </w:p>
    <w:p w14:paraId="3CD40F5F" w14:textId="77777777" w:rsidR="00D70B2A" w:rsidRPr="00D70B2A" w:rsidRDefault="00D70B2A" w:rsidP="00D70B2A">
      <w:pPr>
        <w:overflowPunct w:val="0"/>
        <w:autoSpaceDE w:val="0"/>
        <w:autoSpaceDN w:val="0"/>
        <w:adjustRightInd w:val="0"/>
        <w:spacing w:line="276" w:lineRule="auto"/>
        <w:contextualSpacing/>
        <w:rPr>
          <w:rFonts w:eastAsia="Times New Roman"/>
          <w:sz w:val="24"/>
          <w:szCs w:val="24"/>
          <w:lang w:eastAsia="es-ES"/>
        </w:rPr>
      </w:pPr>
    </w:p>
    <w:p w14:paraId="2E5E8B60" w14:textId="77777777" w:rsidR="00D70B2A" w:rsidRPr="00D70B2A" w:rsidRDefault="00D70B2A" w:rsidP="00D70B2A">
      <w:pPr>
        <w:numPr>
          <w:ilvl w:val="0"/>
          <w:numId w:val="1"/>
        </w:numPr>
        <w:spacing w:line="276" w:lineRule="auto"/>
        <w:ind w:left="0" w:firstLine="0"/>
        <w:contextualSpacing/>
        <w:rPr>
          <w:b/>
          <w:sz w:val="24"/>
          <w:szCs w:val="24"/>
        </w:rPr>
      </w:pPr>
      <w:r w:rsidRPr="00D70B2A">
        <w:rPr>
          <w:b/>
          <w:sz w:val="24"/>
          <w:szCs w:val="24"/>
        </w:rPr>
        <w:t>Procedibilidad de la acción</w:t>
      </w:r>
    </w:p>
    <w:p w14:paraId="7C15AFDF" w14:textId="77777777" w:rsidR="00D70B2A" w:rsidRPr="00D70B2A" w:rsidRDefault="00D70B2A" w:rsidP="00D70B2A">
      <w:pPr>
        <w:spacing w:line="276" w:lineRule="auto"/>
        <w:rPr>
          <w:b/>
          <w:sz w:val="24"/>
          <w:szCs w:val="24"/>
        </w:rPr>
      </w:pPr>
    </w:p>
    <w:p w14:paraId="67090195" w14:textId="526AD971" w:rsidR="00D70B2A" w:rsidRDefault="00D70B2A" w:rsidP="00D70B2A">
      <w:pPr>
        <w:spacing w:line="276" w:lineRule="auto"/>
        <w:contextualSpacing/>
        <w:rPr>
          <w:rFonts w:eastAsia="Arial"/>
          <w:color w:val="000000"/>
          <w:sz w:val="24"/>
          <w:szCs w:val="24"/>
        </w:rPr>
      </w:pPr>
      <w:r w:rsidRPr="00D70B2A">
        <w:rPr>
          <w:rFonts w:eastAsia="Arial"/>
          <w:color w:val="000000"/>
          <w:sz w:val="24"/>
          <w:szCs w:val="24"/>
        </w:rPr>
        <w:t>En los casos en que la solicitud de amparo ataca una providencia judicial, la doctrina constitucional ha indicado que el juez de tutela debe, en forma preliminar, realizar un examen de procedibilidad general de la acción, pues, solo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D70B2A">
        <w:rPr>
          <w:sz w:val="24"/>
          <w:szCs w:val="24"/>
          <w:vertAlign w:val="superscript"/>
        </w:rPr>
        <w:footnoteReference w:id="26"/>
      </w:r>
      <w:r w:rsidRPr="00D70B2A">
        <w:rPr>
          <w:rFonts w:eastAsia="Arial"/>
          <w:color w:val="000000"/>
          <w:sz w:val="24"/>
          <w:szCs w:val="24"/>
        </w:rPr>
        <w:t>.</w:t>
      </w:r>
    </w:p>
    <w:p w14:paraId="68249C9D" w14:textId="77777777" w:rsidR="00D70B2A" w:rsidRPr="00D70B2A" w:rsidRDefault="00D70B2A" w:rsidP="00D70B2A">
      <w:pPr>
        <w:spacing w:line="276" w:lineRule="auto"/>
        <w:contextualSpacing/>
        <w:rPr>
          <w:rFonts w:eastAsia="Arial"/>
          <w:color w:val="000000"/>
          <w:sz w:val="24"/>
          <w:szCs w:val="24"/>
        </w:rPr>
      </w:pPr>
    </w:p>
    <w:p w14:paraId="5F8EAFD5" w14:textId="77777777" w:rsidR="00D70B2A" w:rsidRPr="00D70B2A" w:rsidRDefault="00D70B2A" w:rsidP="00D70B2A">
      <w:pPr>
        <w:spacing w:line="276" w:lineRule="auto"/>
        <w:contextualSpacing/>
        <w:rPr>
          <w:rFonts w:eastAsia="Arial"/>
          <w:color w:val="000000"/>
          <w:sz w:val="24"/>
          <w:szCs w:val="24"/>
          <w:vertAlign w:val="superscript"/>
        </w:rPr>
      </w:pPr>
      <w:r w:rsidRPr="00D70B2A">
        <w:rPr>
          <w:rFonts w:eastAsia="Arial"/>
          <w:color w:val="000000"/>
          <w:sz w:val="24"/>
          <w:szCs w:val="24"/>
        </w:rPr>
        <w:t>De conformidad con lo anterior, en el presente apartado se efectuará el examen correspondiente a los requisitos generales de procedibilidad de la presente acción.</w:t>
      </w:r>
    </w:p>
    <w:p w14:paraId="7FFC5E22" w14:textId="77777777" w:rsidR="00D70B2A" w:rsidRPr="00D70B2A" w:rsidRDefault="00D70B2A" w:rsidP="00D70B2A">
      <w:pPr>
        <w:spacing w:line="276" w:lineRule="auto"/>
        <w:contextualSpacing/>
        <w:rPr>
          <w:sz w:val="24"/>
          <w:szCs w:val="24"/>
        </w:rPr>
      </w:pPr>
    </w:p>
    <w:p w14:paraId="0FB443CD" w14:textId="3CEB152C" w:rsidR="00D70B2A" w:rsidRPr="00D70B2A" w:rsidRDefault="00D70B2A" w:rsidP="00D70B2A">
      <w:pPr>
        <w:numPr>
          <w:ilvl w:val="1"/>
          <w:numId w:val="1"/>
        </w:numPr>
        <w:spacing w:line="276" w:lineRule="auto"/>
        <w:ind w:left="0" w:firstLine="0"/>
        <w:contextualSpacing/>
        <w:rPr>
          <w:rFonts w:eastAsia="Verdana"/>
          <w:b/>
          <w:bCs/>
          <w:sz w:val="24"/>
          <w:szCs w:val="24"/>
        </w:rPr>
      </w:pPr>
      <w:bookmarkStart w:id="3" w:name="_ftnref21"/>
      <w:bookmarkEnd w:id="3"/>
      <w:r w:rsidRPr="00D70B2A">
        <w:rPr>
          <w:rFonts w:eastAsia="Verdana"/>
          <w:sz w:val="24"/>
          <w:szCs w:val="24"/>
        </w:rPr>
        <w:t xml:space="preserve">La actora obró como demandante en el </w:t>
      </w:r>
      <w:r w:rsidR="00625C5F">
        <w:rPr>
          <w:rFonts w:eastAsia="Verdana"/>
          <w:sz w:val="24"/>
          <w:szCs w:val="24"/>
        </w:rPr>
        <w:t>trámite</w:t>
      </w:r>
      <w:r w:rsidRPr="00D70B2A">
        <w:rPr>
          <w:rFonts w:eastAsia="Verdana"/>
          <w:sz w:val="24"/>
          <w:szCs w:val="24"/>
        </w:rPr>
        <w:t xml:space="preserve"> </w:t>
      </w:r>
      <w:r>
        <w:rPr>
          <w:rFonts w:eastAsia="Verdana"/>
          <w:sz w:val="24"/>
          <w:szCs w:val="24"/>
        </w:rPr>
        <w:t>que terminó con</w:t>
      </w:r>
      <w:r w:rsidRPr="00D70B2A">
        <w:rPr>
          <w:rFonts w:eastAsia="Verdana"/>
          <w:sz w:val="24"/>
          <w:szCs w:val="24"/>
        </w:rPr>
        <w:t xml:space="preserve"> los </w:t>
      </w:r>
      <w:r>
        <w:rPr>
          <w:rFonts w:eastAsia="Verdana"/>
          <w:sz w:val="24"/>
          <w:szCs w:val="24"/>
        </w:rPr>
        <w:t>fallos</w:t>
      </w:r>
      <w:r w:rsidRPr="00D70B2A">
        <w:rPr>
          <w:rFonts w:eastAsia="Verdana"/>
          <w:sz w:val="24"/>
          <w:szCs w:val="24"/>
        </w:rPr>
        <w:t xml:space="preserve"> enjuiciados. Igualmente, el Juzgado </w:t>
      </w:r>
      <w:r>
        <w:rPr>
          <w:rFonts w:eastAsia="Verdana"/>
          <w:sz w:val="24"/>
          <w:szCs w:val="24"/>
        </w:rPr>
        <w:t>Cuarto</w:t>
      </w:r>
      <w:r w:rsidRPr="00D70B2A">
        <w:rPr>
          <w:rFonts w:eastAsia="Verdana"/>
          <w:sz w:val="24"/>
          <w:szCs w:val="24"/>
        </w:rPr>
        <w:t xml:space="preserve"> Administrativo del Circuito de </w:t>
      </w:r>
      <w:r>
        <w:rPr>
          <w:rFonts w:eastAsia="Verdana"/>
          <w:sz w:val="24"/>
          <w:szCs w:val="24"/>
        </w:rPr>
        <w:t>Florencia</w:t>
      </w:r>
      <w:r w:rsidRPr="00D70B2A">
        <w:rPr>
          <w:rFonts w:eastAsia="Verdana"/>
          <w:sz w:val="24"/>
          <w:szCs w:val="24"/>
        </w:rPr>
        <w:t xml:space="preserve"> y el Tribunal Administrativo de</w:t>
      </w:r>
      <w:r>
        <w:rPr>
          <w:rFonts w:eastAsia="Verdana"/>
          <w:sz w:val="24"/>
          <w:szCs w:val="24"/>
        </w:rPr>
        <w:t>l Caquetá</w:t>
      </w:r>
      <w:r w:rsidRPr="00D70B2A">
        <w:rPr>
          <w:rFonts w:eastAsia="Verdana"/>
          <w:sz w:val="24"/>
          <w:szCs w:val="24"/>
        </w:rPr>
        <w:t xml:space="preserve"> fueron las autoridades que dictaron esas providencias. </w:t>
      </w:r>
      <w:r w:rsidR="00625C5F">
        <w:rPr>
          <w:rFonts w:eastAsia="Verdana"/>
          <w:sz w:val="24"/>
          <w:szCs w:val="24"/>
        </w:rPr>
        <w:t>Así</w:t>
      </w:r>
      <w:r w:rsidRPr="00D70B2A">
        <w:rPr>
          <w:rFonts w:eastAsia="Verdana"/>
          <w:sz w:val="24"/>
          <w:szCs w:val="24"/>
        </w:rPr>
        <w:t xml:space="preserve">, se encuentra satisfecho el presupuesto de </w:t>
      </w:r>
      <w:r w:rsidRPr="00D70B2A">
        <w:rPr>
          <w:rFonts w:eastAsia="Verdana"/>
          <w:b/>
          <w:bCs/>
          <w:sz w:val="24"/>
          <w:szCs w:val="24"/>
        </w:rPr>
        <w:t>legitimación</w:t>
      </w:r>
      <w:r w:rsidRPr="00D70B2A">
        <w:rPr>
          <w:sz w:val="24"/>
          <w:szCs w:val="24"/>
          <w:vertAlign w:val="superscript"/>
        </w:rPr>
        <w:footnoteReference w:id="27"/>
      </w:r>
      <w:r w:rsidRPr="00D70B2A">
        <w:rPr>
          <w:rFonts w:eastAsia="Verdana"/>
          <w:sz w:val="24"/>
          <w:szCs w:val="24"/>
        </w:rPr>
        <w:t xml:space="preserve"> </w:t>
      </w:r>
      <w:r w:rsidRPr="00D70B2A">
        <w:rPr>
          <w:rFonts w:eastAsia="Verdana"/>
          <w:b/>
          <w:bCs/>
          <w:sz w:val="24"/>
          <w:szCs w:val="24"/>
        </w:rPr>
        <w:t>por activa y pasiva</w:t>
      </w:r>
      <w:r w:rsidR="00625C5F">
        <w:rPr>
          <w:rFonts w:eastAsia="Verdana"/>
          <w:sz w:val="24"/>
          <w:szCs w:val="24"/>
        </w:rPr>
        <w:t xml:space="preserve"> dentro del presente proceso constitucional.</w:t>
      </w:r>
    </w:p>
    <w:p w14:paraId="55BE5495" w14:textId="309D2CC5" w:rsidR="00D70B2A" w:rsidRPr="00D70B2A" w:rsidRDefault="00D70B2A" w:rsidP="00D70B2A">
      <w:pPr>
        <w:spacing w:line="276" w:lineRule="auto"/>
        <w:contextualSpacing/>
        <w:rPr>
          <w:sz w:val="24"/>
          <w:szCs w:val="24"/>
        </w:rPr>
      </w:pPr>
      <w:r w:rsidRPr="00D70B2A">
        <w:rPr>
          <w:sz w:val="24"/>
          <w:szCs w:val="24"/>
        </w:rPr>
        <w:t xml:space="preserve">En lo que atañe </w:t>
      </w:r>
      <w:r w:rsidR="00625C5F">
        <w:rPr>
          <w:sz w:val="24"/>
          <w:szCs w:val="24"/>
        </w:rPr>
        <w:t>a la UGPP</w:t>
      </w:r>
      <w:r w:rsidRPr="00D70B2A">
        <w:rPr>
          <w:sz w:val="24"/>
          <w:szCs w:val="24"/>
        </w:rPr>
        <w:t xml:space="preserve">, se observa que es necesario mantener su vinculación a esta acción. Su calidad de demandada en </w:t>
      </w:r>
      <w:r w:rsidR="00625C5F">
        <w:rPr>
          <w:sz w:val="24"/>
          <w:szCs w:val="24"/>
        </w:rPr>
        <w:t xml:space="preserve">la causa ordinaria </w:t>
      </w:r>
      <w:r w:rsidRPr="00D70B2A">
        <w:rPr>
          <w:sz w:val="24"/>
          <w:szCs w:val="24"/>
        </w:rPr>
        <w:t>identificad</w:t>
      </w:r>
      <w:r w:rsidR="00625C5F">
        <w:rPr>
          <w:sz w:val="24"/>
          <w:szCs w:val="24"/>
        </w:rPr>
        <w:t>a</w:t>
      </w:r>
      <w:r w:rsidRPr="00D70B2A">
        <w:rPr>
          <w:sz w:val="24"/>
          <w:szCs w:val="24"/>
        </w:rPr>
        <w:t xml:space="preserve"> arriba requiere enterarla del desarrollo de este asunto y permitirle que participe.</w:t>
      </w:r>
    </w:p>
    <w:p w14:paraId="01BFBC76" w14:textId="77777777" w:rsidR="00D70B2A" w:rsidRPr="00D70B2A" w:rsidRDefault="00D70B2A" w:rsidP="00D70B2A">
      <w:pPr>
        <w:spacing w:line="276" w:lineRule="auto"/>
        <w:contextualSpacing/>
        <w:rPr>
          <w:sz w:val="24"/>
          <w:szCs w:val="24"/>
        </w:rPr>
      </w:pPr>
    </w:p>
    <w:p w14:paraId="28966855" w14:textId="2D2D3B94" w:rsidR="00625C5F" w:rsidRPr="00625C5F" w:rsidRDefault="00D70B2A" w:rsidP="00D70B2A">
      <w:pPr>
        <w:numPr>
          <w:ilvl w:val="1"/>
          <w:numId w:val="1"/>
        </w:numPr>
        <w:overflowPunct w:val="0"/>
        <w:autoSpaceDE w:val="0"/>
        <w:autoSpaceDN w:val="0"/>
        <w:adjustRightInd w:val="0"/>
        <w:spacing w:line="276" w:lineRule="auto"/>
        <w:ind w:left="0" w:firstLine="0"/>
        <w:contextualSpacing/>
        <w:rPr>
          <w:rFonts w:eastAsia="Times New Roman"/>
          <w:b/>
          <w:bCs/>
          <w:sz w:val="24"/>
          <w:szCs w:val="24"/>
          <w:lang w:eastAsia="es-ES"/>
        </w:rPr>
      </w:pPr>
      <w:r w:rsidRPr="00D70B2A">
        <w:rPr>
          <w:rFonts w:eastAsia="Times New Roman"/>
          <w:sz w:val="24"/>
          <w:szCs w:val="24"/>
          <w:lang w:eastAsia="es-ES"/>
        </w:rPr>
        <w:t xml:space="preserve">El escrito de amparo expresa clara y suficientemente los hechos y fundamentos de la afectación de derechos que se imputa a las decisiones enjuiciadas. En concreto, no hay puntos ambiguos ni oscuros en la argumentación expuesta por la actora. De igual modo, se avizora que la accionante formuló unos cargos particulares contra el fallo enjuiciado. Además, el material obrante en el plenario permite corroborar la comprensión de los elementos dilucidados en el escrito de tutela. De todo lo anterior se concluye que las inconformidades en cita cumplen una </w:t>
      </w:r>
      <w:r w:rsidRPr="00D70B2A">
        <w:rPr>
          <w:rFonts w:eastAsia="Times New Roman"/>
          <w:b/>
          <w:bCs/>
          <w:sz w:val="24"/>
          <w:szCs w:val="24"/>
          <w:lang w:eastAsia="es-ES"/>
        </w:rPr>
        <w:t>carga argumentativa mínima</w:t>
      </w:r>
      <w:r w:rsidRPr="00D70B2A">
        <w:rPr>
          <w:rFonts w:eastAsia="Times New Roman"/>
          <w:sz w:val="24"/>
          <w:szCs w:val="24"/>
          <w:lang w:eastAsia="es-ES"/>
        </w:rPr>
        <w:t xml:space="preserve"> que permite que estas sean estudiadas en la presente oportunidad.</w:t>
      </w:r>
    </w:p>
    <w:p w14:paraId="3B53672C" w14:textId="77777777" w:rsidR="00625C5F" w:rsidRDefault="00625C5F" w:rsidP="00625C5F">
      <w:pPr>
        <w:overflowPunct w:val="0"/>
        <w:autoSpaceDE w:val="0"/>
        <w:autoSpaceDN w:val="0"/>
        <w:adjustRightInd w:val="0"/>
        <w:spacing w:line="276" w:lineRule="auto"/>
        <w:contextualSpacing/>
        <w:rPr>
          <w:rFonts w:eastAsia="Times New Roman"/>
          <w:b/>
          <w:bCs/>
          <w:sz w:val="24"/>
          <w:szCs w:val="24"/>
          <w:lang w:eastAsia="es-ES"/>
        </w:rPr>
      </w:pPr>
    </w:p>
    <w:p w14:paraId="14CE037F" w14:textId="01613B35" w:rsidR="00D70B2A" w:rsidRPr="00187E48" w:rsidRDefault="00D70B2A" w:rsidP="00D70B2A">
      <w:pPr>
        <w:numPr>
          <w:ilvl w:val="1"/>
          <w:numId w:val="1"/>
        </w:numPr>
        <w:overflowPunct w:val="0"/>
        <w:autoSpaceDE w:val="0"/>
        <w:autoSpaceDN w:val="0"/>
        <w:adjustRightInd w:val="0"/>
        <w:spacing w:line="276" w:lineRule="auto"/>
        <w:ind w:left="0" w:firstLine="0"/>
        <w:contextualSpacing/>
        <w:rPr>
          <w:rFonts w:eastAsia="Times New Roman"/>
          <w:b/>
          <w:bCs/>
          <w:sz w:val="24"/>
          <w:szCs w:val="24"/>
          <w:lang w:eastAsia="es-ES"/>
        </w:rPr>
      </w:pPr>
      <w:r w:rsidRPr="00625C5F">
        <w:rPr>
          <w:sz w:val="24"/>
          <w:szCs w:val="24"/>
        </w:rPr>
        <w:t xml:space="preserve">Debe estudiarse ahora el requisito de </w:t>
      </w:r>
      <w:r w:rsidRPr="00625C5F">
        <w:rPr>
          <w:b/>
          <w:bCs/>
          <w:sz w:val="24"/>
          <w:szCs w:val="24"/>
        </w:rPr>
        <w:t>relevancia constitucional</w:t>
      </w:r>
      <w:r w:rsidRPr="00625C5F">
        <w:rPr>
          <w:sz w:val="24"/>
          <w:szCs w:val="24"/>
        </w:rPr>
        <w:t>.</w:t>
      </w:r>
      <w:r w:rsidR="00187E48">
        <w:rPr>
          <w:sz w:val="24"/>
          <w:szCs w:val="24"/>
        </w:rPr>
        <w:t xml:space="preserve"> Con ese objetivo, se analizará cada cargo por separado.</w:t>
      </w:r>
    </w:p>
    <w:p w14:paraId="62295E29" w14:textId="77777777" w:rsidR="00187E48" w:rsidRPr="00187E48" w:rsidRDefault="00187E48" w:rsidP="00187E48">
      <w:pPr>
        <w:rPr>
          <w:rFonts w:eastAsia="Times New Roman"/>
          <w:b/>
          <w:bCs/>
          <w:sz w:val="24"/>
          <w:szCs w:val="24"/>
          <w:lang w:eastAsia="es-ES"/>
        </w:rPr>
      </w:pPr>
    </w:p>
    <w:p w14:paraId="0A290173" w14:textId="1928ED59" w:rsidR="00187E48" w:rsidRPr="007F25D2" w:rsidRDefault="00187E48" w:rsidP="00187E48">
      <w:pPr>
        <w:numPr>
          <w:ilvl w:val="2"/>
          <w:numId w:val="1"/>
        </w:numPr>
        <w:overflowPunct w:val="0"/>
        <w:autoSpaceDE w:val="0"/>
        <w:autoSpaceDN w:val="0"/>
        <w:adjustRightInd w:val="0"/>
        <w:spacing w:line="276" w:lineRule="auto"/>
        <w:ind w:left="0" w:firstLine="0"/>
        <w:contextualSpacing/>
        <w:rPr>
          <w:rFonts w:eastAsia="Times New Roman"/>
          <w:b/>
          <w:bCs/>
          <w:sz w:val="24"/>
          <w:szCs w:val="24"/>
          <w:lang w:eastAsia="es-ES"/>
        </w:rPr>
      </w:pPr>
      <w:r>
        <w:rPr>
          <w:rFonts w:eastAsia="Times New Roman"/>
          <w:sz w:val="24"/>
          <w:szCs w:val="24"/>
          <w:lang w:eastAsia="es-ES"/>
        </w:rPr>
        <w:t xml:space="preserve">En lo que atañe al cargo por </w:t>
      </w:r>
      <w:r>
        <w:rPr>
          <w:rFonts w:eastAsia="Times New Roman"/>
          <w:b/>
          <w:bCs/>
          <w:sz w:val="24"/>
          <w:szCs w:val="24"/>
          <w:lang w:eastAsia="es-ES"/>
        </w:rPr>
        <w:t>defecto sustantivo</w:t>
      </w:r>
      <w:r>
        <w:rPr>
          <w:rFonts w:eastAsia="Times New Roman"/>
          <w:sz w:val="24"/>
          <w:szCs w:val="24"/>
          <w:lang w:eastAsia="es-ES"/>
        </w:rPr>
        <w:t xml:space="preserve"> debe recordarse que este apunta a mostrar que los fallos objeto de tutela interpretaron irrazonablemente los artículos 20 y 37 de la Ley 100 de 1993 y 3.° del Decreto </w:t>
      </w:r>
      <w:r w:rsidRPr="00187E48">
        <w:rPr>
          <w:rFonts w:eastAsia="Times New Roman"/>
          <w:sz w:val="24"/>
          <w:szCs w:val="24"/>
          <w:lang w:eastAsia="es-ES"/>
        </w:rPr>
        <w:t>1730 de 2001</w:t>
      </w:r>
      <w:r>
        <w:rPr>
          <w:rFonts w:eastAsia="Times New Roman"/>
          <w:sz w:val="24"/>
          <w:szCs w:val="24"/>
          <w:lang w:eastAsia="es-ES"/>
        </w:rPr>
        <w:t xml:space="preserve">. Según la actora, de esas disposiciones se desprende que el PPC, variable tenida en cuenta para la liquidación de su indemnización sustitutiva, se le ha debido calcular en un diez por ciento (10%) y no en un </w:t>
      </w:r>
      <w:r w:rsidRPr="00187E48">
        <w:rPr>
          <w:rFonts w:eastAsia="Times New Roman"/>
          <w:sz w:val="24"/>
          <w:szCs w:val="24"/>
          <w:lang w:eastAsia="es-ES"/>
        </w:rPr>
        <w:t>dos coma veintisiete por ciento (2,27%)</w:t>
      </w:r>
      <w:r>
        <w:rPr>
          <w:rFonts w:eastAsia="Times New Roman"/>
          <w:sz w:val="24"/>
          <w:szCs w:val="24"/>
          <w:lang w:eastAsia="es-ES"/>
        </w:rPr>
        <w:t>.</w:t>
      </w:r>
    </w:p>
    <w:p w14:paraId="522628A7" w14:textId="3355472D" w:rsidR="007F25D2" w:rsidRDefault="007F25D2" w:rsidP="007F25D2">
      <w:pPr>
        <w:overflowPunct w:val="0"/>
        <w:autoSpaceDE w:val="0"/>
        <w:autoSpaceDN w:val="0"/>
        <w:adjustRightInd w:val="0"/>
        <w:spacing w:line="276" w:lineRule="auto"/>
        <w:contextualSpacing/>
        <w:rPr>
          <w:rFonts w:eastAsia="Times New Roman"/>
          <w:sz w:val="24"/>
          <w:szCs w:val="24"/>
          <w:lang w:eastAsia="es-ES"/>
        </w:rPr>
      </w:pPr>
    </w:p>
    <w:p w14:paraId="6E5DB4B4" w14:textId="123DED5B" w:rsidR="007F25D2" w:rsidRPr="007F25D2" w:rsidRDefault="006B001A" w:rsidP="007F25D2">
      <w:pPr>
        <w:spacing w:line="276" w:lineRule="auto"/>
        <w:rPr>
          <w:rFonts w:eastAsia="Times New Roman"/>
          <w:iCs/>
          <w:sz w:val="24"/>
          <w:szCs w:val="24"/>
          <w:lang w:eastAsia="es-ES"/>
        </w:rPr>
      </w:pPr>
      <w:r>
        <w:rPr>
          <w:rFonts w:eastAsia="Times New Roman"/>
          <w:iCs/>
          <w:sz w:val="24"/>
          <w:szCs w:val="24"/>
          <w:lang w:eastAsia="es-ES"/>
        </w:rPr>
        <w:t>Las anteriores</w:t>
      </w:r>
      <w:r w:rsidR="007F25D2" w:rsidRPr="007F25D2">
        <w:rPr>
          <w:rFonts w:eastAsia="Times New Roman"/>
          <w:iCs/>
          <w:sz w:val="24"/>
          <w:szCs w:val="24"/>
          <w:lang w:eastAsia="es-ES"/>
        </w:rPr>
        <w:t xml:space="preserve"> razones se presenta</w:t>
      </w:r>
      <w:r>
        <w:rPr>
          <w:rFonts w:eastAsia="Times New Roman"/>
          <w:iCs/>
          <w:sz w:val="24"/>
          <w:szCs w:val="24"/>
          <w:lang w:eastAsia="es-ES"/>
        </w:rPr>
        <w:t>n</w:t>
      </w:r>
      <w:r w:rsidR="007F25D2" w:rsidRPr="007F25D2">
        <w:rPr>
          <w:rFonts w:eastAsia="Times New Roman"/>
          <w:iCs/>
          <w:sz w:val="24"/>
          <w:szCs w:val="24"/>
          <w:lang w:eastAsia="es-ES"/>
        </w:rPr>
        <w:t xml:space="preserve"> para la Sala como una propuesta de interpretación y solución que </w:t>
      </w:r>
      <w:r w:rsidR="007F25D2">
        <w:rPr>
          <w:rFonts w:eastAsia="Times New Roman"/>
          <w:iCs/>
          <w:sz w:val="24"/>
          <w:szCs w:val="24"/>
          <w:lang w:eastAsia="es-ES"/>
        </w:rPr>
        <w:t>la accionante</w:t>
      </w:r>
      <w:r w:rsidR="007F25D2" w:rsidRPr="007F25D2">
        <w:rPr>
          <w:rFonts w:eastAsia="Times New Roman"/>
          <w:iCs/>
          <w:sz w:val="24"/>
          <w:szCs w:val="24"/>
          <w:lang w:eastAsia="es-ES"/>
        </w:rPr>
        <w:t xml:space="preserve"> efectúa de su caso concreto. En específico, insiste</w:t>
      </w:r>
      <w:r w:rsidR="007F25D2">
        <w:rPr>
          <w:rFonts w:eastAsia="Times New Roman"/>
          <w:iCs/>
          <w:sz w:val="24"/>
          <w:szCs w:val="24"/>
          <w:lang w:eastAsia="es-ES"/>
        </w:rPr>
        <w:t xml:space="preserve"> en</w:t>
      </w:r>
      <w:r w:rsidR="007F25D2" w:rsidRPr="007F25D2">
        <w:rPr>
          <w:rFonts w:eastAsia="Times New Roman"/>
          <w:iCs/>
          <w:sz w:val="24"/>
          <w:szCs w:val="24"/>
          <w:lang w:eastAsia="es-ES"/>
        </w:rPr>
        <w:t xml:space="preserve"> </w:t>
      </w:r>
      <w:r w:rsidR="007F25D2">
        <w:rPr>
          <w:rFonts w:eastAsia="Times New Roman"/>
          <w:iCs/>
          <w:sz w:val="24"/>
          <w:szCs w:val="24"/>
          <w:lang w:eastAsia="es-ES"/>
        </w:rPr>
        <w:t>que el PPC que le corresponde a su asunto es del diez por ciento (10%)</w:t>
      </w:r>
      <w:r w:rsidR="007F25D2" w:rsidRPr="007F25D2">
        <w:rPr>
          <w:rFonts w:eastAsia="Times New Roman"/>
          <w:iCs/>
          <w:sz w:val="24"/>
          <w:szCs w:val="24"/>
          <w:lang w:eastAsia="es-ES"/>
        </w:rPr>
        <w:t>. Sin embargo, ello no se traduce en la dilucidación de un defecto del que padezca</w:t>
      </w:r>
      <w:r w:rsidR="007F25D2">
        <w:rPr>
          <w:rFonts w:eastAsia="Times New Roman"/>
          <w:iCs/>
          <w:sz w:val="24"/>
          <w:szCs w:val="24"/>
          <w:lang w:eastAsia="es-ES"/>
        </w:rPr>
        <w:t>n</w:t>
      </w:r>
      <w:r w:rsidR="007F25D2" w:rsidRPr="007F25D2">
        <w:rPr>
          <w:rFonts w:eastAsia="Times New Roman"/>
          <w:iCs/>
          <w:sz w:val="24"/>
          <w:szCs w:val="24"/>
          <w:lang w:eastAsia="es-ES"/>
        </w:rPr>
        <w:t xml:space="preserve"> la</w:t>
      </w:r>
      <w:r w:rsidR="007F25D2">
        <w:rPr>
          <w:rFonts w:eastAsia="Times New Roman"/>
          <w:iCs/>
          <w:sz w:val="24"/>
          <w:szCs w:val="24"/>
          <w:lang w:eastAsia="es-ES"/>
        </w:rPr>
        <w:t>s</w:t>
      </w:r>
      <w:r w:rsidR="007F25D2" w:rsidRPr="007F25D2">
        <w:rPr>
          <w:rFonts w:eastAsia="Times New Roman"/>
          <w:iCs/>
          <w:sz w:val="24"/>
          <w:szCs w:val="24"/>
          <w:lang w:eastAsia="es-ES"/>
        </w:rPr>
        <w:t xml:space="preserve"> sentencia</w:t>
      </w:r>
      <w:r w:rsidR="007F25D2">
        <w:rPr>
          <w:rFonts w:eastAsia="Times New Roman"/>
          <w:iCs/>
          <w:sz w:val="24"/>
          <w:szCs w:val="24"/>
          <w:lang w:eastAsia="es-ES"/>
        </w:rPr>
        <w:t>s</w:t>
      </w:r>
      <w:r w:rsidR="007F25D2" w:rsidRPr="007F25D2">
        <w:rPr>
          <w:rFonts w:eastAsia="Times New Roman"/>
          <w:iCs/>
          <w:sz w:val="24"/>
          <w:szCs w:val="24"/>
          <w:lang w:eastAsia="es-ES"/>
        </w:rPr>
        <w:t xml:space="preserve"> materia</w:t>
      </w:r>
      <w:r w:rsidR="007F25D2">
        <w:rPr>
          <w:rFonts w:eastAsia="Times New Roman"/>
          <w:iCs/>
          <w:sz w:val="24"/>
          <w:szCs w:val="24"/>
          <w:lang w:eastAsia="es-ES"/>
        </w:rPr>
        <w:t>s</w:t>
      </w:r>
      <w:r w:rsidR="007F25D2" w:rsidRPr="007F25D2">
        <w:rPr>
          <w:rFonts w:eastAsia="Times New Roman"/>
          <w:iCs/>
          <w:sz w:val="24"/>
          <w:szCs w:val="24"/>
          <w:lang w:eastAsia="es-ES"/>
        </w:rPr>
        <w:t xml:space="preserve"> de esta acción. </w:t>
      </w:r>
      <w:r w:rsidR="007F25D2">
        <w:rPr>
          <w:rFonts w:eastAsia="Times New Roman"/>
          <w:iCs/>
          <w:sz w:val="24"/>
          <w:szCs w:val="24"/>
          <w:lang w:eastAsia="es-ES"/>
        </w:rPr>
        <w:t xml:space="preserve">En </w:t>
      </w:r>
      <w:r w:rsidR="00093F01">
        <w:rPr>
          <w:rFonts w:eastAsia="Times New Roman"/>
          <w:iCs/>
          <w:sz w:val="24"/>
          <w:szCs w:val="24"/>
          <w:lang w:eastAsia="es-ES"/>
        </w:rPr>
        <w:t>concreto</w:t>
      </w:r>
      <w:r w:rsidR="007F25D2" w:rsidRPr="007F25D2">
        <w:rPr>
          <w:rFonts w:eastAsia="Times New Roman"/>
          <w:iCs/>
          <w:sz w:val="24"/>
          <w:szCs w:val="24"/>
          <w:lang w:eastAsia="es-ES"/>
        </w:rPr>
        <w:t xml:space="preserve">, en </w:t>
      </w:r>
      <w:r w:rsidR="007F25D2">
        <w:rPr>
          <w:rFonts w:eastAsia="Times New Roman"/>
          <w:iCs/>
          <w:sz w:val="24"/>
          <w:szCs w:val="24"/>
          <w:lang w:eastAsia="es-ES"/>
        </w:rPr>
        <w:t>el proceso ordinario en referencia</w:t>
      </w:r>
      <w:r w:rsidR="007F25D2" w:rsidRPr="007F25D2">
        <w:rPr>
          <w:rFonts w:eastAsia="Times New Roman"/>
          <w:iCs/>
          <w:sz w:val="24"/>
          <w:szCs w:val="24"/>
          <w:lang w:eastAsia="es-ES"/>
        </w:rPr>
        <w:t xml:space="preserve"> se encontr</w:t>
      </w:r>
      <w:r w:rsidR="007F25D2">
        <w:rPr>
          <w:rFonts w:eastAsia="Times New Roman"/>
          <w:iCs/>
          <w:sz w:val="24"/>
          <w:szCs w:val="24"/>
          <w:lang w:eastAsia="es-ES"/>
        </w:rPr>
        <w:t>ó</w:t>
      </w:r>
      <w:r w:rsidR="007F25D2" w:rsidRPr="007F25D2">
        <w:rPr>
          <w:rFonts w:eastAsia="Times New Roman"/>
          <w:iCs/>
          <w:sz w:val="24"/>
          <w:szCs w:val="24"/>
          <w:lang w:eastAsia="es-ES"/>
        </w:rPr>
        <w:t xml:space="preserve"> </w:t>
      </w:r>
      <w:r w:rsidR="007F25D2">
        <w:rPr>
          <w:rFonts w:eastAsia="Times New Roman"/>
          <w:iCs/>
          <w:sz w:val="24"/>
          <w:szCs w:val="24"/>
          <w:lang w:eastAsia="es-ES"/>
        </w:rPr>
        <w:t>un porcentaje diferente</w:t>
      </w:r>
      <w:r w:rsidR="00BB7886">
        <w:rPr>
          <w:rFonts w:eastAsia="Times New Roman"/>
          <w:iCs/>
          <w:sz w:val="24"/>
          <w:szCs w:val="24"/>
          <w:lang w:eastAsia="es-ES"/>
        </w:rPr>
        <w:t xml:space="preserve"> sí; pero</w:t>
      </w:r>
      <w:r w:rsidR="007F25D2">
        <w:rPr>
          <w:rFonts w:eastAsia="Times New Roman"/>
          <w:iCs/>
          <w:sz w:val="24"/>
          <w:szCs w:val="24"/>
          <w:lang w:eastAsia="es-ES"/>
        </w:rPr>
        <w:t xml:space="preserve"> </w:t>
      </w:r>
      <w:r w:rsidR="007F25D2" w:rsidRPr="00BB7886">
        <w:rPr>
          <w:rFonts w:eastAsia="Times New Roman"/>
          <w:i/>
          <w:sz w:val="24"/>
          <w:szCs w:val="24"/>
          <w:lang w:eastAsia="es-ES"/>
        </w:rPr>
        <w:t xml:space="preserve">a partir del hecho de que </w:t>
      </w:r>
      <w:r w:rsidR="00BB7886" w:rsidRPr="00BB7886">
        <w:rPr>
          <w:rFonts w:eastAsia="Times New Roman"/>
          <w:i/>
          <w:sz w:val="24"/>
          <w:szCs w:val="24"/>
          <w:lang w:eastAsia="es-ES"/>
        </w:rPr>
        <w:t xml:space="preserve">la </w:t>
      </w:r>
      <w:r w:rsidR="00BB7886">
        <w:rPr>
          <w:rFonts w:eastAsia="Times New Roman"/>
          <w:i/>
          <w:sz w:val="24"/>
          <w:szCs w:val="24"/>
          <w:lang w:eastAsia="es-ES"/>
        </w:rPr>
        <w:t>peticionaria</w:t>
      </w:r>
      <w:r w:rsidR="00BB7886" w:rsidRPr="00BB7886">
        <w:rPr>
          <w:rFonts w:eastAsia="Times New Roman"/>
          <w:i/>
          <w:sz w:val="24"/>
          <w:szCs w:val="24"/>
          <w:lang w:eastAsia="es-ES"/>
        </w:rPr>
        <w:t xml:space="preserve"> </w:t>
      </w:r>
      <w:r w:rsidR="007F25D2" w:rsidRPr="00BB7886">
        <w:rPr>
          <w:rFonts w:eastAsia="Times New Roman"/>
          <w:i/>
          <w:sz w:val="24"/>
          <w:szCs w:val="24"/>
          <w:lang w:eastAsia="es-ES"/>
        </w:rPr>
        <w:t>laboró antes de la entrada en vigencia de la Ley 100 de 1993</w:t>
      </w:r>
      <w:r w:rsidR="00BB7886">
        <w:rPr>
          <w:rFonts w:eastAsia="Times New Roman"/>
          <w:iCs/>
          <w:sz w:val="24"/>
          <w:szCs w:val="24"/>
          <w:lang w:eastAsia="es-ES"/>
        </w:rPr>
        <w:t>. No obstante,</w:t>
      </w:r>
      <w:r w:rsidR="00BB7886">
        <w:rPr>
          <w:rFonts w:eastAsia="Times New Roman"/>
          <w:i/>
          <w:sz w:val="24"/>
          <w:szCs w:val="24"/>
          <w:lang w:eastAsia="es-ES"/>
        </w:rPr>
        <w:t xml:space="preserve"> </w:t>
      </w:r>
      <w:r w:rsidR="00BB7886">
        <w:rPr>
          <w:rFonts w:eastAsia="Times New Roman"/>
          <w:iCs/>
          <w:sz w:val="24"/>
          <w:szCs w:val="24"/>
          <w:lang w:eastAsia="es-ES"/>
        </w:rPr>
        <w:t>la actora</w:t>
      </w:r>
      <w:r w:rsidR="007F25D2">
        <w:rPr>
          <w:rFonts w:eastAsia="Times New Roman"/>
          <w:iCs/>
          <w:sz w:val="24"/>
          <w:szCs w:val="24"/>
          <w:lang w:eastAsia="es-ES"/>
        </w:rPr>
        <w:t xml:space="preserve"> no </w:t>
      </w:r>
      <w:r w:rsidR="007F25D2" w:rsidRPr="007F25D2">
        <w:rPr>
          <w:rFonts w:eastAsia="Times New Roman"/>
          <w:iCs/>
          <w:sz w:val="24"/>
          <w:szCs w:val="24"/>
          <w:lang w:eastAsia="es-ES"/>
        </w:rPr>
        <w:t>da razón acerca de por qué ello deviene en un defecto.</w:t>
      </w:r>
      <w:r w:rsidR="00BB7886">
        <w:rPr>
          <w:rFonts w:eastAsia="Times New Roman"/>
          <w:iCs/>
          <w:sz w:val="24"/>
          <w:szCs w:val="24"/>
          <w:lang w:eastAsia="es-ES"/>
        </w:rPr>
        <w:t xml:space="preserve"> De ese modo, no atacó esa circunstancia decisiva en su caso y sí se limitó a recalcar, una vez más, que se le debió aplicar un PPC más alto que el hallado por </w:t>
      </w:r>
      <w:r w:rsidR="00E62C02">
        <w:rPr>
          <w:rFonts w:eastAsia="Times New Roman"/>
          <w:iCs/>
          <w:sz w:val="24"/>
          <w:szCs w:val="24"/>
          <w:lang w:eastAsia="es-ES"/>
        </w:rPr>
        <w:t xml:space="preserve">la UGPP y </w:t>
      </w:r>
      <w:r w:rsidR="00F228D2">
        <w:rPr>
          <w:rFonts w:eastAsia="Times New Roman"/>
          <w:iCs/>
          <w:sz w:val="24"/>
          <w:szCs w:val="24"/>
          <w:lang w:eastAsia="es-ES"/>
        </w:rPr>
        <w:t>la jurisdicción</w:t>
      </w:r>
      <w:r w:rsidR="00BB7886">
        <w:rPr>
          <w:rFonts w:eastAsia="Times New Roman"/>
          <w:iCs/>
          <w:sz w:val="24"/>
          <w:szCs w:val="24"/>
          <w:lang w:eastAsia="es-ES"/>
        </w:rPr>
        <w:t>.</w:t>
      </w:r>
    </w:p>
    <w:p w14:paraId="1BEA4C36" w14:textId="77777777" w:rsidR="007F25D2" w:rsidRPr="007F25D2" w:rsidRDefault="007F25D2" w:rsidP="007F25D2">
      <w:pPr>
        <w:spacing w:line="276" w:lineRule="auto"/>
        <w:rPr>
          <w:rFonts w:eastAsia="Times New Roman"/>
          <w:iCs/>
          <w:sz w:val="24"/>
          <w:szCs w:val="24"/>
          <w:lang w:eastAsia="es-ES"/>
        </w:rPr>
      </w:pPr>
    </w:p>
    <w:p w14:paraId="6964110B" w14:textId="399F5994" w:rsidR="00E62C02" w:rsidRPr="009B2AC7" w:rsidRDefault="00E62C02" w:rsidP="00E62C02">
      <w:pPr>
        <w:spacing w:line="276" w:lineRule="auto"/>
        <w:rPr>
          <w:rFonts w:eastAsia="Times New Roman"/>
          <w:iCs/>
          <w:sz w:val="24"/>
          <w:szCs w:val="24"/>
          <w:lang w:eastAsia="es-ES"/>
        </w:rPr>
      </w:pPr>
      <w:r>
        <w:rPr>
          <w:rFonts w:eastAsia="Times New Roman"/>
          <w:iCs/>
          <w:sz w:val="24"/>
          <w:szCs w:val="24"/>
          <w:lang w:eastAsia="es-ES"/>
        </w:rPr>
        <w:t>Del modo expuesto</w:t>
      </w:r>
      <w:r w:rsidRPr="009B2AC7">
        <w:rPr>
          <w:rFonts w:eastAsia="Times New Roman"/>
          <w:iCs/>
          <w:sz w:val="24"/>
          <w:szCs w:val="24"/>
          <w:lang w:eastAsia="es-ES"/>
        </w:rPr>
        <w:t xml:space="preserve">, </w:t>
      </w:r>
      <w:r>
        <w:rPr>
          <w:rFonts w:eastAsia="Times New Roman"/>
          <w:iCs/>
          <w:sz w:val="24"/>
          <w:szCs w:val="24"/>
          <w:lang w:eastAsia="es-ES"/>
        </w:rPr>
        <w:t>la</w:t>
      </w:r>
      <w:r w:rsidRPr="009B2AC7">
        <w:rPr>
          <w:rFonts w:eastAsia="Times New Roman"/>
          <w:iCs/>
          <w:sz w:val="24"/>
          <w:szCs w:val="24"/>
          <w:lang w:eastAsia="es-ES"/>
        </w:rPr>
        <w:t xml:space="preserve"> solicitante se </w:t>
      </w:r>
      <w:r w:rsidR="00A15E9A">
        <w:rPr>
          <w:rFonts w:eastAsia="Times New Roman"/>
          <w:iCs/>
          <w:sz w:val="24"/>
          <w:szCs w:val="24"/>
          <w:lang w:eastAsia="es-ES"/>
        </w:rPr>
        <w:t>contrajo</w:t>
      </w:r>
      <w:r w:rsidRPr="009B2AC7">
        <w:rPr>
          <w:rFonts w:eastAsia="Times New Roman"/>
          <w:iCs/>
          <w:sz w:val="24"/>
          <w:szCs w:val="24"/>
          <w:lang w:eastAsia="es-ES"/>
        </w:rPr>
        <w:t xml:space="preserve"> a parafrasear los mismos argumentos que expuso </w:t>
      </w:r>
      <w:r>
        <w:rPr>
          <w:rFonts w:eastAsia="Times New Roman"/>
          <w:iCs/>
          <w:sz w:val="24"/>
          <w:szCs w:val="24"/>
          <w:lang w:eastAsia="es-ES"/>
        </w:rPr>
        <w:t xml:space="preserve">en sede administrativa, la demanda ordinaria y </w:t>
      </w:r>
      <w:r w:rsidRPr="009B2AC7">
        <w:rPr>
          <w:rFonts w:eastAsia="Times New Roman"/>
          <w:iCs/>
          <w:sz w:val="24"/>
          <w:szCs w:val="24"/>
          <w:lang w:eastAsia="es-ES"/>
        </w:rPr>
        <w:t xml:space="preserve">el recurso de apelación. Así, </w:t>
      </w:r>
      <w:r>
        <w:rPr>
          <w:rFonts w:eastAsia="Times New Roman"/>
          <w:iCs/>
          <w:sz w:val="24"/>
          <w:szCs w:val="24"/>
          <w:lang w:eastAsia="es-ES"/>
        </w:rPr>
        <w:t>la</w:t>
      </w:r>
      <w:r w:rsidRPr="009B2AC7">
        <w:rPr>
          <w:rFonts w:eastAsia="Times New Roman"/>
          <w:iCs/>
          <w:sz w:val="24"/>
          <w:szCs w:val="24"/>
          <w:lang w:eastAsia="es-ES"/>
        </w:rPr>
        <w:t xml:space="preserve"> actor</w:t>
      </w:r>
      <w:r>
        <w:rPr>
          <w:rFonts w:eastAsia="Times New Roman"/>
          <w:iCs/>
          <w:sz w:val="24"/>
          <w:szCs w:val="24"/>
          <w:lang w:eastAsia="es-ES"/>
        </w:rPr>
        <w:t>a</w:t>
      </w:r>
      <w:r w:rsidRPr="009B2AC7">
        <w:rPr>
          <w:rFonts w:eastAsia="Times New Roman"/>
          <w:iCs/>
          <w:sz w:val="24"/>
          <w:szCs w:val="24"/>
          <w:lang w:eastAsia="es-ES"/>
        </w:rPr>
        <w:t xml:space="preserve"> no advirtió </w:t>
      </w:r>
      <w:r>
        <w:rPr>
          <w:rFonts w:eastAsia="Times New Roman"/>
          <w:iCs/>
          <w:sz w:val="24"/>
          <w:szCs w:val="24"/>
          <w:lang w:eastAsia="es-ES"/>
        </w:rPr>
        <w:t xml:space="preserve">la falla constitucional </w:t>
      </w:r>
      <w:r w:rsidR="00A15E9A">
        <w:rPr>
          <w:rFonts w:eastAsia="Times New Roman"/>
          <w:iCs/>
          <w:sz w:val="24"/>
          <w:szCs w:val="24"/>
          <w:lang w:eastAsia="es-ES"/>
        </w:rPr>
        <w:t>que lleva al</w:t>
      </w:r>
      <w:r w:rsidRPr="009B2AC7">
        <w:rPr>
          <w:rFonts w:eastAsia="Times New Roman"/>
          <w:iCs/>
          <w:sz w:val="24"/>
          <w:szCs w:val="24"/>
          <w:lang w:eastAsia="es-ES"/>
        </w:rPr>
        <w:t xml:space="preserve"> defecto </w:t>
      </w:r>
      <w:r>
        <w:rPr>
          <w:rFonts w:eastAsia="Times New Roman"/>
          <w:iCs/>
          <w:sz w:val="24"/>
          <w:szCs w:val="24"/>
          <w:lang w:eastAsia="es-ES"/>
        </w:rPr>
        <w:t xml:space="preserve">que </w:t>
      </w:r>
      <w:r w:rsidR="00F228D2">
        <w:rPr>
          <w:rFonts w:eastAsia="Times New Roman"/>
          <w:iCs/>
          <w:sz w:val="24"/>
          <w:szCs w:val="24"/>
          <w:lang w:eastAsia="es-ES"/>
        </w:rPr>
        <w:t>les</w:t>
      </w:r>
      <w:r>
        <w:rPr>
          <w:rFonts w:eastAsia="Times New Roman"/>
          <w:iCs/>
          <w:sz w:val="24"/>
          <w:szCs w:val="24"/>
          <w:lang w:eastAsia="es-ES"/>
        </w:rPr>
        <w:t xml:space="preserve"> endilga a las decisiones judiciales objeto de tutela</w:t>
      </w:r>
      <w:r w:rsidRPr="009B2AC7">
        <w:rPr>
          <w:rFonts w:eastAsia="Times New Roman"/>
          <w:iCs/>
          <w:sz w:val="24"/>
          <w:szCs w:val="24"/>
          <w:lang w:eastAsia="es-ES"/>
        </w:rPr>
        <w:t xml:space="preserve">. </w:t>
      </w:r>
      <w:r>
        <w:rPr>
          <w:rFonts w:eastAsia="Times New Roman"/>
          <w:iCs/>
          <w:sz w:val="24"/>
          <w:szCs w:val="24"/>
          <w:lang w:eastAsia="es-ES"/>
        </w:rPr>
        <w:t xml:space="preserve">En sentido contrario, deja ver </w:t>
      </w:r>
      <w:r w:rsidRPr="009B2AC7">
        <w:rPr>
          <w:rFonts w:eastAsia="Times New Roman"/>
          <w:iCs/>
          <w:sz w:val="24"/>
          <w:szCs w:val="24"/>
          <w:lang w:eastAsia="es-ES"/>
        </w:rPr>
        <w:t xml:space="preserve">que su único objetivo es que, a toda costa, </w:t>
      </w:r>
      <w:r>
        <w:rPr>
          <w:rFonts w:eastAsia="Times New Roman"/>
          <w:iCs/>
          <w:sz w:val="24"/>
          <w:szCs w:val="24"/>
          <w:lang w:eastAsia="es-ES"/>
        </w:rPr>
        <w:t>se le conceda una indemnización sustitutiva más alta</w:t>
      </w:r>
      <w:r w:rsidRPr="009B2AC7">
        <w:rPr>
          <w:rFonts w:eastAsia="Times New Roman"/>
          <w:iCs/>
          <w:sz w:val="24"/>
          <w:szCs w:val="24"/>
          <w:lang w:eastAsia="es-ES"/>
        </w:rPr>
        <w:t xml:space="preserve">. </w:t>
      </w:r>
      <w:r>
        <w:rPr>
          <w:rFonts w:eastAsia="Times New Roman"/>
          <w:iCs/>
          <w:sz w:val="24"/>
          <w:szCs w:val="24"/>
          <w:lang w:eastAsia="es-ES"/>
        </w:rPr>
        <w:t>Así las cosas</w:t>
      </w:r>
      <w:r w:rsidRPr="009B2AC7">
        <w:rPr>
          <w:rFonts w:eastAsia="Times New Roman"/>
          <w:iCs/>
          <w:sz w:val="24"/>
          <w:szCs w:val="24"/>
          <w:lang w:eastAsia="es-ES"/>
        </w:rPr>
        <w:t>, su idea, más que poner de presente la vulneración de sus derechos fundamentales, es hacer triunfar tesis que, repetidamente, se le han negado.</w:t>
      </w:r>
    </w:p>
    <w:p w14:paraId="1789FA47" w14:textId="77777777" w:rsidR="00E62C02" w:rsidRPr="009B2AC7" w:rsidRDefault="00E62C02" w:rsidP="00E62C02">
      <w:pPr>
        <w:overflowPunct w:val="0"/>
        <w:autoSpaceDE w:val="0"/>
        <w:autoSpaceDN w:val="0"/>
        <w:adjustRightInd w:val="0"/>
        <w:spacing w:line="276" w:lineRule="auto"/>
        <w:contextualSpacing/>
        <w:rPr>
          <w:sz w:val="24"/>
          <w:szCs w:val="24"/>
        </w:rPr>
      </w:pPr>
    </w:p>
    <w:p w14:paraId="23533F26" w14:textId="3CC11827" w:rsidR="00E62C02" w:rsidRDefault="00E62C02" w:rsidP="00E62C02">
      <w:pPr>
        <w:overflowPunct w:val="0"/>
        <w:autoSpaceDE w:val="0"/>
        <w:autoSpaceDN w:val="0"/>
        <w:adjustRightInd w:val="0"/>
        <w:spacing w:line="276" w:lineRule="auto"/>
        <w:contextualSpacing/>
        <w:rPr>
          <w:sz w:val="24"/>
          <w:szCs w:val="24"/>
        </w:rPr>
      </w:pPr>
      <w:r w:rsidRPr="009B2AC7">
        <w:rPr>
          <w:sz w:val="24"/>
          <w:szCs w:val="24"/>
        </w:rPr>
        <w:t xml:space="preserve">En resumen, </w:t>
      </w:r>
      <w:r>
        <w:rPr>
          <w:sz w:val="24"/>
          <w:szCs w:val="24"/>
        </w:rPr>
        <w:t>el</w:t>
      </w:r>
      <w:r w:rsidRPr="009B2AC7">
        <w:rPr>
          <w:sz w:val="24"/>
          <w:szCs w:val="24"/>
        </w:rPr>
        <w:t xml:space="preserve"> cargo</w:t>
      </w:r>
      <w:r>
        <w:rPr>
          <w:sz w:val="24"/>
          <w:szCs w:val="24"/>
        </w:rPr>
        <w:t xml:space="preserve"> bajo estudio</w:t>
      </w:r>
      <w:r w:rsidRPr="009B2AC7">
        <w:rPr>
          <w:sz w:val="24"/>
          <w:szCs w:val="24"/>
        </w:rPr>
        <w:t xml:space="preserve"> no reclama la solución de un problema constitucional que implique un estudio de razonabilidad de la</w:t>
      </w:r>
      <w:r>
        <w:rPr>
          <w:sz w:val="24"/>
          <w:szCs w:val="24"/>
        </w:rPr>
        <w:t>s</w:t>
      </w:r>
      <w:r w:rsidRPr="009B2AC7">
        <w:rPr>
          <w:sz w:val="24"/>
          <w:szCs w:val="24"/>
        </w:rPr>
        <w:t xml:space="preserve"> providencia</w:t>
      </w:r>
      <w:r>
        <w:rPr>
          <w:sz w:val="24"/>
          <w:szCs w:val="24"/>
        </w:rPr>
        <w:t>s</w:t>
      </w:r>
      <w:r w:rsidRPr="009B2AC7">
        <w:rPr>
          <w:sz w:val="24"/>
          <w:szCs w:val="24"/>
        </w:rPr>
        <w:t xml:space="preserve"> objeto de tutela, sino que se limita a revivir una controversia legal</w:t>
      </w:r>
      <w:bookmarkStart w:id="5" w:name="_Ref48207766"/>
      <w:r w:rsidRPr="009B2AC7">
        <w:rPr>
          <w:sz w:val="24"/>
          <w:szCs w:val="24"/>
          <w:vertAlign w:val="superscript"/>
        </w:rPr>
        <w:footnoteReference w:id="28"/>
      </w:r>
      <w:bookmarkEnd w:id="5"/>
      <w:r w:rsidRPr="009B2AC7">
        <w:rPr>
          <w:sz w:val="24"/>
          <w:szCs w:val="24"/>
        </w:rPr>
        <w:t xml:space="preserve">. En ese sentido, </w:t>
      </w:r>
      <w:r>
        <w:rPr>
          <w:sz w:val="24"/>
          <w:szCs w:val="24"/>
        </w:rPr>
        <w:t>ese</w:t>
      </w:r>
      <w:r w:rsidRPr="009B2AC7">
        <w:rPr>
          <w:sz w:val="24"/>
          <w:szCs w:val="24"/>
        </w:rPr>
        <w:t xml:space="preserve"> reparo apunta a lo que, en criterio </w:t>
      </w:r>
      <w:r>
        <w:rPr>
          <w:sz w:val="24"/>
          <w:szCs w:val="24"/>
        </w:rPr>
        <w:t>de la</w:t>
      </w:r>
      <w:r w:rsidRPr="009B2AC7">
        <w:rPr>
          <w:sz w:val="24"/>
          <w:szCs w:val="24"/>
        </w:rPr>
        <w:t xml:space="preserve"> actor</w:t>
      </w:r>
      <w:r>
        <w:rPr>
          <w:sz w:val="24"/>
          <w:szCs w:val="24"/>
        </w:rPr>
        <w:t>a</w:t>
      </w:r>
      <w:r w:rsidRPr="009B2AC7">
        <w:rPr>
          <w:sz w:val="24"/>
          <w:szCs w:val="24"/>
        </w:rPr>
        <w:t xml:space="preserve">, habría sido la decisión correcta de su caso. De ese modo, </w:t>
      </w:r>
      <w:r>
        <w:rPr>
          <w:sz w:val="24"/>
          <w:szCs w:val="24"/>
        </w:rPr>
        <w:t xml:space="preserve">el punto </w:t>
      </w:r>
      <w:r w:rsidRPr="009B2AC7">
        <w:rPr>
          <w:sz w:val="24"/>
          <w:szCs w:val="24"/>
        </w:rPr>
        <w:t xml:space="preserve">impide ponderar entre </w:t>
      </w:r>
      <w:r w:rsidRPr="009B2AC7">
        <w:rPr>
          <w:bCs/>
          <w:sz w:val="24"/>
          <w:szCs w:val="24"/>
        </w:rPr>
        <w:t xml:space="preserve">la finalidad de la tutela como garantía </w:t>
      </w:r>
      <w:r w:rsidRPr="009B2AC7">
        <w:rPr>
          <w:bCs/>
          <w:i/>
          <w:sz w:val="24"/>
          <w:szCs w:val="24"/>
        </w:rPr>
        <w:t>iusfundamental</w:t>
      </w:r>
      <w:r w:rsidRPr="009B2AC7">
        <w:rPr>
          <w:bCs/>
          <w:sz w:val="24"/>
          <w:szCs w:val="24"/>
        </w:rPr>
        <w:t xml:space="preserve"> y los principios de </w:t>
      </w:r>
      <w:r w:rsidRPr="009B2AC7">
        <w:rPr>
          <w:sz w:val="24"/>
          <w:szCs w:val="24"/>
        </w:rPr>
        <w:t>cosa juzgada y seguridad jurídica que gobiernan las decisiones judiciales</w:t>
      </w:r>
      <w:r w:rsidRPr="009B2AC7">
        <w:rPr>
          <w:iCs/>
          <w:sz w:val="24"/>
          <w:szCs w:val="24"/>
          <w:vertAlign w:val="superscript"/>
        </w:rPr>
        <w:footnoteReference w:id="29"/>
      </w:r>
      <w:r w:rsidRPr="009B2AC7">
        <w:rPr>
          <w:sz w:val="24"/>
          <w:szCs w:val="24"/>
        </w:rPr>
        <w:t xml:space="preserve">. Así, como </w:t>
      </w:r>
      <w:r w:rsidRPr="00E62C02">
        <w:rPr>
          <w:sz w:val="24"/>
          <w:szCs w:val="24"/>
        </w:rPr>
        <w:t xml:space="preserve">la protesta </w:t>
      </w:r>
      <w:r w:rsidRPr="009B2AC7">
        <w:rPr>
          <w:sz w:val="24"/>
          <w:szCs w:val="24"/>
        </w:rPr>
        <w:t xml:space="preserve">no lleva a resolver asuntos de dimensión constitucional, </w:t>
      </w:r>
      <w:r>
        <w:rPr>
          <w:sz w:val="24"/>
          <w:szCs w:val="24"/>
        </w:rPr>
        <w:t>esta</w:t>
      </w:r>
      <w:r w:rsidRPr="009B2AC7">
        <w:rPr>
          <w:sz w:val="24"/>
          <w:szCs w:val="24"/>
        </w:rPr>
        <w:t xml:space="preserve"> no permite actuar con respeto de las competencias legales y del principio de autonomía de los jueces</w:t>
      </w:r>
      <w:r w:rsidRPr="009B2AC7">
        <w:rPr>
          <w:sz w:val="24"/>
          <w:szCs w:val="24"/>
          <w:vertAlign w:val="superscript"/>
        </w:rPr>
        <w:footnoteReference w:id="30"/>
      </w:r>
      <w:r w:rsidRPr="009B2AC7">
        <w:rPr>
          <w:sz w:val="24"/>
          <w:szCs w:val="24"/>
        </w:rPr>
        <w:t xml:space="preserve">. Por tanto, se declarará </w:t>
      </w:r>
      <w:r>
        <w:rPr>
          <w:sz w:val="24"/>
          <w:szCs w:val="24"/>
        </w:rPr>
        <w:t>su</w:t>
      </w:r>
      <w:r w:rsidRPr="009B2AC7">
        <w:rPr>
          <w:sz w:val="24"/>
          <w:szCs w:val="24"/>
        </w:rPr>
        <w:t xml:space="preserve"> improcedencia.</w:t>
      </w:r>
    </w:p>
    <w:p w14:paraId="3CBE3BC6" w14:textId="77777777" w:rsidR="001000DB" w:rsidRPr="00187E48" w:rsidRDefault="001000DB" w:rsidP="001000DB">
      <w:pPr>
        <w:rPr>
          <w:rFonts w:eastAsia="Times New Roman"/>
          <w:b/>
          <w:bCs/>
          <w:sz w:val="24"/>
          <w:szCs w:val="24"/>
          <w:lang w:eastAsia="es-ES"/>
        </w:rPr>
      </w:pPr>
    </w:p>
    <w:p w14:paraId="7171194C" w14:textId="09BC21A3" w:rsidR="001000DB" w:rsidRDefault="001000DB" w:rsidP="005E1D39">
      <w:pPr>
        <w:numPr>
          <w:ilvl w:val="2"/>
          <w:numId w:val="1"/>
        </w:numPr>
        <w:overflowPunct w:val="0"/>
        <w:autoSpaceDE w:val="0"/>
        <w:autoSpaceDN w:val="0"/>
        <w:adjustRightInd w:val="0"/>
        <w:spacing w:line="276" w:lineRule="auto"/>
        <w:ind w:left="0" w:firstLine="0"/>
        <w:contextualSpacing/>
        <w:rPr>
          <w:rFonts w:eastAsia="Times New Roman"/>
          <w:sz w:val="24"/>
          <w:szCs w:val="24"/>
          <w:lang w:eastAsia="es-ES"/>
        </w:rPr>
      </w:pPr>
      <w:r w:rsidRPr="001000DB">
        <w:rPr>
          <w:rFonts w:eastAsia="Times New Roman"/>
          <w:sz w:val="24"/>
          <w:szCs w:val="24"/>
          <w:lang w:eastAsia="es-ES"/>
        </w:rPr>
        <w:t>En</w:t>
      </w:r>
      <w:r w:rsidR="00C70C4C">
        <w:rPr>
          <w:rFonts w:eastAsia="Times New Roman"/>
          <w:sz w:val="24"/>
          <w:szCs w:val="24"/>
          <w:lang w:eastAsia="es-ES"/>
        </w:rPr>
        <w:t xml:space="preserve"> cambio,</w:t>
      </w:r>
      <w:r w:rsidRPr="001000DB">
        <w:rPr>
          <w:rFonts w:eastAsia="Times New Roman"/>
          <w:sz w:val="24"/>
          <w:szCs w:val="24"/>
          <w:lang w:eastAsia="es-ES"/>
        </w:rPr>
        <w:t xml:space="preserve"> </w:t>
      </w:r>
      <w:r w:rsidR="00E93575">
        <w:rPr>
          <w:rFonts w:eastAsia="Times New Roman"/>
          <w:sz w:val="24"/>
          <w:szCs w:val="24"/>
          <w:lang w:eastAsia="es-ES"/>
        </w:rPr>
        <w:t>el</w:t>
      </w:r>
      <w:r w:rsidRPr="001000DB">
        <w:rPr>
          <w:rFonts w:eastAsia="Times New Roman"/>
          <w:sz w:val="24"/>
          <w:szCs w:val="24"/>
          <w:lang w:eastAsia="es-ES"/>
        </w:rPr>
        <w:t xml:space="preserve"> cargo </w:t>
      </w:r>
      <w:r w:rsidR="00616CCB">
        <w:rPr>
          <w:rFonts w:eastAsia="Times New Roman"/>
          <w:sz w:val="24"/>
          <w:szCs w:val="24"/>
          <w:lang w:eastAsia="es-ES"/>
        </w:rPr>
        <w:t>por el cual</w:t>
      </w:r>
      <w:r w:rsidRPr="001000DB">
        <w:rPr>
          <w:rFonts w:eastAsia="Times New Roman"/>
          <w:sz w:val="24"/>
          <w:szCs w:val="24"/>
          <w:lang w:eastAsia="es-ES"/>
        </w:rPr>
        <w:t xml:space="preserve"> la accionante </w:t>
      </w:r>
      <w:r w:rsidR="00616CCB">
        <w:rPr>
          <w:rFonts w:eastAsia="Times New Roman"/>
          <w:sz w:val="24"/>
          <w:szCs w:val="24"/>
          <w:lang w:eastAsia="es-ES"/>
        </w:rPr>
        <w:t>afirma</w:t>
      </w:r>
      <w:r w:rsidRPr="001000DB">
        <w:rPr>
          <w:rFonts w:eastAsia="Times New Roman"/>
          <w:sz w:val="24"/>
          <w:szCs w:val="24"/>
          <w:lang w:eastAsia="es-ES"/>
        </w:rPr>
        <w:t xml:space="preserve"> que se le desconoció su derecho a la </w:t>
      </w:r>
      <w:r w:rsidRPr="000E35F1">
        <w:rPr>
          <w:rFonts w:eastAsia="Times New Roman"/>
          <w:b/>
          <w:bCs/>
          <w:sz w:val="24"/>
          <w:szCs w:val="24"/>
          <w:lang w:eastAsia="es-ES"/>
        </w:rPr>
        <w:t>igualdad de trato</w:t>
      </w:r>
      <w:r w:rsidRPr="001000DB">
        <w:rPr>
          <w:rFonts w:eastAsia="Times New Roman"/>
          <w:sz w:val="24"/>
          <w:szCs w:val="24"/>
          <w:lang w:eastAsia="es-ES"/>
        </w:rPr>
        <w:t xml:space="preserve"> por haberse inobservado el </w:t>
      </w:r>
      <w:r w:rsidRPr="000E35F1">
        <w:rPr>
          <w:rFonts w:eastAsia="Times New Roman"/>
          <w:b/>
          <w:bCs/>
          <w:sz w:val="24"/>
          <w:szCs w:val="24"/>
          <w:lang w:eastAsia="es-ES"/>
        </w:rPr>
        <w:t>precedente horizontal</w:t>
      </w:r>
      <w:r w:rsidR="00D157B8">
        <w:rPr>
          <w:rFonts w:eastAsia="Times New Roman"/>
          <w:sz w:val="24"/>
          <w:szCs w:val="24"/>
          <w:lang w:eastAsia="es-ES"/>
        </w:rPr>
        <w:t xml:space="preserve"> sí goza de</w:t>
      </w:r>
      <w:r w:rsidRPr="001000DB">
        <w:rPr>
          <w:rFonts w:eastAsia="Times New Roman"/>
          <w:sz w:val="24"/>
          <w:szCs w:val="24"/>
          <w:lang w:eastAsia="es-ES"/>
        </w:rPr>
        <w:t xml:space="preserve"> relevancia constitucional.</w:t>
      </w:r>
      <w:r w:rsidR="00F228D2">
        <w:rPr>
          <w:rFonts w:eastAsia="Times New Roman"/>
          <w:sz w:val="24"/>
          <w:szCs w:val="24"/>
          <w:lang w:eastAsia="es-ES"/>
        </w:rPr>
        <w:t xml:space="preserve"> En efecto, para analizar</w:t>
      </w:r>
      <w:r w:rsidR="00616CCB">
        <w:rPr>
          <w:rFonts w:eastAsia="Times New Roman"/>
          <w:sz w:val="24"/>
          <w:szCs w:val="24"/>
          <w:lang w:eastAsia="es-ES"/>
        </w:rPr>
        <w:t>lo</w:t>
      </w:r>
      <w:r w:rsidR="00F228D2">
        <w:rPr>
          <w:rFonts w:eastAsia="Times New Roman"/>
          <w:sz w:val="24"/>
          <w:szCs w:val="24"/>
          <w:lang w:eastAsia="es-ES"/>
        </w:rPr>
        <w:t xml:space="preserve"> debe estudiar</w:t>
      </w:r>
      <w:r w:rsidR="00D157B8">
        <w:rPr>
          <w:rFonts w:eastAsia="Times New Roman"/>
          <w:sz w:val="24"/>
          <w:szCs w:val="24"/>
          <w:lang w:eastAsia="es-ES"/>
        </w:rPr>
        <w:t>se</w:t>
      </w:r>
      <w:r w:rsidR="00F228D2">
        <w:rPr>
          <w:rFonts w:eastAsia="Times New Roman"/>
          <w:sz w:val="24"/>
          <w:szCs w:val="24"/>
          <w:lang w:eastAsia="es-ES"/>
        </w:rPr>
        <w:t xml:space="preserve"> de fondo si la sentencia invocada por la actora, proferida por el Tribunal Administrativo del Huila, </w:t>
      </w:r>
      <w:r w:rsidR="00C54240">
        <w:rPr>
          <w:rFonts w:eastAsia="Times New Roman"/>
          <w:sz w:val="24"/>
          <w:szCs w:val="24"/>
          <w:lang w:eastAsia="es-ES"/>
        </w:rPr>
        <w:t>constituí</w:t>
      </w:r>
      <w:r w:rsidR="00D157B8">
        <w:rPr>
          <w:rFonts w:eastAsia="Times New Roman"/>
          <w:sz w:val="24"/>
          <w:szCs w:val="24"/>
          <w:lang w:eastAsia="es-ES"/>
        </w:rPr>
        <w:t>a</w:t>
      </w:r>
      <w:r w:rsidR="00C54240">
        <w:rPr>
          <w:rFonts w:eastAsia="Times New Roman"/>
          <w:sz w:val="24"/>
          <w:szCs w:val="24"/>
          <w:lang w:eastAsia="es-ES"/>
        </w:rPr>
        <w:t xml:space="preserve"> precedente horizontal vinculante para el </w:t>
      </w:r>
      <w:r w:rsidR="00D157B8">
        <w:rPr>
          <w:rFonts w:eastAsia="Times New Roman"/>
          <w:sz w:val="24"/>
          <w:szCs w:val="24"/>
          <w:lang w:eastAsia="es-ES"/>
        </w:rPr>
        <w:t xml:space="preserve">tribunal </w:t>
      </w:r>
      <w:r w:rsidR="00C54240">
        <w:rPr>
          <w:rFonts w:eastAsia="Times New Roman"/>
          <w:sz w:val="24"/>
          <w:szCs w:val="24"/>
          <w:lang w:eastAsia="es-ES"/>
        </w:rPr>
        <w:t>accionado. De esa manera, debe examinarse si el parámetro de decisión expresado por el primer fallador debió ser seguido por el segundo. Ello comporta un problema de índole constitucional del que sí puede ocuparse el juez de tutela.</w:t>
      </w:r>
      <w:r w:rsidR="00616CCB">
        <w:rPr>
          <w:rFonts w:eastAsia="Times New Roman"/>
          <w:sz w:val="24"/>
          <w:szCs w:val="24"/>
          <w:lang w:eastAsia="es-ES"/>
        </w:rPr>
        <w:t xml:space="preserve"> Por tanto, los demás requisitos de procedibilidad se seguirán abordando, pero solo respecto de este reclamo.</w:t>
      </w:r>
    </w:p>
    <w:p w14:paraId="73CF783B" w14:textId="77777777" w:rsidR="001A3691" w:rsidRDefault="001A3691" w:rsidP="001A3691">
      <w:pPr>
        <w:overflowPunct w:val="0"/>
        <w:autoSpaceDE w:val="0"/>
        <w:autoSpaceDN w:val="0"/>
        <w:adjustRightInd w:val="0"/>
        <w:spacing w:line="276" w:lineRule="auto"/>
        <w:contextualSpacing/>
        <w:rPr>
          <w:rFonts w:eastAsia="Times New Roman"/>
          <w:sz w:val="24"/>
          <w:szCs w:val="24"/>
          <w:lang w:eastAsia="es-ES"/>
        </w:rPr>
      </w:pPr>
    </w:p>
    <w:p w14:paraId="0C640E79" w14:textId="4EDE620C" w:rsidR="006E053A" w:rsidRPr="00343860" w:rsidRDefault="006E053A" w:rsidP="006E053A">
      <w:pPr>
        <w:numPr>
          <w:ilvl w:val="1"/>
          <w:numId w:val="1"/>
        </w:numPr>
        <w:overflowPunct w:val="0"/>
        <w:autoSpaceDE w:val="0"/>
        <w:autoSpaceDN w:val="0"/>
        <w:adjustRightInd w:val="0"/>
        <w:spacing w:line="276" w:lineRule="auto"/>
        <w:ind w:left="0" w:firstLine="0"/>
        <w:contextualSpacing/>
        <w:rPr>
          <w:sz w:val="24"/>
          <w:szCs w:val="24"/>
        </w:rPr>
      </w:pPr>
      <w:r w:rsidRPr="008E4EA4">
        <w:rPr>
          <w:sz w:val="24"/>
          <w:szCs w:val="24"/>
        </w:rPr>
        <w:t xml:space="preserve">La solicitud de amparo satisface el requisito de </w:t>
      </w:r>
      <w:r w:rsidRPr="008E4EA4">
        <w:rPr>
          <w:b/>
          <w:bCs/>
          <w:sz w:val="24"/>
          <w:szCs w:val="24"/>
        </w:rPr>
        <w:t>subsidiariedad</w:t>
      </w:r>
      <w:r w:rsidRPr="008E4EA4">
        <w:rPr>
          <w:sz w:val="24"/>
          <w:szCs w:val="24"/>
        </w:rPr>
        <w:t xml:space="preserve">, pues </w:t>
      </w:r>
      <w:r>
        <w:rPr>
          <w:sz w:val="24"/>
          <w:szCs w:val="24"/>
        </w:rPr>
        <w:t>la accionante</w:t>
      </w:r>
      <w:r w:rsidRPr="008E4EA4">
        <w:rPr>
          <w:sz w:val="24"/>
          <w:szCs w:val="24"/>
        </w:rPr>
        <w:t xml:space="preserve"> agotó los medios judiciales de defensa con los que contaba. </w:t>
      </w:r>
      <w:r w:rsidRPr="008E4EA4">
        <w:rPr>
          <w:rFonts w:eastAsia="ヒラギノ角ゴ Pro W3"/>
          <w:sz w:val="24"/>
          <w:szCs w:val="24"/>
        </w:rPr>
        <w:t xml:space="preserve">En concreto, el proceso </w:t>
      </w:r>
      <w:r>
        <w:rPr>
          <w:rFonts w:eastAsia="ヒラギノ角ゴ Pro W3"/>
          <w:sz w:val="24"/>
          <w:szCs w:val="24"/>
        </w:rPr>
        <w:t>ordinario en referencia</w:t>
      </w:r>
      <w:r w:rsidRPr="008E4EA4">
        <w:rPr>
          <w:rFonts w:eastAsia="ヒラギノ角ゴ Pro W3"/>
          <w:sz w:val="24"/>
          <w:szCs w:val="24"/>
        </w:rPr>
        <w:t xml:space="preserve"> finalizó con la expedición del fallo </w:t>
      </w:r>
      <w:r>
        <w:rPr>
          <w:rFonts w:eastAsia="ヒラギノ角ゴ Pro W3"/>
          <w:sz w:val="24"/>
          <w:szCs w:val="24"/>
        </w:rPr>
        <w:t xml:space="preserve">de segunda instancia </w:t>
      </w:r>
      <w:r w:rsidRPr="008E4EA4">
        <w:rPr>
          <w:rFonts w:eastAsia="ヒラギノ角ゴ Pro W3"/>
          <w:sz w:val="24"/>
          <w:szCs w:val="24"/>
        </w:rPr>
        <w:t>censurado. Además, en el asunto bajo análisis no hay lugar al recurso extraordinario de revisión, en consideración a que los reproches formulados contra esa sentencia no se adecúan a las causales previstas por el legislador. De otro lado, t</w:t>
      </w:r>
      <w:r w:rsidRPr="008E4EA4">
        <w:rPr>
          <w:sz w:val="24"/>
          <w:szCs w:val="24"/>
        </w:rPr>
        <w:t>ampoco procede el recurso extraordinario de unificación de jurisprudencia porque, contra la</w:t>
      </w:r>
      <w:r>
        <w:rPr>
          <w:sz w:val="24"/>
          <w:szCs w:val="24"/>
        </w:rPr>
        <w:t>s</w:t>
      </w:r>
      <w:r w:rsidRPr="008E4EA4">
        <w:rPr>
          <w:sz w:val="24"/>
          <w:szCs w:val="24"/>
        </w:rPr>
        <w:t xml:space="preserve"> sentencia</w:t>
      </w:r>
      <w:r>
        <w:rPr>
          <w:sz w:val="24"/>
          <w:szCs w:val="24"/>
        </w:rPr>
        <w:t>s</w:t>
      </w:r>
      <w:r w:rsidRPr="008E4EA4">
        <w:rPr>
          <w:sz w:val="24"/>
          <w:szCs w:val="24"/>
        </w:rPr>
        <w:t xml:space="preserve"> </w:t>
      </w:r>
      <w:r>
        <w:rPr>
          <w:sz w:val="24"/>
          <w:szCs w:val="24"/>
        </w:rPr>
        <w:t>cuestionadas</w:t>
      </w:r>
      <w:r w:rsidRPr="008E4EA4">
        <w:rPr>
          <w:sz w:val="24"/>
          <w:szCs w:val="24"/>
        </w:rPr>
        <w:t>, no se presentó ningún cargo relacionado con el desconocimiento de un fallo de unificación proferido por esta Corporación.</w:t>
      </w:r>
      <w:r>
        <w:rPr>
          <w:sz w:val="24"/>
          <w:szCs w:val="24"/>
        </w:rPr>
        <w:t xml:space="preserve"> A ello se une que la protesta bajo examen no podía alegarse en sede ordinaria, puesto que la decisión adoptada por el Tribunal Administrativo del Huila data de 2020 y la presentación del respectivo recurso de apelación se efectuó en 2018.</w:t>
      </w:r>
    </w:p>
    <w:p w14:paraId="758BEBCE" w14:textId="77777777" w:rsidR="006E053A" w:rsidRPr="00343860" w:rsidRDefault="006E053A" w:rsidP="006E053A">
      <w:pPr>
        <w:spacing w:line="276" w:lineRule="auto"/>
        <w:rPr>
          <w:rFonts w:eastAsia="Verdana"/>
          <w:sz w:val="24"/>
          <w:szCs w:val="24"/>
        </w:rPr>
      </w:pPr>
    </w:p>
    <w:p w14:paraId="13E2325A" w14:textId="6FCEEA66" w:rsidR="006E053A" w:rsidRPr="00F2693D" w:rsidRDefault="006E053A" w:rsidP="006E053A">
      <w:pPr>
        <w:numPr>
          <w:ilvl w:val="1"/>
          <w:numId w:val="1"/>
        </w:numPr>
        <w:overflowPunct w:val="0"/>
        <w:autoSpaceDE w:val="0"/>
        <w:autoSpaceDN w:val="0"/>
        <w:adjustRightInd w:val="0"/>
        <w:spacing w:line="276" w:lineRule="auto"/>
        <w:ind w:left="0" w:firstLine="0"/>
        <w:contextualSpacing/>
        <w:rPr>
          <w:sz w:val="24"/>
          <w:szCs w:val="24"/>
        </w:rPr>
      </w:pPr>
      <w:r w:rsidRPr="00F2693D">
        <w:rPr>
          <w:rFonts w:eastAsia="Verdana"/>
          <w:sz w:val="24"/>
          <w:szCs w:val="24"/>
        </w:rPr>
        <w:t xml:space="preserve">En función del requisito de </w:t>
      </w:r>
      <w:r w:rsidRPr="00F2693D">
        <w:rPr>
          <w:rFonts w:eastAsia="Verdana"/>
          <w:b/>
          <w:sz w:val="24"/>
          <w:szCs w:val="24"/>
        </w:rPr>
        <w:t>inmediatez</w:t>
      </w:r>
      <w:r w:rsidRPr="00F2693D">
        <w:rPr>
          <w:rFonts w:eastAsia="Verdana"/>
          <w:sz w:val="24"/>
          <w:szCs w:val="24"/>
        </w:rPr>
        <w:t>, esta acción fue presentada dentro del término razonable que la jurisprudencia constitucional ha previsto</w:t>
      </w:r>
      <w:r w:rsidRPr="00F2693D">
        <w:rPr>
          <w:sz w:val="24"/>
          <w:szCs w:val="24"/>
          <w:vertAlign w:val="superscript"/>
        </w:rPr>
        <w:footnoteReference w:id="31"/>
      </w:r>
      <w:r w:rsidRPr="00F2693D">
        <w:rPr>
          <w:rFonts w:eastAsia="Verdana"/>
          <w:sz w:val="24"/>
          <w:szCs w:val="24"/>
        </w:rPr>
        <w:t xml:space="preserve"> y que esta Corporación ha interpretado de manera general en seis meses</w:t>
      </w:r>
      <w:r w:rsidRPr="00F2693D">
        <w:rPr>
          <w:sz w:val="24"/>
          <w:szCs w:val="24"/>
          <w:vertAlign w:val="superscript"/>
        </w:rPr>
        <w:footnoteReference w:id="32"/>
      </w:r>
      <w:r w:rsidRPr="00F2693D">
        <w:rPr>
          <w:rFonts w:eastAsia="Verdana"/>
          <w:sz w:val="24"/>
          <w:szCs w:val="24"/>
        </w:rPr>
        <w:t>. En efecto, el último fallo cuestionado fue dictado el 2</w:t>
      </w:r>
      <w:r w:rsidR="00B61E1F">
        <w:rPr>
          <w:rFonts w:eastAsia="Verdana"/>
          <w:sz w:val="24"/>
          <w:szCs w:val="24"/>
        </w:rPr>
        <w:t>7</w:t>
      </w:r>
      <w:r w:rsidRPr="00F2693D">
        <w:rPr>
          <w:rFonts w:eastAsia="Verdana"/>
          <w:sz w:val="24"/>
          <w:szCs w:val="24"/>
        </w:rPr>
        <w:t xml:space="preserve"> de octubre de 20</w:t>
      </w:r>
      <w:r w:rsidR="00B61E1F">
        <w:rPr>
          <w:rFonts w:eastAsia="Verdana"/>
          <w:sz w:val="24"/>
          <w:szCs w:val="24"/>
        </w:rPr>
        <w:t>20</w:t>
      </w:r>
      <w:r w:rsidRPr="00F2693D">
        <w:rPr>
          <w:rFonts w:eastAsia="Verdana"/>
          <w:sz w:val="24"/>
          <w:szCs w:val="24"/>
        </w:rPr>
        <w:t xml:space="preserve"> y notificado mediante mensaje de correo electrónico del </w:t>
      </w:r>
      <w:r w:rsidR="00B61E1F">
        <w:rPr>
          <w:rFonts w:eastAsia="Verdana"/>
          <w:sz w:val="24"/>
          <w:szCs w:val="24"/>
        </w:rPr>
        <w:t>29 de ese mes y año</w:t>
      </w:r>
      <w:r w:rsidRPr="00F2693D">
        <w:rPr>
          <w:rFonts w:eastAsia="Verdana"/>
          <w:sz w:val="24"/>
          <w:szCs w:val="24"/>
        </w:rPr>
        <w:t xml:space="preserve">. A su vez, la tutela bajo estudio fue radicada el </w:t>
      </w:r>
      <w:r w:rsidR="00B61E1F">
        <w:rPr>
          <w:rFonts w:eastAsia="Verdana"/>
          <w:sz w:val="24"/>
          <w:szCs w:val="24"/>
        </w:rPr>
        <w:t>7</w:t>
      </w:r>
      <w:r w:rsidRPr="00F2693D">
        <w:rPr>
          <w:rFonts w:eastAsia="Verdana"/>
          <w:sz w:val="24"/>
          <w:szCs w:val="24"/>
        </w:rPr>
        <w:t xml:space="preserve"> de </w:t>
      </w:r>
      <w:r w:rsidR="00B61E1F">
        <w:rPr>
          <w:rFonts w:eastAsia="Verdana"/>
          <w:sz w:val="24"/>
          <w:szCs w:val="24"/>
        </w:rPr>
        <w:t>abril de los corrientes</w:t>
      </w:r>
      <w:r w:rsidR="00B61E1F">
        <w:rPr>
          <w:rStyle w:val="Refdenotaalpie"/>
          <w:rFonts w:eastAsia="Verdana"/>
          <w:sz w:val="24"/>
          <w:szCs w:val="24"/>
        </w:rPr>
        <w:footnoteReference w:id="33"/>
      </w:r>
      <w:r w:rsidRPr="00F2693D">
        <w:rPr>
          <w:rFonts w:eastAsia="Verdana"/>
          <w:sz w:val="24"/>
          <w:szCs w:val="24"/>
        </w:rPr>
        <w:t>. Así las cosas, pasó un tiempo que está alrededor de los seis meses indicados líneas arriba.</w:t>
      </w:r>
    </w:p>
    <w:p w14:paraId="67B26B8D" w14:textId="77777777" w:rsidR="006E053A" w:rsidRPr="00343860" w:rsidRDefault="006E053A" w:rsidP="006E053A">
      <w:pPr>
        <w:overflowPunct w:val="0"/>
        <w:autoSpaceDE w:val="0"/>
        <w:autoSpaceDN w:val="0"/>
        <w:adjustRightInd w:val="0"/>
        <w:spacing w:line="276" w:lineRule="auto"/>
        <w:contextualSpacing/>
        <w:rPr>
          <w:sz w:val="24"/>
          <w:szCs w:val="24"/>
        </w:rPr>
      </w:pPr>
    </w:p>
    <w:p w14:paraId="42D4FDA7" w14:textId="77777777" w:rsidR="006E053A" w:rsidRPr="00343860" w:rsidRDefault="006E053A" w:rsidP="006E053A">
      <w:pPr>
        <w:numPr>
          <w:ilvl w:val="1"/>
          <w:numId w:val="1"/>
        </w:numPr>
        <w:spacing w:line="276" w:lineRule="auto"/>
        <w:ind w:left="0" w:firstLine="0"/>
        <w:contextualSpacing/>
        <w:rPr>
          <w:rFonts w:eastAsia="Verdana"/>
          <w:sz w:val="24"/>
          <w:szCs w:val="24"/>
        </w:rPr>
      </w:pPr>
      <w:r w:rsidRPr="00343860">
        <w:rPr>
          <w:sz w:val="24"/>
          <w:szCs w:val="24"/>
        </w:rPr>
        <w:t>Finalmente, en la solicitud de amparo no se argumentó la existencia de alguna irregularidad procesal, ni las providencias cuestionadas son sentencias de tutela, circunstancias que exigirían un análisis de procedibilidad diferenciado.</w:t>
      </w:r>
    </w:p>
    <w:p w14:paraId="0013CC0F" w14:textId="77777777" w:rsidR="006E053A" w:rsidRPr="00343860" w:rsidRDefault="006E053A" w:rsidP="006E053A">
      <w:pPr>
        <w:spacing w:line="276" w:lineRule="auto"/>
        <w:contextualSpacing/>
        <w:rPr>
          <w:sz w:val="24"/>
          <w:szCs w:val="24"/>
        </w:rPr>
      </w:pPr>
    </w:p>
    <w:p w14:paraId="69984F67" w14:textId="32957226" w:rsidR="007F25D2" w:rsidRDefault="006E053A" w:rsidP="00B61E1F">
      <w:pPr>
        <w:spacing w:line="276" w:lineRule="auto"/>
        <w:contextualSpacing/>
        <w:rPr>
          <w:sz w:val="24"/>
          <w:szCs w:val="24"/>
        </w:rPr>
      </w:pPr>
      <w:r w:rsidRPr="00343860">
        <w:rPr>
          <w:sz w:val="24"/>
          <w:szCs w:val="24"/>
        </w:rPr>
        <w:t xml:space="preserve">En suma, en lo que atañe a los </w:t>
      </w:r>
      <w:r>
        <w:rPr>
          <w:sz w:val="24"/>
          <w:szCs w:val="24"/>
        </w:rPr>
        <w:t>fallos</w:t>
      </w:r>
      <w:r w:rsidRPr="00343860">
        <w:rPr>
          <w:sz w:val="24"/>
          <w:szCs w:val="24"/>
        </w:rPr>
        <w:t xml:space="preserve"> </w:t>
      </w:r>
      <w:r w:rsidRPr="00343860">
        <w:rPr>
          <w:rFonts w:eastAsia="Verdana"/>
          <w:sz w:val="24"/>
          <w:szCs w:val="24"/>
        </w:rPr>
        <w:t xml:space="preserve">accionados, </w:t>
      </w:r>
      <w:r w:rsidRPr="00343860">
        <w:rPr>
          <w:sz w:val="24"/>
          <w:szCs w:val="24"/>
        </w:rPr>
        <w:t>la Sala tiene por satisfechos l</w:t>
      </w:r>
      <w:r w:rsidR="00CB093A">
        <w:rPr>
          <w:sz w:val="24"/>
          <w:szCs w:val="24"/>
        </w:rPr>
        <w:t>a</w:t>
      </w:r>
      <w:r w:rsidRPr="00343860">
        <w:rPr>
          <w:sz w:val="24"/>
          <w:szCs w:val="24"/>
        </w:rPr>
        <w:t xml:space="preserve">s </w:t>
      </w:r>
      <w:r w:rsidR="00CB093A">
        <w:rPr>
          <w:sz w:val="24"/>
          <w:szCs w:val="24"/>
        </w:rPr>
        <w:t>exigencias</w:t>
      </w:r>
      <w:r w:rsidRPr="00343860">
        <w:rPr>
          <w:sz w:val="24"/>
          <w:szCs w:val="24"/>
        </w:rPr>
        <w:t xml:space="preserve"> generales de procedibilidad de la acción. Por ende, avanza a analizar los requisitos específicos de procedencia. Lo anterior, en lo que se refiere </w:t>
      </w:r>
      <w:r w:rsidR="00B61E1F">
        <w:rPr>
          <w:sz w:val="24"/>
          <w:szCs w:val="24"/>
        </w:rPr>
        <w:t>al</w:t>
      </w:r>
      <w:r w:rsidRPr="00343860">
        <w:rPr>
          <w:sz w:val="24"/>
          <w:szCs w:val="24"/>
        </w:rPr>
        <w:t xml:space="preserve"> defecto </w:t>
      </w:r>
      <w:r>
        <w:rPr>
          <w:sz w:val="24"/>
          <w:szCs w:val="24"/>
        </w:rPr>
        <w:t>identificado arriba como relevante constitucionalmente</w:t>
      </w:r>
      <w:r w:rsidRPr="00343860">
        <w:rPr>
          <w:sz w:val="24"/>
          <w:szCs w:val="24"/>
        </w:rPr>
        <w:t>.</w:t>
      </w:r>
    </w:p>
    <w:p w14:paraId="2544DCA7" w14:textId="77777777" w:rsidR="00B61E1F" w:rsidRPr="00343860" w:rsidRDefault="00B61E1F" w:rsidP="00B61E1F">
      <w:pPr>
        <w:spacing w:line="276" w:lineRule="auto"/>
        <w:contextualSpacing/>
        <w:rPr>
          <w:sz w:val="24"/>
          <w:szCs w:val="24"/>
        </w:rPr>
      </w:pPr>
    </w:p>
    <w:p w14:paraId="5DD1C071" w14:textId="217BAAB7" w:rsidR="00B61E1F" w:rsidRPr="00343860" w:rsidRDefault="00B61E1F" w:rsidP="00B61E1F">
      <w:pPr>
        <w:numPr>
          <w:ilvl w:val="0"/>
          <w:numId w:val="1"/>
        </w:numPr>
        <w:spacing w:line="276" w:lineRule="auto"/>
        <w:ind w:left="0" w:firstLine="0"/>
        <w:contextualSpacing/>
        <w:rPr>
          <w:b/>
          <w:sz w:val="24"/>
          <w:szCs w:val="24"/>
        </w:rPr>
      </w:pPr>
      <w:r w:rsidRPr="00343860">
        <w:rPr>
          <w:b/>
          <w:sz w:val="24"/>
          <w:szCs w:val="24"/>
        </w:rPr>
        <w:t xml:space="preserve">Problema </w:t>
      </w:r>
      <w:r w:rsidR="00D51EE9">
        <w:rPr>
          <w:b/>
          <w:sz w:val="24"/>
          <w:szCs w:val="24"/>
        </w:rPr>
        <w:t>j</w:t>
      </w:r>
      <w:r w:rsidRPr="00343860">
        <w:rPr>
          <w:b/>
          <w:sz w:val="24"/>
          <w:szCs w:val="24"/>
        </w:rPr>
        <w:t>urídico</w:t>
      </w:r>
    </w:p>
    <w:p w14:paraId="52D09DB8" w14:textId="77777777" w:rsidR="00B61E1F" w:rsidRDefault="00B61E1F" w:rsidP="00B61E1F">
      <w:pPr>
        <w:spacing w:line="276" w:lineRule="auto"/>
        <w:rPr>
          <w:bCs/>
          <w:sz w:val="24"/>
          <w:szCs w:val="24"/>
        </w:rPr>
      </w:pPr>
    </w:p>
    <w:p w14:paraId="69121512" w14:textId="65E8A40B" w:rsidR="00B61E1F" w:rsidRDefault="00B61E1F" w:rsidP="00B61E1F">
      <w:pPr>
        <w:spacing w:line="276" w:lineRule="auto"/>
        <w:rPr>
          <w:bCs/>
          <w:sz w:val="24"/>
          <w:szCs w:val="24"/>
        </w:rPr>
      </w:pPr>
      <w:r>
        <w:rPr>
          <w:bCs/>
          <w:sz w:val="24"/>
          <w:szCs w:val="24"/>
        </w:rPr>
        <w:t>De conformidad con lo delimitado en el acápite anterior (n.° 2.3.2.), la Sala deberá estudiar el siguiente problema jurídico: ¿incurrió la sentencia del 27 de octubre de 2020</w:t>
      </w:r>
      <w:r w:rsidR="002341D0">
        <w:rPr>
          <w:bCs/>
          <w:sz w:val="24"/>
          <w:szCs w:val="24"/>
        </w:rPr>
        <w:t xml:space="preserve"> en desconocimiento del derecho a la igualdad de trato de la actora, en la medida en que inobservó lo resuelto por el Tribunal Administrativo del Huila en la providencia del</w:t>
      </w:r>
      <w:r>
        <w:rPr>
          <w:bCs/>
          <w:sz w:val="24"/>
          <w:szCs w:val="24"/>
        </w:rPr>
        <w:t xml:space="preserve"> </w:t>
      </w:r>
      <w:r w:rsidR="002341D0">
        <w:rPr>
          <w:bCs/>
          <w:sz w:val="24"/>
          <w:szCs w:val="24"/>
        </w:rPr>
        <w:t>15 de septiembre de 2020, decisión que</w:t>
      </w:r>
      <w:r w:rsidR="00450A7C">
        <w:rPr>
          <w:bCs/>
          <w:sz w:val="24"/>
          <w:szCs w:val="24"/>
        </w:rPr>
        <w:t>,</w:t>
      </w:r>
      <w:r w:rsidR="002341D0">
        <w:rPr>
          <w:bCs/>
          <w:sz w:val="24"/>
          <w:szCs w:val="24"/>
        </w:rPr>
        <w:t xml:space="preserve"> </w:t>
      </w:r>
      <w:r w:rsidR="00C45BDF">
        <w:rPr>
          <w:bCs/>
          <w:sz w:val="24"/>
          <w:szCs w:val="24"/>
        </w:rPr>
        <w:t xml:space="preserve">considera, </w:t>
      </w:r>
      <w:r w:rsidR="002341D0">
        <w:rPr>
          <w:bCs/>
          <w:sz w:val="24"/>
          <w:szCs w:val="24"/>
        </w:rPr>
        <w:t>constituye precedente horizontal por haber sido adoptada dentro de un proceso comparable con el que ella promovió?</w:t>
      </w:r>
    </w:p>
    <w:p w14:paraId="410B1DC8" w14:textId="77777777" w:rsidR="00D51EE9" w:rsidRPr="00343860" w:rsidRDefault="00D51EE9" w:rsidP="00D51EE9">
      <w:pPr>
        <w:spacing w:line="276" w:lineRule="auto"/>
        <w:contextualSpacing/>
        <w:rPr>
          <w:sz w:val="24"/>
          <w:szCs w:val="24"/>
        </w:rPr>
      </w:pPr>
    </w:p>
    <w:p w14:paraId="62826130" w14:textId="2B719EF2" w:rsidR="00D51EE9" w:rsidRPr="00343860" w:rsidRDefault="00D51EE9" w:rsidP="00D51EE9">
      <w:pPr>
        <w:numPr>
          <w:ilvl w:val="0"/>
          <w:numId w:val="1"/>
        </w:numPr>
        <w:spacing w:line="276" w:lineRule="auto"/>
        <w:ind w:left="0" w:firstLine="0"/>
        <w:contextualSpacing/>
        <w:rPr>
          <w:b/>
          <w:sz w:val="24"/>
          <w:szCs w:val="24"/>
        </w:rPr>
      </w:pPr>
      <w:r>
        <w:rPr>
          <w:b/>
          <w:sz w:val="24"/>
          <w:szCs w:val="24"/>
        </w:rPr>
        <w:t>Solución del p</w:t>
      </w:r>
      <w:r w:rsidRPr="00343860">
        <w:rPr>
          <w:b/>
          <w:sz w:val="24"/>
          <w:szCs w:val="24"/>
        </w:rPr>
        <w:t xml:space="preserve">roblema </w:t>
      </w:r>
      <w:r>
        <w:rPr>
          <w:b/>
          <w:sz w:val="24"/>
          <w:szCs w:val="24"/>
        </w:rPr>
        <w:t>j</w:t>
      </w:r>
      <w:r w:rsidRPr="00343860">
        <w:rPr>
          <w:b/>
          <w:sz w:val="24"/>
          <w:szCs w:val="24"/>
        </w:rPr>
        <w:t>urídico</w:t>
      </w:r>
    </w:p>
    <w:p w14:paraId="13F831F8" w14:textId="77777777" w:rsidR="00563E04" w:rsidRDefault="00563E04" w:rsidP="00563E04">
      <w:pPr>
        <w:overflowPunct w:val="0"/>
        <w:autoSpaceDE w:val="0"/>
        <w:autoSpaceDN w:val="0"/>
        <w:adjustRightInd w:val="0"/>
        <w:spacing w:line="276" w:lineRule="auto"/>
        <w:contextualSpacing/>
        <w:rPr>
          <w:sz w:val="24"/>
          <w:szCs w:val="24"/>
        </w:rPr>
      </w:pPr>
    </w:p>
    <w:p w14:paraId="33A1B955" w14:textId="473ABB98" w:rsidR="00563E04" w:rsidRPr="00FA1629" w:rsidRDefault="00563E04" w:rsidP="00563E04">
      <w:pPr>
        <w:numPr>
          <w:ilvl w:val="1"/>
          <w:numId w:val="29"/>
        </w:numPr>
        <w:overflowPunct w:val="0"/>
        <w:autoSpaceDE w:val="0"/>
        <w:autoSpaceDN w:val="0"/>
        <w:adjustRightInd w:val="0"/>
        <w:spacing w:line="276" w:lineRule="auto"/>
        <w:ind w:left="0" w:firstLine="0"/>
        <w:contextualSpacing/>
        <w:rPr>
          <w:sz w:val="24"/>
          <w:szCs w:val="24"/>
        </w:rPr>
      </w:pPr>
      <w:r>
        <w:rPr>
          <w:sz w:val="24"/>
          <w:szCs w:val="24"/>
        </w:rPr>
        <w:t xml:space="preserve">Para la </w:t>
      </w:r>
      <w:r w:rsidR="00524BB9">
        <w:rPr>
          <w:sz w:val="24"/>
          <w:szCs w:val="24"/>
        </w:rPr>
        <w:t>peticionaria</w:t>
      </w:r>
      <w:r>
        <w:rPr>
          <w:sz w:val="24"/>
          <w:szCs w:val="24"/>
        </w:rPr>
        <w:t xml:space="preserve">, </w:t>
      </w:r>
      <w:r w:rsidRPr="00563E04">
        <w:rPr>
          <w:sz w:val="24"/>
          <w:szCs w:val="24"/>
        </w:rPr>
        <w:t>el</w:t>
      </w:r>
      <w:r>
        <w:rPr>
          <w:sz w:val="24"/>
          <w:szCs w:val="24"/>
        </w:rPr>
        <w:t xml:space="preserve"> fallo de segunda instancia </w:t>
      </w:r>
      <w:r w:rsidR="00524BB9">
        <w:rPr>
          <w:sz w:val="24"/>
          <w:szCs w:val="24"/>
        </w:rPr>
        <w:t>enjuiciado</w:t>
      </w:r>
      <w:r>
        <w:rPr>
          <w:sz w:val="24"/>
          <w:szCs w:val="24"/>
        </w:rPr>
        <w:t xml:space="preserve"> </w:t>
      </w:r>
      <w:r w:rsidR="00524BB9">
        <w:rPr>
          <w:sz w:val="24"/>
          <w:szCs w:val="24"/>
        </w:rPr>
        <w:t>vulneró</w:t>
      </w:r>
      <w:r>
        <w:rPr>
          <w:sz w:val="24"/>
          <w:szCs w:val="24"/>
        </w:rPr>
        <w:t xml:space="preserve"> su garantía de igualdad de trato. </w:t>
      </w:r>
      <w:r w:rsidR="00524BB9">
        <w:rPr>
          <w:sz w:val="24"/>
          <w:szCs w:val="24"/>
        </w:rPr>
        <w:t>En concreto</w:t>
      </w:r>
      <w:r>
        <w:rPr>
          <w:sz w:val="24"/>
          <w:szCs w:val="24"/>
        </w:rPr>
        <w:t xml:space="preserve">, </w:t>
      </w:r>
      <w:r w:rsidR="00524BB9">
        <w:rPr>
          <w:sz w:val="24"/>
          <w:szCs w:val="24"/>
        </w:rPr>
        <w:t>inobservó</w:t>
      </w:r>
      <w:r>
        <w:rPr>
          <w:sz w:val="24"/>
          <w:szCs w:val="24"/>
        </w:rPr>
        <w:t xml:space="preserve"> la </w:t>
      </w:r>
      <w:r w:rsidR="00524BB9">
        <w:rPr>
          <w:sz w:val="24"/>
          <w:szCs w:val="24"/>
        </w:rPr>
        <w:t>providencia</w:t>
      </w:r>
      <w:r>
        <w:rPr>
          <w:sz w:val="24"/>
          <w:szCs w:val="24"/>
        </w:rPr>
        <w:t xml:space="preserve"> del 15 de septiembre de 2020, </w:t>
      </w:r>
      <w:r w:rsidR="00524BB9">
        <w:rPr>
          <w:sz w:val="24"/>
          <w:szCs w:val="24"/>
        </w:rPr>
        <w:t>proferida por</w:t>
      </w:r>
      <w:r>
        <w:rPr>
          <w:sz w:val="24"/>
          <w:szCs w:val="24"/>
        </w:rPr>
        <w:t xml:space="preserve"> el </w:t>
      </w:r>
      <w:r w:rsidRPr="00644150">
        <w:rPr>
          <w:sz w:val="24"/>
          <w:szCs w:val="24"/>
        </w:rPr>
        <w:t>Tribunal Administrativo del Huila</w:t>
      </w:r>
      <w:r>
        <w:rPr>
          <w:sz w:val="24"/>
          <w:szCs w:val="24"/>
        </w:rPr>
        <w:t xml:space="preserve">. </w:t>
      </w:r>
      <w:r w:rsidR="00524BB9">
        <w:rPr>
          <w:sz w:val="24"/>
          <w:szCs w:val="24"/>
        </w:rPr>
        <w:t>En ese proveído fue ordenado</w:t>
      </w:r>
      <w:r>
        <w:rPr>
          <w:sz w:val="24"/>
          <w:szCs w:val="24"/>
        </w:rPr>
        <w:t xml:space="preserve"> que la indemnización sustitutiva </w:t>
      </w:r>
      <w:r w:rsidR="00524BB9">
        <w:rPr>
          <w:sz w:val="24"/>
          <w:szCs w:val="24"/>
        </w:rPr>
        <w:t xml:space="preserve">objeto </w:t>
      </w:r>
      <w:r w:rsidR="007A6790">
        <w:rPr>
          <w:sz w:val="24"/>
          <w:szCs w:val="24"/>
        </w:rPr>
        <w:t>de discusión</w:t>
      </w:r>
      <w:r>
        <w:rPr>
          <w:sz w:val="24"/>
          <w:szCs w:val="24"/>
        </w:rPr>
        <w:t xml:space="preserve"> se liquidara con base en un PPC </w:t>
      </w:r>
      <w:r w:rsidR="007A6790">
        <w:rPr>
          <w:sz w:val="24"/>
          <w:szCs w:val="24"/>
        </w:rPr>
        <w:t>de</w:t>
      </w:r>
      <w:r>
        <w:rPr>
          <w:sz w:val="24"/>
          <w:szCs w:val="24"/>
        </w:rPr>
        <w:t xml:space="preserve">l diez por ciento (10%). En su </w:t>
      </w:r>
      <w:r w:rsidR="00524BB9">
        <w:rPr>
          <w:sz w:val="24"/>
          <w:szCs w:val="24"/>
        </w:rPr>
        <w:t>sentir</w:t>
      </w:r>
      <w:r>
        <w:rPr>
          <w:sz w:val="24"/>
          <w:szCs w:val="24"/>
        </w:rPr>
        <w:t xml:space="preserve">, </w:t>
      </w:r>
      <w:r w:rsidR="00524BB9">
        <w:rPr>
          <w:sz w:val="24"/>
          <w:szCs w:val="24"/>
        </w:rPr>
        <w:t>esa sentencia constituye</w:t>
      </w:r>
      <w:r w:rsidRPr="00187E48">
        <w:rPr>
          <w:b/>
          <w:bCs/>
          <w:sz w:val="24"/>
          <w:szCs w:val="24"/>
        </w:rPr>
        <w:t xml:space="preserve"> precedente horizontal</w:t>
      </w:r>
      <w:r>
        <w:rPr>
          <w:sz w:val="24"/>
          <w:szCs w:val="24"/>
        </w:rPr>
        <w:t xml:space="preserve">, pues trata </w:t>
      </w:r>
      <w:r w:rsidR="00524BB9">
        <w:rPr>
          <w:sz w:val="24"/>
          <w:szCs w:val="24"/>
        </w:rPr>
        <w:t>sobre</w:t>
      </w:r>
      <w:r>
        <w:rPr>
          <w:sz w:val="24"/>
          <w:szCs w:val="24"/>
        </w:rPr>
        <w:t xml:space="preserve"> la misma prestación económica</w:t>
      </w:r>
      <w:r w:rsidR="007A6790">
        <w:rPr>
          <w:sz w:val="24"/>
          <w:szCs w:val="24"/>
        </w:rPr>
        <w:t xml:space="preserve"> que la reclamada por ella</w:t>
      </w:r>
      <w:r>
        <w:rPr>
          <w:sz w:val="24"/>
          <w:szCs w:val="24"/>
        </w:rPr>
        <w:t xml:space="preserve">, el mismo régimen, la misma demandada y hechos </w:t>
      </w:r>
      <w:r w:rsidR="007A6790">
        <w:rPr>
          <w:sz w:val="24"/>
          <w:szCs w:val="24"/>
        </w:rPr>
        <w:t>similares</w:t>
      </w:r>
      <w:r>
        <w:rPr>
          <w:sz w:val="24"/>
          <w:szCs w:val="24"/>
        </w:rPr>
        <w:t xml:space="preserve"> entre sí.</w:t>
      </w:r>
    </w:p>
    <w:p w14:paraId="5E4FBB3B" w14:textId="005A0A1B" w:rsidR="00563E04" w:rsidRDefault="00563E04" w:rsidP="00563E04">
      <w:pPr>
        <w:pStyle w:val="Prrafodelista"/>
        <w:overflowPunct w:val="0"/>
        <w:autoSpaceDE w:val="0"/>
        <w:autoSpaceDN w:val="0"/>
        <w:adjustRightInd w:val="0"/>
        <w:spacing w:line="276" w:lineRule="auto"/>
        <w:ind w:left="0"/>
        <w:rPr>
          <w:sz w:val="24"/>
          <w:szCs w:val="24"/>
        </w:rPr>
      </w:pPr>
    </w:p>
    <w:p w14:paraId="194268C8" w14:textId="7B03F6AA" w:rsidR="00976EA8" w:rsidRDefault="00976EA8" w:rsidP="00563E04">
      <w:pPr>
        <w:pStyle w:val="Prrafodelista"/>
        <w:overflowPunct w:val="0"/>
        <w:autoSpaceDE w:val="0"/>
        <w:autoSpaceDN w:val="0"/>
        <w:adjustRightInd w:val="0"/>
        <w:spacing w:line="276" w:lineRule="auto"/>
        <w:ind w:left="0"/>
        <w:rPr>
          <w:sz w:val="24"/>
          <w:szCs w:val="24"/>
        </w:rPr>
      </w:pPr>
      <w:r>
        <w:rPr>
          <w:sz w:val="24"/>
          <w:szCs w:val="24"/>
        </w:rPr>
        <w:t>Con el propósito de resolver el asunto debe hacerse referencia</w:t>
      </w:r>
      <w:r w:rsidR="00DA069A">
        <w:rPr>
          <w:sz w:val="24"/>
          <w:szCs w:val="24"/>
        </w:rPr>
        <w:t>, de cara a lo considerado por la peticionaria en su escrito de tutela,</w:t>
      </w:r>
      <w:r>
        <w:rPr>
          <w:sz w:val="24"/>
          <w:szCs w:val="24"/>
        </w:rPr>
        <w:t xml:space="preserve"> a la igualdad de trato jurídico al que tienen derecho los usuarios de la administración de justicia. Enseguida, debe verse cómo ese mismo tratamiento se ve materializado a través de la observancia del precedente. De este se destacará su modalidad horizontal y luego se </w:t>
      </w:r>
      <w:r w:rsidR="00DA069A">
        <w:rPr>
          <w:sz w:val="24"/>
          <w:szCs w:val="24"/>
        </w:rPr>
        <w:t>mencionará el</w:t>
      </w:r>
      <w:r>
        <w:rPr>
          <w:sz w:val="24"/>
          <w:szCs w:val="24"/>
        </w:rPr>
        <w:t xml:space="preserve"> precedente vertical, en especial, el emanado de esta Corporación.</w:t>
      </w:r>
    </w:p>
    <w:p w14:paraId="60394900" w14:textId="77777777" w:rsidR="00DA069A" w:rsidRDefault="00DA069A" w:rsidP="00563E04">
      <w:pPr>
        <w:pStyle w:val="Prrafodelista"/>
        <w:overflowPunct w:val="0"/>
        <w:autoSpaceDE w:val="0"/>
        <w:autoSpaceDN w:val="0"/>
        <w:adjustRightInd w:val="0"/>
        <w:spacing w:line="276" w:lineRule="auto"/>
        <w:ind w:left="0"/>
        <w:rPr>
          <w:sz w:val="24"/>
          <w:szCs w:val="24"/>
        </w:rPr>
      </w:pPr>
    </w:p>
    <w:p w14:paraId="3AA588D7" w14:textId="6669B776" w:rsidR="00976EA8" w:rsidRDefault="00976EA8" w:rsidP="00563E04">
      <w:pPr>
        <w:pStyle w:val="Prrafodelista"/>
        <w:overflowPunct w:val="0"/>
        <w:autoSpaceDE w:val="0"/>
        <w:autoSpaceDN w:val="0"/>
        <w:adjustRightInd w:val="0"/>
        <w:spacing w:line="276" w:lineRule="auto"/>
        <w:ind w:left="0"/>
        <w:rPr>
          <w:sz w:val="24"/>
          <w:szCs w:val="24"/>
        </w:rPr>
      </w:pPr>
      <w:r>
        <w:rPr>
          <w:sz w:val="24"/>
          <w:szCs w:val="24"/>
        </w:rPr>
        <w:t xml:space="preserve">Al momento de efectuar la interpretación conjunta de los artículos 13 y 229 Superiores </w:t>
      </w:r>
      <w:r w:rsidR="00435829">
        <w:rPr>
          <w:sz w:val="24"/>
          <w:szCs w:val="24"/>
        </w:rPr>
        <w:t>resulta claro</w:t>
      </w:r>
      <w:r>
        <w:rPr>
          <w:sz w:val="24"/>
          <w:szCs w:val="24"/>
        </w:rPr>
        <w:t xml:space="preserve"> que el derecho a acceder a la administración de justicia también implica el derecho a recibir trato idéntico en situaciones comparables</w:t>
      </w:r>
      <w:r>
        <w:rPr>
          <w:rStyle w:val="Refdenotaalpie"/>
          <w:sz w:val="24"/>
          <w:szCs w:val="24"/>
        </w:rPr>
        <w:footnoteReference w:id="34"/>
      </w:r>
      <w:r>
        <w:rPr>
          <w:sz w:val="24"/>
          <w:szCs w:val="24"/>
        </w:rPr>
        <w:t>.</w:t>
      </w:r>
      <w:r w:rsidR="00A74D69">
        <w:rPr>
          <w:sz w:val="24"/>
          <w:szCs w:val="24"/>
        </w:rPr>
        <w:t xml:space="preserve"> De ese modo, quien acude a la jurisdicción tiene </w:t>
      </w:r>
      <w:r w:rsidR="00030677">
        <w:rPr>
          <w:sz w:val="24"/>
          <w:szCs w:val="24"/>
        </w:rPr>
        <w:t>confianza legítima</w:t>
      </w:r>
      <w:r w:rsidR="00AB223C">
        <w:rPr>
          <w:rStyle w:val="Refdenotaalpie"/>
          <w:sz w:val="24"/>
          <w:szCs w:val="24"/>
        </w:rPr>
        <w:footnoteReference w:id="35"/>
      </w:r>
      <w:r w:rsidR="00030677">
        <w:rPr>
          <w:sz w:val="24"/>
          <w:szCs w:val="24"/>
        </w:rPr>
        <w:t xml:space="preserve"> en</w:t>
      </w:r>
      <w:r w:rsidR="00A74D69">
        <w:rPr>
          <w:sz w:val="24"/>
          <w:szCs w:val="24"/>
        </w:rPr>
        <w:t xml:space="preserve"> que su problema jurídico le se</w:t>
      </w:r>
      <w:r w:rsidR="00030677">
        <w:rPr>
          <w:sz w:val="24"/>
          <w:szCs w:val="24"/>
        </w:rPr>
        <w:t>rá</w:t>
      </w:r>
      <w:r w:rsidR="00A74D69">
        <w:rPr>
          <w:sz w:val="24"/>
          <w:szCs w:val="24"/>
        </w:rPr>
        <w:t xml:space="preserve"> resuelto de la misma manera en que son solucionados problemas similares. </w:t>
      </w:r>
      <w:r w:rsidR="00CF16FB">
        <w:rPr>
          <w:sz w:val="24"/>
          <w:szCs w:val="24"/>
        </w:rPr>
        <w:t xml:space="preserve">Ello es consecuencia de </w:t>
      </w:r>
      <w:r w:rsidR="00DA069A">
        <w:rPr>
          <w:sz w:val="24"/>
          <w:szCs w:val="24"/>
        </w:rPr>
        <w:t>una</w:t>
      </w:r>
      <w:r w:rsidR="00CF16FB">
        <w:rPr>
          <w:sz w:val="24"/>
          <w:szCs w:val="24"/>
        </w:rPr>
        <w:t xml:space="preserve"> igual interpretación y aplicación del ordenamiento jurídico</w:t>
      </w:r>
      <w:r w:rsidR="00060C29">
        <w:rPr>
          <w:rStyle w:val="Refdenotaalpie"/>
          <w:sz w:val="24"/>
          <w:szCs w:val="24"/>
        </w:rPr>
        <w:footnoteReference w:id="36"/>
      </w:r>
      <w:r w:rsidR="00CF16FB">
        <w:rPr>
          <w:sz w:val="24"/>
          <w:szCs w:val="24"/>
        </w:rPr>
        <w:t xml:space="preserve">. </w:t>
      </w:r>
      <w:r w:rsidR="00A74D69">
        <w:rPr>
          <w:sz w:val="24"/>
          <w:szCs w:val="24"/>
        </w:rPr>
        <w:t>Lo anterior</w:t>
      </w:r>
      <w:r w:rsidR="005926AB">
        <w:rPr>
          <w:sz w:val="24"/>
          <w:szCs w:val="24"/>
        </w:rPr>
        <w:t>, así mismo,</w:t>
      </w:r>
      <w:r w:rsidR="00A74D69">
        <w:rPr>
          <w:sz w:val="24"/>
          <w:szCs w:val="24"/>
        </w:rPr>
        <w:t xml:space="preserve"> conlleva</w:t>
      </w:r>
      <w:r w:rsidR="005926AB">
        <w:rPr>
          <w:sz w:val="24"/>
          <w:szCs w:val="24"/>
        </w:rPr>
        <w:t xml:space="preserve"> </w:t>
      </w:r>
      <w:r w:rsidR="00A74D69">
        <w:rPr>
          <w:sz w:val="24"/>
          <w:szCs w:val="24"/>
        </w:rPr>
        <w:t>que el principio de independencia judicial tenga que armonizarse con el derecho a la igualdad de trato jurídico, pues, por tener al primero como absoluto e irrestricto, los jueces pueden incurrir en arbitrariedad</w:t>
      </w:r>
      <w:r w:rsidR="00DA069A">
        <w:rPr>
          <w:sz w:val="24"/>
          <w:szCs w:val="24"/>
        </w:rPr>
        <w:t>es</w:t>
      </w:r>
      <w:r w:rsidR="005926AB">
        <w:rPr>
          <w:rStyle w:val="Refdenotaalpie"/>
          <w:sz w:val="24"/>
          <w:szCs w:val="24"/>
        </w:rPr>
        <w:footnoteReference w:id="37"/>
      </w:r>
      <w:r w:rsidR="00A74D69">
        <w:rPr>
          <w:sz w:val="24"/>
          <w:szCs w:val="24"/>
        </w:rPr>
        <w:t>.</w:t>
      </w:r>
      <w:r w:rsidR="002D60FC">
        <w:rPr>
          <w:sz w:val="24"/>
          <w:szCs w:val="24"/>
        </w:rPr>
        <w:t xml:space="preserve"> Todo lo explicado </w:t>
      </w:r>
      <w:r w:rsidR="00DA069A">
        <w:rPr>
          <w:sz w:val="24"/>
          <w:szCs w:val="24"/>
        </w:rPr>
        <w:t>fue</w:t>
      </w:r>
      <w:r w:rsidR="002D60FC">
        <w:rPr>
          <w:sz w:val="24"/>
          <w:szCs w:val="24"/>
        </w:rPr>
        <w:t xml:space="preserve"> </w:t>
      </w:r>
      <w:r w:rsidR="00DA069A">
        <w:rPr>
          <w:sz w:val="24"/>
          <w:szCs w:val="24"/>
        </w:rPr>
        <w:t>descrito</w:t>
      </w:r>
      <w:r w:rsidR="002D60FC">
        <w:rPr>
          <w:sz w:val="24"/>
          <w:szCs w:val="24"/>
        </w:rPr>
        <w:t xml:space="preserve"> por la accionante </w:t>
      </w:r>
      <w:r w:rsidR="00DA069A">
        <w:rPr>
          <w:sz w:val="24"/>
          <w:szCs w:val="24"/>
        </w:rPr>
        <w:t xml:space="preserve">en su libelo </w:t>
      </w:r>
      <w:r w:rsidR="002D60FC">
        <w:rPr>
          <w:sz w:val="24"/>
          <w:szCs w:val="24"/>
        </w:rPr>
        <w:t>y le asiste razón en ello.</w:t>
      </w:r>
    </w:p>
    <w:p w14:paraId="3CD218AD" w14:textId="63097B3D" w:rsidR="00435829" w:rsidRDefault="00435829" w:rsidP="00563E04">
      <w:pPr>
        <w:pStyle w:val="Prrafodelista"/>
        <w:overflowPunct w:val="0"/>
        <w:autoSpaceDE w:val="0"/>
        <w:autoSpaceDN w:val="0"/>
        <w:adjustRightInd w:val="0"/>
        <w:spacing w:line="276" w:lineRule="auto"/>
        <w:ind w:left="0"/>
        <w:rPr>
          <w:sz w:val="24"/>
          <w:szCs w:val="24"/>
        </w:rPr>
      </w:pPr>
    </w:p>
    <w:p w14:paraId="7DC9BD8E" w14:textId="3CE49BC7" w:rsidR="00435829" w:rsidRDefault="00435829" w:rsidP="00563E04">
      <w:pPr>
        <w:pStyle w:val="Prrafodelista"/>
        <w:overflowPunct w:val="0"/>
        <w:autoSpaceDE w:val="0"/>
        <w:autoSpaceDN w:val="0"/>
        <w:adjustRightInd w:val="0"/>
        <w:spacing w:line="276" w:lineRule="auto"/>
        <w:ind w:left="0"/>
        <w:rPr>
          <w:sz w:val="24"/>
          <w:szCs w:val="24"/>
        </w:rPr>
      </w:pPr>
      <w:r>
        <w:rPr>
          <w:sz w:val="24"/>
          <w:szCs w:val="24"/>
        </w:rPr>
        <w:t>El modo de materializar la igualdad de trato es a través de la observancia del precedente</w:t>
      </w:r>
      <w:r>
        <w:rPr>
          <w:rStyle w:val="Refdenotaalpie"/>
          <w:sz w:val="24"/>
          <w:szCs w:val="24"/>
        </w:rPr>
        <w:footnoteReference w:id="38"/>
      </w:r>
      <w:r>
        <w:rPr>
          <w:sz w:val="24"/>
          <w:szCs w:val="24"/>
        </w:rPr>
        <w:t xml:space="preserve">. De esa manera, los jueces podrán hacerle seguimiento a la manera como, en el pasado, dirimieron una controversia </w:t>
      </w:r>
      <w:r w:rsidR="00DA069A">
        <w:rPr>
          <w:sz w:val="24"/>
          <w:szCs w:val="24"/>
        </w:rPr>
        <w:t>específica</w:t>
      </w:r>
      <w:r>
        <w:rPr>
          <w:sz w:val="24"/>
          <w:szCs w:val="24"/>
        </w:rPr>
        <w:t xml:space="preserve">. Así, continuarán decidiendo en el mismo sentido, salvo que alguna variable de orden fáctico, entre otras, requiera variar la decisión. En ese caso el </w:t>
      </w:r>
      <w:r w:rsidR="00DA069A">
        <w:rPr>
          <w:sz w:val="24"/>
          <w:szCs w:val="24"/>
        </w:rPr>
        <w:t>juez</w:t>
      </w:r>
      <w:r>
        <w:rPr>
          <w:sz w:val="24"/>
          <w:szCs w:val="24"/>
        </w:rPr>
        <w:t xml:space="preserve"> deberá agotar una mayor carga argumentativa que parta de la transparencia de reportar sus anteriores fallos</w:t>
      </w:r>
      <w:r w:rsidR="00060B5C">
        <w:rPr>
          <w:rStyle w:val="Refdenotaalpie"/>
          <w:sz w:val="24"/>
          <w:szCs w:val="24"/>
        </w:rPr>
        <w:footnoteReference w:id="39"/>
      </w:r>
      <w:r>
        <w:rPr>
          <w:sz w:val="24"/>
          <w:szCs w:val="24"/>
        </w:rPr>
        <w:t>.</w:t>
      </w:r>
      <w:r w:rsidR="002D60FC">
        <w:rPr>
          <w:sz w:val="24"/>
          <w:szCs w:val="24"/>
        </w:rPr>
        <w:t xml:space="preserve"> Esto también es expresado </w:t>
      </w:r>
      <w:r w:rsidR="00DA069A">
        <w:rPr>
          <w:sz w:val="24"/>
          <w:szCs w:val="24"/>
        </w:rPr>
        <w:t>por la peticionaria</w:t>
      </w:r>
      <w:r w:rsidR="002D60FC">
        <w:rPr>
          <w:sz w:val="24"/>
          <w:szCs w:val="24"/>
        </w:rPr>
        <w:t>, en lo cual acierta.</w:t>
      </w:r>
    </w:p>
    <w:p w14:paraId="4BDB8A14" w14:textId="404D04EC" w:rsidR="005E1D39" w:rsidRDefault="005E1D39" w:rsidP="00563E04">
      <w:pPr>
        <w:pStyle w:val="Prrafodelista"/>
        <w:overflowPunct w:val="0"/>
        <w:autoSpaceDE w:val="0"/>
        <w:autoSpaceDN w:val="0"/>
        <w:adjustRightInd w:val="0"/>
        <w:spacing w:line="276" w:lineRule="auto"/>
        <w:ind w:left="0"/>
        <w:rPr>
          <w:sz w:val="24"/>
          <w:szCs w:val="24"/>
        </w:rPr>
      </w:pPr>
    </w:p>
    <w:p w14:paraId="65C29B89" w14:textId="3789E3D2" w:rsidR="005E1D39" w:rsidRDefault="005E1D39" w:rsidP="00563E04">
      <w:pPr>
        <w:pStyle w:val="Prrafodelista"/>
        <w:overflowPunct w:val="0"/>
        <w:autoSpaceDE w:val="0"/>
        <w:autoSpaceDN w:val="0"/>
        <w:adjustRightInd w:val="0"/>
        <w:spacing w:line="276" w:lineRule="auto"/>
        <w:ind w:left="0"/>
        <w:rPr>
          <w:sz w:val="24"/>
          <w:szCs w:val="24"/>
        </w:rPr>
      </w:pPr>
      <w:r>
        <w:rPr>
          <w:sz w:val="24"/>
          <w:szCs w:val="24"/>
        </w:rPr>
        <w:t xml:space="preserve">El punto anterior conduce </w:t>
      </w:r>
      <w:r w:rsidR="00DA069A">
        <w:rPr>
          <w:sz w:val="24"/>
          <w:szCs w:val="24"/>
        </w:rPr>
        <w:t>a</w:t>
      </w:r>
      <w:r>
        <w:rPr>
          <w:sz w:val="24"/>
          <w:szCs w:val="24"/>
        </w:rPr>
        <w:t xml:space="preserve">l concepto de precedente horizontal. </w:t>
      </w:r>
      <w:r w:rsidR="00DA069A">
        <w:rPr>
          <w:sz w:val="24"/>
          <w:szCs w:val="24"/>
        </w:rPr>
        <w:t>A partir de este es posible afirmar que</w:t>
      </w:r>
      <w:r>
        <w:rPr>
          <w:sz w:val="24"/>
          <w:szCs w:val="24"/>
        </w:rPr>
        <w:t xml:space="preserve"> cada fallador está en el deber, por regla general, de consultar y continuar su propia línea decisional</w:t>
      </w:r>
      <w:r w:rsidR="00C816A4">
        <w:rPr>
          <w:rStyle w:val="Refdenotaalpie"/>
          <w:sz w:val="24"/>
          <w:szCs w:val="24"/>
        </w:rPr>
        <w:footnoteReference w:id="40"/>
      </w:r>
      <w:r>
        <w:rPr>
          <w:sz w:val="24"/>
          <w:szCs w:val="24"/>
        </w:rPr>
        <w:t>. De ese modo, cada autoridad judicial gozará de coherencia y consistencia con sus determinaciones previas, lo cual confluye en la idea de disciplina jurisprudencial</w:t>
      </w:r>
      <w:r w:rsidR="00C816A4">
        <w:rPr>
          <w:rStyle w:val="Refdenotaalpie"/>
          <w:sz w:val="24"/>
          <w:szCs w:val="24"/>
        </w:rPr>
        <w:footnoteReference w:id="41"/>
      </w:r>
      <w:r>
        <w:rPr>
          <w:sz w:val="24"/>
          <w:szCs w:val="24"/>
        </w:rPr>
        <w:t>.</w:t>
      </w:r>
      <w:r w:rsidR="002D60FC">
        <w:rPr>
          <w:sz w:val="24"/>
          <w:szCs w:val="24"/>
        </w:rPr>
        <w:t xml:space="preserve"> En lo propio, de igual modo, goza de corrección lo dicho por la accionante en el </w:t>
      </w:r>
      <w:r w:rsidR="00DA069A">
        <w:rPr>
          <w:sz w:val="24"/>
          <w:szCs w:val="24"/>
        </w:rPr>
        <w:t>memorial</w:t>
      </w:r>
      <w:r w:rsidR="002D60FC">
        <w:rPr>
          <w:sz w:val="24"/>
          <w:szCs w:val="24"/>
        </w:rPr>
        <w:t xml:space="preserve"> introductorio de este proceso.</w:t>
      </w:r>
    </w:p>
    <w:p w14:paraId="773D9F10" w14:textId="120C18D5" w:rsidR="00C816A4" w:rsidRDefault="00C816A4" w:rsidP="00563E04">
      <w:pPr>
        <w:pStyle w:val="Prrafodelista"/>
        <w:overflowPunct w:val="0"/>
        <w:autoSpaceDE w:val="0"/>
        <w:autoSpaceDN w:val="0"/>
        <w:adjustRightInd w:val="0"/>
        <w:spacing w:line="276" w:lineRule="auto"/>
        <w:ind w:left="0"/>
        <w:rPr>
          <w:sz w:val="24"/>
          <w:szCs w:val="24"/>
        </w:rPr>
      </w:pPr>
    </w:p>
    <w:p w14:paraId="6E4011ED" w14:textId="73F9CF4E" w:rsidR="002D60FC" w:rsidRDefault="00C816A4" w:rsidP="00563E04">
      <w:pPr>
        <w:pStyle w:val="Prrafodelista"/>
        <w:overflowPunct w:val="0"/>
        <w:autoSpaceDE w:val="0"/>
        <w:autoSpaceDN w:val="0"/>
        <w:adjustRightInd w:val="0"/>
        <w:spacing w:line="276" w:lineRule="auto"/>
        <w:ind w:left="0"/>
        <w:rPr>
          <w:sz w:val="24"/>
          <w:szCs w:val="24"/>
        </w:rPr>
      </w:pPr>
      <w:r>
        <w:rPr>
          <w:sz w:val="24"/>
          <w:szCs w:val="24"/>
        </w:rPr>
        <w:t>La observancia del precedente horizontal “</w:t>
      </w:r>
      <w:r w:rsidRPr="00C816A4">
        <w:rPr>
          <w:sz w:val="24"/>
          <w:szCs w:val="24"/>
        </w:rPr>
        <w:t>exige acatar los pronunciamientos del mismo juez o de una corporación judicial de similar jerarquía</w:t>
      </w:r>
      <w:r>
        <w:rPr>
          <w:sz w:val="24"/>
          <w:szCs w:val="24"/>
        </w:rPr>
        <w:t>”</w:t>
      </w:r>
      <w:r>
        <w:rPr>
          <w:rStyle w:val="Refdenotaalpie"/>
          <w:sz w:val="24"/>
          <w:szCs w:val="24"/>
        </w:rPr>
        <w:footnoteReference w:id="42"/>
      </w:r>
      <w:r>
        <w:rPr>
          <w:sz w:val="24"/>
          <w:szCs w:val="24"/>
        </w:rPr>
        <w:t xml:space="preserve">. </w:t>
      </w:r>
      <w:r w:rsidR="00DA069A">
        <w:rPr>
          <w:sz w:val="24"/>
          <w:szCs w:val="24"/>
        </w:rPr>
        <w:t>En</w:t>
      </w:r>
      <w:r>
        <w:rPr>
          <w:sz w:val="24"/>
          <w:szCs w:val="24"/>
        </w:rPr>
        <w:t xml:space="preserve"> un tribunal, las diferentes salas de decisión deben seguir el precedente sentado por sus similares dentro de esa misma Corporación cuando los fundamentos de hecho y de derecho son comparables. Ello implica que los tribunales, entendidos como órgano y en su conjunto, unifiquen la jurisprudencia dentro de su </w:t>
      </w:r>
      <w:r w:rsidR="00DA069A">
        <w:rPr>
          <w:sz w:val="24"/>
          <w:szCs w:val="24"/>
        </w:rPr>
        <w:t>territorio jurisdiccional</w:t>
      </w:r>
      <w:r>
        <w:rPr>
          <w:rStyle w:val="Refdenotaalpie"/>
          <w:sz w:val="24"/>
          <w:szCs w:val="24"/>
        </w:rPr>
        <w:footnoteReference w:id="43"/>
      </w:r>
      <w:r>
        <w:rPr>
          <w:sz w:val="24"/>
          <w:szCs w:val="24"/>
        </w:rPr>
        <w:t>.</w:t>
      </w:r>
      <w:r w:rsidR="002D60FC">
        <w:rPr>
          <w:sz w:val="24"/>
          <w:szCs w:val="24"/>
        </w:rPr>
        <w:t xml:space="preserve"> </w:t>
      </w:r>
    </w:p>
    <w:p w14:paraId="39254000" w14:textId="77777777" w:rsidR="002D60FC" w:rsidRDefault="002D60FC" w:rsidP="00563E04">
      <w:pPr>
        <w:pStyle w:val="Prrafodelista"/>
        <w:overflowPunct w:val="0"/>
        <w:autoSpaceDE w:val="0"/>
        <w:autoSpaceDN w:val="0"/>
        <w:adjustRightInd w:val="0"/>
        <w:spacing w:line="276" w:lineRule="auto"/>
        <w:ind w:left="0"/>
        <w:rPr>
          <w:sz w:val="24"/>
          <w:szCs w:val="24"/>
        </w:rPr>
      </w:pPr>
    </w:p>
    <w:p w14:paraId="75216C22" w14:textId="4485C583" w:rsidR="00C816A4" w:rsidRDefault="002D60FC" w:rsidP="00563E04">
      <w:pPr>
        <w:pStyle w:val="Prrafodelista"/>
        <w:overflowPunct w:val="0"/>
        <w:autoSpaceDE w:val="0"/>
        <w:autoSpaceDN w:val="0"/>
        <w:adjustRightInd w:val="0"/>
        <w:spacing w:line="276" w:lineRule="auto"/>
        <w:ind w:left="0"/>
        <w:rPr>
          <w:sz w:val="24"/>
          <w:szCs w:val="24"/>
        </w:rPr>
      </w:pPr>
      <w:r>
        <w:rPr>
          <w:sz w:val="24"/>
          <w:szCs w:val="24"/>
        </w:rPr>
        <w:t>Es de aclarar que esa fuerza vinculante no se extiende cuando se compara entre diferentes tribunales. En estos casos, el precedente que debe seguirse es el vertical</w:t>
      </w:r>
      <w:r w:rsidR="00885C17">
        <w:rPr>
          <w:rStyle w:val="Refdenotaalpie"/>
          <w:sz w:val="24"/>
          <w:szCs w:val="24"/>
        </w:rPr>
        <w:footnoteReference w:id="44"/>
      </w:r>
      <w:r>
        <w:rPr>
          <w:sz w:val="24"/>
          <w:szCs w:val="24"/>
        </w:rPr>
        <w:t>. Para todos los efectos, el que gobierna e irradia las sentencias proferidas por los tribunales administrativos es el dictado por esta Alta Corporación.</w:t>
      </w:r>
      <w:r w:rsidR="00885C17">
        <w:rPr>
          <w:sz w:val="24"/>
          <w:szCs w:val="24"/>
        </w:rPr>
        <w:t xml:space="preserve"> Es </w:t>
      </w:r>
      <w:r w:rsidR="00DC1FE7">
        <w:rPr>
          <w:sz w:val="24"/>
          <w:szCs w:val="24"/>
        </w:rPr>
        <w:t>allí</w:t>
      </w:r>
      <w:r w:rsidR="00885C17">
        <w:rPr>
          <w:sz w:val="24"/>
          <w:szCs w:val="24"/>
        </w:rPr>
        <w:t xml:space="preserve"> donde el cargo bajo examen </w:t>
      </w:r>
      <w:r w:rsidR="00DA069A">
        <w:rPr>
          <w:sz w:val="24"/>
          <w:szCs w:val="24"/>
        </w:rPr>
        <w:t>no prospera</w:t>
      </w:r>
      <w:r w:rsidR="00885C17">
        <w:rPr>
          <w:sz w:val="24"/>
          <w:szCs w:val="24"/>
        </w:rPr>
        <w:t>, pues la Corte Constitucional</w:t>
      </w:r>
      <w:r w:rsidR="00DA069A">
        <w:rPr>
          <w:sz w:val="24"/>
          <w:szCs w:val="24"/>
        </w:rPr>
        <w:t xml:space="preserve"> ha dicho que</w:t>
      </w:r>
      <w:r w:rsidR="00885C17">
        <w:rPr>
          <w:sz w:val="24"/>
          <w:szCs w:val="24"/>
        </w:rPr>
        <w:t>:</w:t>
      </w:r>
    </w:p>
    <w:p w14:paraId="39B762F4" w14:textId="40540288" w:rsidR="00885C17" w:rsidRDefault="00885C17" w:rsidP="007376EB">
      <w:pPr>
        <w:overflowPunct w:val="0"/>
        <w:autoSpaceDE w:val="0"/>
        <w:autoSpaceDN w:val="0"/>
        <w:adjustRightInd w:val="0"/>
        <w:spacing w:line="276" w:lineRule="auto"/>
        <w:rPr>
          <w:sz w:val="24"/>
          <w:szCs w:val="24"/>
        </w:rPr>
      </w:pPr>
    </w:p>
    <w:p w14:paraId="71F1FA56" w14:textId="35C9FF7E" w:rsidR="00885C17" w:rsidRPr="00FC15F9" w:rsidRDefault="004546B8" w:rsidP="00FC15F9">
      <w:pPr>
        <w:overflowPunct w:val="0"/>
        <w:autoSpaceDE w:val="0"/>
        <w:autoSpaceDN w:val="0"/>
        <w:adjustRightInd w:val="0"/>
        <w:spacing w:line="276" w:lineRule="auto"/>
        <w:ind w:left="706"/>
        <w:rPr>
          <w:sz w:val="22"/>
          <w:szCs w:val="22"/>
        </w:rPr>
      </w:pPr>
      <w:r>
        <w:rPr>
          <w:sz w:val="22"/>
          <w:szCs w:val="22"/>
        </w:rPr>
        <w:t>“</w:t>
      </w:r>
      <w:r w:rsidR="00FC15F9" w:rsidRPr="00FC15F9">
        <w:rPr>
          <w:sz w:val="22"/>
          <w:szCs w:val="22"/>
        </w:rPr>
        <w:t xml:space="preserve">Por último, en relación con el precedente horizontal, es preciso reiterar que </w:t>
      </w:r>
      <w:r w:rsidR="00093F01">
        <w:rPr>
          <w:sz w:val="22"/>
          <w:szCs w:val="22"/>
        </w:rPr>
        <w:t>[e]</w:t>
      </w:r>
      <w:r w:rsidR="00FC15F9" w:rsidRPr="00FC15F9">
        <w:rPr>
          <w:sz w:val="22"/>
          <w:szCs w:val="22"/>
        </w:rPr>
        <w:t>ste s</w:t>
      </w:r>
      <w:r w:rsidR="00093F01">
        <w:rPr>
          <w:sz w:val="22"/>
          <w:szCs w:val="22"/>
        </w:rPr>
        <w:t>[o]</w:t>
      </w:r>
      <w:r w:rsidR="00FC15F9" w:rsidRPr="00FC15F9">
        <w:rPr>
          <w:sz w:val="22"/>
          <w:szCs w:val="22"/>
        </w:rPr>
        <w:t xml:space="preserve">lo tiene efectos vinculantes para el propio juez </w:t>
      </w:r>
      <w:r w:rsidR="00FC15F9">
        <w:rPr>
          <w:sz w:val="22"/>
          <w:szCs w:val="22"/>
        </w:rPr>
        <w:t xml:space="preserve">– </w:t>
      </w:r>
      <w:r w:rsidR="00FC15F9" w:rsidRPr="00FC15F9">
        <w:rPr>
          <w:sz w:val="22"/>
          <w:szCs w:val="22"/>
        </w:rPr>
        <w:t>sea este colegiado o individual</w:t>
      </w:r>
      <w:r w:rsidR="00FC15F9">
        <w:rPr>
          <w:sz w:val="22"/>
          <w:szCs w:val="22"/>
        </w:rPr>
        <w:t xml:space="preserve"> –,</w:t>
      </w:r>
      <w:r w:rsidR="00FC15F9" w:rsidRPr="00FC15F9">
        <w:rPr>
          <w:sz w:val="22"/>
          <w:szCs w:val="22"/>
        </w:rPr>
        <w:t xml:space="preserve"> de manera que los diferentes tribunales del país no están sujetos al precedente fijado por uno de ellos, así como tampoco los jueces del circuito o municipales entre sí</w:t>
      </w:r>
      <w:r w:rsidR="00FC15F9" w:rsidRPr="00FC15F9">
        <w:rPr>
          <w:rStyle w:val="Refdenotaalpie"/>
          <w:sz w:val="22"/>
          <w:szCs w:val="22"/>
        </w:rPr>
        <w:footnoteReference w:id="45"/>
      </w:r>
      <w:r w:rsidR="00FC15F9" w:rsidRPr="00FC15F9">
        <w:rPr>
          <w:sz w:val="22"/>
          <w:szCs w:val="22"/>
        </w:rPr>
        <w:t>. En estos casos, el precedente relevante es el denominado precedente vertical fijado por la Corte Suprema de Justicia en su calidad de tribunal de casación y la Corte Constitucional y, para el caso de los jueces del circuito y municipales, el precedente establecido por el tribunal de distrito, la Corte Suprema de Justicia y esta Corporación</w:t>
      </w:r>
      <w:r>
        <w:rPr>
          <w:sz w:val="22"/>
          <w:szCs w:val="22"/>
        </w:rPr>
        <w:t>”</w:t>
      </w:r>
      <w:r w:rsidR="00FC15F9" w:rsidRPr="00FC15F9">
        <w:rPr>
          <w:rStyle w:val="Refdenotaalpie"/>
          <w:sz w:val="22"/>
          <w:szCs w:val="22"/>
        </w:rPr>
        <w:footnoteReference w:id="46"/>
      </w:r>
      <w:r w:rsidR="00FC15F9" w:rsidRPr="00FC15F9">
        <w:rPr>
          <w:sz w:val="22"/>
          <w:szCs w:val="22"/>
        </w:rPr>
        <w:t>.</w:t>
      </w:r>
    </w:p>
    <w:p w14:paraId="73489DF4" w14:textId="43E07EB8" w:rsidR="00FC15F9" w:rsidRDefault="00FC15F9" w:rsidP="007376EB">
      <w:pPr>
        <w:overflowPunct w:val="0"/>
        <w:autoSpaceDE w:val="0"/>
        <w:autoSpaceDN w:val="0"/>
        <w:adjustRightInd w:val="0"/>
        <w:spacing w:line="276" w:lineRule="auto"/>
        <w:rPr>
          <w:sz w:val="24"/>
          <w:szCs w:val="24"/>
        </w:rPr>
      </w:pPr>
    </w:p>
    <w:p w14:paraId="07F2516E" w14:textId="67F5AD95" w:rsidR="00FC15F9" w:rsidRDefault="00FC15F9" w:rsidP="007376EB">
      <w:pPr>
        <w:overflowPunct w:val="0"/>
        <w:autoSpaceDE w:val="0"/>
        <w:autoSpaceDN w:val="0"/>
        <w:adjustRightInd w:val="0"/>
        <w:spacing w:line="276" w:lineRule="auto"/>
        <w:rPr>
          <w:sz w:val="24"/>
          <w:szCs w:val="24"/>
        </w:rPr>
      </w:pPr>
      <w:r>
        <w:rPr>
          <w:sz w:val="24"/>
          <w:szCs w:val="24"/>
        </w:rPr>
        <w:t xml:space="preserve">Lo anterior es asimilable al caso bajo estudio. </w:t>
      </w:r>
      <w:r w:rsidR="00DC1FE7">
        <w:rPr>
          <w:sz w:val="24"/>
          <w:szCs w:val="24"/>
        </w:rPr>
        <w:t>Es más, l</w:t>
      </w:r>
      <w:r>
        <w:rPr>
          <w:sz w:val="24"/>
          <w:szCs w:val="24"/>
        </w:rPr>
        <w:t xml:space="preserve">a única diferencia entre los tribunales superiores de distrito judicial y los administrativos es </w:t>
      </w:r>
      <w:r w:rsidR="00DA069A">
        <w:rPr>
          <w:sz w:val="24"/>
          <w:szCs w:val="24"/>
        </w:rPr>
        <w:t>de especialidad</w:t>
      </w:r>
      <w:r>
        <w:rPr>
          <w:sz w:val="24"/>
          <w:szCs w:val="24"/>
        </w:rPr>
        <w:t xml:space="preserve">. </w:t>
      </w:r>
      <w:r w:rsidR="00C45BDF">
        <w:rPr>
          <w:sz w:val="24"/>
          <w:szCs w:val="24"/>
        </w:rPr>
        <w:t>Por lo demás</w:t>
      </w:r>
      <w:r>
        <w:rPr>
          <w:sz w:val="24"/>
          <w:szCs w:val="24"/>
        </w:rPr>
        <w:t>, están en la misma jerarquía y cumplen la misma función unificadora dentro de su territori</w:t>
      </w:r>
      <w:r w:rsidR="00DC1FE7">
        <w:rPr>
          <w:sz w:val="24"/>
          <w:szCs w:val="24"/>
        </w:rPr>
        <w:t>o</w:t>
      </w:r>
      <w:r>
        <w:rPr>
          <w:sz w:val="24"/>
          <w:szCs w:val="24"/>
        </w:rPr>
        <w:t>.</w:t>
      </w:r>
      <w:r w:rsidR="00DC1FE7">
        <w:rPr>
          <w:sz w:val="24"/>
          <w:szCs w:val="24"/>
        </w:rPr>
        <w:t xml:space="preserve"> Así</w:t>
      </w:r>
      <w:r>
        <w:rPr>
          <w:sz w:val="24"/>
          <w:szCs w:val="24"/>
        </w:rPr>
        <w:t xml:space="preserve">, la parte actora ha traído a este proceso una sentencia, emanada del Tribunal Administrativo del Huila, que no </w:t>
      </w:r>
      <w:r w:rsidR="00DC1FE7">
        <w:rPr>
          <w:sz w:val="24"/>
          <w:szCs w:val="24"/>
        </w:rPr>
        <w:t>puede</w:t>
      </w:r>
      <w:r>
        <w:rPr>
          <w:sz w:val="24"/>
          <w:szCs w:val="24"/>
        </w:rPr>
        <w:t xml:space="preserve"> ser considerada precedente horizontal en lo que atañe a la sentencia enjuiciada. De ese modo, el tribunal accionado no estaba vinculado </w:t>
      </w:r>
      <w:r w:rsidR="001D66CE">
        <w:rPr>
          <w:sz w:val="24"/>
          <w:szCs w:val="24"/>
        </w:rPr>
        <w:t>a</w:t>
      </w:r>
      <w:r>
        <w:rPr>
          <w:sz w:val="24"/>
          <w:szCs w:val="24"/>
        </w:rPr>
        <w:t xml:space="preserve"> lo resuelto por esa Corporación judicial, sino </w:t>
      </w:r>
      <w:r w:rsidR="001D66CE">
        <w:rPr>
          <w:sz w:val="24"/>
          <w:szCs w:val="24"/>
        </w:rPr>
        <w:t>a</w:t>
      </w:r>
      <w:r>
        <w:rPr>
          <w:sz w:val="24"/>
          <w:szCs w:val="24"/>
        </w:rPr>
        <w:t xml:space="preserve"> las decisiones adoptadas por el Consejo de Estado</w:t>
      </w:r>
      <w:r w:rsidR="004546B8">
        <w:rPr>
          <w:sz w:val="24"/>
          <w:szCs w:val="24"/>
        </w:rPr>
        <w:t>, en especial, las de unificación</w:t>
      </w:r>
      <w:r>
        <w:rPr>
          <w:sz w:val="24"/>
          <w:szCs w:val="24"/>
        </w:rPr>
        <w:t>.</w:t>
      </w:r>
      <w:r w:rsidR="00DC1FE7">
        <w:rPr>
          <w:sz w:val="24"/>
          <w:szCs w:val="24"/>
        </w:rPr>
        <w:t xml:space="preserve"> Como resultado, la Subsección no encuentra configurado el defecto descrito en </w:t>
      </w:r>
      <w:r w:rsidR="00DA069A">
        <w:rPr>
          <w:sz w:val="24"/>
          <w:szCs w:val="24"/>
        </w:rPr>
        <w:t>la solicitud de amparo</w:t>
      </w:r>
      <w:r w:rsidR="00DC1FE7">
        <w:rPr>
          <w:sz w:val="24"/>
          <w:szCs w:val="24"/>
        </w:rPr>
        <w:t>.</w:t>
      </w:r>
    </w:p>
    <w:p w14:paraId="4F32C8F3" w14:textId="77777777" w:rsidR="00885C17" w:rsidRPr="008F2D65" w:rsidRDefault="00885C17" w:rsidP="007376EB">
      <w:pPr>
        <w:overflowPunct w:val="0"/>
        <w:autoSpaceDE w:val="0"/>
        <w:autoSpaceDN w:val="0"/>
        <w:adjustRightInd w:val="0"/>
        <w:spacing w:line="276" w:lineRule="auto"/>
        <w:rPr>
          <w:sz w:val="24"/>
          <w:szCs w:val="24"/>
        </w:rPr>
      </w:pPr>
    </w:p>
    <w:p w14:paraId="7D302B61" w14:textId="77777777" w:rsidR="007376EB" w:rsidRPr="008F2D65" w:rsidRDefault="007376EB" w:rsidP="007376EB">
      <w:pPr>
        <w:numPr>
          <w:ilvl w:val="0"/>
          <w:numId w:val="1"/>
        </w:numPr>
        <w:spacing w:line="276" w:lineRule="auto"/>
        <w:ind w:hanging="720"/>
        <w:contextualSpacing/>
        <w:rPr>
          <w:rFonts w:eastAsia="Times New Roman"/>
          <w:b/>
          <w:sz w:val="24"/>
          <w:szCs w:val="24"/>
        </w:rPr>
      </w:pPr>
      <w:r w:rsidRPr="008F2D65">
        <w:rPr>
          <w:rFonts w:eastAsia="Times New Roman"/>
          <w:b/>
          <w:sz w:val="24"/>
          <w:szCs w:val="24"/>
        </w:rPr>
        <w:t>Conclusión</w:t>
      </w:r>
    </w:p>
    <w:p w14:paraId="3BFD2333" w14:textId="77777777" w:rsidR="007376EB" w:rsidRPr="008F2D65" w:rsidRDefault="007376EB" w:rsidP="007376EB">
      <w:pPr>
        <w:spacing w:line="276" w:lineRule="auto"/>
        <w:contextualSpacing/>
        <w:rPr>
          <w:b/>
          <w:sz w:val="24"/>
          <w:szCs w:val="24"/>
        </w:rPr>
      </w:pPr>
    </w:p>
    <w:p w14:paraId="489E7CD1" w14:textId="55A7B4B5" w:rsidR="007376EB" w:rsidRPr="008F2D65" w:rsidRDefault="007376EB" w:rsidP="007376EB">
      <w:pPr>
        <w:spacing w:line="276" w:lineRule="auto"/>
        <w:contextualSpacing/>
        <w:rPr>
          <w:rFonts w:eastAsia="Times New Roman"/>
          <w:sz w:val="24"/>
          <w:szCs w:val="24"/>
        </w:rPr>
      </w:pPr>
      <w:r>
        <w:rPr>
          <w:rFonts w:eastAsia="Times New Roman"/>
          <w:sz w:val="24"/>
          <w:szCs w:val="24"/>
        </w:rPr>
        <w:t>La Sala encuentra que el cargo por defecto sustantivo debe ser declarado improcedente, pues incumplió el requisito de relevancia constitucional. Por otra parte, el reclamo por desconocimiento del derecho fundamental a la igualdad de trato da lugar a negar el amparo deprecado por la accionante. De la sentencia considerada como inadvertida no se deriva un precedente que hubiera tenido que ser seguido por el tribunal accionado. Así se decidirá en la parte resolutiva del presente proveído.</w:t>
      </w:r>
    </w:p>
    <w:p w14:paraId="0327354C" w14:textId="77777777" w:rsidR="007376EB" w:rsidRPr="008F2D65" w:rsidRDefault="007376EB" w:rsidP="007376EB">
      <w:pPr>
        <w:spacing w:line="276" w:lineRule="auto"/>
        <w:contextualSpacing/>
        <w:rPr>
          <w:rFonts w:eastAsia="Times New Roman"/>
          <w:bCs/>
          <w:sz w:val="24"/>
          <w:szCs w:val="24"/>
          <w:lang w:eastAsia="es-ES"/>
        </w:rPr>
      </w:pPr>
    </w:p>
    <w:p w14:paraId="12345025" w14:textId="77777777" w:rsidR="007376EB" w:rsidRPr="008F2D65" w:rsidRDefault="007376EB" w:rsidP="007376EB">
      <w:pPr>
        <w:keepNext/>
        <w:numPr>
          <w:ilvl w:val="0"/>
          <w:numId w:val="32"/>
        </w:numPr>
        <w:spacing w:line="276" w:lineRule="auto"/>
        <w:ind w:left="0" w:firstLine="0"/>
        <w:jc w:val="center"/>
        <w:outlineLvl w:val="0"/>
        <w:rPr>
          <w:rFonts w:eastAsia="Times New Roman"/>
          <w:b/>
          <w:bCs/>
          <w:caps/>
          <w:kern w:val="32"/>
          <w:sz w:val="24"/>
          <w:szCs w:val="24"/>
        </w:rPr>
      </w:pPr>
      <w:r w:rsidRPr="008F2D65">
        <w:rPr>
          <w:rFonts w:eastAsia="Times New Roman"/>
          <w:b/>
          <w:bCs/>
          <w:caps/>
          <w:kern w:val="32"/>
          <w:sz w:val="24"/>
          <w:szCs w:val="24"/>
        </w:rPr>
        <w:t>DECISIÓN</w:t>
      </w:r>
    </w:p>
    <w:p w14:paraId="7BF3635F" w14:textId="77777777" w:rsidR="007376EB" w:rsidRPr="008F2D65" w:rsidRDefault="007376EB" w:rsidP="007376EB">
      <w:pPr>
        <w:spacing w:line="276" w:lineRule="auto"/>
        <w:contextualSpacing/>
        <w:rPr>
          <w:rFonts w:eastAsia="Times New Roman"/>
          <w:sz w:val="24"/>
          <w:szCs w:val="24"/>
        </w:rPr>
      </w:pPr>
    </w:p>
    <w:p w14:paraId="433832BD" w14:textId="77777777" w:rsidR="007376EB" w:rsidRPr="008F2D65" w:rsidRDefault="007376EB" w:rsidP="007376EB">
      <w:pPr>
        <w:spacing w:line="276" w:lineRule="auto"/>
        <w:contextualSpacing/>
        <w:rPr>
          <w:rFonts w:eastAsia="Times New Roman"/>
          <w:sz w:val="24"/>
          <w:szCs w:val="24"/>
        </w:rPr>
      </w:pPr>
      <w:r w:rsidRPr="008F2D65">
        <w:rPr>
          <w:rFonts w:eastAsia="Times New Roman"/>
          <w:sz w:val="24"/>
          <w:szCs w:val="24"/>
        </w:rPr>
        <w:t>En mérito de lo expuesto, el Consejo de Estado, Sala de lo Contencioso Administrativo, Sección Tercera, Subsección C, administrando justicia en nombre de la República y por autoridad de la ley,</w:t>
      </w:r>
    </w:p>
    <w:p w14:paraId="5DFF66FB" w14:textId="77777777" w:rsidR="007376EB" w:rsidRPr="008F2D65" w:rsidRDefault="007376EB" w:rsidP="007376EB">
      <w:pPr>
        <w:spacing w:line="276" w:lineRule="auto"/>
        <w:contextualSpacing/>
        <w:rPr>
          <w:rFonts w:eastAsia="Times New Roman"/>
          <w:sz w:val="24"/>
          <w:szCs w:val="24"/>
        </w:rPr>
      </w:pPr>
    </w:p>
    <w:p w14:paraId="2A1EA1B9" w14:textId="77777777" w:rsidR="007376EB" w:rsidRPr="008F2D65" w:rsidRDefault="007376EB" w:rsidP="007376EB">
      <w:pPr>
        <w:keepNext/>
        <w:spacing w:line="276" w:lineRule="auto"/>
        <w:jc w:val="center"/>
        <w:outlineLvl w:val="2"/>
        <w:rPr>
          <w:rFonts w:eastAsia="Verdana"/>
          <w:b/>
          <w:caps/>
          <w:kern w:val="32"/>
          <w:sz w:val="24"/>
          <w:szCs w:val="24"/>
        </w:rPr>
      </w:pPr>
      <w:r w:rsidRPr="008F2D65">
        <w:rPr>
          <w:rFonts w:eastAsia="Verdana"/>
          <w:b/>
          <w:caps/>
          <w:kern w:val="32"/>
          <w:sz w:val="24"/>
          <w:szCs w:val="24"/>
        </w:rPr>
        <w:t>FALLA</w:t>
      </w:r>
    </w:p>
    <w:p w14:paraId="742EF751" w14:textId="77777777" w:rsidR="007376EB" w:rsidRPr="008F2D65" w:rsidRDefault="007376EB" w:rsidP="007376EB">
      <w:pPr>
        <w:keepNext/>
        <w:spacing w:line="276" w:lineRule="auto"/>
        <w:jc w:val="center"/>
        <w:outlineLvl w:val="2"/>
        <w:rPr>
          <w:rFonts w:eastAsia="Verdana"/>
          <w:b/>
          <w:caps/>
          <w:kern w:val="32"/>
          <w:sz w:val="24"/>
          <w:szCs w:val="24"/>
        </w:rPr>
      </w:pPr>
    </w:p>
    <w:p w14:paraId="7EF1A671" w14:textId="7132B56B" w:rsidR="007376EB" w:rsidRDefault="007376EB" w:rsidP="007376EB">
      <w:pPr>
        <w:numPr>
          <w:ilvl w:val="0"/>
          <w:numId w:val="30"/>
        </w:numPr>
        <w:spacing w:line="276" w:lineRule="auto"/>
        <w:ind w:left="0" w:firstLine="0"/>
        <w:contextualSpacing/>
        <w:rPr>
          <w:rFonts w:eastAsia="Verdana"/>
          <w:bCs/>
          <w:sz w:val="24"/>
          <w:szCs w:val="24"/>
        </w:rPr>
      </w:pPr>
      <w:r>
        <w:rPr>
          <w:rFonts w:eastAsia="Verdana"/>
          <w:b/>
          <w:sz w:val="24"/>
          <w:szCs w:val="24"/>
        </w:rPr>
        <w:t>DECLARAR</w:t>
      </w:r>
      <w:r w:rsidRPr="008F2D65">
        <w:rPr>
          <w:rFonts w:eastAsia="Verdana"/>
          <w:bCs/>
          <w:sz w:val="24"/>
          <w:szCs w:val="24"/>
        </w:rPr>
        <w:t xml:space="preserve"> la</w:t>
      </w:r>
      <w:r>
        <w:rPr>
          <w:rFonts w:eastAsia="Verdana"/>
          <w:bCs/>
          <w:sz w:val="24"/>
          <w:szCs w:val="24"/>
        </w:rPr>
        <w:t xml:space="preserve"> improcedencia de la</w:t>
      </w:r>
      <w:r w:rsidRPr="008F2D65">
        <w:rPr>
          <w:rFonts w:eastAsia="Verdana"/>
          <w:bCs/>
          <w:sz w:val="24"/>
          <w:szCs w:val="24"/>
        </w:rPr>
        <w:t xml:space="preserve"> solicitud de amparo presentada por </w:t>
      </w:r>
      <w:r>
        <w:rPr>
          <w:rFonts w:eastAsia="Verdana"/>
          <w:bCs/>
          <w:sz w:val="24"/>
          <w:szCs w:val="24"/>
        </w:rPr>
        <w:t xml:space="preserve">Fabiola Rodríguez Marín contra </w:t>
      </w:r>
      <w:r w:rsidRPr="007376EB">
        <w:rPr>
          <w:rFonts w:eastAsia="Verdana"/>
          <w:bCs/>
          <w:sz w:val="24"/>
          <w:szCs w:val="24"/>
        </w:rPr>
        <w:t>el Juzgado Cuarto Administrativo del Circuito Judicial de Florencia, el Tribunal Administrativo del Caquetá y la Unidad Administrativa Especial de Gestión Pensional y Contribuciones Parafiscales de la Protección Social (UGPP)</w:t>
      </w:r>
      <w:r w:rsidRPr="008F2D65">
        <w:rPr>
          <w:rFonts w:eastAsia="Verdana"/>
          <w:bCs/>
          <w:sz w:val="24"/>
          <w:szCs w:val="24"/>
        </w:rPr>
        <w:t xml:space="preserve">, </w:t>
      </w:r>
      <w:r>
        <w:rPr>
          <w:rFonts w:eastAsia="Verdana"/>
          <w:bCs/>
          <w:sz w:val="24"/>
          <w:szCs w:val="24"/>
        </w:rPr>
        <w:t xml:space="preserve">en lo que atañe al cargo por defecto sustantivo, de acuerdo con </w:t>
      </w:r>
      <w:r w:rsidRPr="008F2D65">
        <w:rPr>
          <w:rFonts w:eastAsia="Verdana"/>
          <w:bCs/>
          <w:sz w:val="24"/>
          <w:szCs w:val="24"/>
        </w:rPr>
        <w:t xml:space="preserve">los motivos expuestos en la parte </w:t>
      </w:r>
      <w:r>
        <w:rPr>
          <w:rFonts w:eastAsia="Verdana"/>
          <w:bCs/>
          <w:sz w:val="24"/>
          <w:szCs w:val="24"/>
        </w:rPr>
        <w:t xml:space="preserve">considerativa </w:t>
      </w:r>
      <w:r w:rsidRPr="008F2D65">
        <w:rPr>
          <w:rFonts w:eastAsia="Verdana"/>
          <w:bCs/>
          <w:sz w:val="24"/>
          <w:szCs w:val="24"/>
        </w:rPr>
        <w:t xml:space="preserve">de esta </w:t>
      </w:r>
      <w:r>
        <w:rPr>
          <w:rFonts w:eastAsia="Verdana"/>
          <w:bCs/>
          <w:sz w:val="24"/>
          <w:szCs w:val="24"/>
        </w:rPr>
        <w:t>sentencia</w:t>
      </w:r>
      <w:r w:rsidRPr="008F2D65">
        <w:rPr>
          <w:rFonts w:eastAsia="Verdana"/>
          <w:bCs/>
          <w:sz w:val="24"/>
          <w:szCs w:val="24"/>
        </w:rPr>
        <w:t>.</w:t>
      </w:r>
      <w:bookmarkStart w:id="6" w:name="_Hlk40368302"/>
    </w:p>
    <w:p w14:paraId="6BF56BB5" w14:textId="77777777" w:rsidR="007376EB" w:rsidRDefault="007376EB" w:rsidP="007376EB">
      <w:pPr>
        <w:spacing w:line="276" w:lineRule="auto"/>
        <w:contextualSpacing/>
        <w:rPr>
          <w:rFonts w:eastAsia="Verdana"/>
          <w:bCs/>
          <w:sz w:val="24"/>
          <w:szCs w:val="24"/>
        </w:rPr>
      </w:pPr>
    </w:p>
    <w:p w14:paraId="7816CA66" w14:textId="71F05F5E" w:rsidR="007376EB" w:rsidRDefault="007376EB" w:rsidP="007376EB">
      <w:pPr>
        <w:numPr>
          <w:ilvl w:val="0"/>
          <w:numId w:val="30"/>
        </w:numPr>
        <w:spacing w:line="276" w:lineRule="auto"/>
        <w:ind w:left="0" w:firstLine="0"/>
        <w:contextualSpacing/>
        <w:rPr>
          <w:rFonts w:eastAsia="Verdana"/>
          <w:bCs/>
          <w:sz w:val="24"/>
          <w:szCs w:val="24"/>
        </w:rPr>
      </w:pPr>
      <w:r>
        <w:rPr>
          <w:rFonts w:eastAsia="Verdana"/>
          <w:b/>
          <w:sz w:val="24"/>
          <w:szCs w:val="24"/>
        </w:rPr>
        <w:t xml:space="preserve">NEGAR </w:t>
      </w:r>
      <w:r w:rsidRPr="007376EB">
        <w:rPr>
          <w:rFonts w:eastAsia="Verdana"/>
          <w:bCs/>
          <w:sz w:val="24"/>
          <w:szCs w:val="24"/>
        </w:rPr>
        <w:t xml:space="preserve">la solicitud de amparo presentada por Fabiola Rodríguez Marín contra el Juzgado Cuarto Administrativo del Circuito Judicial de Florencia, el Tribunal Administrativo del Caquetá y la Unidad Administrativa Especial de Gestión Pensional y Contribuciones Parafiscales de la Protección Social (UGPP), en lo que atañe al cargo por </w:t>
      </w:r>
      <w:r>
        <w:rPr>
          <w:rFonts w:eastAsia="Verdana"/>
          <w:bCs/>
          <w:sz w:val="24"/>
          <w:szCs w:val="24"/>
        </w:rPr>
        <w:t>desconocimiento del derecho fundamental a la igualdad de trato</w:t>
      </w:r>
      <w:r w:rsidRPr="007376EB">
        <w:rPr>
          <w:rFonts w:eastAsia="Verdana"/>
          <w:bCs/>
          <w:sz w:val="24"/>
          <w:szCs w:val="24"/>
        </w:rPr>
        <w:t xml:space="preserve">, de </w:t>
      </w:r>
      <w:r>
        <w:rPr>
          <w:rFonts w:eastAsia="Verdana"/>
          <w:bCs/>
          <w:sz w:val="24"/>
          <w:szCs w:val="24"/>
        </w:rPr>
        <w:t>conformidad</w:t>
      </w:r>
      <w:r w:rsidRPr="007376EB">
        <w:rPr>
          <w:rFonts w:eastAsia="Verdana"/>
          <w:bCs/>
          <w:sz w:val="24"/>
          <w:szCs w:val="24"/>
        </w:rPr>
        <w:t xml:space="preserve"> con l</w:t>
      </w:r>
      <w:r>
        <w:rPr>
          <w:rFonts w:eastAsia="Verdana"/>
          <w:bCs/>
          <w:sz w:val="24"/>
          <w:szCs w:val="24"/>
        </w:rPr>
        <w:t>a</w:t>
      </w:r>
      <w:r w:rsidRPr="007376EB">
        <w:rPr>
          <w:rFonts w:eastAsia="Verdana"/>
          <w:bCs/>
          <w:sz w:val="24"/>
          <w:szCs w:val="24"/>
        </w:rPr>
        <w:t xml:space="preserve">s </w:t>
      </w:r>
      <w:r>
        <w:rPr>
          <w:rFonts w:eastAsia="Verdana"/>
          <w:bCs/>
          <w:sz w:val="24"/>
          <w:szCs w:val="24"/>
        </w:rPr>
        <w:t>razones explicadas</w:t>
      </w:r>
      <w:r w:rsidRPr="007376EB">
        <w:rPr>
          <w:rFonts w:eastAsia="Verdana"/>
          <w:bCs/>
          <w:sz w:val="24"/>
          <w:szCs w:val="24"/>
        </w:rPr>
        <w:t xml:space="preserve"> en la parte </w:t>
      </w:r>
      <w:r>
        <w:rPr>
          <w:rFonts w:eastAsia="Verdana"/>
          <w:bCs/>
          <w:sz w:val="24"/>
          <w:szCs w:val="24"/>
        </w:rPr>
        <w:t>motiva</w:t>
      </w:r>
      <w:r w:rsidRPr="007376EB">
        <w:rPr>
          <w:rFonts w:eastAsia="Verdana"/>
          <w:bCs/>
          <w:sz w:val="24"/>
          <w:szCs w:val="24"/>
        </w:rPr>
        <w:t xml:space="preserve"> de </w:t>
      </w:r>
      <w:r>
        <w:rPr>
          <w:rFonts w:eastAsia="Verdana"/>
          <w:bCs/>
          <w:sz w:val="24"/>
          <w:szCs w:val="24"/>
        </w:rPr>
        <w:t>este fallo</w:t>
      </w:r>
      <w:r w:rsidRPr="007376EB">
        <w:rPr>
          <w:rFonts w:eastAsia="Verdana"/>
          <w:bCs/>
          <w:sz w:val="24"/>
          <w:szCs w:val="24"/>
        </w:rPr>
        <w:t>.</w:t>
      </w:r>
    </w:p>
    <w:p w14:paraId="2D878545" w14:textId="77777777" w:rsidR="007376EB" w:rsidRPr="007376EB" w:rsidRDefault="007376EB" w:rsidP="007376EB">
      <w:pPr>
        <w:spacing w:line="276" w:lineRule="auto"/>
        <w:contextualSpacing/>
        <w:rPr>
          <w:rFonts w:eastAsia="Verdana"/>
          <w:bCs/>
          <w:sz w:val="24"/>
          <w:szCs w:val="24"/>
        </w:rPr>
      </w:pPr>
    </w:p>
    <w:p w14:paraId="178B49C5" w14:textId="77777777" w:rsidR="007376EB" w:rsidRDefault="007376EB" w:rsidP="007376EB">
      <w:pPr>
        <w:numPr>
          <w:ilvl w:val="0"/>
          <w:numId w:val="30"/>
        </w:numPr>
        <w:spacing w:line="276" w:lineRule="auto"/>
        <w:ind w:left="0" w:firstLine="0"/>
        <w:contextualSpacing/>
        <w:rPr>
          <w:rFonts w:eastAsia="Verdana"/>
          <w:bCs/>
          <w:sz w:val="24"/>
          <w:szCs w:val="24"/>
        </w:rPr>
      </w:pPr>
      <w:r w:rsidRPr="00E67F88">
        <w:rPr>
          <w:rFonts w:eastAsia="Verdana"/>
          <w:b/>
          <w:sz w:val="24"/>
          <w:szCs w:val="24"/>
        </w:rPr>
        <w:t xml:space="preserve">NOTIFICAR </w:t>
      </w:r>
      <w:r w:rsidRPr="00E67F88">
        <w:rPr>
          <w:rFonts w:eastAsia="Verdana"/>
          <w:sz w:val="24"/>
          <w:szCs w:val="24"/>
        </w:rPr>
        <w:t>la presente decisión a las partes y a los interesados por el medio más expedito.</w:t>
      </w:r>
    </w:p>
    <w:p w14:paraId="5599C2D6" w14:textId="77777777" w:rsidR="007376EB" w:rsidRDefault="007376EB" w:rsidP="007376EB">
      <w:pPr>
        <w:pStyle w:val="Prrafodelista"/>
        <w:rPr>
          <w:rFonts w:eastAsia="Verdana"/>
          <w:b/>
        </w:rPr>
      </w:pPr>
    </w:p>
    <w:p w14:paraId="06D47565" w14:textId="77777777" w:rsidR="007376EB" w:rsidRPr="00E67F88" w:rsidRDefault="007376EB" w:rsidP="007376EB">
      <w:pPr>
        <w:numPr>
          <w:ilvl w:val="0"/>
          <w:numId w:val="30"/>
        </w:numPr>
        <w:spacing w:line="276" w:lineRule="auto"/>
        <w:ind w:left="0" w:firstLine="0"/>
        <w:contextualSpacing/>
        <w:rPr>
          <w:rFonts w:eastAsia="Verdana"/>
          <w:bCs/>
          <w:sz w:val="24"/>
          <w:szCs w:val="24"/>
        </w:rPr>
      </w:pPr>
      <w:r w:rsidRPr="00E67F88">
        <w:rPr>
          <w:rFonts w:eastAsia="Verdana"/>
          <w:b/>
          <w:sz w:val="24"/>
          <w:szCs w:val="24"/>
        </w:rPr>
        <w:t xml:space="preserve">ENVIAR </w:t>
      </w:r>
      <w:r w:rsidRPr="00E67F88">
        <w:rPr>
          <w:rFonts w:eastAsia="Verdana"/>
          <w:sz w:val="24"/>
          <w:szCs w:val="24"/>
        </w:rPr>
        <w:t>la presente providencia a la Corte Constitucional para su eventual revisión, en caso de no ser impugnada.</w:t>
      </w:r>
    </w:p>
    <w:bookmarkEnd w:id="6"/>
    <w:p w14:paraId="1FA85B84" w14:textId="77777777" w:rsidR="007376EB" w:rsidRPr="000878FB" w:rsidRDefault="007376EB" w:rsidP="007376EB">
      <w:pPr>
        <w:spacing w:line="276" w:lineRule="auto"/>
        <w:contextualSpacing/>
        <w:rPr>
          <w:rFonts w:eastAsia="Verdana"/>
          <w:b/>
          <w:sz w:val="24"/>
          <w:szCs w:val="24"/>
        </w:rPr>
      </w:pPr>
    </w:p>
    <w:p w14:paraId="18CB96CB" w14:textId="77777777" w:rsidR="007376EB" w:rsidRPr="000878FB" w:rsidRDefault="007376EB" w:rsidP="007376EB">
      <w:pPr>
        <w:spacing w:line="276" w:lineRule="auto"/>
        <w:contextualSpacing/>
        <w:rPr>
          <w:rFonts w:eastAsia="Verdana"/>
          <w:b/>
          <w:sz w:val="24"/>
          <w:szCs w:val="24"/>
        </w:rPr>
      </w:pPr>
      <w:r w:rsidRPr="000878FB">
        <w:rPr>
          <w:rFonts w:eastAsia="Verdana"/>
          <w:b/>
          <w:sz w:val="24"/>
          <w:szCs w:val="24"/>
        </w:rPr>
        <w:t>NOTIFÍQUESE Y CÚMPLASE</w:t>
      </w:r>
    </w:p>
    <w:p w14:paraId="37269135" w14:textId="42186227" w:rsidR="007376EB" w:rsidRDefault="007376EB" w:rsidP="007376EB">
      <w:pPr>
        <w:spacing w:line="276" w:lineRule="auto"/>
        <w:contextualSpacing/>
        <w:jc w:val="center"/>
        <w:rPr>
          <w:rFonts w:eastAsia="Verdana"/>
          <w:b/>
          <w:sz w:val="24"/>
          <w:szCs w:val="24"/>
        </w:rPr>
      </w:pPr>
    </w:p>
    <w:p w14:paraId="3C7A3A53" w14:textId="77777777" w:rsidR="00166703" w:rsidRDefault="00166703" w:rsidP="007376EB">
      <w:pPr>
        <w:spacing w:line="276" w:lineRule="auto"/>
        <w:contextualSpacing/>
        <w:jc w:val="center"/>
        <w:rPr>
          <w:rFonts w:eastAsia="Verdana"/>
          <w:b/>
          <w:sz w:val="24"/>
          <w:szCs w:val="24"/>
        </w:rPr>
      </w:pPr>
    </w:p>
    <w:p w14:paraId="03E7F827" w14:textId="77777777" w:rsidR="00FC15F9" w:rsidRPr="000878FB" w:rsidRDefault="00FC15F9" w:rsidP="007376EB">
      <w:pPr>
        <w:spacing w:line="276" w:lineRule="auto"/>
        <w:contextualSpacing/>
        <w:jc w:val="center"/>
        <w:rPr>
          <w:rFonts w:eastAsia="Verdana"/>
          <w:b/>
          <w:sz w:val="24"/>
          <w:szCs w:val="24"/>
        </w:rPr>
      </w:pPr>
    </w:p>
    <w:p w14:paraId="5D9D6463" w14:textId="77777777" w:rsidR="007376EB" w:rsidRPr="000878FB" w:rsidRDefault="007376EB" w:rsidP="007376EB">
      <w:pPr>
        <w:spacing w:line="276" w:lineRule="auto"/>
        <w:contextualSpacing/>
        <w:jc w:val="center"/>
        <w:rPr>
          <w:rFonts w:eastAsia="Verdana"/>
          <w:b/>
          <w:sz w:val="24"/>
          <w:szCs w:val="24"/>
        </w:rPr>
      </w:pPr>
      <w:r w:rsidRPr="000878FB">
        <w:rPr>
          <w:rFonts w:eastAsia="Verdana"/>
          <w:b/>
          <w:sz w:val="24"/>
          <w:szCs w:val="24"/>
        </w:rPr>
        <w:t>JAIME ENRIQUE RODRÍGUEZ NAVAS</w:t>
      </w:r>
    </w:p>
    <w:p w14:paraId="7A210466" w14:textId="77777777" w:rsidR="007376EB" w:rsidRPr="000878FB" w:rsidRDefault="007376EB" w:rsidP="007376EB">
      <w:pPr>
        <w:spacing w:line="276" w:lineRule="auto"/>
        <w:contextualSpacing/>
        <w:jc w:val="center"/>
        <w:rPr>
          <w:rFonts w:eastAsia="Verdana"/>
          <w:b/>
          <w:sz w:val="24"/>
          <w:szCs w:val="24"/>
        </w:rPr>
      </w:pPr>
      <w:r w:rsidRPr="000878FB">
        <w:rPr>
          <w:rFonts w:eastAsia="Verdana"/>
          <w:b/>
          <w:sz w:val="24"/>
          <w:szCs w:val="24"/>
        </w:rPr>
        <w:t>Presidente de Sala</w:t>
      </w:r>
    </w:p>
    <w:p w14:paraId="68FD7FFC" w14:textId="75279FF8" w:rsidR="007376EB" w:rsidRDefault="007376EB" w:rsidP="007376EB">
      <w:pPr>
        <w:spacing w:line="276" w:lineRule="auto"/>
        <w:contextualSpacing/>
        <w:jc w:val="center"/>
        <w:rPr>
          <w:rFonts w:eastAsia="Verdana"/>
          <w:b/>
          <w:sz w:val="24"/>
          <w:szCs w:val="24"/>
        </w:rPr>
      </w:pPr>
    </w:p>
    <w:p w14:paraId="0C30F473" w14:textId="381C58EC" w:rsidR="00FC15F9" w:rsidRDefault="00FC15F9" w:rsidP="007376EB">
      <w:pPr>
        <w:spacing w:line="276" w:lineRule="auto"/>
        <w:contextualSpacing/>
        <w:jc w:val="center"/>
        <w:rPr>
          <w:rFonts w:eastAsia="Verdana"/>
          <w:b/>
          <w:sz w:val="24"/>
          <w:szCs w:val="24"/>
        </w:rPr>
      </w:pPr>
    </w:p>
    <w:p w14:paraId="328C1640" w14:textId="77777777" w:rsidR="00166703" w:rsidRPr="000878FB" w:rsidRDefault="00166703" w:rsidP="007376EB">
      <w:pPr>
        <w:spacing w:line="276" w:lineRule="auto"/>
        <w:contextualSpacing/>
        <w:jc w:val="center"/>
        <w:rPr>
          <w:rFonts w:eastAsia="Verdana"/>
          <w:b/>
          <w:sz w:val="24"/>
          <w:szCs w:val="24"/>
        </w:rPr>
      </w:pPr>
    </w:p>
    <w:p w14:paraId="6023DA9C" w14:textId="77777777" w:rsidR="007376EB" w:rsidRPr="000878FB" w:rsidRDefault="007376EB" w:rsidP="007376EB">
      <w:pPr>
        <w:spacing w:line="276" w:lineRule="auto"/>
        <w:contextualSpacing/>
        <w:jc w:val="center"/>
        <w:rPr>
          <w:rFonts w:eastAsia="Verdana"/>
          <w:b/>
          <w:sz w:val="24"/>
          <w:szCs w:val="24"/>
        </w:rPr>
      </w:pPr>
      <w:r w:rsidRPr="000878FB">
        <w:rPr>
          <w:rFonts w:eastAsia="Verdana"/>
          <w:b/>
          <w:sz w:val="24"/>
          <w:szCs w:val="24"/>
        </w:rPr>
        <w:t>GUILLERMO SÁNCHEZ LUQUE</w:t>
      </w:r>
    </w:p>
    <w:p w14:paraId="5A867A5F" w14:textId="77777777" w:rsidR="007376EB" w:rsidRPr="000878FB" w:rsidRDefault="007376EB" w:rsidP="007376EB">
      <w:pPr>
        <w:spacing w:line="276" w:lineRule="auto"/>
        <w:contextualSpacing/>
        <w:jc w:val="center"/>
        <w:rPr>
          <w:rFonts w:eastAsia="Verdana"/>
          <w:b/>
          <w:sz w:val="24"/>
          <w:szCs w:val="24"/>
        </w:rPr>
      </w:pPr>
      <w:r w:rsidRPr="000878FB">
        <w:rPr>
          <w:rFonts w:eastAsia="Verdana"/>
          <w:b/>
          <w:sz w:val="24"/>
          <w:szCs w:val="24"/>
        </w:rPr>
        <w:t>Magistrado</w:t>
      </w:r>
    </w:p>
    <w:p w14:paraId="15B2A7D3" w14:textId="13E9223B" w:rsidR="007376EB" w:rsidRDefault="00093F01" w:rsidP="007376EB">
      <w:pPr>
        <w:spacing w:line="276" w:lineRule="auto"/>
        <w:contextualSpacing/>
        <w:jc w:val="center"/>
        <w:rPr>
          <w:rFonts w:eastAsia="Verdana"/>
          <w:b/>
          <w:sz w:val="24"/>
          <w:szCs w:val="24"/>
        </w:rPr>
      </w:pPr>
      <w:r w:rsidRPr="00093F01">
        <w:rPr>
          <w:rFonts w:eastAsia="Verdana"/>
          <w:b/>
          <w:sz w:val="24"/>
          <w:szCs w:val="24"/>
        </w:rPr>
        <w:t>Aclaración de voto Cfr. Rad. 11001-03-15-000-2019-01299-0</w:t>
      </w:r>
      <w:r>
        <w:rPr>
          <w:rFonts w:eastAsia="Verdana"/>
          <w:b/>
          <w:sz w:val="24"/>
          <w:szCs w:val="24"/>
        </w:rPr>
        <w:t>0</w:t>
      </w:r>
    </w:p>
    <w:p w14:paraId="2B87D951" w14:textId="71D2F8D6" w:rsidR="00FC15F9" w:rsidRDefault="00FC15F9" w:rsidP="007376EB">
      <w:pPr>
        <w:spacing w:line="276" w:lineRule="auto"/>
        <w:contextualSpacing/>
        <w:jc w:val="center"/>
        <w:rPr>
          <w:rFonts w:eastAsia="Verdana"/>
          <w:b/>
          <w:sz w:val="24"/>
          <w:szCs w:val="24"/>
        </w:rPr>
      </w:pPr>
    </w:p>
    <w:p w14:paraId="45A12DEA" w14:textId="77777777" w:rsidR="00093F01" w:rsidRDefault="00093F01" w:rsidP="007376EB">
      <w:pPr>
        <w:spacing w:line="276" w:lineRule="auto"/>
        <w:contextualSpacing/>
        <w:jc w:val="center"/>
        <w:rPr>
          <w:rFonts w:eastAsia="Verdana"/>
          <w:b/>
          <w:sz w:val="24"/>
          <w:szCs w:val="24"/>
        </w:rPr>
      </w:pPr>
    </w:p>
    <w:p w14:paraId="49BA9F3F" w14:textId="77777777" w:rsidR="00166703" w:rsidRPr="000878FB" w:rsidRDefault="00166703" w:rsidP="007376EB">
      <w:pPr>
        <w:spacing w:line="276" w:lineRule="auto"/>
        <w:contextualSpacing/>
        <w:jc w:val="center"/>
        <w:rPr>
          <w:rFonts w:eastAsia="Verdana"/>
          <w:b/>
          <w:sz w:val="24"/>
          <w:szCs w:val="24"/>
        </w:rPr>
      </w:pPr>
    </w:p>
    <w:p w14:paraId="01DCFDA8" w14:textId="77777777" w:rsidR="007376EB" w:rsidRPr="000878FB" w:rsidRDefault="007376EB" w:rsidP="007376EB">
      <w:pPr>
        <w:spacing w:line="276" w:lineRule="auto"/>
        <w:contextualSpacing/>
        <w:jc w:val="center"/>
        <w:rPr>
          <w:rFonts w:eastAsia="Verdana"/>
          <w:b/>
          <w:sz w:val="24"/>
          <w:szCs w:val="24"/>
        </w:rPr>
      </w:pPr>
      <w:r w:rsidRPr="000878FB">
        <w:rPr>
          <w:rFonts w:eastAsia="Verdana"/>
          <w:b/>
          <w:sz w:val="24"/>
          <w:szCs w:val="24"/>
        </w:rPr>
        <w:t>NICOLÁS YEPES CORRALES</w:t>
      </w:r>
    </w:p>
    <w:p w14:paraId="5E79F1D1" w14:textId="4CE84DF7" w:rsidR="00D51EE9" w:rsidRDefault="007376EB" w:rsidP="007376EB">
      <w:pPr>
        <w:spacing w:line="276" w:lineRule="auto"/>
        <w:contextualSpacing/>
        <w:jc w:val="center"/>
        <w:rPr>
          <w:rFonts w:eastAsia="Verdana"/>
          <w:b/>
          <w:sz w:val="24"/>
          <w:szCs w:val="24"/>
        </w:rPr>
      </w:pPr>
      <w:r w:rsidRPr="000878FB">
        <w:rPr>
          <w:rFonts w:eastAsia="Verdana"/>
          <w:b/>
          <w:sz w:val="24"/>
          <w:szCs w:val="24"/>
        </w:rPr>
        <w:t>Magistrado</w:t>
      </w:r>
    </w:p>
    <w:p w14:paraId="0703E4CF" w14:textId="59DB70C9" w:rsidR="00B7735F" w:rsidRPr="007376EB" w:rsidRDefault="00B7735F" w:rsidP="007376EB">
      <w:pPr>
        <w:spacing w:line="276" w:lineRule="auto"/>
        <w:contextualSpacing/>
        <w:jc w:val="center"/>
        <w:rPr>
          <w:rFonts w:eastAsia="Verdana"/>
          <w:b/>
          <w:sz w:val="24"/>
          <w:szCs w:val="24"/>
        </w:rPr>
      </w:pPr>
      <w:r>
        <w:rPr>
          <w:rFonts w:eastAsia="Verdana"/>
          <w:b/>
          <w:sz w:val="24"/>
          <w:szCs w:val="24"/>
        </w:rPr>
        <w:t>Ausente con excusa</w:t>
      </w:r>
    </w:p>
    <w:sectPr w:rsidR="00B7735F" w:rsidRPr="007376EB" w:rsidSect="00E57BB4">
      <w:headerReference w:type="default" r:id="rId11"/>
      <w:footerReference w:type="default" r:id="rId12"/>
      <w:headerReference w:type="first" r:id="rId13"/>
      <w:footerReference w:type="first" r:id="rId14"/>
      <w:pgSz w:w="12242" w:h="18722" w:code="14"/>
      <w:pgMar w:top="2552" w:right="1418" w:bottom="1985"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834C" w14:textId="77777777" w:rsidR="0085300F" w:rsidRDefault="0085300F" w:rsidP="00117091">
      <w:r>
        <w:separator/>
      </w:r>
    </w:p>
  </w:endnote>
  <w:endnote w:type="continuationSeparator" w:id="0">
    <w:p w14:paraId="710D451F" w14:textId="77777777" w:rsidR="0085300F" w:rsidRDefault="0085300F" w:rsidP="00117091">
      <w:r>
        <w:continuationSeparator/>
      </w:r>
    </w:p>
  </w:endnote>
  <w:endnote w:type="continuationNotice" w:id="1">
    <w:p w14:paraId="167386CF" w14:textId="77777777" w:rsidR="0085300F" w:rsidRDefault="00853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5E1D39" w14:paraId="22CC7AFE" w14:textId="77777777" w:rsidTr="00B6429B">
      <w:trPr>
        <w:jc w:val="right"/>
      </w:trPr>
      <w:tc>
        <w:tcPr>
          <w:tcW w:w="4795" w:type="dxa"/>
          <w:vAlign w:val="center"/>
        </w:tcPr>
        <w:p w14:paraId="1A1DAD26" w14:textId="77777777" w:rsidR="005E1D39" w:rsidRDefault="005E1D39" w:rsidP="00B6429B">
          <w:pPr>
            <w:pStyle w:val="Encabezado"/>
            <w:jc w:val="center"/>
            <w:rPr>
              <w:color w:val="767171"/>
              <w:sz w:val="20"/>
              <w:szCs w:val="20"/>
            </w:rPr>
          </w:pPr>
          <w:r w:rsidRPr="00A21194">
            <w:rPr>
              <w:color w:val="767171"/>
              <w:sz w:val="20"/>
              <w:szCs w:val="20"/>
            </w:rPr>
            <w:t>Calle 12 No. 7-65 – Tel: (57-1) 350-6700 – Bogotá D.C. – Colombia</w:t>
          </w:r>
        </w:p>
        <w:p w14:paraId="7F88392F" w14:textId="77777777" w:rsidR="005E1D39" w:rsidRPr="00A21194" w:rsidRDefault="005E1D39"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2806AAA0" w14:textId="77777777" w:rsidR="005E1D39" w:rsidRPr="00B6429B" w:rsidRDefault="005E1D39" w:rsidP="00B6429B">
          <w:pPr>
            <w:pStyle w:val="Piedepgina"/>
            <w:jc w:val="center"/>
          </w:pPr>
          <w:r w:rsidRPr="00B6429B">
            <w:fldChar w:fldCharType="begin"/>
          </w:r>
          <w:r w:rsidRPr="00B6429B">
            <w:instrText>PAGE   \* MERGEFORMAT</w:instrText>
          </w:r>
          <w:r w:rsidRPr="00B6429B">
            <w:fldChar w:fldCharType="separate"/>
          </w:r>
          <w:r w:rsidRPr="006833D3">
            <w:rPr>
              <w:noProof/>
              <w:lang w:val="es-ES"/>
            </w:rPr>
            <w:t>2</w:t>
          </w:r>
          <w:r w:rsidRPr="00B6429B">
            <w:fldChar w:fldCharType="end"/>
          </w:r>
        </w:p>
      </w:tc>
    </w:tr>
  </w:tbl>
  <w:p w14:paraId="199724F6" w14:textId="77777777" w:rsidR="005E1D39" w:rsidRPr="008C0DBE" w:rsidRDefault="005E1D39"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5E1D39" w14:paraId="1D900BCF" w14:textId="77777777" w:rsidTr="00B6429B">
      <w:trPr>
        <w:jc w:val="right"/>
      </w:trPr>
      <w:tc>
        <w:tcPr>
          <w:tcW w:w="4795" w:type="dxa"/>
          <w:vAlign w:val="center"/>
        </w:tcPr>
        <w:p w14:paraId="505917EF" w14:textId="77777777" w:rsidR="005E1D39" w:rsidRDefault="005E1D39" w:rsidP="00850A42">
          <w:pPr>
            <w:pStyle w:val="Encabezado"/>
            <w:tabs>
              <w:tab w:val="clear" w:pos="4252"/>
              <w:tab w:val="clear" w:pos="8504"/>
            </w:tabs>
            <w:jc w:val="center"/>
            <w:rPr>
              <w:color w:val="767171"/>
              <w:sz w:val="20"/>
              <w:szCs w:val="20"/>
            </w:rPr>
          </w:pPr>
          <w:r w:rsidRPr="00A21194">
            <w:rPr>
              <w:color w:val="767171"/>
              <w:sz w:val="20"/>
              <w:szCs w:val="20"/>
            </w:rPr>
            <w:t>Calle 12 No. 7-65 – Tel: (57-1) 350-6700 – Bogotá D.C. – Colombia</w:t>
          </w:r>
        </w:p>
        <w:p w14:paraId="04F80AD6" w14:textId="77777777" w:rsidR="005E1D39" w:rsidRPr="00A21194" w:rsidRDefault="005E1D39" w:rsidP="00850A42">
          <w:pPr>
            <w:pStyle w:val="Encabezado"/>
            <w:tabs>
              <w:tab w:val="clear" w:pos="4252"/>
              <w:tab w:val="clear" w:pos="8504"/>
            </w:tabs>
            <w:jc w:val="center"/>
            <w:rPr>
              <w:caps/>
              <w:color w:val="000000"/>
            </w:rPr>
          </w:pPr>
          <w:r w:rsidRPr="00A21194">
            <w:rPr>
              <w:color w:val="767171"/>
              <w:sz w:val="20"/>
              <w:szCs w:val="20"/>
            </w:rPr>
            <w:t>www.consejodeestado.gov.co</w:t>
          </w:r>
        </w:p>
      </w:tc>
      <w:tc>
        <w:tcPr>
          <w:tcW w:w="250" w:type="pct"/>
          <w:shd w:val="clear" w:color="auto" w:fill="auto"/>
          <w:vAlign w:val="center"/>
        </w:tcPr>
        <w:p w14:paraId="3AC47382" w14:textId="77777777" w:rsidR="005E1D39" w:rsidRPr="00B6429B" w:rsidRDefault="005E1D39" w:rsidP="00850A42">
          <w:pPr>
            <w:pStyle w:val="Piedepgina"/>
            <w:tabs>
              <w:tab w:val="clear" w:pos="4252"/>
              <w:tab w:val="clear" w:pos="8504"/>
            </w:tabs>
            <w:jc w:val="center"/>
          </w:pPr>
          <w:r w:rsidRPr="00B6429B">
            <w:fldChar w:fldCharType="begin"/>
          </w:r>
          <w:r w:rsidRPr="00B6429B">
            <w:instrText>PAGE   \* MERGEFORMAT</w:instrText>
          </w:r>
          <w:r w:rsidRPr="00B6429B">
            <w:fldChar w:fldCharType="separate"/>
          </w:r>
          <w:r w:rsidRPr="006833D3">
            <w:rPr>
              <w:noProof/>
              <w:lang w:val="es-ES"/>
            </w:rPr>
            <w:t>1</w:t>
          </w:r>
          <w:r w:rsidRPr="00B6429B">
            <w:fldChar w:fldCharType="end"/>
          </w:r>
        </w:p>
      </w:tc>
    </w:tr>
  </w:tbl>
  <w:p w14:paraId="3A21C5E9" w14:textId="77777777" w:rsidR="005E1D39" w:rsidRDefault="005E1D39" w:rsidP="00850A42">
    <w:pPr>
      <w:pStyle w:val="Piedepgina"/>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88E6" w14:textId="77777777" w:rsidR="0085300F" w:rsidRDefault="0085300F" w:rsidP="00117091">
      <w:r>
        <w:separator/>
      </w:r>
    </w:p>
  </w:footnote>
  <w:footnote w:type="continuationSeparator" w:id="0">
    <w:p w14:paraId="68AE5B23" w14:textId="77777777" w:rsidR="0085300F" w:rsidRDefault="0085300F" w:rsidP="00117091">
      <w:r>
        <w:continuationSeparator/>
      </w:r>
    </w:p>
  </w:footnote>
  <w:footnote w:type="continuationNotice" w:id="1">
    <w:p w14:paraId="705638E0" w14:textId="77777777" w:rsidR="0085300F" w:rsidRDefault="0085300F"/>
  </w:footnote>
  <w:footnote w:id="2">
    <w:p w14:paraId="576D4D03" w14:textId="77777777" w:rsidR="005E1D39" w:rsidRPr="003425A9" w:rsidRDefault="005E1D39" w:rsidP="004C7E51">
      <w:pPr>
        <w:pStyle w:val="Textonotapie"/>
      </w:pPr>
      <w:r>
        <w:rPr>
          <w:rStyle w:val="Refdenotaalpie"/>
        </w:rPr>
        <w:footnoteRef/>
      </w:r>
      <w:r>
        <w:t xml:space="preserve"> </w:t>
      </w:r>
      <w:r w:rsidRPr="003425A9">
        <w:t>Ver, archiv</w:t>
      </w:r>
      <w:r>
        <w:t>o</w:t>
      </w:r>
      <w:r w:rsidRPr="003425A9">
        <w:t xml:space="preserve"> con certificado </w:t>
      </w:r>
      <w:r w:rsidRPr="00DC694B">
        <w:t>A31965E63146A541 6D62AB8690E0B457 33EA98521AFCED3F 1AE27A7FB8F68451</w:t>
      </w:r>
      <w:r>
        <w:t>.</w:t>
      </w:r>
    </w:p>
  </w:footnote>
  <w:footnote w:id="3">
    <w:p w14:paraId="17305B49" w14:textId="77777777" w:rsidR="005E1D39" w:rsidRPr="00C87D14" w:rsidRDefault="005E1D39" w:rsidP="004C7E51">
      <w:pPr>
        <w:pStyle w:val="Textonotapie"/>
      </w:pPr>
      <w:r>
        <w:rPr>
          <w:rStyle w:val="Refdenotaalpie"/>
        </w:rPr>
        <w:footnoteRef/>
      </w:r>
      <w:r w:rsidRPr="00C87D14">
        <w:t xml:space="preserve"> Ibid.</w:t>
      </w:r>
    </w:p>
  </w:footnote>
  <w:footnote w:id="4">
    <w:p w14:paraId="352AC847" w14:textId="77777777" w:rsidR="005E1D39" w:rsidRPr="00C87D14" w:rsidRDefault="005E1D39" w:rsidP="004C7E51">
      <w:pPr>
        <w:pStyle w:val="Textonotapie"/>
      </w:pPr>
      <w:r>
        <w:rPr>
          <w:rStyle w:val="Refdenotaalpie"/>
        </w:rPr>
        <w:footnoteRef/>
      </w:r>
      <w:r w:rsidRPr="00C87D14">
        <w:t xml:space="preserve"> Ibid.</w:t>
      </w:r>
    </w:p>
  </w:footnote>
  <w:footnote w:id="5">
    <w:p w14:paraId="56AB2E03" w14:textId="26E9DE5F" w:rsidR="005E1D39" w:rsidRPr="00433744" w:rsidRDefault="005E1D39" w:rsidP="004C7E51">
      <w:pPr>
        <w:pStyle w:val="Textonotapie"/>
      </w:pPr>
      <w:r>
        <w:rPr>
          <w:rStyle w:val="Refdenotaalpie"/>
        </w:rPr>
        <w:footnoteRef/>
      </w:r>
      <w:r>
        <w:t xml:space="preserve"> </w:t>
      </w:r>
      <w:r w:rsidRPr="00433744">
        <w:t>Subdirec</w:t>
      </w:r>
      <w:r>
        <w:t>ción</w:t>
      </w:r>
      <w:r w:rsidRPr="00433744">
        <w:t xml:space="preserve"> </w:t>
      </w:r>
      <w:r>
        <w:t>d</w:t>
      </w:r>
      <w:r w:rsidRPr="00433744">
        <w:t>e Determinaci</w:t>
      </w:r>
      <w:r>
        <w:t>ó</w:t>
      </w:r>
      <w:r w:rsidRPr="00433744">
        <w:t xml:space="preserve">n </w:t>
      </w:r>
      <w:r>
        <w:t>d</w:t>
      </w:r>
      <w:r w:rsidRPr="00433744">
        <w:t>e Derechos Pensionales</w:t>
      </w:r>
      <w:r>
        <w:t>.</w:t>
      </w:r>
    </w:p>
  </w:footnote>
  <w:footnote w:id="6">
    <w:p w14:paraId="50AA3CB3" w14:textId="5312B765" w:rsidR="005E1D39" w:rsidRPr="0043386E" w:rsidRDefault="005E1D39" w:rsidP="004C7E51">
      <w:pPr>
        <w:pStyle w:val="Textonotapie"/>
      </w:pPr>
      <w:r>
        <w:rPr>
          <w:rStyle w:val="Refdenotaalpie"/>
        </w:rPr>
        <w:footnoteRef/>
      </w:r>
      <w:r>
        <w:t xml:space="preserve"> </w:t>
      </w:r>
      <w:r w:rsidRPr="0043386E">
        <w:t>Ver, archivo con certificado FE7528FD279B530F 715DBC6C06CBB7E0 1C6A178F53400FAF 1A467FC54D764954</w:t>
      </w:r>
      <w:r>
        <w:t>.</w:t>
      </w:r>
    </w:p>
  </w:footnote>
  <w:footnote w:id="7">
    <w:p w14:paraId="1B33C369" w14:textId="422FAC88" w:rsidR="005E1D39" w:rsidRPr="00F95BFD" w:rsidRDefault="005E1D39" w:rsidP="004C7E51">
      <w:pPr>
        <w:pStyle w:val="Textonotapie"/>
      </w:pPr>
      <w:r>
        <w:rPr>
          <w:rStyle w:val="Refdenotaalpie"/>
        </w:rPr>
        <w:footnoteRef/>
      </w:r>
      <w:r>
        <w:t xml:space="preserve"> </w:t>
      </w:r>
      <w:r w:rsidRPr="00F95BFD">
        <w:t xml:space="preserve">Se desempeñó en la </w:t>
      </w:r>
      <w:r>
        <w:t>Secretaría Municipal de Educación de Florencia (Caquetá).</w:t>
      </w:r>
    </w:p>
  </w:footnote>
  <w:footnote w:id="8">
    <w:p w14:paraId="0599326F" w14:textId="2E01A02B" w:rsidR="005E1D39" w:rsidRPr="006E14EB" w:rsidRDefault="005E1D39" w:rsidP="004C7E51">
      <w:pPr>
        <w:pStyle w:val="Textonotapie"/>
      </w:pPr>
      <w:r>
        <w:rPr>
          <w:rStyle w:val="Refdenotaalpie"/>
        </w:rPr>
        <w:footnoteRef/>
      </w:r>
      <w:r>
        <w:t xml:space="preserve"> “</w:t>
      </w:r>
      <w:r w:rsidRPr="006E14EB">
        <w:rPr>
          <w:u w:val="single"/>
        </w:rPr>
        <w:t>Artículo</w:t>
      </w:r>
      <w:r w:rsidRPr="006E14EB">
        <w:t xml:space="preserve"> </w:t>
      </w:r>
      <w:r w:rsidRPr="006E14EB">
        <w:rPr>
          <w:u w:val="single"/>
        </w:rPr>
        <w:t>37</w:t>
      </w:r>
      <w:r w:rsidRPr="006E14EB">
        <w:t xml:space="preserve">. </w:t>
      </w:r>
      <w:r>
        <w:rPr>
          <w:i/>
          <w:iCs/>
        </w:rPr>
        <w:t>I</w:t>
      </w:r>
      <w:r w:rsidRPr="006E14EB">
        <w:rPr>
          <w:i/>
          <w:iCs/>
        </w:rPr>
        <w:t>ndemnización sustitutiva de la pensión de vejez</w:t>
      </w:r>
      <w:r w:rsidRPr="006E14EB">
        <w:t>. Las personas que habiendo cumplido la edad para obtener la pensión de vejez no hayan cotizado el mínimo de semanas exigidas, y declaren su imposibilidad de continuar cotizando, tendrán derecho a recibir, en sustitución, una indemnización equivalente a un salario base de liquidación promedio semanal multiplicado por el número de semanas cotizadas; al resultado así obtenido se le aplica el promedio ponderado de los porcentajes sobre los cuales haya cotizado el afiliado</w:t>
      </w:r>
      <w:r>
        <w:t>”.</w:t>
      </w:r>
    </w:p>
  </w:footnote>
  <w:footnote w:id="9">
    <w:p w14:paraId="67B8CBCD" w14:textId="299F5D46" w:rsidR="005E1D39" w:rsidRPr="006E14EB" w:rsidRDefault="005E1D39" w:rsidP="004C7E51">
      <w:pPr>
        <w:pStyle w:val="Textonotapie"/>
      </w:pPr>
      <w:r>
        <w:rPr>
          <w:rStyle w:val="Refdenotaalpie"/>
        </w:rPr>
        <w:footnoteRef/>
      </w:r>
      <w:r>
        <w:t xml:space="preserve"> “</w:t>
      </w:r>
      <w:r w:rsidRPr="00206C27">
        <w:t>Por la cual se crea el sistema de seguridad social integral y se dictan otras disposiciones</w:t>
      </w:r>
      <w:r>
        <w:t>”.</w:t>
      </w:r>
    </w:p>
  </w:footnote>
  <w:footnote w:id="10">
    <w:p w14:paraId="738C1ECB" w14:textId="12E20B5D" w:rsidR="005E1D39" w:rsidRPr="00206C27" w:rsidRDefault="005E1D39" w:rsidP="004C7E51">
      <w:pPr>
        <w:pStyle w:val="Textonotapie"/>
      </w:pPr>
      <w:r>
        <w:rPr>
          <w:rStyle w:val="Refdenotaalpie"/>
        </w:rPr>
        <w:footnoteRef/>
      </w:r>
      <w:r>
        <w:t xml:space="preserve"> “</w:t>
      </w:r>
      <w:r w:rsidRPr="00206C27">
        <w:t>Por el cual se modifica el artículo 6º del Decreto 691 de 1994</w:t>
      </w:r>
      <w:r>
        <w:t xml:space="preserve"> [«</w:t>
      </w:r>
      <w:r w:rsidRPr="00206C27">
        <w:t>Por el cual se incorporan los servidores públicos al sistema general de pensiones y se dictan otras disposiciones</w:t>
      </w:r>
      <w:r>
        <w:t>»]”.</w:t>
      </w:r>
    </w:p>
  </w:footnote>
  <w:footnote w:id="11">
    <w:p w14:paraId="29FFA9AF" w14:textId="723D46D3" w:rsidR="005E1D39" w:rsidRDefault="005E1D39" w:rsidP="004C7E51">
      <w:pPr>
        <w:pStyle w:val="Textonotapie"/>
      </w:pPr>
      <w:r>
        <w:rPr>
          <w:rStyle w:val="Refdenotaalpie"/>
        </w:rPr>
        <w:footnoteRef/>
      </w:r>
      <w:r>
        <w:t xml:space="preserve"> “</w:t>
      </w:r>
      <w:r w:rsidRPr="00526AFB">
        <w:rPr>
          <w:u w:val="single"/>
        </w:rPr>
        <w:t>Artículo</w:t>
      </w:r>
      <w:r>
        <w:t xml:space="preserve"> </w:t>
      </w:r>
      <w:r w:rsidRPr="00526AFB">
        <w:rPr>
          <w:u w:val="single"/>
        </w:rPr>
        <w:t>3</w:t>
      </w:r>
      <w:r>
        <w:t xml:space="preserve">.º. </w:t>
      </w:r>
      <w:r w:rsidRPr="00526AFB">
        <w:rPr>
          <w:i/>
          <w:iCs/>
        </w:rPr>
        <w:t>Cuantía de la indemnización</w:t>
      </w:r>
      <w:r>
        <w:t>. Para determinar el valor de la indemnización se aplicará la siguiente formula:</w:t>
      </w:r>
    </w:p>
    <w:p w14:paraId="0C3135C4" w14:textId="7FE43E77" w:rsidR="005E1D39" w:rsidRPr="00526AFB" w:rsidRDefault="005E1D39" w:rsidP="004C7E51">
      <w:pPr>
        <w:pStyle w:val="Textonotapie"/>
        <w:rPr>
          <w:lang w:val="en-US"/>
        </w:rPr>
      </w:pPr>
      <w:r w:rsidRPr="00CD2FD0">
        <w:t xml:space="preserve">   </w:t>
      </w:r>
      <w:r>
        <w:rPr>
          <w:lang w:val="en-US"/>
        </w:rPr>
        <w:t>“</w:t>
      </w:r>
      <w:r w:rsidRPr="00526AFB">
        <w:rPr>
          <w:lang w:val="en-US"/>
        </w:rPr>
        <w:t>I = SBC x SC x PPC</w:t>
      </w:r>
    </w:p>
    <w:p w14:paraId="038D437A" w14:textId="4B51101E" w:rsidR="005E1D39" w:rsidRDefault="005E1D39" w:rsidP="004C7E51">
      <w:pPr>
        <w:pStyle w:val="Textonotapie"/>
      </w:pPr>
      <w:r w:rsidRPr="00526AFB">
        <w:rPr>
          <w:lang w:val="en-US"/>
        </w:rPr>
        <w:t xml:space="preserve">   </w:t>
      </w:r>
      <w:r>
        <w:t>“Donde:</w:t>
      </w:r>
    </w:p>
    <w:p w14:paraId="20F24391" w14:textId="1BE8C16C" w:rsidR="005E1D39" w:rsidRDefault="005E1D39" w:rsidP="004C7E51">
      <w:pPr>
        <w:pStyle w:val="Textonotapie"/>
      </w:pPr>
      <w:r>
        <w:t xml:space="preserve">   “SBC: Es el salario base de la liquidación de la cotización semanal promediado de acuerdo con los factores señalados en el Decreto 1158 de 1994, sobre los cuales cotizó el afiliado a la Administradora que va a efectuar el reconocimiento, actualizado anualmente con base en la variación del IPC según certificación del DANE.</w:t>
      </w:r>
    </w:p>
    <w:p w14:paraId="70671178" w14:textId="3C3016D5" w:rsidR="005E1D39" w:rsidRDefault="005E1D39" w:rsidP="004C7E51">
      <w:pPr>
        <w:pStyle w:val="Textonotapie"/>
      </w:pPr>
      <w:r>
        <w:t xml:space="preserve">   “SC: Es la suma de las semanas cotizadas a la Administradora que va a efectuar el reconocimiento.</w:t>
      </w:r>
    </w:p>
    <w:p w14:paraId="4CE1FBD8" w14:textId="7E37C290" w:rsidR="005E1D39" w:rsidRDefault="005E1D39" w:rsidP="004C7E51">
      <w:pPr>
        <w:pStyle w:val="Textonotapie"/>
      </w:pPr>
      <w:r>
        <w:t xml:space="preserve">   “PPC: Es el promedio ponderado de los porcentajes sobre los cuales ha cotizado el afiliado para el riesgo de vejez, invalidez o muerte por riesgo común, a la Administradora que va a efectuar el reconocimiento.</w:t>
      </w:r>
    </w:p>
    <w:p w14:paraId="60F80636" w14:textId="047E5962" w:rsidR="005E1D39" w:rsidRDefault="005E1D39" w:rsidP="004C7E51">
      <w:pPr>
        <w:pStyle w:val="Textonotapie"/>
      </w:pPr>
      <w:r>
        <w:t xml:space="preserve">   “En el evento de que, con anterioridad a la vigencia de la Ley 100 de 1993, la Administradora que va a efectuar el reconocimiento no manejara separadamente las cotizaciones de los riesgos de vejez, invalidez o muerte por riesgo común de las correspondientes al riesgo de salud, se aplicará la misma proporción existente entre las cotizaciones para el riesgo de vejez de que trata el inciso primero del artículo 20 de la ley 100 de 1993 (10%) y las cotizaciones para el riesgo de salud señaladas en el artículo 204 de la misma Ley (12%), es decir se tomarán como cotizaciones para el riesgo de vejez el equivalente al 45.45% de total de la cotización efectuada y sobre este resultado se calculará la indemnización sustitutiva.</w:t>
      </w:r>
    </w:p>
    <w:p w14:paraId="52F2EA90" w14:textId="1E62566F" w:rsidR="005E1D39" w:rsidRPr="00526AFB" w:rsidRDefault="005E1D39" w:rsidP="004C7E51">
      <w:pPr>
        <w:pStyle w:val="Textonotapie"/>
      </w:pPr>
      <w:r>
        <w:t xml:space="preserve">   “A partir de la vigencia de la Ley 100 de 1993, se tomará en cuenta el porcentaje de cotización establecido en el inciso primero del artículo 20 de la Ley 100 de 1993”.</w:t>
      </w:r>
    </w:p>
  </w:footnote>
  <w:footnote w:id="12">
    <w:p w14:paraId="5176E5A2" w14:textId="65FAE631" w:rsidR="005E1D39" w:rsidRPr="00526AFB" w:rsidRDefault="005E1D39" w:rsidP="004C7E51">
      <w:pPr>
        <w:pStyle w:val="Textonotapie"/>
      </w:pPr>
      <w:r>
        <w:rPr>
          <w:rStyle w:val="Refdenotaalpie"/>
        </w:rPr>
        <w:footnoteRef/>
      </w:r>
      <w:r>
        <w:t xml:space="preserve"> </w:t>
      </w:r>
      <w:r w:rsidRPr="00526AFB">
        <w:t>“</w:t>
      </w:r>
      <w:r>
        <w:t>P</w:t>
      </w:r>
      <w:r w:rsidRPr="00526AFB">
        <w:t>or medio del cual se reglamentan los artículos 37, 45 y 49 de la Ley 100 de 1993 referentes a la Indemnización Sustitutiva del Régimen Solidario de Prima Media con Prestación Definida</w:t>
      </w:r>
      <w:r>
        <w:t>”.</w:t>
      </w:r>
    </w:p>
  </w:footnote>
  <w:footnote w:id="13">
    <w:p w14:paraId="5CE743E3" w14:textId="531BE05D" w:rsidR="005E1D39" w:rsidRDefault="005E1D39" w:rsidP="004C7E51">
      <w:pPr>
        <w:pStyle w:val="Textonotapie"/>
      </w:pPr>
      <w:r>
        <w:rPr>
          <w:rStyle w:val="Refdenotaalpie"/>
        </w:rPr>
        <w:footnoteRef/>
      </w:r>
      <w:r>
        <w:t xml:space="preserve"> “</w:t>
      </w:r>
      <w:r w:rsidRPr="00526AFB">
        <w:rPr>
          <w:u w:val="single"/>
        </w:rPr>
        <w:t>Artículo</w:t>
      </w:r>
      <w:r>
        <w:t xml:space="preserve"> </w:t>
      </w:r>
      <w:r w:rsidRPr="00526AFB">
        <w:rPr>
          <w:u w:val="single"/>
        </w:rPr>
        <w:t>1</w:t>
      </w:r>
      <w:r>
        <w:t>º. El artículo 6º del Decreto 691 de 1994, quedará así:</w:t>
      </w:r>
    </w:p>
    <w:p w14:paraId="67E891B7" w14:textId="40A8D11E" w:rsidR="005E1D39" w:rsidRDefault="005E1D39" w:rsidP="004C7E51">
      <w:pPr>
        <w:pStyle w:val="Textonotapie"/>
      </w:pPr>
      <w:r>
        <w:t xml:space="preserve">   "Base de cotización".</w:t>
      </w:r>
    </w:p>
    <w:p w14:paraId="16D2298D" w14:textId="384CA206" w:rsidR="005E1D39" w:rsidRDefault="005E1D39" w:rsidP="004C7E51">
      <w:pPr>
        <w:pStyle w:val="Textonotapie"/>
      </w:pPr>
      <w:r>
        <w:t xml:space="preserve">   “El salario mensual base para calcular las cotizaciones al Sistema General de Pensiones de los servidores públicos incorporados al mismo, estará constituido por los siguientes factores:</w:t>
      </w:r>
    </w:p>
    <w:p w14:paraId="195BEDAC" w14:textId="27C00663" w:rsidR="005E1D39" w:rsidRDefault="005E1D39" w:rsidP="004C7E51">
      <w:pPr>
        <w:pStyle w:val="Textonotapie"/>
      </w:pPr>
      <w:r>
        <w:t xml:space="preserve">   “a) La asignación básica mensual;</w:t>
      </w:r>
    </w:p>
    <w:p w14:paraId="35EC051B" w14:textId="6E806E57" w:rsidR="005E1D39" w:rsidRDefault="005E1D39" w:rsidP="004C7E51">
      <w:pPr>
        <w:pStyle w:val="Textonotapie"/>
      </w:pPr>
      <w:r>
        <w:t xml:space="preserve">   “b) Los gastos de representación;</w:t>
      </w:r>
    </w:p>
    <w:p w14:paraId="4B389ECC" w14:textId="23E23C82" w:rsidR="005E1D39" w:rsidRDefault="005E1D39" w:rsidP="004C7E51">
      <w:pPr>
        <w:pStyle w:val="Textonotapie"/>
      </w:pPr>
      <w:r>
        <w:t xml:space="preserve">   “c) La prima técnica, cuando sea factor de salario;</w:t>
      </w:r>
    </w:p>
    <w:p w14:paraId="5630C74F" w14:textId="4224B75E" w:rsidR="005E1D39" w:rsidRDefault="005E1D39" w:rsidP="004C7E51">
      <w:pPr>
        <w:pStyle w:val="Textonotapie"/>
      </w:pPr>
      <w:r>
        <w:t xml:space="preserve">   “d) Las primas de antigüedad, ascensional de capacitación cuando sean factor de salario;</w:t>
      </w:r>
    </w:p>
    <w:p w14:paraId="755104AF" w14:textId="60F51E9B" w:rsidR="005E1D39" w:rsidRDefault="005E1D39" w:rsidP="004C7E51">
      <w:pPr>
        <w:pStyle w:val="Textonotapie"/>
      </w:pPr>
      <w:r>
        <w:t xml:space="preserve">   “e) La remuneración por trabajo dominical o festivo;</w:t>
      </w:r>
    </w:p>
    <w:p w14:paraId="510E697E" w14:textId="4B5825CD" w:rsidR="005E1D39" w:rsidRDefault="005E1D39" w:rsidP="004C7E51">
      <w:pPr>
        <w:pStyle w:val="Textonotapie"/>
      </w:pPr>
      <w:r>
        <w:t xml:space="preserve">   “f) La remuneración por trabajo suplementario o de horas extras, o realizado en jornada nocturna;</w:t>
      </w:r>
    </w:p>
    <w:p w14:paraId="11724C76" w14:textId="2F9A8050" w:rsidR="005E1D39" w:rsidRPr="00526AFB" w:rsidRDefault="005E1D39" w:rsidP="004C7E51">
      <w:pPr>
        <w:pStyle w:val="Textonotapie"/>
      </w:pPr>
      <w:r>
        <w:t xml:space="preserve">   “g) La bonificación por servicios prestados;</w:t>
      </w:r>
    </w:p>
  </w:footnote>
  <w:footnote w:id="14">
    <w:p w14:paraId="0AB753D5" w14:textId="744B858B" w:rsidR="005E1D39" w:rsidRPr="004C7E51" w:rsidRDefault="005E1D39" w:rsidP="004C7E51">
      <w:pPr>
        <w:pStyle w:val="Textonotapie"/>
      </w:pPr>
      <w:r>
        <w:rPr>
          <w:rStyle w:val="Refdenotaalpie"/>
        </w:rPr>
        <w:footnoteRef/>
      </w:r>
      <w:r>
        <w:t xml:space="preserve"> </w:t>
      </w:r>
      <w:r w:rsidRPr="004C7E51">
        <w:t>Ver, n</w:t>
      </w:r>
      <w:r>
        <w:t xml:space="preserve">ota de pie de página n.° </w:t>
      </w:r>
      <w:r>
        <w:fldChar w:fldCharType="begin"/>
      </w:r>
      <w:r>
        <w:instrText xml:space="preserve"> NOTEREF _Ref70499151 \h  \* MERGEFORMAT </w:instrText>
      </w:r>
      <w:r>
        <w:fldChar w:fldCharType="separate"/>
      </w:r>
      <w:r>
        <w:t>9</w:t>
      </w:r>
      <w:r>
        <w:fldChar w:fldCharType="end"/>
      </w:r>
      <w:r>
        <w:t>.</w:t>
      </w:r>
    </w:p>
  </w:footnote>
  <w:footnote w:id="15">
    <w:p w14:paraId="6A07A16D" w14:textId="37F8124E" w:rsidR="005E1D39" w:rsidRPr="00433744" w:rsidRDefault="005E1D39" w:rsidP="004C7E51">
      <w:pPr>
        <w:pStyle w:val="Textonotapie"/>
      </w:pPr>
      <w:r>
        <w:rPr>
          <w:rStyle w:val="Refdenotaalpie"/>
        </w:rPr>
        <w:footnoteRef/>
      </w:r>
      <w:r>
        <w:t xml:space="preserve"> Dirección de Pensiones.</w:t>
      </w:r>
    </w:p>
  </w:footnote>
  <w:footnote w:id="16">
    <w:p w14:paraId="6B828CA6" w14:textId="79DB0327" w:rsidR="005E1D39" w:rsidRPr="004C7E51" w:rsidRDefault="005E1D39">
      <w:pPr>
        <w:pStyle w:val="Textonotapie"/>
      </w:pPr>
      <w:r>
        <w:rPr>
          <w:rStyle w:val="Refdenotaalpie"/>
        </w:rPr>
        <w:footnoteRef/>
      </w:r>
      <w:r>
        <w:t xml:space="preserve"> Ver, nota de pie de página n.° </w:t>
      </w:r>
      <w:r>
        <w:fldChar w:fldCharType="begin"/>
      </w:r>
      <w:r>
        <w:instrText xml:space="preserve"> NOTEREF _Ref70499263 \h </w:instrText>
      </w:r>
      <w:r>
        <w:fldChar w:fldCharType="separate"/>
      </w:r>
      <w:r>
        <w:t>1</w:t>
      </w:r>
      <w:r>
        <w:fldChar w:fldCharType="end"/>
      </w:r>
      <w:r>
        <w:t>.</w:t>
      </w:r>
    </w:p>
  </w:footnote>
  <w:footnote w:id="17">
    <w:p w14:paraId="27EBB8B5" w14:textId="39D98D10" w:rsidR="005E1D39" w:rsidRPr="00A25B46" w:rsidRDefault="005E1D39">
      <w:pPr>
        <w:pStyle w:val="Textonotapie"/>
      </w:pPr>
      <w:r>
        <w:rPr>
          <w:rStyle w:val="Refdenotaalpie"/>
        </w:rPr>
        <w:footnoteRef/>
      </w:r>
      <w:r>
        <w:t xml:space="preserve"> Así concluyó el juzgado en la sentencia bajo reconstrucción: </w:t>
      </w:r>
      <w:r w:rsidRPr="00A25B46">
        <w:t>“Frente al asunto, el artículo 3.° del Decreto 1730 de 2001, expone claramente que el porcentaje del 45.45% determinado, hace referencian [sic] a que es aplicable para la administradora que va a efectuar el reconocimiento, antes de la vigencia de la ley [sic] 100 de 1993 (01 de abril de 1994) manejara separadamente las cotizaciones de los riesgos de vejez, invalidez o muerte por riesgo común de las correspondientes al riesgo de salud, para tal fin, es de recordar antes de que entrara a regir la Ley 100 de 1993 los servidores públicos no hacían aportes para pensión en un Fondo [sic] creado para dicho fin, sino que se les deducía una cuota equivalente al 5% del salario para atender las prestaciones por muerte, maternidad y pensiones, por tal motivo, es claro que en estos eventos el promedio ponderado cotizado (PPC) de que trata el artículo mencionado, se obtiene luego de aplicar el 45.45% que dicha norma consagra al 5% que corresponde a la cotización efectuada, conforme la normativa referida…”</w:t>
      </w:r>
      <w:r>
        <w:t>.</w:t>
      </w:r>
    </w:p>
  </w:footnote>
  <w:footnote w:id="18">
    <w:p w14:paraId="2E3B7308" w14:textId="101E192C" w:rsidR="005E1D39" w:rsidRPr="00A25B46" w:rsidRDefault="005E1D39">
      <w:pPr>
        <w:pStyle w:val="Textonotapie"/>
      </w:pPr>
      <w:r>
        <w:rPr>
          <w:rStyle w:val="Refdenotaalpie"/>
        </w:rPr>
        <w:footnoteRef/>
      </w:r>
      <w:r>
        <w:t xml:space="preserve"> Ver, nota de pie de página n.° </w:t>
      </w:r>
      <w:r>
        <w:fldChar w:fldCharType="begin"/>
      </w:r>
      <w:r>
        <w:instrText xml:space="preserve"> NOTEREF _Ref70499263 \h </w:instrText>
      </w:r>
      <w:r>
        <w:fldChar w:fldCharType="separate"/>
      </w:r>
      <w:r>
        <w:t>1</w:t>
      </w:r>
      <w:r>
        <w:fldChar w:fldCharType="end"/>
      </w:r>
      <w:r>
        <w:t>.</w:t>
      </w:r>
    </w:p>
  </w:footnote>
  <w:footnote w:id="19">
    <w:p w14:paraId="11C69DC0" w14:textId="0E2CA081" w:rsidR="005E1D39" w:rsidRPr="00714113" w:rsidRDefault="005E1D39">
      <w:pPr>
        <w:pStyle w:val="Textonotapie"/>
      </w:pPr>
      <w:r>
        <w:rPr>
          <w:rStyle w:val="Refdenotaalpie"/>
        </w:rPr>
        <w:footnoteRef/>
      </w:r>
      <w:r>
        <w:t xml:space="preserve"> Así concluyó el Tribunal: “</w:t>
      </w:r>
      <w:r w:rsidRPr="00714113">
        <w:t>En ese orden de ideas, estima la Sala que no le asiste razón a lo pretendido por la parte demandante, habida cuenta que la norma es clara en señalar que, para eventos como el sub lite, en el que se efectuaron aportes con anterioridad a la vigencia de la Ley 100 de 1993, y que los mismos fueron realizados de manera indiscriminada con el porcentaje del 5%, deviene sin dubitación alguna que para determinar el porcentaje ponderado como lo consagra el artículo 3° del Decreto 1730 de 2001, debe tomarse la proporción equivalente al 45.45% frente a la totalidad de las cotizaciones efectuadas; cálculo que fue aplicado por el ente accionado para definir el monto a reconocer a la demandante, por concepto de indemnización sustitutiva</w:t>
      </w:r>
      <w:r>
        <w:t>”.</w:t>
      </w:r>
    </w:p>
  </w:footnote>
  <w:footnote w:id="20">
    <w:p w14:paraId="6DDBB1A2" w14:textId="45ED2260" w:rsidR="005E1D39" w:rsidRPr="0073489D" w:rsidRDefault="005E1D39">
      <w:pPr>
        <w:pStyle w:val="Textonotapie"/>
      </w:pPr>
      <w:r>
        <w:rPr>
          <w:rStyle w:val="Refdenotaalpie"/>
        </w:rPr>
        <w:footnoteRef/>
      </w:r>
      <w:r>
        <w:t xml:space="preserve"> Hernando Motta Moreno.</w:t>
      </w:r>
    </w:p>
  </w:footnote>
  <w:footnote w:id="21">
    <w:p w14:paraId="320833F8" w14:textId="7705B088" w:rsidR="005E1D39" w:rsidRPr="00F77BC5" w:rsidRDefault="005E1D39" w:rsidP="004C7E51">
      <w:pPr>
        <w:pStyle w:val="Textonotapie"/>
        <w:rPr>
          <w:szCs w:val="16"/>
        </w:rPr>
      </w:pPr>
      <w:r w:rsidRPr="00F77BC5">
        <w:rPr>
          <w:rStyle w:val="Refdenotaalpie"/>
          <w:szCs w:val="16"/>
        </w:rPr>
        <w:footnoteRef/>
      </w:r>
      <w:r w:rsidRPr="00F77BC5">
        <w:rPr>
          <w:szCs w:val="16"/>
        </w:rPr>
        <w:t xml:space="preserve"> Ver, archivo con certificado 7205D528622CF618 6F13B928E5A55C2F 2AF897107A37A1A4 A7FBC3A4DC2FF401.</w:t>
      </w:r>
    </w:p>
  </w:footnote>
  <w:footnote w:id="22">
    <w:p w14:paraId="65785DFE" w14:textId="6655D27F" w:rsidR="005E1D39" w:rsidRPr="006F3464" w:rsidRDefault="005E1D39">
      <w:pPr>
        <w:pStyle w:val="Textonotapie"/>
      </w:pPr>
      <w:r>
        <w:rPr>
          <w:rStyle w:val="Refdenotaalpie"/>
        </w:rPr>
        <w:footnoteRef/>
      </w:r>
      <w:r>
        <w:t xml:space="preserve"> </w:t>
      </w:r>
      <w:r w:rsidRPr="006F3464">
        <w:t>Ver, archivo con certificado</w:t>
      </w:r>
      <w:r>
        <w:t xml:space="preserve"> </w:t>
      </w:r>
      <w:r w:rsidRPr="006F3464">
        <w:t>4F618C6FF2CCC237 0C5B36C2FE3F4456 219B2E4BD2372004 29C3B19E1ECC9BFD</w:t>
      </w:r>
      <w:r w:rsidRPr="006F3464">
        <w:tab/>
      </w:r>
      <w:r>
        <w:t>.</w:t>
      </w:r>
    </w:p>
  </w:footnote>
  <w:footnote w:id="23">
    <w:p w14:paraId="0716835E" w14:textId="77777777" w:rsidR="005E1D39" w:rsidRPr="00B04958" w:rsidRDefault="005E1D39" w:rsidP="006F3464">
      <w:pPr>
        <w:pStyle w:val="Textonotapie"/>
      </w:pPr>
      <w:r>
        <w:rPr>
          <w:rStyle w:val="Refdenotaalpie"/>
        </w:rPr>
        <w:footnoteRef/>
      </w:r>
      <w:r>
        <w:t xml:space="preserve"> </w:t>
      </w:r>
      <w:r w:rsidRPr="00B04958">
        <w:t>Ver, archivo con certificado</w:t>
      </w:r>
      <w:r>
        <w:t xml:space="preserve"> </w:t>
      </w:r>
      <w:r w:rsidRPr="00B04958">
        <w:t>2CA0596F73822F4E B2342DB080D36C20 CDC31864EAE9744D 57FC65661F2FAE11</w:t>
      </w:r>
      <w:r>
        <w:t>.</w:t>
      </w:r>
    </w:p>
  </w:footnote>
  <w:footnote w:id="24">
    <w:p w14:paraId="05BA55B0" w14:textId="77777777" w:rsidR="005E1D39" w:rsidRPr="00B04958" w:rsidRDefault="005E1D39" w:rsidP="006F3464">
      <w:pPr>
        <w:pStyle w:val="Textonotapie"/>
      </w:pPr>
      <w:r>
        <w:rPr>
          <w:rStyle w:val="Refdenotaalpie"/>
        </w:rPr>
        <w:footnoteRef/>
      </w:r>
      <w:r>
        <w:t xml:space="preserve"> </w:t>
      </w:r>
      <w:r w:rsidRPr="00B04958">
        <w:t>Ver, archivo con certificado</w:t>
      </w:r>
      <w:r>
        <w:t xml:space="preserve"> </w:t>
      </w:r>
      <w:r w:rsidRPr="00B04958">
        <w:t>8E30695ADCE9088F D8576DEFA1708CF2 560B544A8383DAD2 8B7348C986199018</w:t>
      </w:r>
      <w:r>
        <w:t>.</w:t>
      </w:r>
    </w:p>
  </w:footnote>
  <w:footnote w:id="25">
    <w:p w14:paraId="70B2F86C" w14:textId="77777777" w:rsidR="005E1D39" w:rsidRPr="00F77BC5" w:rsidRDefault="005E1D39" w:rsidP="004C7E51">
      <w:pPr>
        <w:pStyle w:val="Textonotapie"/>
        <w:rPr>
          <w:szCs w:val="16"/>
        </w:rPr>
      </w:pPr>
      <w:r w:rsidRPr="00F77BC5">
        <w:rPr>
          <w:rStyle w:val="Refdenotaalpie"/>
          <w:szCs w:val="16"/>
        </w:rPr>
        <w:footnoteRef/>
      </w:r>
      <w:r w:rsidRPr="00F77BC5">
        <w:rPr>
          <w:szCs w:val="16"/>
        </w:rPr>
        <w:t xml:space="preserve"> “Por medio del cual se modificó el reglamento interno del Consejo de Estado”.</w:t>
      </w:r>
    </w:p>
  </w:footnote>
  <w:footnote w:id="26">
    <w:p w14:paraId="4CD7A21F" w14:textId="77777777" w:rsidR="005E1D39" w:rsidRPr="000F516F" w:rsidRDefault="005E1D39" w:rsidP="00D70B2A">
      <w:pPr>
        <w:pStyle w:val="Textonotapie"/>
        <w:rPr>
          <w:szCs w:val="16"/>
        </w:rPr>
      </w:pPr>
      <w:r w:rsidRPr="000F516F">
        <w:rPr>
          <w:rStyle w:val="Refdenotaalpie"/>
          <w:szCs w:val="16"/>
        </w:rPr>
        <w:footnoteRef/>
      </w:r>
      <w:r w:rsidRPr="000F516F">
        <w:rPr>
          <w:szCs w:val="16"/>
        </w:rPr>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27">
    <w:p w14:paraId="07736AF0" w14:textId="77777777" w:rsidR="005E1D39" w:rsidRPr="000F516F" w:rsidRDefault="005E1D39" w:rsidP="00D70B2A">
      <w:pPr>
        <w:pStyle w:val="Textonotapie"/>
        <w:rPr>
          <w:szCs w:val="16"/>
          <w:lang w:val="fr-FR"/>
        </w:rPr>
      </w:pPr>
      <w:r w:rsidRPr="000F516F">
        <w:rPr>
          <w:rStyle w:val="Refdenotaalpie"/>
          <w:szCs w:val="16"/>
        </w:rPr>
        <w:footnoteRef/>
      </w:r>
      <w:r w:rsidRPr="000F516F">
        <w:rPr>
          <w:szCs w:val="16"/>
        </w:rPr>
        <w:t xml:space="preserve"> La legitimación en la causa por activa es exigencia contenida en la jurisprudencia de la Corte Constitucional. Al respecto, puede consultarse el siguiente fallo: </w:t>
      </w:r>
      <w:bookmarkStart w:id="4" w:name="_Hlk30924782"/>
      <w:r w:rsidRPr="000F516F">
        <w:rPr>
          <w:szCs w:val="16"/>
        </w:rPr>
        <w:t xml:space="preserve">Corte Constitucional. Sentencia T-511 de 2017. Dicha </w:t>
      </w:r>
      <w:bookmarkEnd w:id="4"/>
      <w:r w:rsidRPr="000F516F">
        <w:rPr>
          <w:szCs w:val="16"/>
        </w:rPr>
        <w:t xml:space="preserve">decisión judicial se soporta en las siguientes sentencias: Corte Constitucional. </w:t>
      </w:r>
      <w:r w:rsidRPr="000F516F">
        <w:rPr>
          <w:szCs w:val="16"/>
          <w:lang w:val="fr-FR"/>
        </w:rPr>
        <w:t>Sentencias T-416 de 1997; T-086 de 2016; T-176 de 2011; T-435 de 2016, y SU-454 de 2016.</w:t>
      </w:r>
    </w:p>
  </w:footnote>
  <w:footnote w:id="28">
    <w:p w14:paraId="6363AD1F" w14:textId="77777777" w:rsidR="005E1D39" w:rsidRPr="000F516F" w:rsidRDefault="005E1D39" w:rsidP="00E62C02">
      <w:pPr>
        <w:pStyle w:val="Textonotapie"/>
        <w:rPr>
          <w:szCs w:val="16"/>
        </w:rPr>
      </w:pPr>
      <w:r w:rsidRPr="000F516F">
        <w:rPr>
          <w:rStyle w:val="Refdenotaalpie"/>
          <w:szCs w:val="16"/>
        </w:rPr>
        <w:footnoteRef/>
      </w:r>
      <w:r w:rsidRPr="000F516F">
        <w:rPr>
          <w:szCs w:val="16"/>
        </w:rPr>
        <w:t xml:space="preserve"> </w:t>
      </w:r>
      <w:r>
        <w:rPr>
          <w:szCs w:val="16"/>
        </w:rPr>
        <w:t xml:space="preserve">Así ha dicho la Corte Constitucional: </w:t>
      </w:r>
      <w:r w:rsidRPr="000F516F">
        <w:rPr>
          <w:szCs w:val="16"/>
        </w:rPr>
        <w:t>“</w:t>
      </w:r>
      <w:r>
        <w:rPr>
          <w:szCs w:val="16"/>
        </w:rPr>
        <w:t>l</w:t>
      </w:r>
      <w:r w:rsidRPr="000F516F">
        <w:rPr>
          <w:szCs w:val="16"/>
        </w:rPr>
        <w:t xml:space="preserve">os fundamentos de una decisión de tutela contra una sentencia judicial deben aclarar con transparencia la relevancia </w:t>
      </w:r>
      <w:r w:rsidRPr="000F516F">
        <w:rPr>
          <w:i/>
          <w:iCs/>
          <w:szCs w:val="16"/>
        </w:rPr>
        <w:t>iusfundamental</w:t>
      </w:r>
      <w:r w:rsidRPr="000F516F">
        <w:rPr>
          <w:szCs w:val="16"/>
        </w:rPr>
        <w:t xml:space="preserve"> del punto que se discute y el juez debe contraerse a estudiar esta cuestión y ninguna otra. No se trata entonces de un mecanismo que permita al juez constitucional ordenar la anulación de decisiones que no comparte o suplantar al juez ordinario en su tarea de interpretar el derecho legislado y evaluar las pruebas del caso. De lo que se trata es de un mecanismo excepcional, subsidiario y residual para proteger los derechos fundamentales de quien […] se encuentra en condición de indefensión y que permite la aplicación uniforme y coherente – es decir segura y en condiciones de igualdad – de los derechos fundamentales a los distintos ámbitos del derecho”. Corte Constitucional. Sentencia C-590 de 2005”.</w:t>
      </w:r>
    </w:p>
  </w:footnote>
  <w:footnote w:id="29">
    <w:p w14:paraId="01F56D29" w14:textId="77777777" w:rsidR="005E1D39" w:rsidRPr="000F516F" w:rsidRDefault="005E1D39" w:rsidP="00E62C02">
      <w:pPr>
        <w:pStyle w:val="Textonotapie"/>
        <w:rPr>
          <w:szCs w:val="16"/>
        </w:rPr>
      </w:pPr>
      <w:r w:rsidRPr="000F516F">
        <w:rPr>
          <w:rStyle w:val="Refdenotaalpie"/>
          <w:szCs w:val="16"/>
        </w:rPr>
        <w:footnoteRef/>
      </w:r>
      <w:r w:rsidRPr="000F516F">
        <w:rPr>
          <w:szCs w:val="16"/>
        </w:rPr>
        <w:t xml:space="preserve"> “No se trata de convertir la tutela en un mecanismo ritualista, sino de exigir una actuación razonable para conciliar la protección eficaz de los derechos fundamentales, con los principios y valores en juego, al controvertir una providencia judicial”. Corte Constitucional. Sentencia T-066 de 2019.</w:t>
      </w:r>
    </w:p>
  </w:footnote>
  <w:footnote w:id="30">
    <w:p w14:paraId="3F696AC7" w14:textId="77777777" w:rsidR="005E1D39" w:rsidRPr="000F516F" w:rsidRDefault="005E1D39" w:rsidP="00E62C02">
      <w:pPr>
        <w:pStyle w:val="Textonotapie"/>
        <w:rPr>
          <w:szCs w:val="16"/>
        </w:rPr>
      </w:pPr>
      <w:r w:rsidRPr="000F516F">
        <w:rPr>
          <w:rStyle w:val="Refdenotaalpie"/>
          <w:szCs w:val="16"/>
        </w:rPr>
        <w:footnoteRef/>
      </w:r>
      <w:r w:rsidRPr="000F516F">
        <w:rPr>
          <w:szCs w:val="16"/>
        </w:rPr>
        <w:t xml:space="preserve"> Consejo de Estado, Sala de lo Contencioso Administrativo, Sección Tercera, Subsección C. Sentencias del 21 de febrero de 2020, expediente n.° 2019-5066-00, y 4 de mayo de 2020, expediente n.° 2020-836-00.</w:t>
      </w:r>
    </w:p>
  </w:footnote>
  <w:footnote w:id="31">
    <w:p w14:paraId="6A466FB0" w14:textId="77777777" w:rsidR="005E1D39" w:rsidRPr="00632DE8" w:rsidRDefault="005E1D39" w:rsidP="006E053A">
      <w:pPr>
        <w:pStyle w:val="Textonotapie"/>
        <w:rPr>
          <w:szCs w:val="16"/>
        </w:rPr>
      </w:pPr>
      <w:r w:rsidRPr="00BF16B8">
        <w:rPr>
          <w:rStyle w:val="Refdenotaalpie"/>
          <w:szCs w:val="16"/>
        </w:rPr>
        <w:footnoteRef/>
      </w:r>
      <w:r w:rsidRPr="00C961EB">
        <w:rPr>
          <w:szCs w:val="16"/>
        </w:rPr>
        <w:t xml:space="preserve"> Corte Constitucional. </w:t>
      </w:r>
      <w:r w:rsidRPr="00632DE8">
        <w:rPr>
          <w:szCs w:val="16"/>
        </w:rPr>
        <w:t>Sentencias SU-961 de 1999 y T-031 de 2016.</w:t>
      </w:r>
    </w:p>
  </w:footnote>
  <w:footnote w:id="32">
    <w:p w14:paraId="2B379ACF" w14:textId="77777777" w:rsidR="005E1D39" w:rsidRPr="00BF16B8" w:rsidRDefault="005E1D39" w:rsidP="006E053A">
      <w:pPr>
        <w:pStyle w:val="Textonotapie"/>
        <w:rPr>
          <w:szCs w:val="16"/>
        </w:rPr>
      </w:pPr>
      <w:r w:rsidRPr="00BF16B8">
        <w:rPr>
          <w:rStyle w:val="Refdenotaalpie"/>
          <w:szCs w:val="16"/>
        </w:rPr>
        <w:footnoteRef/>
      </w:r>
      <w:r w:rsidRPr="00BF16B8">
        <w:rPr>
          <w:szCs w:val="16"/>
        </w:rPr>
        <w:t xml:space="preserve"> </w:t>
      </w:r>
      <w:r w:rsidRPr="00BF16B8">
        <w:rPr>
          <w:rFonts w:eastAsia="Verdana"/>
          <w:szCs w:val="16"/>
        </w:rPr>
        <w:t xml:space="preserve">Consejo de Estado, Sala Plena de lo Contencioso Administrativo. Sentencia de Unificación del </w:t>
      </w:r>
      <w:r w:rsidRPr="00BF16B8">
        <w:rPr>
          <w:szCs w:val="16"/>
        </w:rPr>
        <w:t xml:space="preserve">5 de agosto del 2014, </w:t>
      </w:r>
      <w:r>
        <w:rPr>
          <w:szCs w:val="16"/>
        </w:rPr>
        <w:t>e</w:t>
      </w:r>
      <w:r w:rsidRPr="00BF16B8">
        <w:rPr>
          <w:szCs w:val="16"/>
        </w:rPr>
        <w:t xml:space="preserve">xpediente n.° 2012-02201-01 (IJ). Sobre el mismo particular, la Sección Quinta de esta Corporación ha sido prolífica en reiterar lo dispuesto en la sentencia citada anteriormente: Consejo de Estado. Sala de lo Contencioso Administrativo. Sección Quinta. Sentencias del 26 de febrero del 2015, </w:t>
      </w:r>
      <w:r>
        <w:rPr>
          <w:szCs w:val="16"/>
        </w:rPr>
        <w:t>e</w:t>
      </w:r>
      <w:r w:rsidRPr="00BF16B8">
        <w:rPr>
          <w:szCs w:val="16"/>
        </w:rPr>
        <w:t>xpediente</w:t>
      </w:r>
      <w:r>
        <w:rPr>
          <w:szCs w:val="16"/>
        </w:rPr>
        <w:t xml:space="preserve"> n.°</w:t>
      </w:r>
      <w:r w:rsidRPr="00BF16B8">
        <w:rPr>
          <w:szCs w:val="16"/>
        </w:rPr>
        <w:t xml:space="preserve"> 2015-00045-00; 15 de octubre del 2015, </w:t>
      </w:r>
      <w:r>
        <w:rPr>
          <w:szCs w:val="16"/>
        </w:rPr>
        <w:t>e</w:t>
      </w:r>
      <w:r w:rsidRPr="00BF16B8">
        <w:rPr>
          <w:szCs w:val="16"/>
        </w:rPr>
        <w:t xml:space="preserve">xpediente </w:t>
      </w:r>
      <w:r>
        <w:rPr>
          <w:szCs w:val="16"/>
        </w:rPr>
        <w:t xml:space="preserve">n.° </w:t>
      </w:r>
      <w:r w:rsidRPr="00BF16B8">
        <w:rPr>
          <w:szCs w:val="16"/>
        </w:rPr>
        <w:t xml:space="preserve">2015-01605-01; 25 de enero de 2018, </w:t>
      </w:r>
      <w:r>
        <w:rPr>
          <w:szCs w:val="16"/>
        </w:rPr>
        <w:t>e</w:t>
      </w:r>
      <w:r w:rsidRPr="00BF16B8">
        <w:rPr>
          <w:szCs w:val="16"/>
        </w:rPr>
        <w:t>xpediente n.° 2017-3009-00.</w:t>
      </w:r>
    </w:p>
  </w:footnote>
  <w:footnote w:id="33">
    <w:p w14:paraId="70033C1E" w14:textId="08D8072E" w:rsidR="005E1D39" w:rsidRPr="00B61E1F" w:rsidRDefault="005E1D39">
      <w:pPr>
        <w:pStyle w:val="Textonotapie"/>
      </w:pPr>
      <w:r>
        <w:rPr>
          <w:rStyle w:val="Refdenotaalpie"/>
        </w:rPr>
        <w:footnoteRef/>
      </w:r>
      <w:r>
        <w:t xml:space="preserve"> </w:t>
      </w:r>
      <w:r w:rsidRPr="00B61E1F">
        <w:t>Ver, archivo con certificado D3A45821BCA75688 110C86C8CC4A0DC7 B058620938BD7134 BBA9A4BA77B3D238</w:t>
      </w:r>
      <w:r>
        <w:t>.</w:t>
      </w:r>
    </w:p>
  </w:footnote>
  <w:footnote w:id="34">
    <w:p w14:paraId="207A2C96" w14:textId="06EE21F1" w:rsidR="005E1D39" w:rsidRPr="00976EA8" w:rsidRDefault="005E1D39">
      <w:pPr>
        <w:pStyle w:val="Textonotapie"/>
      </w:pPr>
      <w:r>
        <w:rPr>
          <w:rStyle w:val="Refdenotaalpie"/>
        </w:rPr>
        <w:footnoteRef/>
      </w:r>
      <w:r>
        <w:t xml:space="preserve"> </w:t>
      </w:r>
      <w:r w:rsidRPr="00976EA8">
        <w:t>Ver, Corte Constitucional. Sentencia</w:t>
      </w:r>
      <w:r>
        <w:t>s</w:t>
      </w:r>
      <w:r w:rsidRPr="00976EA8">
        <w:t xml:space="preserve"> C-</w:t>
      </w:r>
      <w:r>
        <w:t>104 de 1993 y C-179 de 2016.</w:t>
      </w:r>
    </w:p>
  </w:footnote>
  <w:footnote w:id="35">
    <w:p w14:paraId="61A471AE" w14:textId="20202F2A" w:rsidR="005E1D39" w:rsidRPr="00AB223C" w:rsidRDefault="005E1D39">
      <w:pPr>
        <w:pStyle w:val="Textonotapie"/>
      </w:pPr>
      <w:r>
        <w:rPr>
          <w:rStyle w:val="Refdenotaalpie"/>
        </w:rPr>
        <w:footnoteRef/>
      </w:r>
      <w:r>
        <w:t xml:space="preserve"> </w:t>
      </w:r>
      <w:r w:rsidRPr="00AB223C">
        <w:t>Ver, C</w:t>
      </w:r>
      <w:r>
        <w:t>orte Constitucional. Sentencias T-086 de 2007 y T-438 de 2016, reiterada por la sentencia SU-113 de 2018.</w:t>
      </w:r>
    </w:p>
  </w:footnote>
  <w:footnote w:id="36">
    <w:p w14:paraId="0F3F75D7" w14:textId="5500BE60" w:rsidR="005E1D39" w:rsidRPr="00060C29" w:rsidRDefault="005E1D39">
      <w:pPr>
        <w:pStyle w:val="Textonotapie"/>
      </w:pPr>
      <w:r>
        <w:rPr>
          <w:rStyle w:val="Refdenotaalpie"/>
        </w:rPr>
        <w:footnoteRef/>
      </w:r>
      <w:r>
        <w:t xml:space="preserve"> Ver, Corte Constitucional. Sentencia C-836 de 2001, reiterada por las sentencias SU-113 de 2018 y SU-353 de 2020.</w:t>
      </w:r>
    </w:p>
  </w:footnote>
  <w:footnote w:id="37">
    <w:p w14:paraId="53848C69" w14:textId="695307A1" w:rsidR="005E1D39" w:rsidRPr="005926AB" w:rsidRDefault="005E1D39">
      <w:pPr>
        <w:pStyle w:val="Textonotapie"/>
      </w:pPr>
      <w:r>
        <w:rPr>
          <w:rStyle w:val="Refdenotaalpie"/>
        </w:rPr>
        <w:footnoteRef/>
      </w:r>
      <w:r>
        <w:t xml:space="preserve"> </w:t>
      </w:r>
      <w:r w:rsidRPr="005926AB">
        <w:t>Ver, Corte Constitucional. Sentencia C-</w:t>
      </w:r>
      <w:r>
        <w:t xml:space="preserve">037 de 1996, retomada por la sentencia </w:t>
      </w:r>
      <w:r w:rsidRPr="00435829">
        <w:t>T-390</w:t>
      </w:r>
      <w:r>
        <w:t xml:space="preserve"> de </w:t>
      </w:r>
      <w:r w:rsidR="00C816A4">
        <w:t>20</w:t>
      </w:r>
      <w:r w:rsidRPr="00435829">
        <w:t>15</w:t>
      </w:r>
      <w:r>
        <w:t>.</w:t>
      </w:r>
    </w:p>
  </w:footnote>
  <w:footnote w:id="38">
    <w:p w14:paraId="3B69C5A8" w14:textId="28EA12FB" w:rsidR="005E1D39" w:rsidRPr="00435829" w:rsidRDefault="005E1D39">
      <w:pPr>
        <w:pStyle w:val="Textonotapie"/>
      </w:pPr>
      <w:r>
        <w:rPr>
          <w:rStyle w:val="Refdenotaalpie"/>
        </w:rPr>
        <w:footnoteRef/>
      </w:r>
      <w:r>
        <w:t xml:space="preserve"> </w:t>
      </w:r>
      <w:r w:rsidRPr="00435829">
        <w:t>Ver, Corte Constitucional. Sentencia C-</w:t>
      </w:r>
      <w:r>
        <w:t>104 de 1993.</w:t>
      </w:r>
    </w:p>
  </w:footnote>
  <w:footnote w:id="39">
    <w:p w14:paraId="48A2BE6A" w14:textId="0F6FED29" w:rsidR="005E1D39" w:rsidRPr="00060B5C" w:rsidRDefault="005E1D39">
      <w:pPr>
        <w:pStyle w:val="Textonotapie"/>
      </w:pPr>
      <w:r>
        <w:rPr>
          <w:rStyle w:val="Refdenotaalpie"/>
        </w:rPr>
        <w:footnoteRef/>
      </w:r>
      <w:r>
        <w:t xml:space="preserve"> </w:t>
      </w:r>
      <w:r w:rsidRPr="00060B5C">
        <w:t>Ver, Corte Constitucional. Sentencia</w:t>
      </w:r>
      <w:r>
        <w:t>s</w:t>
      </w:r>
      <w:r w:rsidRPr="00060B5C">
        <w:t xml:space="preserve"> T-</w:t>
      </w:r>
      <w:r>
        <w:t>011 de 2017, C-179 de 2016 y SU-353 de 2020.</w:t>
      </w:r>
    </w:p>
  </w:footnote>
  <w:footnote w:id="40">
    <w:p w14:paraId="0D44AA9B" w14:textId="47B00FFC" w:rsidR="00C816A4" w:rsidRPr="00C816A4" w:rsidRDefault="00C816A4">
      <w:pPr>
        <w:pStyle w:val="Textonotapie"/>
      </w:pPr>
      <w:r>
        <w:rPr>
          <w:rStyle w:val="Refdenotaalpie"/>
        </w:rPr>
        <w:footnoteRef/>
      </w:r>
      <w:r>
        <w:t xml:space="preserve"> </w:t>
      </w:r>
      <w:r w:rsidRPr="00C816A4">
        <w:t>Ver, Corte Constitucional. Sentencia</w:t>
      </w:r>
      <w:r>
        <w:t xml:space="preserve"> </w:t>
      </w:r>
      <w:r w:rsidRPr="00C816A4">
        <w:t>T-390 de 2015.</w:t>
      </w:r>
    </w:p>
  </w:footnote>
  <w:footnote w:id="41">
    <w:p w14:paraId="4E0DEC0B" w14:textId="5DBA4B05" w:rsidR="00C816A4" w:rsidRPr="00C816A4" w:rsidRDefault="00C816A4">
      <w:pPr>
        <w:pStyle w:val="Textonotapie"/>
      </w:pPr>
      <w:r>
        <w:rPr>
          <w:rStyle w:val="Refdenotaalpie"/>
        </w:rPr>
        <w:footnoteRef/>
      </w:r>
      <w:r>
        <w:t xml:space="preserve"> </w:t>
      </w:r>
      <w:r w:rsidRPr="00C816A4">
        <w:t>Ver, Corte Constitucional. Sentencia</w:t>
      </w:r>
      <w:r>
        <w:t xml:space="preserve"> </w:t>
      </w:r>
      <w:r w:rsidRPr="00C816A4">
        <w:t>SU-353 de 2020.</w:t>
      </w:r>
    </w:p>
  </w:footnote>
  <w:footnote w:id="42">
    <w:p w14:paraId="79B5BF6B" w14:textId="0E1B4190" w:rsidR="00C816A4" w:rsidRPr="004546B8" w:rsidRDefault="00C816A4">
      <w:pPr>
        <w:pStyle w:val="Textonotapie"/>
      </w:pPr>
      <w:r>
        <w:rPr>
          <w:rStyle w:val="Refdenotaalpie"/>
        </w:rPr>
        <w:footnoteRef/>
      </w:r>
      <w:r>
        <w:t xml:space="preserve"> </w:t>
      </w:r>
      <w:r w:rsidRPr="00C816A4">
        <w:t xml:space="preserve">Ver, Corte Constitucional. </w:t>
      </w:r>
      <w:r w:rsidRPr="004546B8">
        <w:t>Sentencias T-390 de 2015 y T-145 de 2017.</w:t>
      </w:r>
    </w:p>
  </w:footnote>
  <w:footnote w:id="43">
    <w:p w14:paraId="3890D562" w14:textId="1E0F3291" w:rsidR="00C816A4" w:rsidRPr="004546B8" w:rsidRDefault="00C816A4" w:rsidP="00C816A4">
      <w:pPr>
        <w:pStyle w:val="Textonotapie"/>
      </w:pPr>
      <w:r>
        <w:rPr>
          <w:rStyle w:val="Refdenotaalpie"/>
        </w:rPr>
        <w:footnoteRef/>
      </w:r>
      <w:r>
        <w:t xml:space="preserve"> </w:t>
      </w:r>
      <w:r w:rsidRPr="00C816A4">
        <w:t xml:space="preserve">Ver, Corte Constitucional. </w:t>
      </w:r>
      <w:r w:rsidRPr="004546B8">
        <w:t>Sentencia</w:t>
      </w:r>
      <w:r w:rsidR="002D60FC" w:rsidRPr="004546B8">
        <w:t>s</w:t>
      </w:r>
      <w:r w:rsidRPr="004546B8">
        <w:t xml:space="preserve"> T-688 de 2003</w:t>
      </w:r>
      <w:r w:rsidR="002D60FC" w:rsidRPr="004546B8">
        <w:t>, T-698 de 2004, T-1029 de 2012 y T-918 de 2010.</w:t>
      </w:r>
    </w:p>
  </w:footnote>
  <w:footnote w:id="44">
    <w:p w14:paraId="3DEBA993" w14:textId="4E4981CC" w:rsidR="00885C17" w:rsidRPr="004546B8" w:rsidRDefault="00885C17">
      <w:pPr>
        <w:pStyle w:val="Textonotapie"/>
      </w:pPr>
      <w:r>
        <w:rPr>
          <w:rStyle w:val="Refdenotaalpie"/>
        </w:rPr>
        <w:footnoteRef/>
      </w:r>
      <w:r>
        <w:t xml:space="preserve"> </w:t>
      </w:r>
      <w:r w:rsidRPr="00885C17">
        <w:t xml:space="preserve">Ver, Corte Constitucional. </w:t>
      </w:r>
      <w:r w:rsidRPr="004546B8">
        <w:t>Sentencias T-918 de 2010, T-390 de 2015 y T-145 de 2017.</w:t>
      </w:r>
    </w:p>
  </w:footnote>
  <w:footnote w:id="45">
    <w:p w14:paraId="009495A5" w14:textId="68ADBE25" w:rsidR="00FC15F9" w:rsidRPr="00FC15F9" w:rsidRDefault="00FC15F9">
      <w:pPr>
        <w:pStyle w:val="Textonotapie"/>
      </w:pPr>
      <w:r>
        <w:rPr>
          <w:rStyle w:val="Refdenotaalpie"/>
        </w:rPr>
        <w:footnoteRef/>
      </w:r>
      <w:r>
        <w:t xml:space="preserve"> </w:t>
      </w:r>
      <w:r w:rsidRPr="00FC15F9">
        <w:t>En este aparte figura la n</w:t>
      </w:r>
      <w:r>
        <w:t>ota de pie de página n.° 61, la cual dice “[s]</w:t>
      </w:r>
      <w:r w:rsidRPr="00FC15F9">
        <w:t>entencias T-330 de 2005 y T-698 de 2004</w:t>
      </w:r>
      <w:r>
        <w:t>”.</w:t>
      </w:r>
    </w:p>
  </w:footnote>
  <w:footnote w:id="46">
    <w:p w14:paraId="691779E8" w14:textId="7C0E0D12" w:rsidR="00FC15F9" w:rsidRPr="00FC15F9" w:rsidRDefault="00FC15F9">
      <w:pPr>
        <w:pStyle w:val="Textonotapie"/>
      </w:pPr>
      <w:r>
        <w:rPr>
          <w:rStyle w:val="Refdenotaalpie"/>
        </w:rPr>
        <w:footnoteRef/>
      </w:r>
      <w:r>
        <w:t xml:space="preserve"> </w:t>
      </w:r>
      <w:r w:rsidRPr="00FC15F9">
        <w:t>Ver, Corte Constitucional. Sentencia T-</w:t>
      </w:r>
      <w:r>
        <w:t>918 de 2010.</w:t>
      </w:r>
      <w:r w:rsidR="00166703">
        <w:t xml:space="preserve"> En fallo anterior había dicho: </w:t>
      </w:r>
      <w:r w:rsidR="00166703" w:rsidRPr="00166703">
        <w:t>“En suma, prima facie, los funcionarios judiciales están vinculados por la obligación de aplicar el precedente sentado por los órganos encargados de unificar jurisprudencia. No obstante, si pretenden apartarse del mismo [sic] en ejercicio de la autonomía judicial, pesa sobre los mismos [sic] una carga de argumentación más estricta. Es decir deben demostrar de manera adecuada y suficiente las razones por las cuales se apartan. Igual consideración es extensible al precedente sentado al interior de los Tribunales [sic] por sus diferentes Salas de decisión. No ocurre lo mismo cuando la discrepancia se presenta entre los Tribunales [sic] como órgano unificador de determinados asuntos en sus distritos judiciales. Si respecto de casos iguales en lo relevante los diversos Tribunales [sic] dictan providencias contradictorias no es posible acudir al criterio de precedente horizontal, por cuanto no hay relación jerárquica entre ellos” (cursivas dentro del texto)</w:t>
      </w:r>
      <w:r w:rsidR="00166703">
        <w:t xml:space="preserve">. Ver, </w:t>
      </w:r>
      <w:r w:rsidR="00166703" w:rsidRPr="00166703">
        <w:t>Corte Constitucional. Sentencia T-330 de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2CBC" w14:textId="77777777" w:rsidR="005E1D39" w:rsidRPr="00A15ACE" w:rsidRDefault="005E1D39" w:rsidP="00203055">
    <w:pPr>
      <w:pStyle w:val="Encabezado"/>
      <w:tabs>
        <w:tab w:val="clear" w:pos="4252"/>
        <w:tab w:val="clear" w:pos="8504"/>
      </w:tabs>
    </w:pPr>
    <w:r>
      <w:rPr>
        <w:noProof/>
        <w:lang w:val="es-ES_tradnl"/>
      </w:rPr>
      <w:drawing>
        <wp:anchor distT="0" distB="0" distL="114300" distR="114300" simplePos="0" relativeHeight="251695104" behindDoc="0" locked="0" layoutInCell="1" allowOverlap="1" wp14:anchorId="428F8081" wp14:editId="1641B60C">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AF10C" w14:textId="77777777" w:rsidR="005E1D39" w:rsidRPr="00A15ACE" w:rsidRDefault="005E1D39" w:rsidP="00203055">
    <w:pPr>
      <w:pStyle w:val="Encabezado"/>
      <w:tabs>
        <w:tab w:val="clear" w:pos="4252"/>
        <w:tab w:val="clear" w:pos="8504"/>
      </w:tabs>
    </w:pPr>
  </w:p>
  <w:p w14:paraId="2A7E67E0" w14:textId="77777777" w:rsidR="005E1D39" w:rsidRPr="00A15ACE" w:rsidRDefault="005E1D39" w:rsidP="00203055">
    <w:pPr>
      <w:pStyle w:val="Encabezado"/>
      <w:tabs>
        <w:tab w:val="clear" w:pos="4252"/>
        <w:tab w:val="clear" w:pos="8504"/>
      </w:tabs>
    </w:pPr>
    <w:r w:rsidRPr="0070023E">
      <w:rPr>
        <w:noProof/>
        <w:sz w:val="20"/>
        <w:szCs w:val="20"/>
        <w:lang w:val="es-ES_tradnl"/>
      </w:rPr>
      <mc:AlternateContent>
        <mc:Choice Requires="wps">
          <w:drawing>
            <wp:anchor distT="0" distB="0" distL="114300" distR="114300" simplePos="0" relativeHeight="251656192" behindDoc="0" locked="0" layoutInCell="1" allowOverlap="1" wp14:anchorId="71F1B463" wp14:editId="60A2257C">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3BA597"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E63C26F" w14:textId="02083DAE" w:rsidR="005E1D39" w:rsidRPr="00F532EA" w:rsidRDefault="005E1D39" w:rsidP="00203055">
    <w:pPr>
      <w:pStyle w:val="Encabezado"/>
      <w:tabs>
        <w:tab w:val="clear" w:pos="4252"/>
        <w:tab w:val="clear" w:pos="8504"/>
      </w:tabs>
      <w:jc w:val="right"/>
      <w:rPr>
        <w:color w:val="767171"/>
        <w:sz w:val="20"/>
        <w:szCs w:val="20"/>
      </w:rPr>
    </w:pPr>
    <w:r w:rsidRPr="00F532EA">
      <w:rPr>
        <w:color w:val="767171"/>
        <w:sz w:val="20"/>
        <w:szCs w:val="20"/>
      </w:rPr>
      <w:t xml:space="preserve">Radicado: </w:t>
    </w:r>
    <w:r w:rsidRPr="007B3B39">
      <w:rPr>
        <w:color w:val="767171"/>
        <w:sz w:val="20"/>
        <w:szCs w:val="20"/>
      </w:rPr>
      <w:t>11001-03-15-000-202</w:t>
    </w:r>
    <w:r>
      <w:rPr>
        <w:color w:val="767171"/>
        <w:sz w:val="20"/>
        <w:szCs w:val="20"/>
      </w:rPr>
      <w:t>1</w:t>
    </w:r>
    <w:r w:rsidRPr="007B3B39">
      <w:rPr>
        <w:color w:val="767171"/>
        <w:sz w:val="20"/>
        <w:szCs w:val="20"/>
      </w:rPr>
      <w:t>-0</w:t>
    </w:r>
    <w:r>
      <w:rPr>
        <w:color w:val="767171"/>
        <w:sz w:val="20"/>
        <w:szCs w:val="20"/>
      </w:rPr>
      <w:t>1459</w:t>
    </w:r>
    <w:r w:rsidRPr="007B3B39">
      <w:rPr>
        <w:color w:val="767171"/>
        <w:sz w:val="20"/>
        <w:szCs w:val="20"/>
      </w:rPr>
      <w:t>-00</w:t>
    </w:r>
  </w:p>
  <w:p w14:paraId="6426EFCB" w14:textId="441C659F" w:rsidR="005E1D39" w:rsidRPr="00C4675E" w:rsidRDefault="005E1D39" w:rsidP="00203055">
    <w:pPr>
      <w:pStyle w:val="Encabezado"/>
      <w:tabs>
        <w:tab w:val="clear" w:pos="4252"/>
        <w:tab w:val="clear" w:pos="8504"/>
      </w:tabs>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Accionante: Fabiola Rodríguez Marín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586D" w14:textId="77777777" w:rsidR="005E1D39" w:rsidRPr="00A15ACE" w:rsidRDefault="005E1D39" w:rsidP="00850A42">
    <w:pPr>
      <w:pStyle w:val="Encabezado"/>
      <w:tabs>
        <w:tab w:val="clear" w:pos="4252"/>
        <w:tab w:val="clear" w:pos="8504"/>
      </w:tabs>
    </w:pPr>
    <w:r>
      <w:rPr>
        <w:noProof/>
        <w:lang w:val="es-ES_tradnl"/>
      </w:rPr>
      <w:drawing>
        <wp:anchor distT="0" distB="0" distL="114300" distR="114300" simplePos="0" relativeHeight="251658752" behindDoc="0" locked="0" layoutInCell="1" allowOverlap="1" wp14:anchorId="4784F910" wp14:editId="5353ADAF">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24182" w14:textId="77777777" w:rsidR="005E1D39" w:rsidRPr="00A15ACE" w:rsidRDefault="005E1D39" w:rsidP="00850A42">
    <w:pPr>
      <w:pStyle w:val="Encabezado"/>
      <w:tabs>
        <w:tab w:val="clear" w:pos="4252"/>
        <w:tab w:val="clear" w:pos="8504"/>
      </w:tabs>
      <w:rPr>
        <w:color w:val="767171"/>
      </w:rPr>
    </w:pPr>
  </w:p>
  <w:p w14:paraId="27F8185B" w14:textId="77777777" w:rsidR="005E1D39" w:rsidRPr="007F276C" w:rsidRDefault="005E1D39" w:rsidP="0013277B">
    <w:pPr>
      <w:pStyle w:val="Sinespaciado"/>
    </w:pPr>
    <w:r w:rsidRPr="007F276C">
      <w:t>CONSEJO DE ESTADO</w:t>
    </w:r>
  </w:p>
  <w:p w14:paraId="73CB25C2" w14:textId="77777777" w:rsidR="005E1D39" w:rsidRPr="007F276C" w:rsidRDefault="005E1D39" w:rsidP="0013277B">
    <w:pPr>
      <w:pStyle w:val="Sinespaciado"/>
    </w:pPr>
    <w:r w:rsidRPr="007F276C">
      <w:t>SALA DE LO CONTENCIOSO ADMINISTRATIVO</w:t>
    </w:r>
  </w:p>
  <w:p w14:paraId="53748759" w14:textId="77777777" w:rsidR="005E1D39" w:rsidRPr="007F276C" w:rsidRDefault="005E1D39" w:rsidP="0013277B">
    <w:pPr>
      <w:pStyle w:val="Sinespaciado"/>
    </w:pPr>
    <w:r w:rsidRPr="007F276C">
      <w:t>SECCIÓN TERCERA – SUBSECCIÓN C</w:t>
    </w:r>
  </w:p>
  <w:p w14:paraId="3879558C" w14:textId="77777777" w:rsidR="005E1D39" w:rsidRDefault="005E1D39" w:rsidP="00850A42">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A68"/>
    <w:multiLevelType w:val="hybridMultilevel"/>
    <w:tmpl w:val="1D9AF256"/>
    <w:lvl w:ilvl="0" w:tplc="71C62E9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E16"/>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7701001"/>
    <w:multiLevelType w:val="multilevel"/>
    <w:tmpl w:val="3AF081F4"/>
    <w:lvl w:ilvl="0">
      <w:start w:val="1"/>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521F5"/>
    <w:multiLevelType w:val="hybridMultilevel"/>
    <w:tmpl w:val="481CAEE8"/>
    <w:lvl w:ilvl="0" w:tplc="43FA3E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211DA"/>
    <w:multiLevelType w:val="hybridMultilevel"/>
    <w:tmpl w:val="BE2E816C"/>
    <w:lvl w:ilvl="0" w:tplc="DF207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4C1349"/>
    <w:multiLevelType w:val="hybridMultilevel"/>
    <w:tmpl w:val="BB30B85A"/>
    <w:lvl w:ilvl="0" w:tplc="0C94F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F2A4B"/>
    <w:multiLevelType w:val="hybridMultilevel"/>
    <w:tmpl w:val="8A123A5C"/>
    <w:lvl w:ilvl="0" w:tplc="7FF8CA56">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17264"/>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374F73"/>
    <w:multiLevelType w:val="multilevel"/>
    <w:tmpl w:val="ABAEDE02"/>
    <w:lvl w:ilvl="0">
      <w:start w:val="1"/>
      <w:numFmt w:val="upperRoman"/>
      <w:pStyle w:val="Ttulo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265EF3"/>
    <w:multiLevelType w:val="multilevel"/>
    <w:tmpl w:val="ABAEDE02"/>
    <w:numStyleLink w:val="Estilo1"/>
  </w:abstractNum>
  <w:abstractNum w:abstractNumId="12" w15:restartNumberingAfterBreak="0">
    <w:nsid w:val="3A407B3E"/>
    <w:multiLevelType w:val="hybridMultilevel"/>
    <w:tmpl w:val="8ED03882"/>
    <w:lvl w:ilvl="0" w:tplc="6C1E3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C57DD"/>
    <w:multiLevelType w:val="hybridMultilevel"/>
    <w:tmpl w:val="05C47AA8"/>
    <w:lvl w:ilvl="0" w:tplc="8D1A8B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EC1398C"/>
    <w:multiLevelType w:val="hybridMultilevel"/>
    <w:tmpl w:val="E0D4C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28531FF"/>
    <w:multiLevelType w:val="hybridMultilevel"/>
    <w:tmpl w:val="9E4C613A"/>
    <w:lvl w:ilvl="0" w:tplc="4D680300">
      <w:start w:val="1"/>
      <w:numFmt w:val="ordinalText"/>
      <w:lvlText w:val="%1."/>
      <w:lvlJc w:val="left"/>
      <w:pPr>
        <w:ind w:left="720" w:hanging="360"/>
      </w:pPr>
      <w:rPr>
        <w:rFonts w:ascii="Arial" w:hAnsi="Arial" w:hint="default"/>
        <w:b/>
        <w:i w:val="0"/>
        <w:cap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C7B9A"/>
    <w:multiLevelType w:val="multilevel"/>
    <w:tmpl w:val="ABAEDE02"/>
    <w:styleLink w:val="Estilo1"/>
    <w:lvl w:ilvl="0">
      <w:start w:val="3"/>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50052BE"/>
    <w:multiLevelType w:val="multilevel"/>
    <w:tmpl w:val="B6320B6C"/>
    <w:lvl w:ilvl="0">
      <w:start w:val="4"/>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C20339A"/>
    <w:multiLevelType w:val="hybridMultilevel"/>
    <w:tmpl w:val="B27003D6"/>
    <w:lvl w:ilvl="0" w:tplc="2390BFFC">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090510"/>
    <w:multiLevelType w:val="hybridMultilevel"/>
    <w:tmpl w:val="865A96CA"/>
    <w:lvl w:ilvl="0" w:tplc="A8CE6A8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5F2A282F"/>
    <w:multiLevelType w:val="hybridMultilevel"/>
    <w:tmpl w:val="B10A7E36"/>
    <w:lvl w:ilvl="0" w:tplc="9FCAA5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41244"/>
    <w:multiLevelType w:val="multilevel"/>
    <w:tmpl w:val="771C0008"/>
    <w:lvl w:ilvl="0">
      <w:start w:val="1"/>
      <w:numFmt w:val="ordinalText"/>
      <w:lvlText w:val="%1."/>
      <w:lvlJc w:val="left"/>
      <w:pPr>
        <w:ind w:left="0" w:firstLine="0"/>
      </w:pPr>
      <w:rPr>
        <w:rFonts w:ascii="Arial" w:hAnsi="Arial" w:hint="default"/>
        <w:b/>
        <w:i w:val="0"/>
        <w:caps/>
        <w:strike w:val="0"/>
        <w:dstrike w:val="0"/>
        <w:vanish w:val="0"/>
        <w:sz w:val="24"/>
        <w:vertAlign w:val="baseli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64BD6038"/>
    <w:multiLevelType w:val="multilevel"/>
    <w:tmpl w:val="A8E846F4"/>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7C2289"/>
    <w:multiLevelType w:val="multilevel"/>
    <w:tmpl w:val="4DA0571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B16B14"/>
    <w:multiLevelType w:val="hybridMultilevel"/>
    <w:tmpl w:val="51549D50"/>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1D7296"/>
    <w:multiLevelType w:val="hybridMultilevel"/>
    <w:tmpl w:val="7474F05E"/>
    <w:lvl w:ilvl="0" w:tplc="B4222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7252D"/>
    <w:multiLevelType w:val="hybridMultilevel"/>
    <w:tmpl w:val="3E9EAA42"/>
    <w:lvl w:ilvl="0" w:tplc="AA90D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43753C"/>
    <w:multiLevelType w:val="multilevel"/>
    <w:tmpl w:val="AAA6266E"/>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0"/>
  </w:num>
  <w:num w:numId="6">
    <w:abstractNumId w:val="27"/>
  </w:num>
  <w:num w:numId="7">
    <w:abstractNumId w:val="19"/>
  </w:num>
  <w:num w:numId="8">
    <w:abstractNumId w:val="14"/>
  </w:num>
  <w:num w:numId="9">
    <w:abstractNumId w:val="16"/>
  </w:num>
  <w:num w:numId="10">
    <w:abstractNumId w:val="11"/>
  </w:num>
  <w:num w:numId="11">
    <w:abstractNumId w:val="6"/>
  </w:num>
  <w:num w:numId="12">
    <w:abstractNumId w:val="12"/>
  </w:num>
  <w:num w:numId="13">
    <w:abstractNumId w:val="7"/>
  </w:num>
  <w:num w:numId="14">
    <w:abstractNumId w:val="25"/>
  </w:num>
  <w:num w:numId="15">
    <w:abstractNumId w:val="2"/>
  </w:num>
  <w:num w:numId="16">
    <w:abstractNumId w:val="24"/>
  </w:num>
  <w:num w:numId="17">
    <w:abstractNumId w:val="30"/>
  </w:num>
  <w:num w:numId="18">
    <w:abstractNumId w:val="28"/>
  </w:num>
  <w:num w:numId="19">
    <w:abstractNumId w:val="22"/>
  </w:num>
  <w:num w:numId="20">
    <w:abstractNumId w:val="3"/>
  </w:num>
  <w:num w:numId="21">
    <w:abstractNumId w:val="4"/>
  </w:num>
  <w:num w:numId="22">
    <w:abstractNumId w:val="23"/>
  </w:num>
  <w:num w:numId="23">
    <w:abstractNumId w:val="13"/>
  </w:num>
  <w:num w:numId="24">
    <w:abstractNumId w:val="0"/>
  </w:num>
  <w:num w:numId="25">
    <w:abstractNumId w:val="8"/>
  </w:num>
  <w:num w:numId="26">
    <w:abstractNumId w:val="20"/>
  </w:num>
  <w:num w:numId="27">
    <w:abstractNumId w:val="26"/>
  </w:num>
  <w:num w:numId="28">
    <w:abstractNumId w:val="29"/>
  </w:num>
  <w:num w:numId="29">
    <w:abstractNumId w:val="17"/>
  </w:num>
  <w:num w:numId="30">
    <w:abstractNumId w:val="15"/>
  </w:num>
  <w:num w:numId="31">
    <w:abstractNumId w:val="21"/>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2646"/>
    <w:rsid w:val="00002BCB"/>
    <w:rsid w:val="00003427"/>
    <w:rsid w:val="00003548"/>
    <w:rsid w:val="000042FA"/>
    <w:rsid w:val="00006D3C"/>
    <w:rsid w:val="000078E1"/>
    <w:rsid w:val="00007CCA"/>
    <w:rsid w:val="00011282"/>
    <w:rsid w:val="00011912"/>
    <w:rsid w:val="0001211B"/>
    <w:rsid w:val="0001294D"/>
    <w:rsid w:val="0001306A"/>
    <w:rsid w:val="000148D2"/>
    <w:rsid w:val="00014C90"/>
    <w:rsid w:val="00014D69"/>
    <w:rsid w:val="00016594"/>
    <w:rsid w:val="000165D0"/>
    <w:rsid w:val="00017CB3"/>
    <w:rsid w:val="000205FD"/>
    <w:rsid w:val="00020C81"/>
    <w:rsid w:val="00020F1D"/>
    <w:rsid w:val="00021439"/>
    <w:rsid w:val="00024CD3"/>
    <w:rsid w:val="00024ED7"/>
    <w:rsid w:val="00025115"/>
    <w:rsid w:val="00025159"/>
    <w:rsid w:val="00025657"/>
    <w:rsid w:val="00026643"/>
    <w:rsid w:val="0002715D"/>
    <w:rsid w:val="000274C1"/>
    <w:rsid w:val="00030424"/>
    <w:rsid w:val="0003044A"/>
    <w:rsid w:val="00030677"/>
    <w:rsid w:val="00030D50"/>
    <w:rsid w:val="0003163C"/>
    <w:rsid w:val="00032747"/>
    <w:rsid w:val="000352C9"/>
    <w:rsid w:val="000369DF"/>
    <w:rsid w:val="00036A46"/>
    <w:rsid w:val="0003723B"/>
    <w:rsid w:val="00037471"/>
    <w:rsid w:val="00040E52"/>
    <w:rsid w:val="000412C2"/>
    <w:rsid w:val="000415BD"/>
    <w:rsid w:val="0004241E"/>
    <w:rsid w:val="0004418D"/>
    <w:rsid w:val="000447FE"/>
    <w:rsid w:val="0004512E"/>
    <w:rsid w:val="000452C0"/>
    <w:rsid w:val="0004588A"/>
    <w:rsid w:val="000460CA"/>
    <w:rsid w:val="00051CA2"/>
    <w:rsid w:val="000526A4"/>
    <w:rsid w:val="000529AB"/>
    <w:rsid w:val="00052B30"/>
    <w:rsid w:val="00052C39"/>
    <w:rsid w:val="0005325C"/>
    <w:rsid w:val="000544A4"/>
    <w:rsid w:val="000548C3"/>
    <w:rsid w:val="00055579"/>
    <w:rsid w:val="0005624F"/>
    <w:rsid w:val="000569D4"/>
    <w:rsid w:val="00056C68"/>
    <w:rsid w:val="00056DFC"/>
    <w:rsid w:val="00056EC2"/>
    <w:rsid w:val="00057AB2"/>
    <w:rsid w:val="00060B5C"/>
    <w:rsid w:val="00060C29"/>
    <w:rsid w:val="00061B93"/>
    <w:rsid w:val="00061E0A"/>
    <w:rsid w:val="00062419"/>
    <w:rsid w:val="00062839"/>
    <w:rsid w:val="00062E7F"/>
    <w:rsid w:val="000632DC"/>
    <w:rsid w:val="000640AC"/>
    <w:rsid w:val="00064461"/>
    <w:rsid w:val="00065394"/>
    <w:rsid w:val="000655DF"/>
    <w:rsid w:val="00066855"/>
    <w:rsid w:val="00066F0B"/>
    <w:rsid w:val="00067858"/>
    <w:rsid w:val="00070576"/>
    <w:rsid w:val="00070C82"/>
    <w:rsid w:val="00071226"/>
    <w:rsid w:val="000714DF"/>
    <w:rsid w:val="000728E0"/>
    <w:rsid w:val="0007303A"/>
    <w:rsid w:val="00073869"/>
    <w:rsid w:val="0007389A"/>
    <w:rsid w:val="00074469"/>
    <w:rsid w:val="00077ABA"/>
    <w:rsid w:val="0008006A"/>
    <w:rsid w:val="000813DB"/>
    <w:rsid w:val="00082421"/>
    <w:rsid w:val="0008290D"/>
    <w:rsid w:val="000829E5"/>
    <w:rsid w:val="00082FCD"/>
    <w:rsid w:val="00083B8F"/>
    <w:rsid w:val="00083C27"/>
    <w:rsid w:val="000876A6"/>
    <w:rsid w:val="00090310"/>
    <w:rsid w:val="00091755"/>
    <w:rsid w:val="00091E4D"/>
    <w:rsid w:val="000920C2"/>
    <w:rsid w:val="000937EE"/>
    <w:rsid w:val="00093F01"/>
    <w:rsid w:val="00094AEA"/>
    <w:rsid w:val="00094E7B"/>
    <w:rsid w:val="0009717D"/>
    <w:rsid w:val="000A1E41"/>
    <w:rsid w:val="000A2262"/>
    <w:rsid w:val="000A2B33"/>
    <w:rsid w:val="000A3101"/>
    <w:rsid w:val="000A34B6"/>
    <w:rsid w:val="000A39D7"/>
    <w:rsid w:val="000A42B2"/>
    <w:rsid w:val="000A4FB0"/>
    <w:rsid w:val="000A5554"/>
    <w:rsid w:val="000A7A33"/>
    <w:rsid w:val="000B0A38"/>
    <w:rsid w:val="000B0F12"/>
    <w:rsid w:val="000B15AE"/>
    <w:rsid w:val="000B42A8"/>
    <w:rsid w:val="000B51B3"/>
    <w:rsid w:val="000B5547"/>
    <w:rsid w:val="000B7608"/>
    <w:rsid w:val="000C09E1"/>
    <w:rsid w:val="000C264F"/>
    <w:rsid w:val="000C2723"/>
    <w:rsid w:val="000C2B43"/>
    <w:rsid w:val="000C3ED0"/>
    <w:rsid w:val="000C445C"/>
    <w:rsid w:val="000C456C"/>
    <w:rsid w:val="000C581D"/>
    <w:rsid w:val="000C5DB7"/>
    <w:rsid w:val="000C6238"/>
    <w:rsid w:val="000C66BA"/>
    <w:rsid w:val="000C6D2E"/>
    <w:rsid w:val="000C7B4F"/>
    <w:rsid w:val="000C7E44"/>
    <w:rsid w:val="000D0E41"/>
    <w:rsid w:val="000D0FE6"/>
    <w:rsid w:val="000D16F0"/>
    <w:rsid w:val="000D223A"/>
    <w:rsid w:val="000D3C86"/>
    <w:rsid w:val="000D4D6C"/>
    <w:rsid w:val="000D546D"/>
    <w:rsid w:val="000D5563"/>
    <w:rsid w:val="000D6BFF"/>
    <w:rsid w:val="000D6E0F"/>
    <w:rsid w:val="000D7EE8"/>
    <w:rsid w:val="000E22EA"/>
    <w:rsid w:val="000E2D62"/>
    <w:rsid w:val="000E2F23"/>
    <w:rsid w:val="000E35F1"/>
    <w:rsid w:val="000E6CF6"/>
    <w:rsid w:val="000E709F"/>
    <w:rsid w:val="000F04B3"/>
    <w:rsid w:val="000F053A"/>
    <w:rsid w:val="000F1B8D"/>
    <w:rsid w:val="000F1CE9"/>
    <w:rsid w:val="000F32A0"/>
    <w:rsid w:val="000F3570"/>
    <w:rsid w:val="000F4101"/>
    <w:rsid w:val="000F46CE"/>
    <w:rsid w:val="000F4980"/>
    <w:rsid w:val="000F4FF8"/>
    <w:rsid w:val="000F6D77"/>
    <w:rsid w:val="000F7BDA"/>
    <w:rsid w:val="000F7E83"/>
    <w:rsid w:val="001000DB"/>
    <w:rsid w:val="00101C60"/>
    <w:rsid w:val="00101E8A"/>
    <w:rsid w:val="0010217B"/>
    <w:rsid w:val="001038EA"/>
    <w:rsid w:val="001041C2"/>
    <w:rsid w:val="0010435F"/>
    <w:rsid w:val="001045A0"/>
    <w:rsid w:val="00106CCC"/>
    <w:rsid w:val="00106FB6"/>
    <w:rsid w:val="0011079E"/>
    <w:rsid w:val="00112F1A"/>
    <w:rsid w:val="00113BD7"/>
    <w:rsid w:val="00113CAE"/>
    <w:rsid w:val="00115EBE"/>
    <w:rsid w:val="00117091"/>
    <w:rsid w:val="001230E5"/>
    <w:rsid w:val="00123D71"/>
    <w:rsid w:val="00124ED7"/>
    <w:rsid w:val="00124F8D"/>
    <w:rsid w:val="00126A63"/>
    <w:rsid w:val="00130F7C"/>
    <w:rsid w:val="00131078"/>
    <w:rsid w:val="001314F6"/>
    <w:rsid w:val="0013277B"/>
    <w:rsid w:val="00132DD7"/>
    <w:rsid w:val="00133CD1"/>
    <w:rsid w:val="00133F91"/>
    <w:rsid w:val="0013529D"/>
    <w:rsid w:val="0013542E"/>
    <w:rsid w:val="00137438"/>
    <w:rsid w:val="00137807"/>
    <w:rsid w:val="00140BF3"/>
    <w:rsid w:val="00141670"/>
    <w:rsid w:val="001416A3"/>
    <w:rsid w:val="001462FA"/>
    <w:rsid w:val="0015060C"/>
    <w:rsid w:val="00150D25"/>
    <w:rsid w:val="001510A3"/>
    <w:rsid w:val="00151CE2"/>
    <w:rsid w:val="001520C5"/>
    <w:rsid w:val="001524ED"/>
    <w:rsid w:val="00152A55"/>
    <w:rsid w:val="00152C23"/>
    <w:rsid w:val="0015433E"/>
    <w:rsid w:val="00154621"/>
    <w:rsid w:val="0015533A"/>
    <w:rsid w:val="00155E78"/>
    <w:rsid w:val="00156E62"/>
    <w:rsid w:val="0016141D"/>
    <w:rsid w:val="00161478"/>
    <w:rsid w:val="00163C26"/>
    <w:rsid w:val="001648E2"/>
    <w:rsid w:val="001652C6"/>
    <w:rsid w:val="001653CA"/>
    <w:rsid w:val="00165674"/>
    <w:rsid w:val="001658F7"/>
    <w:rsid w:val="00165F5A"/>
    <w:rsid w:val="00166703"/>
    <w:rsid w:val="00166AF6"/>
    <w:rsid w:val="00167331"/>
    <w:rsid w:val="001707E0"/>
    <w:rsid w:val="00170DE1"/>
    <w:rsid w:val="00170DE6"/>
    <w:rsid w:val="00170FDD"/>
    <w:rsid w:val="00171055"/>
    <w:rsid w:val="001718C1"/>
    <w:rsid w:val="0017254C"/>
    <w:rsid w:val="001728B3"/>
    <w:rsid w:val="00172B9D"/>
    <w:rsid w:val="001733AF"/>
    <w:rsid w:val="001737B9"/>
    <w:rsid w:val="0017431B"/>
    <w:rsid w:val="001750CF"/>
    <w:rsid w:val="00175800"/>
    <w:rsid w:val="00176539"/>
    <w:rsid w:val="00176B3D"/>
    <w:rsid w:val="00177946"/>
    <w:rsid w:val="00180162"/>
    <w:rsid w:val="00181571"/>
    <w:rsid w:val="001816BE"/>
    <w:rsid w:val="00181E01"/>
    <w:rsid w:val="00182116"/>
    <w:rsid w:val="001835F7"/>
    <w:rsid w:val="00183FC5"/>
    <w:rsid w:val="00184DCA"/>
    <w:rsid w:val="0018534B"/>
    <w:rsid w:val="001859CD"/>
    <w:rsid w:val="00187E48"/>
    <w:rsid w:val="00190A86"/>
    <w:rsid w:val="0019195B"/>
    <w:rsid w:val="00191F52"/>
    <w:rsid w:val="0019313B"/>
    <w:rsid w:val="00193204"/>
    <w:rsid w:val="0019417E"/>
    <w:rsid w:val="001945DD"/>
    <w:rsid w:val="00194ACD"/>
    <w:rsid w:val="00194CD0"/>
    <w:rsid w:val="00195702"/>
    <w:rsid w:val="00195C51"/>
    <w:rsid w:val="00196A2F"/>
    <w:rsid w:val="00197E69"/>
    <w:rsid w:val="001A06C7"/>
    <w:rsid w:val="001A2083"/>
    <w:rsid w:val="001A2338"/>
    <w:rsid w:val="001A2E86"/>
    <w:rsid w:val="001A3691"/>
    <w:rsid w:val="001A4A26"/>
    <w:rsid w:val="001A4ABE"/>
    <w:rsid w:val="001A5AEB"/>
    <w:rsid w:val="001A5D58"/>
    <w:rsid w:val="001A6C86"/>
    <w:rsid w:val="001A78A0"/>
    <w:rsid w:val="001A7A33"/>
    <w:rsid w:val="001B2F00"/>
    <w:rsid w:val="001B368A"/>
    <w:rsid w:val="001B4B0D"/>
    <w:rsid w:val="001B586B"/>
    <w:rsid w:val="001B7AD5"/>
    <w:rsid w:val="001C16CB"/>
    <w:rsid w:val="001C2A57"/>
    <w:rsid w:val="001C3556"/>
    <w:rsid w:val="001C3610"/>
    <w:rsid w:val="001C3A72"/>
    <w:rsid w:val="001C3C1F"/>
    <w:rsid w:val="001C7B8D"/>
    <w:rsid w:val="001D1445"/>
    <w:rsid w:val="001D1E28"/>
    <w:rsid w:val="001D2CB4"/>
    <w:rsid w:val="001D2DA5"/>
    <w:rsid w:val="001D3797"/>
    <w:rsid w:val="001D47B7"/>
    <w:rsid w:val="001D4E62"/>
    <w:rsid w:val="001D66CE"/>
    <w:rsid w:val="001D79F8"/>
    <w:rsid w:val="001E0688"/>
    <w:rsid w:val="001E2A25"/>
    <w:rsid w:val="001E52CA"/>
    <w:rsid w:val="001E5970"/>
    <w:rsid w:val="001E622B"/>
    <w:rsid w:val="001E6CC0"/>
    <w:rsid w:val="001F039B"/>
    <w:rsid w:val="001F2066"/>
    <w:rsid w:val="001F2150"/>
    <w:rsid w:val="001F21E4"/>
    <w:rsid w:val="001F2572"/>
    <w:rsid w:val="001F2F2C"/>
    <w:rsid w:val="001F335A"/>
    <w:rsid w:val="001F5570"/>
    <w:rsid w:val="001F6092"/>
    <w:rsid w:val="001F6E71"/>
    <w:rsid w:val="001F724D"/>
    <w:rsid w:val="001F7EE0"/>
    <w:rsid w:val="00200716"/>
    <w:rsid w:val="0020077C"/>
    <w:rsid w:val="00201EC3"/>
    <w:rsid w:val="00202697"/>
    <w:rsid w:val="00203055"/>
    <w:rsid w:val="002032B7"/>
    <w:rsid w:val="00206260"/>
    <w:rsid w:val="0020663C"/>
    <w:rsid w:val="00206C27"/>
    <w:rsid w:val="00207C74"/>
    <w:rsid w:val="0021149F"/>
    <w:rsid w:val="002137D0"/>
    <w:rsid w:val="00213BBF"/>
    <w:rsid w:val="00213FD0"/>
    <w:rsid w:val="00214673"/>
    <w:rsid w:val="00214D23"/>
    <w:rsid w:val="0021624A"/>
    <w:rsid w:val="00216E6F"/>
    <w:rsid w:val="00222307"/>
    <w:rsid w:val="00222D97"/>
    <w:rsid w:val="002230E3"/>
    <w:rsid w:val="00226D5E"/>
    <w:rsid w:val="0023111B"/>
    <w:rsid w:val="002317CA"/>
    <w:rsid w:val="00234105"/>
    <w:rsid w:val="002341D0"/>
    <w:rsid w:val="00234985"/>
    <w:rsid w:val="002352A8"/>
    <w:rsid w:val="002361C0"/>
    <w:rsid w:val="00236539"/>
    <w:rsid w:val="002375EC"/>
    <w:rsid w:val="002408E2"/>
    <w:rsid w:val="0024105D"/>
    <w:rsid w:val="002411B3"/>
    <w:rsid w:val="00242169"/>
    <w:rsid w:val="002430F4"/>
    <w:rsid w:val="00243BDE"/>
    <w:rsid w:val="00244EAC"/>
    <w:rsid w:val="00246239"/>
    <w:rsid w:val="002469BB"/>
    <w:rsid w:val="00247439"/>
    <w:rsid w:val="00247530"/>
    <w:rsid w:val="00247EF9"/>
    <w:rsid w:val="002503D6"/>
    <w:rsid w:val="00250E9C"/>
    <w:rsid w:val="0025202A"/>
    <w:rsid w:val="00252C2F"/>
    <w:rsid w:val="00253054"/>
    <w:rsid w:val="00253667"/>
    <w:rsid w:val="00254098"/>
    <w:rsid w:val="00254304"/>
    <w:rsid w:val="00255C52"/>
    <w:rsid w:val="002560D0"/>
    <w:rsid w:val="00256101"/>
    <w:rsid w:val="00256333"/>
    <w:rsid w:val="002606C6"/>
    <w:rsid w:val="00261359"/>
    <w:rsid w:val="002615EF"/>
    <w:rsid w:val="002623F3"/>
    <w:rsid w:val="00263885"/>
    <w:rsid w:val="00263EFA"/>
    <w:rsid w:val="002667C3"/>
    <w:rsid w:val="00270632"/>
    <w:rsid w:val="0027276A"/>
    <w:rsid w:val="00272E9D"/>
    <w:rsid w:val="002730CD"/>
    <w:rsid w:val="0027673C"/>
    <w:rsid w:val="0027712D"/>
    <w:rsid w:val="00281874"/>
    <w:rsid w:val="00282115"/>
    <w:rsid w:val="00283BF3"/>
    <w:rsid w:val="00284F8E"/>
    <w:rsid w:val="00285949"/>
    <w:rsid w:val="0028665C"/>
    <w:rsid w:val="00290777"/>
    <w:rsid w:val="0029131A"/>
    <w:rsid w:val="00291382"/>
    <w:rsid w:val="002918C0"/>
    <w:rsid w:val="0029193E"/>
    <w:rsid w:val="00291B41"/>
    <w:rsid w:val="002929F3"/>
    <w:rsid w:val="00292B1A"/>
    <w:rsid w:val="00292CBD"/>
    <w:rsid w:val="00293AE7"/>
    <w:rsid w:val="00294815"/>
    <w:rsid w:val="002949B2"/>
    <w:rsid w:val="0029673C"/>
    <w:rsid w:val="00297F37"/>
    <w:rsid w:val="002A12C8"/>
    <w:rsid w:val="002A13AF"/>
    <w:rsid w:val="002A1D6D"/>
    <w:rsid w:val="002A2D10"/>
    <w:rsid w:val="002A3AAB"/>
    <w:rsid w:val="002A3BAC"/>
    <w:rsid w:val="002A4AF1"/>
    <w:rsid w:val="002A71A9"/>
    <w:rsid w:val="002A7398"/>
    <w:rsid w:val="002A77F8"/>
    <w:rsid w:val="002B2CD4"/>
    <w:rsid w:val="002B41EA"/>
    <w:rsid w:val="002C12BC"/>
    <w:rsid w:val="002C15EA"/>
    <w:rsid w:val="002C1DA1"/>
    <w:rsid w:val="002C2B41"/>
    <w:rsid w:val="002C30E6"/>
    <w:rsid w:val="002C647A"/>
    <w:rsid w:val="002C6CFA"/>
    <w:rsid w:val="002C6E52"/>
    <w:rsid w:val="002C73F8"/>
    <w:rsid w:val="002C7F61"/>
    <w:rsid w:val="002D0F0A"/>
    <w:rsid w:val="002D2D5D"/>
    <w:rsid w:val="002D480B"/>
    <w:rsid w:val="002D4C6C"/>
    <w:rsid w:val="002D54E6"/>
    <w:rsid w:val="002D60FC"/>
    <w:rsid w:val="002D65CB"/>
    <w:rsid w:val="002D6FD7"/>
    <w:rsid w:val="002D7204"/>
    <w:rsid w:val="002E0403"/>
    <w:rsid w:val="002E076B"/>
    <w:rsid w:val="002E15E2"/>
    <w:rsid w:val="002E1978"/>
    <w:rsid w:val="002E1F51"/>
    <w:rsid w:val="002E21B1"/>
    <w:rsid w:val="002E5558"/>
    <w:rsid w:val="002E5BD3"/>
    <w:rsid w:val="002E6005"/>
    <w:rsid w:val="002E6B64"/>
    <w:rsid w:val="002F05D2"/>
    <w:rsid w:val="002F29AA"/>
    <w:rsid w:val="002F559E"/>
    <w:rsid w:val="002F55F7"/>
    <w:rsid w:val="002F6402"/>
    <w:rsid w:val="002F70E0"/>
    <w:rsid w:val="003007FC"/>
    <w:rsid w:val="00300C92"/>
    <w:rsid w:val="00301A37"/>
    <w:rsid w:val="003020C9"/>
    <w:rsid w:val="0030436E"/>
    <w:rsid w:val="00305DD7"/>
    <w:rsid w:val="00306515"/>
    <w:rsid w:val="00310385"/>
    <w:rsid w:val="00311642"/>
    <w:rsid w:val="00313179"/>
    <w:rsid w:val="0031393C"/>
    <w:rsid w:val="0031411D"/>
    <w:rsid w:val="0031414C"/>
    <w:rsid w:val="00314BB1"/>
    <w:rsid w:val="00314CDC"/>
    <w:rsid w:val="0031514A"/>
    <w:rsid w:val="003172E7"/>
    <w:rsid w:val="00317E61"/>
    <w:rsid w:val="00320AD5"/>
    <w:rsid w:val="00321DAA"/>
    <w:rsid w:val="003229E1"/>
    <w:rsid w:val="00322FAE"/>
    <w:rsid w:val="00323689"/>
    <w:rsid w:val="00323712"/>
    <w:rsid w:val="003239D1"/>
    <w:rsid w:val="00325683"/>
    <w:rsid w:val="00326057"/>
    <w:rsid w:val="0033074E"/>
    <w:rsid w:val="003311A5"/>
    <w:rsid w:val="003320A8"/>
    <w:rsid w:val="0033263F"/>
    <w:rsid w:val="0033289A"/>
    <w:rsid w:val="00332F6B"/>
    <w:rsid w:val="00333248"/>
    <w:rsid w:val="00333B0A"/>
    <w:rsid w:val="00334307"/>
    <w:rsid w:val="0033439E"/>
    <w:rsid w:val="00335874"/>
    <w:rsid w:val="00336CB4"/>
    <w:rsid w:val="003373C2"/>
    <w:rsid w:val="00337D57"/>
    <w:rsid w:val="003420B1"/>
    <w:rsid w:val="00342548"/>
    <w:rsid w:val="00345B41"/>
    <w:rsid w:val="00346746"/>
    <w:rsid w:val="0035042A"/>
    <w:rsid w:val="003518AA"/>
    <w:rsid w:val="0035239F"/>
    <w:rsid w:val="00352A40"/>
    <w:rsid w:val="003538E2"/>
    <w:rsid w:val="00354D7F"/>
    <w:rsid w:val="00356836"/>
    <w:rsid w:val="00357D33"/>
    <w:rsid w:val="00360658"/>
    <w:rsid w:val="00360726"/>
    <w:rsid w:val="00361284"/>
    <w:rsid w:val="00361478"/>
    <w:rsid w:val="0036181F"/>
    <w:rsid w:val="003622BB"/>
    <w:rsid w:val="00362E53"/>
    <w:rsid w:val="0036453A"/>
    <w:rsid w:val="00367126"/>
    <w:rsid w:val="003674A8"/>
    <w:rsid w:val="003703E3"/>
    <w:rsid w:val="00370801"/>
    <w:rsid w:val="003739B7"/>
    <w:rsid w:val="00374674"/>
    <w:rsid w:val="00375FCA"/>
    <w:rsid w:val="00376FF6"/>
    <w:rsid w:val="003777E9"/>
    <w:rsid w:val="003802CE"/>
    <w:rsid w:val="00380417"/>
    <w:rsid w:val="0038210C"/>
    <w:rsid w:val="00382460"/>
    <w:rsid w:val="00382E4F"/>
    <w:rsid w:val="00383425"/>
    <w:rsid w:val="00383B43"/>
    <w:rsid w:val="00384507"/>
    <w:rsid w:val="003854AF"/>
    <w:rsid w:val="00385625"/>
    <w:rsid w:val="003857FF"/>
    <w:rsid w:val="0038628B"/>
    <w:rsid w:val="00386328"/>
    <w:rsid w:val="00386A22"/>
    <w:rsid w:val="0038733B"/>
    <w:rsid w:val="00387BBC"/>
    <w:rsid w:val="00387BBE"/>
    <w:rsid w:val="00390E0D"/>
    <w:rsid w:val="0039113A"/>
    <w:rsid w:val="00391B5C"/>
    <w:rsid w:val="003922EE"/>
    <w:rsid w:val="00393B8E"/>
    <w:rsid w:val="00394A69"/>
    <w:rsid w:val="00395B08"/>
    <w:rsid w:val="00395B33"/>
    <w:rsid w:val="003961FD"/>
    <w:rsid w:val="00397AB0"/>
    <w:rsid w:val="003A04B7"/>
    <w:rsid w:val="003A12C4"/>
    <w:rsid w:val="003A14AF"/>
    <w:rsid w:val="003A15FB"/>
    <w:rsid w:val="003A2775"/>
    <w:rsid w:val="003A2A41"/>
    <w:rsid w:val="003A370B"/>
    <w:rsid w:val="003A3B76"/>
    <w:rsid w:val="003A3E8F"/>
    <w:rsid w:val="003A6017"/>
    <w:rsid w:val="003A6275"/>
    <w:rsid w:val="003A6BD6"/>
    <w:rsid w:val="003A71A7"/>
    <w:rsid w:val="003A7246"/>
    <w:rsid w:val="003B2039"/>
    <w:rsid w:val="003B2F94"/>
    <w:rsid w:val="003B4515"/>
    <w:rsid w:val="003B455E"/>
    <w:rsid w:val="003B48E3"/>
    <w:rsid w:val="003B5090"/>
    <w:rsid w:val="003B557F"/>
    <w:rsid w:val="003B67D8"/>
    <w:rsid w:val="003B73AE"/>
    <w:rsid w:val="003C1990"/>
    <w:rsid w:val="003C2AAE"/>
    <w:rsid w:val="003C417B"/>
    <w:rsid w:val="003C6216"/>
    <w:rsid w:val="003C7743"/>
    <w:rsid w:val="003C7C5F"/>
    <w:rsid w:val="003D026C"/>
    <w:rsid w:val="003D124C"/>
    <w:rsid w:val="003D1B94"/>
    <w:rsid w:val="003D1EDF"/>
    <w:rsid w:val="003D2002"/>
    <w:rsid w:val="003D51B0"/>
    <w:rsid w:val="003D5881"/>
    <w:rsid w:val="003D6619"/>
    <w:rsid w:val="003D66EE"/>
    <w:rsid w:val="003D7A44"/>
    <w:rsid w:val="003E141B"/>
    <w:rsid w:val="003E1DAC"/>
    <w:rsid w:val="003E2A02"/>
    <w:rsid w:val="003E2CA5"/>
    <w:rsid w:val="003E5BA0"/>
    <w:rsid w:val="003E5CD6"/>
    <w:rsid w:val="003E7CC1"/>
    <w:rsid w:val="003F0096"/>
    <w:rsid w:val="003F009B"/>
    <w:rsid w:val="003F297F"/>
    <w:rsid w:val="003F2BA3"/>
    <w:rsid w:val="003F366C"/>
    <w:rsid w:val="003F36EE"/>
    <w:rsid w:val="003F37C4"/>
    <w:rsid w:val="003F4116"/>
    <w:rsid w:val="003F4D24"/>
    <w:rsid w:val="003F4EE1"/>
    <w:rsid w:val="003F5444"/>
    <w:rsid w:val="003F6339"/>
    <w:rsid w:val="003F72F7"/>
    <w:rsid w:val="003F7FF5"/>
    <w:rsid w:val="00400384"/>
    <w:rsid w:val="00400C3E"/>
    <w:rsid w:val="0040119D"/>
    <w:rsid w:val="0040289F"/>
    <w:rsid w:val="00402998"/>
    <w:rsid w:val="004035C8"/>
    <w:rsid w:val="00404D24"/>
    <w:rsid w:val="00405D91"/>
    <w:rsid w:val="00406023"/>
    <w:rsid w:val="00406723"/>
    <w:rsid w:val="004069D4"/>
    <w:rsid w:val="00406E94"/>
    <w:rsid w:val="00407F60"/>
    <w:rsid w:val="00410EB4"/>
    <w:rsid w:val="00411B57"/>
    <w:rsid w:val="00412792"/>
    <w:rsid w:val="00412A0F"/>
    <w:rsid w:val="00412E7C"/>
    <w:rsid w:val="004144E9"/>
    <w:rsid w:val="004159A5"/>
    <w:rsid w:val="004168CB"/>
    <w:rsid w:val="00417300"/>
    <w:rsid w:val="00417B95"/>
    <w:rsid w:val="004211FA"/>
    <w:rsid w:val="004217E1"/>
    <w:rsid w:val="00423D44"/>
    <w:rsid w:val="00424723"/>
    <w:rsid w:val="00425E3D"/>
    <w:rsid w:val="00425E63"/>
    <w:rsid w:val="00425FFA"/>
    <w:rsid w:val="00426C95"/>
    <w:rsid w:val="00427FA5"/>
    <w:rsid w:val="00430389"/>
    <w:rsid w:val="00430BCE"/>
    <w:rsid w:val="00430D89"/>
    <w:rsid w:val="00433744"/>
    <w:rsid w:val="0043386E"/>
    <w:rsid w:val="00433B85"/>
    <w:rsid w:val="00435829"/>
    <w:rsid w:val="00436284"/>
    <w:rsid w:val="00436468"/>
    <w:rsid w:val="004367A5"/>
    <w:rsid w:val="00436A97"/>
    <w:rsid w:val="004415E5"/>
    <w:rsid w:val="004416B2"/>
    <w:rsid w:val="004439FB"/>
    <w:rsid w:val="00444AC1"/>
    <w:rsid w:val="00447956"/>
    <w:rsid w:val="00450A7C"/>
    <w:rsid w:val="00450C02"/>
    <w:rsid w:val="00450C41"/>
    <w:rsid w:val="004511DF"/>
    <w:rsid w:val="00451546"/>
    <w:rsid w:val="00452C39"/>
    <w:rsid w:val="00452C9D"/>
    <w:rsid w:val="0045359E"/>
    <w:rsid w:val="0045375E"/>
    <w:rsid w:val="004546B8"/>
    <w:rsid w:val="00455F7E"/>
    <w:rsid w:val="00457921"/>
    <w:rsid w:val="004579EC"/>
    <w:rsid w:val="00461206"/>
    <w:rsid w:val="004612CF"/>
    <w:rsid w:val="0046258C"/>
    <w:rsid w:val="00463046"/>
    <w:rsid w:val="0046322E"/>
    <w:rsid w:val="00464CD0"/>
    <w:rsid w:val="00464E3F"/>
    <w:rsid w:val="00466D55"/>
    <w:rsid w:val="00467AA9"/>
    <w:rsid w:val="00471474"/>
    <w:rsid w:val="0047256F"/>
    <w:rsid w:val="00472CEB"/>
    <w:rsid w:val="00473FAD"/>
    <w:rsid w:val="00474222"/>
    <w:rsid w:val="00474A0E"/>
    <w:rsid w:val="004766A9"/>
    <w:rsid w:val="00477E08"/>
    <w:rsid w:val="00482318"/>
    <w:rsid w:val="00482535"/>
    <w:rsid w:val="00482C06"/>
    <w:rsid w:val="004849BB"/>
    <w:rsid w:val="004857F6"/>
    <w:rsid w:val="00486538"/>
    <w:rsid w:val="004872CD"/>
    <w:rsid w:val="00487CBE"/>
    <w:rsid w:val="00490435"/>
    <w:rsid w:val="004906F1"/>
    <w:rsid w:val="00491910"/>
    <w:rsid w:val="00491E34"/>
    <w:rsid w:val="00491E97"/>
    <w:rsid w:val="00491FF0"/>
    <w:rsid w:val="00492FF4"/>
    <w:rsid w:val="00494197"/>
    <w:rsid w:val="00495EFC"/>
    <w:rsid w:val="00496F57"/>
    <w:rsid w:val="0049700C"/>
    <w:rsid w:val="00497632"/>
    <w:rsid w:val="00497735"/>
    <w:rsid w:val="00497834"/>
    <w:rsid w:val="004A05F3"/>
    <w:rsid w:val="004A0675"/>
    <w:rsid w:val="004A114E"/>
    <w:rsid w:val="004A1D38"/>
    <w:rsid w:val="004A23D7"/>
    <w:rsid w:val="004A36AE"/>
    <w:rsid w:val="004A398C"/>
    <w:rsid w:val="004A4024"/>
    <w:rsid w:val="004A4EAB"/>
    <w:rsid w:val="004A52F5"/>
    <w:rsid w:val="004A59E5"/>
    <w:rsid w:val="004B1D90"/>
    <w:rsid w:val="004B299D"/>
    <w:rsid w:val="004B301A"/>
    <w:rsid w:val="004B30D5"/>
    <w:rsid w:val="004B36F0"/>
    <w:rsid w:val="004B3FEC"/>
    <w:rsid w:val="004B5095"/>
    <w:rsid w:val="004B5240"/>
    <w:rsid w:val="004B7140"/>
    <w:rsid w:val="004C0182"/>
    <w:rsid w:val="004C04FB"/>
    <w:rsid w:val="004C0AE1"/>
    <w:rsid w:val="004C2C11"/>
    <w:rsid w:val="004C4043"/>
    <w:rsid w:val="004C4137"/>
    <w:rsid w:val="004C5F0D"/>
    <w:rsid w:val="004C64BF"/>
    <w:rsid w:val="004C67C1"/>
    <w:rsid w:val="004C77AD"/>
    <w:rsid w:val="004C7E51"/>
    <w:rsid w:val="004D04F5"/>
    <w:rsid w:val="004D17BF"/>
    <w:rsid w:val="004D2720"/>
    <w:rsid w:val="004D27D6"/>
    <w:rsid w:val="004D2B8C"/>
    <w:rsid w:val="004D5983"/>
    <w:rsid w:val="004D63F2"/>
    <w:rsid w:val="004D6E58"/>
    <w:rsid w:val="004E10E6"/>
    <w:rsid w:val="004E3D73"/>
    <w:rsid w:val="004E4FEB"/>
    <w:rsid w:val="004E5C77"/>
    <w:rsid w:val="004E675F"/>
    <w:rsid w:val="004E7B0B"/>
    <w:rsid w:val="004F0B4E"/>
    <w:rsid w:val="004F0FBC"/>
    <w:rsid w:val="004F1109"/>
    <w:rsid w:val="004F1513"/>
    <w:rsid w:val="004F230B"/>
    <w:rsid w:val="004F479C"/>
    <w:rsid w:val="004F56D8"/>
    <w:rsid w:val="005017A3"/>
    <w:rsid w:val="00502587"/>
    <w:rsid w:val="00502664"/>
    <w:rsid w:val="005026F9"/>
    <w:rsid w:val="005036FD"/>
    <w:rsid w:val="00506D4B"/>
    <w:rsid w:val="00511A60"/>
    <w:rsid w:val="005131D7"/>
    <w:rsid w:val="0051392B"/>
    <w:rsid w:val="00514C59"/>
    <w:rsid w:val="005163E8"/>
    <w:rsid w:val="00516BAD"/>
    <w:rsid w:val="0051712A"/>
    <w:rsid w:val="0052130C"/>
    <w:rsid w:val="0052175B"/>
    <w:rsid w:val="005217A0"/>
    <w:rsid w:val="00521F8C"/>
    <w:rsid w:val="00522073"/>
    <w:rsid w:val="00522C55"/>
    <w:rsid w:val="00522ED1"/>
    <w:rsid w:val="00524BB9"/>
    <w:rsid w:val="00525602"/>
    <w:rsid w:val="00526AFB"/>
    <w:rsid w:val="0052754A"/>
    <w:rsid w:val="00527CD1"/>
    <w:rsid w:val="00530465"/>
    <w:rsid w:val="00530C33"/>
    <w:rsid w:val="00530CAD"/>
    <w:rsid w:val="00531FEC"/>
    <w:rsid w:val="00532D6F"/>
    <w:rsid w:val="005330DD"/>
    <w:rsid w:val="005342D0"/>
    <w:rsid w:val="005369A9"/>
    <w:rsid w:val="00537C67"/>
    <w:rsid w:val="0054069D"/>
    <w:rsid w:val="005416C8"/>
    <w:rsid w:val="005440CB"/>
    <w:rsid w:val="00551401"/>
    <w:rsid w:val="00551C15"/>
    <w:rsid w:val="00552192"/>
    <w:rsid w:val="00552685"/>
    <w:rsid w:val="00552ED9"/>
    <w:rsid w:val="005560F0"/>
    <w:rsid w:val="005571AA"/>
    <w:rsid w:val="0055733F"/>
    <w:rsid w:val="0055792A"/>
    <w:rsid w:val="00561FED"/>
    <w:rsid w:val="00563912"/>
    <w:rsid w:val="00563E04"/>
    <w:rsid w:val="00564601"/>
    <w:rsid w:val="005655FD"/>
    <w:rsid w:val="00566726"/>
    <w:rsid w:val="00566E33"/>
    <w:rsid w:val="005717A7"/>
    <w:rsid w:val="00572042"/>
    <w:rsid w:val="005722E5"/>
    <w:rsid w:val="0057285C"/>
    <w:rsid w:val="005733C9"/>
    <w:rsid w:val="00573FAF"/>
    <w:rsid w:val="00575E69"/>
    <w:rsid w:val="005800A5"/>
    <w:rsid w:val="00581C1E"/>
    <w:rsid w:val="00582DD6"/>
    <w:rsid w:val="00582F79"/>
    <w:rsid w:val="00583688"/>
    <w:rsid w:val="00584336"/>
    <w:rsid w:val="005843B7"/>
    <w:rsid w:val="005852C9"/>
    <w:rsid w:val="00585CA2"/>
    <w:rsid w:val="0058626C"/>
    <w:rsid w:val="00586711"/>
    <w:rsid w:val="00587F5D"/>
    <w:rsid w:val="005909E4"/>
    <w:rsid w:val="00590B41"/>
    <w:rsid w:val="0059216D"/>
    <w:rsid w:val="005926AB"/>
    <w:rsid w:val="005931E6"/>
    <w:rsid w:val="00593A3C"/>
    <w:rsid w:val="005940E9"/>
    <w:rsid w:val="00594BBA"/>
    <w:rsid w:val="00595B90"/>
    <w:rsid w:val="005975DE"/>
    <w:rsid w:val="0059796F"/>
    <w:rsid w:val="005A2272"/>
    <w:rsid w:val="005A358C"/>
    <w:rsid w:val="005A7BF4"/>
    <w:rsid w:val="005B214B"/>
    <w:rsid w:val="005B2D01"/>
    <w:rsid w:val="005B2EB5"/>
    <w:rsid w:val="005B367D"/>
    <w:rsid w:val="005B37FB"/>
    <w:rsid w:val="005B5A0A"/>
    <w:rsid w:val="005B657E"/>
    <w:rsid w:val="005B6A92"/>
    <w:rsid w:val="005C1784"/>
    <w:rsid w:val="005C2D2C"/>
    <w:rsid w:val="005C3C3B"/>
    <w:rsid w:val="005C3D39"/>
    <w:rsid w:val="005C7472"/>
    <w:rsid w:val="005C74EF"/>
    <w:rsid w:val="005C799D"/>
    <w:rsid w:val="005C7F5F"/>
    <w:rsid w:val="005D1791"/>
    <w:rsid w:val="005D3299"/>
    <w:rsid w:val="005D4D8A"/>
    <w:rsid w:val="005D6EA9"/>
    <w:rsid w:val="005D71D1"/>
    <w:rsid w:val="005E09F6"/>
    <w:rsid w:val="005E0E19"/>
    <w:rsid w:val="005E122B"/>
    <w:rsid w:val="005E1D39"/>
    <w:rsid w:val="005E2C62"/>
    <w:rsid w:val="005E2EC4"/>
    <w:rsid w:val="005E31C4"/>
    <w:rsid w:val="005E3863"/>
    <w:rsid w:val="005E432F"/>
    <w:rsid w:val="005E43BF"/>
    <w:rsid w:val="005E4D69"/>
    <w:rsid w:val="005E5603"/>
    <w:rsid w:val="005E584D"/>
    <w:rsid w:val="005E7827"/>
    <w:rsid w:val="005F0AEA"/>
    <w:rsid w:val="005F1494"/>
    <w:rsid w:val="005F16EB"/>
    <w:rsid w:val="005F2B89"/>
    <w:rsid w:val="005F2E9C"/>
    <w:rsid w:val="005F40F4"/>
    <w:rsid w:val="005F48F4"/>
    <w:rsid w:val="005F6CCA"/>
    <w:rsid w:val="005F6CDF"/>
    <w:rsid w:val="0060015E"/>
    <w:rsid w:val="00600DED"/>
    <w:rsid w:val="00602738"/>
    <w:rsid w:val="00602CBE"/>
    <w:rsid w:val="00603886"/>
    <w:rsid w:val="00604DAB"/>
    <w:rsid w:val="006060F1"/>
    <w:rsid w:val="006063BC"/>
    <w:rsid w:val="00606477"/>
    <w:rsid w:val="0060666C"/>
    <w:rsid w:val="006070CE"/>
    <w:rsid w:val="00607415"/>
    <w:rsid w:val="00607873"/>
    <w:rsid w:val="00607BDA"/>
    <w:rsid w:val="00607D4A"/>
    <w:rsid w:val="00610212"/>
    <w:rsid w:val="00610DD6"/>
    <w:rsid w:val="00611569"/>
    <w:rsid w:val="00612661"/>
    <w:rsid w:val="00612A30"/>
    <w:rsid w:val="00612B41"/>
    <w:rsid w:val="006130D4"/>
    <w:rsid w:val="0061372C"/>
    <w:rsid w:val="00614285"/>
    <w:rsid w:val="006146CC"/>
    <w:rsid w:val="00616CCB"/>
    <w:rsid w:val="00616F27"/>
    <w:rsid w:val="00621F3E"/>
    <w:rsid w:val="006221E3"/>
    <w:rsid w:val="00623075"/>
    <w:rsid w:val="006231DA"/>
    <w:rsid w:val="0062465F"/>
    <w:rsid w:val="00625C5F"/>
    <w:rsid w:val="00625C64"/>
    <w:rsid w:val="00625FAF"/>
    <w:rsid w:val="00626846"/>
    <w:rsid w:val="0063044A"/>
    <w:rsid w:val="00630D1A"/>
    <w:rsid w:val="0063222C"/>
    <w:rsid w:val="00632DE8"/>
    <w:rsid w:val="00633176"/>
    <w:rsid w:val="00634708"/>
    <w:rsid w:val="00636B95"/>
    <w:rsid w:val="00637192"/>
    <w:rsid w:val="006371BF"/>
    <w:rsid w:val="00640A9B"/>
    <w:rsid w:val="00642ED9"/>
    <w:rsid w:val="0064394C"/>
    <w:rsid w:val="0064401F"/>
    <w:rsid w:val="00644150"/>
    <w:rsid w:val="00645259"/>
    <w:rsid w:val="00645A43"/>
    <w:rsid w:val="006464FB"/>
    <w:rsid w:val="00646E82"/>
    <w:rsid w:val="006470BC"/>
    <w:rsid w:val="0064767D"/>
    <w:rsid w:val="00650DE8"/>
    <w:rsid w:val="00651202"/>
    <w:rsid w:val="00651F05"/>
    <w:rsid w:val="006526CE"/>
    <w:rsid w:val="00652923"/>
    <w:rsid w:val="00652F30"/>
    <w:rsid w:val="0065349D"/>
    <w:rsid w:val="00654042"/>
    <w:rsid w:val="00654081"/>
    <w:rsid w:val="00654E2D"/>
    <w:rsid w:val="00661116"/>
    <w:rsid w:val="006615F2"/>
    <w:rsid w:val="00661B18"/>
    <w:rsid w:val="00663267"/>
    <w:rsid w:val="006640EE"/>
    <w:rsid w:val="006647A7"/>
    <w:rsid w:val="00664A8F"/>
    <w:rsid w:val="00665D51"/>
    <w:rsid w:val="00666FF1"/>
    <w:rsid w:val="006671AE"/>
    <w:rsid w:val="006706D2"/>
    <w:rsid w:val="00670737"/>
    <w:rsid w:val="0067099E"/>
    <w:rsid w:val="00671114"/>
    <w:rsid w:val="00672923"/>
    <w:rsid w:val="006730D6"/>
    <w:rsid w:val="00673533"/>
    <w:rsid w:val="00674586"/>
    <w:rsid w:val="00675CE6"/>
    <w:rsid w:val="006765EB"/>
    <w:rsid w:val="00676A86"/>
    <w:rsid w:val="00677410"/>
    <w:rsid w:val="00680602"/>
    <w:rsid w:val="00680FF9"/>
    <w:rsid w:val="006814B0"/>
    <w:rsid w:val="006833D3"/>
    <w:rsid w:val="00684AA1"/>
    <w:rsid w:val="00685672"/>
    <w:rsid w:val="006857D9"/>
    <w:rsid w:val="0068583F"/>
    <w:rsid w:val="006873A3"/>
    <w:rsid w:val="00690428"/>
    <w:rsid w:val="006919BE"/>
    <w:rsid w:val="00691E7B"/>
    <w:rsid w:val="0069241F"/>
    <w:rsid w:val="00693A50"/>
    <w:rsid w:val="00693B3B"/>
    <w:rsid w:val="0069476E"/>
    <w:rsid w:val="00694F36"/>
    <w:rsid w:val="0069532D"/>
    <w:rsid w:val="0069605E"/>
    <w:rsid w:val="006A16DC"/>
    <w:rsid w:val="006A1F74"/>
    <w:rsid w:val="006A23D8"/>
    <w:rsid w:val="006A34A1"/>
    <w:rsid w:val="006A34E5"/>
    <w:rsid w:val="006A4D01"/>
    <w:rsid w:val="006A51CA"/>
    <w:rsid w:val="006A5267"/>
    <w:rsid w:val="006A5D31"/>
    <w:rsid w:val="006A6A96"/>
    <w:rsid w:val="006A6C73"/>
    <w:rsid w:val="006B001A"/>
    <w:rsid w:val="006B03FA"/>
    <w:rsid w:val="006B04A5"/>
    <w:rsid w:val="006B2395"/>
    <w:rsid w:val="006B309E"/>
    <w:rsid w:val="006B334E"/>
    <w:rsid w:val="006B39DC"/>
    <w:rsid w:val="006B5DAF"/>
    <w:rsid w:val="006B64B3"/>
    <w:rsid w:val="006B72E4"/>
    <w:rsid w:val="006B767B"/>
    <w:rsid w:val="006B773C"/>
    <w:rsid w:val="006C1525"/>
    <w:rsid w:val="006C1C99"/>
    <w:rsid w:val="006C205C"/>
    <w:rsid w:val="006C3044"/>
    <w:rsid w:val="006C3AF1"/>
    <w:rsid w:val="006C4EED"/>
    <w:rsid w:val="006C62D1"/>
    <w:rsid w:val="006C69B3"/>
    <w:rsid w:val="006C7533"/>
    <w:rsid w:val="006C7D96"/>
    <w:rsid w:val="006C7DFC"/>
    <w:rsid w:val="006D0EE9"/>
    <w:rsid w:val="006D2D9B"/>
    <w:rsid w:val="006D4799"/>
    <w:rsid w:val="006D501C"/>
    <w:rsid w:val="006D5036"/>
    <w:rsid w:val="006D5C59"/>
    <w:rsid w:val="006D62F9"/>
    <w:rsid w:val="006D64DD"/>
    <w:rsid w:val="006D69AE"/>
    <w:rsid w:val="006D6EB4"/>
    <w:rsid w:val="006D72A8"/>
    <w:rsid w:val="006D7300"/>
    <w:rsid w:val="006E042A"/>
    <w:rsid w:val="006E053A"/>
    <w:rsid w:val="006E08CD"/>
    <w:rsid w:val="006E0B6B"/>
    <w:rsid w:val="006E14EB"/>
    <w:rsid w:val="006E1C79"/>
    <w:rsid w:val="006E1E45"/>
    <w:rsid w:val="006E2651"/>
    <w:rsid w:val="006E3553"/>
    <w:rsid w:val="006E5197"/>
    <w:rsid w:val="006E796C"/>
    <w:rsid w:val="006F07CA"/>
    <w:rsid w:val="006F3464"/>
    <w:rsid w:val="006F6047"/>
    <w:rsid w:val="006F6B3E"/>
    <w:rsid w:val="006F7FB5"/>
    <w:rsid w:val="0070023E"/>
    <w:rsid w:val="007006D3"/>
    <w:rsid w:val="00701C84"/>
    <w:rsid w:val="007024F3"/>
    <w:rsid w:val="0070302B"/>
    <w:rsid w:val="007046B1"/>
    <w:rsid w:val="007051A6"/>
    <w:rsid w:val="00705B03"/>
    <w:rsid w:val="007063B9"/>
    <w:rsid w:val="00706A91"/>
    <w:rsid w:val="00707EE2"/>
    <w:rsid w:val="00710385"/>
    <w:rsid w:val="0071161E"/>
    <w:rsid w:val="00711779"/>
    <w:rsid w:val="00712C40"/>
    <w:rsid w:val="00713313"/>
    <w:rsid w:val="00713362"/>
    <w:rsid w:val="007139E0"/>
    <w:rsid w:val="00714113"/>
    <w:rsid w:val="00714B9C"/>
    <w:rsid w:val="00715470"/>
    <w:rsid w:val="0071630C"/>
    <w:rsid w:val="00717C29"/>
    <w:rsid w:val="0072022F"/>
    <w:rsid w:val="007202FA"/>
    <w:rsid w:val="0072221A"/>
    <w:rsid w:val="00722611"/>
    <w:rsid w:val="00722E06"/>
    <w:rsid w:val="0072325A"/>
    <w:rsid w:val="007238D9"/>
    <w:rsid w:val="00723A33"/>
    <w:rsid w:val="00723A9C"/>
    <w:rsid w:val="007245F6"/>
    <w:rsid w:val="0072475A"/>
    <w:rsid w:val="007250AD"/>
    <w:rsid w:val="007251C1"/>
    <w:rsid w:val="00726B1F"/>
    <w:rsid w:val="007306F0"/>
    <w:rsid w:val="007314C6"/>
    <w:rsid w:val="0073489D"/>
    <w:rsid w:val="00735D0A"/>
    <w:rsid w:val="00736EEB"/>
    <w:rsid w:val="007376EB"/>
    <w:rsid w:val="00737D47"/>
    <w:rsid w:val="0074082F"/>
    <w:rsid w:val="00740C5A"/>
    <w:rsid w:val="007414B9"/>
    <w:rsid w:val="007418C4"/>
    <w:rsid w:val="00741F18"/>
    <w:rsid w:val="007420B7"/>
    <w:rsid w:val="0074235D"/>
    <w:rsid w:val="0074261B"/>
    <w:rsid w:val="00742FBF"/>
    <w:rsid w:val="007432B1"/>
    <w:rsid w:val="00743EA6"/>
    <w:rsid w:val="00745B75"/>
    <w:rsid w:val="00745D63"/>
    <w:rsid w:val="00746BE1"/>
    <w:rsid w:val="00746E9B"/>
    <w:rsid w:val="00746F77"/>
    <w:rsid w:val="00747577"/>
    <w:rsid w:val="00747F44"/>
    <w:rsid w:val="00747FF3"/>
    <w:rsid w:val="00750236"/>
    <w:rsid w:val="00750841"/>
    <w:rsid w:val="00750F23"/>
    <w:rsid w:val="00751493"/>
    <w:rsid w:val="007529DE"/>
    <w:rsid w:val="00752DEE"/>
    <w:rsid w:val="00753A51"/>
    <w:rsid w:val="00754B58"/>
    <w:rsid w:val="00754BBE"/>
    <w:rsid w:val="007557A9"/>
    <w:rsid w:val="00756826"/>
    <w:rsid w:val="007573EB"/>
    <w:rsid w:val="0075763D"/>
    <w:rsid w:val="00757ADD"/>
    <w:rsid w:val="00757BAA"/>
    <w:rsid w:val="00760DAF"/>
    <w:rsid w:val="007612D5"/>
    <w:rsid w:val="00761A26"/>
    <w:rsid w:val="00762155"/>
    <w:rsid w:val="0076263E"/>
    <w:rsid w:val="007626EB"/>
    <w:rsid w:val="007633AC"/>
    <w:rsid w:val="00763A81"/>
    <w:rsid w:val="007655DB"/>
    <w:rsid w:val="00765992"/>
    <w:rsid w:val="00765EFA"/>
    <w:rsid w:val="00765F19"/>
    <w:rsid w:val="00766BEE"/>
    <w:rsid w:val="0076781E"/>
    <w:rsid w:val="00767CC7"/>
    <w:rsid w:val="00770D57"/>
    <w:rsid w:val="00771B83"/>
    <w:rsid w:val="00772623"/>
    <w:rsid w:val="00772CD7"/>
    <w:rsid w:val="00773A85"/>
    <w:rsid w:val="00774021"/>
    <w:rsid w:val="00775562"/>
    <w:rsid w:val="007757A2"/>
    <w:rsid w:val="00777A36"/>
    <w:rsid w:val="007803E6"/>
    <w:rsid w:val="00780458"/>
    <w:rsid w:val="007809D4"/>
    <w:rsid w:val="0078297C"/>
    <w:rsid w:val="00782CF7"/>
    <w:rsid w:val="00782EAA"/>
    <w:rsid w:val="0078333B"/>
    <w:rsid w:val="00784658"/>
    <w:rsid w:val="00784AD1"/>
    <w:rsid w:val="00784F26"/>
    <w:rsid w:val="0078794F"/>
    <w:rsid w:val="00790CD6"/>
    <w:rsid w:val="00790CDA"/>
    <w:rsid w:val="007913EA"/>
    <w:rsid w:val="00793626"/>
    <w:rsid w:val="00796276"/>
    <w:rsid w:val="00796E70"/>
    <w:rsid w:val="00796F9A"/>
    <w:rsid w:val="0079733F"/>
    <w:rsid w:val="007A2E2C"/>
    <w:rsid w:val="007A3FDC"/>
    <w:rsid w:val="007A640B"/>
    <w:rsid w:val="007A6790"/>
    <w:rsid w:val="007A6844"/>
    <w:rsid w:val="007B1DA9"/>
    <w:rsid w:val="007B2A1E"/>
    <w:rsid w:val="007B3061"/>
    <w:rsid w:val="007B3218"/>
    <w:rsid w:val="007B3B39"/>
    <w:rsid w:val="007B4218"/>
    <w:rsid w:val="007B730B"/>
    <w:rsid w:val="007B7E81"/>
    <w:rsid w:val="007B7EB5"/>
    <w:rsid w:val="007B7EFF"/>
    <w:rsid w:val="007C0A11"/>
    <w:rsid w:val="007C1352"/>
    <w:rsid w:val="007C2057"/>
    <w:rsid w:val="007C21C2"/>
    <w:rsid w:val="007C29DF"/>
    <w:rsid w:val="007C35EE"/>
    <w:rsid w:val="007C3972"/>
    <w:rsid w:val="007C3B44"/>
    <w:rsid w:val="007C4090"/>
    <w:rsid w:val="007C47D4"/>
    <w:rsid w:val="007C494C"/>
    <w:rsid w:val="007C50D7"/>
    <w:rsid w:val="007C603E"/>
    <w:rsid w:val="007C7F35"/>
    <w:rsid w:val="007D0C0A"/>
    <w:rsid w:val="007D2A26"/>
    <w:rsid w:val="007D32B8"/>
    <w:rsid w:val="007D4A96"/>
    <w:rsid w:val="007D7813"/>
    <w:rsid w:val="007D7AC2"/>
    <w:rsid w:val="007D7C78"/>
    <w:rsid w:val="007E1DA5"/>
    <w:rsid w:val="007E1F5F"/>
    <w:rsid w:val="007E362E"/>
    <w:rsid w:val="007E61ED"/>
    <w:rsid w:val="007E70A7"/>
    <w:rsid w:val="007E7740"/>
    <w:rsid w:val="007F0315"/>
    <w:rsid w:val="007F09AE"/>
    <w:rsid w:val="007F150E"/>
    <w:rsid w:val="007F1E67"/>
    <w:rsid w:val="007F25D2"/>
    <w:rsid w:val="007F276C"/>
    <w:rsid w:val="007F3540"/>
    <w:rsid w:val="007F3C9F"/>
    <w:rsid w:val="007F4A34"/>
    <w:rsid w:val="007F5A9A"/>
    <w:rsid w:val="007F6EA4"/>
    <w:rsid w:val="00800315"/>
    <w:rsid w:val="0080284E"/>
    <w:rsid w:val="00802C8D"/>
    <w:rsid w:val="00802F6F"/>
    <w:rsid w:val="008061DD"/>
    <w:rsid w:val="00806CC5"/>
    <w:rsid w:val="00806D0B"/>
    <w:rsid w:val="00814EE7"/>
    <w:rsid w:val="0081503E"/>
    <w:rsid w:val="00815C0C"/>
    <w:rsid w:val="00816225"/>
    <w:rsid w:val="0081790E"/>
    <w:rsid w:val="00817A38"/>
    <w:rsid w:val="00820D1B"/>
    <w:rsid w:val="008210A7"/>
    <w:rsid w:val="00821E6F"/>
    <w:rsid w:val="008222DE"/>
    <w:rsid w:val="00822EDC"/>
    <w:rsid w:val="008236D1"/>
    <w:rsid w:val="00823E1F"/>
    <w:rsid w:val="0083257F"/>
    <w:rsid w:val="008348FC"/>
    <w:rsid w:val="00834E38"/>
    <w:rsid w:val="00834E50"/>
    <w:rsid w:val="00834EE5"/>
    <w:rsid w:val="008351BA"/>
    <w:rsid w:val="00835345"/>
    <w:rsid w:val="00836845"/>
    <w:rsid w:val="008373BC"/>
    <w:rsid w:val="008379FC"/>
    <w:rsid w:val="00841B82"/>
    <w:rsid w:val="008427B8"/>
    <w:rsid w:val="0084348B"/>
    <w:rsid w:val="0084349E"/>
    <w:rsid w:val="00843F89"/>
    <w:rsid w:val="00844FAB"/>
    <w:rsid w:val="00845A30"/>
    <w:rsid w:val="00846B52"/>
    <w:rsid w:val="00846CE5"/>
    <w:rsid w:val="008502CE"/>
    <w:rsid w:val="00850A42"/>
    <w:rsid w:val="0085100A"/>
    <w:rsid w:val="00851427"/>
    <w:rsid w:val="00851FCA"/>
    <w:rsid w:val="0085300F"/>
    <w:rsid w:val="0085637F"/>
    <w:rsid w:val="008614E6"/>
    <w:rsid w:val="0086189E"/>
    <w:rsid w:val="0086289E"/>
    <w:rsid w:val="00864025"/>
    <w:rsid w:val="0086442E"/>
    <w:rsid w:val="00865028"/>
    <w:rsid w:val="00865DF4"/>
    <w:rsid w:val="00866B54"/>
    <w:rsid w:val="0086790C"/>
    <w:rsid w:val="00867DC8"/>
    <w:rsid w:val="008706C2"/>
    <w:rsid w:val="00870E37"/>
    <w:rsid w:val="00871943"/>
    <w:rsid w:val="008734EB"/>
    <w:rsid w:val="0087575B"/>
    <w:rsid w:val="00875D9E"/>
    <w:rsid w:val="00876879"/>
    <w:rsid w:val="0087702A"/>
    <w:rsid w:val="00877C97"/>
    <w:rsid w:val="00880936"/>
    <w:rsid w:val="008809A8"/>
    <w:rsid w:val="00880FEA"/>
    <w:rsid w:val="008820EC"/>
    <w:rsid w:val="008821C7"/>
    <w:rsid w:val="00882A71"/>
    <w:rsid w:val="00884359"/>
    <w:rsid w:val="0088505D"/>
    <w:rsid w:val="0088588A"/>
    <w:rsid w:val="00885C17"/>
    <w:rsid w:val="00886430"/>
    <w:rsid w:val="008879C5"/>
    <w:rsid w:val="00890F96"/>
    <w:rsid w:val="0089261D"/>
    <w:rsid w:val="00892863"/>
    <w:rsid w:val="00892D72"/>
    <w:rsid w:val="00893B03"/>
    <w:rsid w:val="00893ED3"/>
    <w:rsid w:val="0089589F"/>
    <w:rsid w:val="0089753E"/>
    <w:rsid w:val="00897ED6"/>
    <w:rsid w:val="008A116A"/>
    <w:rsid w:val="008A12BD"/>
    <w:rsid w:val="008A14CF"/>
    <w:rsid w:val="008A23D0"/>
    <w:rsid w:val="008A2C93"/>
    <w:rsid w:val="008A3068"/>
    <w:rsid w:val="008A3076"/>
    <w:rsid w:val="008A34F4"/>
    <w:rsid w:val="008A4E20"/>
    <w:rsid w:val="008A5ED2"/>
    <w:rsid w:val="008A6CD7"/>
    <w:rsid w:val="008A732C"/>
    <w:rsid w:val="008A7EF3"/>
    <w:rsid w:val="008B05BF"/>
    <w:rsid w:val="008B2D16"/>
    <w:rsid w:val="008B3732"/>
    <w:rsid w:val="008B38DC"/>
    <w:rsid w:val="008B4ED7"/>
    <w:rsid w:val="008B721A"/>
    <w:rsid w:val="008C0DBE"/>
    <w:rsid w:val="008C21A1"/>
    <w:rsid w:val="008C251B"/>
    <w:rsid w:val="008C27D6"/>
    <w:rsid w:val="008C42C6"/>
    <w:rsid w:val="008C4606"/>
    <w:rsid w:val="008C64B2"/>
    <w:rsid w:val="008C7454"/>
    <w:rsid w:val="008C7B9F"/>
    <w:rsid w:val="008D0B76"/>
    <w:rsid w:val="008D2627"/>
    <w:rsid w:val="008D423A"/>
    <w:rsid w:val="008D6886"/>
    <w:rsid w:val="008D7532"/>
    <w:rsid w:val="008D767D"/>
    <w:rsid w:val="008E08DC"/>
    <w:rsid w:val="008E0C73"/>
    <w:rsid w:val="008E13BF"/>
    <w:rsid w:val="008E252B"/>
    <w:rsid w:val="008E298A"/>
    <w:rsid w:val="008E4D9F"/>
    <w:rsid w:val="008E52E9"/>
    <w:rsid w:val="008E6441"/>
    <w:rsid w:val="008E715E"/>
    <w:rsid w:val="008E735C"/>
    <w:rsid w:val="008E7395"/>
    <w:rsid w:val="008F1A88"/>
    <w:rsid w:val="008F2CC6"/>
    <w:rsid w:val="008F2DE2"/>
    <w:rsid w:val="008F3EBB"/>
    <w:rsid w:val="008F4C37"/>
    <w:rsid w:val="009001E6"/>
    <w:rsid w:val="00900991"/>
    <w:rsid w:val="00900BD2"/>
    <w:rsid w:val="00901116"/>
    <w:rsid w:val="00901468"/>
    <w:rsid w:val="00902089"/>
    <w:rsid w:val="00904417"/>
    <w:rsid w:val="00910739"/>
    <w:rsid w:val="00910958"/>
    <w:rsid w:val="00911C03"/>
    <w:rsid w:val="00911C2B"/>
    <w:rsid w:val="00911E9A"/>
    <w:rsid w:val="0091218A"/>
    <w:rsid w:val="00912CB6"/>
    <w:rsid w:val="00914565"/>
    <w:rsid w:val="009153D6"/>
    <w:rsid w:val="009161AD"/>
    <w:rsid w:val="0091664B"/>
    <w:rsid w:val="00920922"/>
    <w:rsid w:val="009210E8"/>
    <w:rsid w:val="009214E2"/>
    <w:rsid w:val="009219B6"/>
    <w:rsid w:val="009229E9"/>
    <w:rsid w:val="00922DFE"/>
    <w:rsid w:val="0092314D"/>
    <w:rsid w:val="009232BF"/>
    <w:rsid w:val="00924811"/>
    <w:rsid w:val="00924893"/>
    <w:rsid w:val="00924EA1"/>
    <w:rsid w:val="009269C2"/>
    <w:rsid w:val="00931630"/>
    <w:rsid w:val="00931A1C"/>
    <w:rsid w:val="00931DD1"/>
    <w:rsid w:val="0093378B"/>
    <w:rsid w:val="00935A12"/>
    <w:rsid w:val="00936427"/>
    <w:rsid w:val="00940012"/>
    <w:rsid w:val="00940813"/>
    <w:rsid w:val="0094276D"/>
    <w:rsid w:val="00944EE1"/>
    <w:rsid w:val="009465E2"/>
    <w:rsid w:val="00947082"/>
    <w:rsid w:val="00950853"/>
    <w:rsid w:val="009509FF"/>
    <w:rsid w:val="00950A07"/>
    <w:rsid w:val="00950C1D"/>
    <w:rsid w:val="00950DF2"/>
    <w:rsid w:val="0095107B"/>
    <w:rsid w:val="009521CF"/>
    <w:rsid w:val="00953428"/>
    <w:rsid w:val="00955E2A"/>
    <w:rsid w:val="00956CDA"/>
    <w:rsid w:val="00960A82"/>
    <w:rsid w:val="00962456"/>
    <w:rsid w:val="00963CEA"/>
    <w:rsid w:val="0096500D"/>
    <w:rsid w:val="00967B6F"/>
    <w:rsid w:val="0097486A"/>
    <w:rsid w:val="00974C6C"/>
    <w:rsid w:val="00975012"/>
    <w:rsid w:val="00975720"/>
    <w:rsid w:val="00975DB7"/>
    <w:rsid w:val="00975F3E"/>
    <w:rsid w:val="00976612"/>
    <w:rsid w:val="00976EA8"/>
    <w:rsid w:val="00977BB9"/>
    <w:rsid w:val="009813F3"/>
    <w:rsid w:val="00982E22"/>
    <w:rsid w:val="00986FEF"/>
    <w:rsid w:val="00987453"/>
    <w:rsid w:val="00987787"/>
    <w:rsid w:val="00990501"/>
    <w:rsid w:val="00990B08"/>
    <w:rsid w:val="00990E52"/>
    <w:rsid w:val="00992C0B"/>
    <w:rsid w:val="00993BCB"/>
    <w:rsid w:val="00993D09"/>
    <w:rsid w:val="00993E13"/>
    <w:rsid w:val="00994DA5"/>
    <w:rsid w:val="00994EC4"/>
    <w:rsid w:val="00995812"/>
    <w:rsid w:val="00995AEB"/>
    <w:rsid w:val="00995BD9"/>
    <w:rsid w:val="00995DE3"/>
    <w:rsid w:val="00995E58"/>
    <w:rsid w:val="00996170"/>
    <w:rsid w:val="00996286"/>
    <w:rsid w:val="0099659C"/>
    <w:rsid w:val="009973E5"/>
    <w:rsid w:val="009A178C"/>
    <w:rsid w:val="009A42FB"/>
    <w:rsid w:val="009A4799"/>
    <w:rsid w:val="009A56EF"/>
    <w:rsid w:val="009A5798"/>
    <w:rsid w:val="009A5B4D"/>
    <w:rsid w:val="009A6289"/>
    <w:rsid w:val="009A651F"/>
    <w:rsid w:val="009A6CB4"/>
    <w:rsid w:val="009A76A1"/>
    <w:rsid w:val="009A79BF"/>
    <w:rsid w:val="009B042D"/>
    <w:rsid w:val="009B24B3"/>
    <w:rsid w:val="009B27C4"/>
    <w:rsid w:val="009B2D07"/>
    <w:rsid w:val="009B2E40"/>
    <w:rsid w:val="009B42A6"/>
    <w:rsid w:val="009B5070"/>
    <w:rsid w:val="009B5153"/>
    <w:rsid w:val="009B60D9"/>
    <w:rsid w:val="009B677C"/>
    <w:rsid w:val="009C3540"/>
    <w:rsid w:val="009C416F"/>
    <w:rsid w:val="009C4B02"/>
    <w:rsid w:val="009C4B67"/>
    <w:rsid w:val="009C6FE1"/>
    <w:rsid w:val="009C71D4"/>
    <w:rsid w:val="009D01D4"/>
    <w:rsid w:val="009D175A"/>
    <w:rsid w:val="009D297F"/>
    <w:rsid w:val="009D2FF1"/>
    <w:rsid w:val="009D53EF"/>
    <w:rsid w:val="009D5833"/>
    <w:rsid w:val="009E1B05"/>
    <w:rsid w:val="009E2925"/>
    <w:rsid w:val="009E3E72"/>
    <w:rsid w:val="009E4D16"/>
    <w:rsid w:val="009E5458"/>
    <w:rsid w:val="009E5547"/>
    <w:rsid w:val="009E57E2"/>
    <w:rsid w:val="009E69B3"/>
    <w:rsid w:val="009E7A86"/>
    <w:rsid w:val="009E7C02"/>
    <w:rsid w:val="009E7CEB"/>
    <w:rsid w:val="009F269B"/>
    <w:rsid w:val="009F3F52"/>
    <w:rsid w:val="009F48A3"/>
    <w:rsid w:val="009F5813"/>
    <w:rsid w:val="009F669B"/>
    <w:rsid w:val="009F7088"/>
    <w:rsid w:val="009F7ADC"/>
    <w:rsid w:val="00A00F78"/>
    <w:rsid w:val="00A02A1A"/>
    <w:rsid w:val="00A02F00"/>
    <w:rsid w:val="00A0319E"/>
    <w:rsid w:val="00A032D6"/>
    <w:rsid w:val="00A034A5"/>
    <w:rsid w:val="00A04760"/>
    <w:rsid w:val="00A0511A"/>
    <w:rsid w:val="00A06F09"/>
    <w:rsid w:val="00A07979"/>
    <w:rsid w:val="00A11EDC"/>
    <w:rsid w:val="00A122F5"/>
    <w:rsid w:val="00A1427E"/>
    <w:rsid w:val="00A143FA"/>
    <w:rsid w:val="00A15ACE"/>
    <w:rsid w:val="00A15E9A"/>
    <w:rsid w:val="00A1790B"/>
    <w:rsid w:val="00A17FC9"/>
    <w:rsid w:val="00A20304"/>
    <w:rsid w:val="00A209EB"/>
    <w:rsid w:val="00A21194"/>
    <w:rsid w:val="00A21377"/>
    <w:rsid w:val="00A22551"/>
    <w:rsid w:val="00A232D8"/>
    <w:rsid w:val="00A237CA"/>
    <w:rsid w:val="00A238B4"/>
    <w:rsid w:val="00A23D1C"/>
    <w:rsid w:val="00A23E40"/>
    <w:rsid w:val="00A2479A"/>
    <w:rsid w:val="00A24990"/>
    <w:rsid w:val="00A2598B"/>
    <w:rsid w:val="00A25B46"/>
    <w:rsid w:val="00A25C52"/>
    <w:rsid w:val="00A26DEE"/>
    <w:rsid w:val="00A271AB"/>
    <w:rsid w:val="00A272EF"/>
    <w:rsid w:val="00A27524"/>
    <w:rsid w:val="00A325F7"/>
    <w:rsid w:val="00A32EBF"/>
    <w:rsid w:val="00A32F07"/>
    <w:rsid w:val="00A33982"/>
    <w:rsid w:val="00A35039"/>
    <w:rsid w:val="00A35B69"/>
    <w:rsid w:val="00A37038"/>
    <w:rsid w:val="00A37DEA"/>
    <w:rsid w:val="00A42700"/>
    <w:rsid w:val="00A4379F"/>
    <w:rsid w:val="00A43D51"/>
    <w:rsid w:val="00A45E51"/>
    <w:rsid w:val="00A46112"/>
    <w:rsid w:val="00A46507"/>
    <w:rsid w:val="00A467BD"/>
    <w:rsid w:val="00A46A73"/>
    <w:rsid w:val="00A50116"/>
    <w:rsid w:val="00A519A4"/>
    <w:rsid w:val="00A520F6"/>
    <w:rsid w:val="00A545B5"/>
    <w:rsid w:val="00A54ABB"/>
    <w:rsid w:val="00A554C0"/>
    <w:rsid w:val="00A55CFE"/>
    <w:rsid w:val="00A5678A"/>
    <w:rsid w:val="00A56AAD"/>
    <w:rsid w:val="00A570A3"/>
    <w:rsid w:val="00A6249D"/>
    <w:rsid w:val="00A62957"/>
    <w:rsid w:val="00A62D0A"/>
    <w:rsid w:val="00A64A5B"/>
    <w:rsid w:val="00A64EF5"/>
    <w:rsid w:val="00A652AA"/>
    <w:rsid w:val="00A67531"/>
    <w:rsid w:val="00A704A1"/>
    <w:rsid w:val="00A70DE6"/>
    <w:rsid w:val="00A70E86"/>
    <w:rsid w:val="00A71579"/>
    <w:rsid w:val="00A71A58"/>
    <w:rsid w:val="00A71A9A"/>
    <w:rsid w:val="00A7219B"/>
    <w:rsid w:val="00A73868"/>
    <w:rsid w:val="00A73CDA"/>
    <w:rsid w:val="00A74138"/>
    <w:rsid w:val="00A74D69"/>
    <w:rsid w:val="00A7517D"/>
    <w:rsid w:val="00A75419"/>
    <w:rsid w:val="00A76D7F"/>
    <w:rsid w:val="00A770BF"/>
    <w:rsid w:val="00A77302"/>
    <w:rsid w:val="00A77310"/>
    <w:rsid w:val="00A77894"/>
    <w:rsid w:val="00A8060A"/>
    <w:rsid w:val="00A80A5B"/>
    <w:rsid w:val="00A82B13"/>
    <w:rsid w:val="00A82C56"/>
    <w:rsid w:val="00A83A39"/>
    <w:rsid w:val="00A841DA"/>
    <w:rsid w:val="00A84E72"/>
    <w:rsid w:val="00A8702B"/>
    <w:rsid w:val="00A8704A"/>
    <w:rsid w:val="00A904D9"/>
    <w:rsid w:val="00A92C21"/>
    <w:rsid w:val="00A93826"/>
    <w:rsid w:val="00A93D5C"/>
    <w:rsid w:val="00A96707"/>
    <w:rsid w:val="00A96DE7"/>
    <w:rsid w:val="00A97723"/>
    <w:rsid w:val="00A978E8"/>
    <w:rsid w:val="00AA130D"/>
    <w:rsid w:val="00AA3D20"/>
    <w:rsid w:val="00AA4F05"/>
    <w:rsid w:val="00AA5F1E"/>
    <w:rsid w:val="00AA5FA4"/>
    <w:rsid w:val="00AA70EF"/>
    <w:rsid w:val="00AB07D3"/>
    <w:rsid w:val="00AB1EC9"/>
    <w:rsid w:val="00AB1EDA"/>
    <w:rsid w:val="00AB223C"/>
    <w:rsid w:val="00AB2828"/>
    <w:rsid w:val="00AB33F4"/>
    <w:rsid w:val="00AB362D"/>
    <w:rsid w:val="00AB3CF6"/>
    <w:rsid w:val="00AB4B1D"/>
    <w:rsid w:val="00AB5F62"/>
    <w:rsid w:val="00AB7D21"/>
    <w:rsid w:val="00AC0C96"/>
    <w:rsid w:val="00AC11C2"/>
    <w:rsid w:val="00AC11C6"/>
    <w:rsid w:val="00AC1650"/>
    <w:rsid w:val="00AC38EB"/>
    <w:rsid w:val="00AC44AC"/>
    <w:rsid w:val="00AC61F8"/>
    <w:rsid w:val="00AC6A07"/>
    <w:rsid w:val="00AC740F"/>
    <w:rsid w:val="00AC74D3"/>
    <w:rsid w:val="00AC7CA4"/>
    <w:rsid w:val="00AD0441"/>
    <w:rsid w:val="00AD11D6"/>
    <w:rsid w:val="00AD17A8"/>
    <w:rsid w:val="00AD4FC0"/>
    <w:rsid w:val="00AD53C7"/>
    <w:rsid w:val="00AD5CA6"/>
    <w:rsid w:val="00AD6454"/>
    <w:rsid w:val="00AD66A4"/>
    <w:rsid w:val="00AD71B4"/>
    <w:rsid w:val="00AD7F5D"/>
    <w:rsid w:val="00AD7F66"/>
    <w:rsid w:val="00AE087D"/>
    <w:rsid w:val="00AE26F1"/>
    <w:rsid w:val="00AE2EA2"/>
    <w:rsid w:val="00AE33A5"/>
    <w:rsid w:val="00AE54A1"/>
    <w:rsid w:val="00AE5822"/>
    <w:rsid w:val="00AE590F"/>
    <w:rsid w:val="00AE7AE4"/>
    <w:rsid w:val="00AF11F8"/>
    <w:rsid w:val="00AF3D86"/>
    <w:rsid w:val="00AF3DF8"/>
    <w:rsid w:val="00AF4A54"/>
    <w:rsid w:val="00AF634C"/>
    <w:rsid w:val="00AF647B"/>
    <w:rsid w:val="00AF6EA1"/>
    <w:rsid w:val="00AF70CE"/>
    <w:rsid w:val="00AF77DD"/>
    <w:rsid w:val="00AF7E21"/>
    <w:rsid w:val="00B00068"/>
    <w:rsid w:val="00B00405"/>
    <w:rsid w:val="00B0065C"/>
    <w:rsid w:val="00B0128F"/>
    <w:rsid w:val="00B01435"/>
    <w:rsid w:val="00B02D12"/>
    <w:rsid w:val="00B02DB2"/>
    <w:rsid w:val="00B04958"/>
    <w:rsid w:val="00B04C25"/>
    <w:rsid w:val="00B068EB"/>
    <w:rsid w:val="00B10CA1"/>
    <w:rsid w:val="00B12513"/>
    <w:rsid w:val="00B14389"/>
    <w:rsid w:val="00B156CB"/>
    <w:rsid w:val="00B15B83"/>
    <w:rsid w:val="00B16D3F"/>
    <w:rsid w:val="00B171E1"/>
    <w:rsid w:val="00B172F1"/>
    <w:rsid w:val="00B235D1"/>
    <w:rsid w:val="00B251D5"/>
    <w:rsid w:val="00B25280"/>
    <w:rsid w:val="00B262E1"/>
    <w:rsid w:val="00B26F23"/>
    <w:rsid w:val="00B275D6"/>
    <w:rsid w:val="00B2765D"/>
    <w:rsid w:val="00B318AB"/>
    <w:rsid w:val="00B33EE5"/>
    <w:rsid w:val="00B35525"/>
    <w:rsid w:val="00B35F45"/>
    <w:rsid w:val="00B363CB"/>
    <w:rsid w:val="00B41339"/>
    <w:rsid w:val="00B41A3A"/>
    <w:rsid w:val="00B4391C"/>
    <w:rsid w:val="00B450CD"/>
    <w:rsid w:val="00B4551B"/>
    <w:rsid w:val="00B45FF3"/>
    <w:rsid w:val="00B46165"/>
    <w:rsid w:val="00B508E4"/>
    <w:rsid w:val="00B50C9F"/>
    <w:rsid w:val="00B51F0A"/>
    <w:rsid w:val="00B52F7E"/>
    <w:rsid w:val="00B5362F"/>
    <w:rsid w:val="00B54D2E"/>
    <w:rsid w:val="00B5545A"/>
    <w:rsid w:val="00B55B61"/>
    <w:rsid w:val="00B61E1F"/>
    <w:rsid w:val="00B61E92"/>
    <w:rsid w:val="00B62C8C"/>
    <w:rsid w:val="00B64025"/>
    <w:rsid w:val="00B6429B"/>
    <w:rsid w:val="00B65539"/>
    <w:rsid w:val="00B67367"/>
    <w:rsid w:val="00B700DC"/>
    <w:rsid w:val="00B70328"/>
    <w:rsid w:val="00B72409"/>
    <w:rsid w:val="00B730B9"/>
    <w:rsid w:val="00B737AB"/>
    <w:rsid w:val="00B73C52"/>
    <w:rsid w:val="00B75612"/>
    <w:rsid w:val="00B76261"/>
    <w:rsid w:val="00B7735F"/>
    <w:rsid w:val="00B77EA5"/>
    <w:rsid w:val="00B82CC5"/>
    <w:rsid w:val="00B833A2"/>
    <w:rsid w:val="00B836B6"/>
    <w:rsid w:val="00B84435"/>
    <w:rsid w:val="00B86487"/>
    <w:rsid w:val="00B866C5"/>
    <w:rsid w:val="00B86A42"/>
    <w:rsid w:val="00B87A4A"/>
    <w:rsid w:val="00B90700"/>
    <w:rsid w:val="00B9314A"/>
    <w:rsid w:val="00B93639"/>
    <w:rsid w:val="00B94513"/>
    <w:rsid w:val="00B95F0C"/>
    <w:rsid w:val="00B966D7"/>
    <w:rsid w:val="00B96C65"/>
    <w:rsid w:val="00B97C68"/>
    <w:rsid w:val="00B97E8B"/>
    <w:rsid w:val="00BA0076"/>
    <w:rsid w:val="00BA0079"/>
    <w:rsid w:val="00BA04AC"/>
    <w:rsid w:val="00BA4D96"/>
    <w:rsid w:val="00BA6DF5"/>
    <w:rsid w:val="00BA736F"/>
    <w:rsid w:val="00BB078B"/>
    <w:rsid w:val="00BB08AD"/>
    <w:rsid w:val="00BB0A88"/>
    <w:rsid w:val="00BB0DD6"/>
    <w:rsid w:val="00BB0F97"/>
    <w:rsid w:val="00BB1249"/>
    <w:rsid w:val="00BB269D"/>
    <w:rsid w:val="00BB3126"/>
    <w:rsid w:val="00BB31E4"/>
    <w:rsid w:val="00BB4B62"/>
    <w:rsid w:val="00BB668E"/>
    <w:rsid w:val="00BB6B53"/>
    <w:rsid w:val="00BB7886"/>
    <w:rsid w:val="00BB79AE"/>
    <w:rsid w:val="00BC02EE"/>
    <w:rsid w:val="00BC1933"/>
    <w:rsid w:val="00BC198B"/>
    <w:rsid w:val="00BC2B58"/>
    <w:rsid w:val="00BC354A"/>
    <w:rsid w:val="00BC40E8"/>
    <w:rsid w:val="00BC410C"/>
    <w:rsid w:val="00BC44E0"/>
    <w:rsid w:val="00BC48AC"/>
    <w:rsid w:val="00BC5FD0"/>
    <w:rsid w:val="00BC60A1"/>
    <w:rsid w:val="00BC68F5"/>
    <w:rsid w:val="00BC6D20"/>
    <w:rsid w:val="00BD03DB"/>
    <w:rsid w:val="00BD0894"/>
    <w:rsid w:val="00BD21A2"/>
    <w:rsid w:val="00BD2EE0"/>
    <w:rsid w:val="00BD35D2"/>
    <w:rsid w:val="00BD3D4E"/>
    <w:rsid w:val="00BD4AAA"/>
    <w:rsid w:val="00BD5EFD"/>
    <w:rsid w:val="00BD67B1"/>
    <w:rsid w:val="00BD702F"/>
    <w:rsid w:val="00BD7BB3"/>
    <w:rsid w:val="00BE0A55"/>
    <w:rsid w:val="00BE381E"/>
    <w:rsid w:val="00BE3BA2"/>
    <w:rsid w:val="00BE79DE"/>
    <w:rsid w:val="00BF1357"/>
    <w:rsid w:val="00BF1F5D"/>
    <w:rsid w:val="00BF2ACB"/>
    <w:rsid w:val="00BF36A6"/>
    <w:rsid w:val="00BF3DD2"/>
    <w:rsid w:val="00BF44C7"/>
    <w:rsid w:val="00BF4B82"/>
    <w:rsid w:val="00BF59C3"/>
    <w:rsid w:val="00BF615E"/>
    <w:rsid w:val="00BF65F9"/>
    <w:rsid w:val="00BF6BE0"/>
    <w:rsid w:val="00BF6E3B"/>
    <w:rsid w:val="00C018AC"/>
    <w:rsid w:val="00C018AF"/>
    <w:rsid w:val="00C01B67"/>
    <w:rsid w:val="00C02383"/>
    <w:rsid w:val="00C0350E"/>
    <w:rsid w:val="00C0404E"/>
    <w:rsid w:val="00C0432E"/>
    <w:rsid w:val="00C046ED"/>
    <w:rsid w:val="00C051D4"/>
    <w:rsid w:val="00C1341B"/>
    <w:rsid w:val="00C157DB"/>
    <w:rsid w:val="00C17469"/>
    <w:rsid w:val="00C1751F"/>
    <w:rsid w:val="00C1783A"/>
    <w:rsid w:val="00C20342"/>
    <w:rsid w:val="00C20B8C"/>
    <w:rsid w:val="00C21972"/>
    <w:rsid w:val="00C24898"/>
    <w:rsid w:val="00C2504B"/>
    <w:rsid w:val="00C25A5A"/>
    <w:rsid w:val="00C25CD8"/>
    <w:rsid w:val="00C26F7E"/>
    <w:rsid w:val="00C27E63"/>
    <w:rsid w:val="00C30705"/>
    <w:rsid w:val="00C31031"/>
    <w:rsid w:val="00C3151A"/>
    <w:rsid w:val="00C335D8"/>
    <w:rsid w:val="00C37075"/>
    <w:rsid w:val="00C40C53"/>
    <w:rsid w:val="00C40F0A"/>
    <w:rsid w:val="00C41629"/>
    <w:rsid w:val="00C41E44"/>
    <w:rsid w:val="00C42F4F"/>
    <w:rsid w:val="00C431EE"/>
    <w:rsid w:val="00C439DA"/>
    <w:rsid w:val="00C43CA0"/>
    <w:rsid w:val="00C44273"/>
    <w:rsid w:val="00C455ED"/>
    <w:rsid w:val="00C45BDF"/>
    <w:rsid w:val="00C45E2F"/>
    <w:rsid w:val="00C4675E"/>
    <w:rsid w:val="00C5019A"/>
    <w:rsid w:val="00C516FD"/>
    <w:rsid w:val="00C52A2E"/>
    <w:rsid w:val="00C54211"/>
    <w:rsid w:val="00C54240"/>
    <w:rsid w:val="00C54550"/>
    <w:rsid w:val="00C546E4"/>
    <w:rsid w:val="00C54A33"/>
    <w:rsid w:val="00C56A07"/>
    <w:rsid w:val="00C57F47"/>
    <w:rsid w:val="00C637B7"/>
    <w:rsid w:val="00C63BB4"/>
    <w:rsid w:val="00C6598D"/>
    <w:rsid w:val="00C669E0"/>
    <w:rsid w:val="00C705D3"/>
    <w:rsid w:val="00C70C4C"/>
    <w:rsid w:val="00C71575"/>
    <w:rsid w:val="00C7499C"/>
    <w:rsid w:val="00C749E4"/>
    <w:rsid w:val="00C7549A"/>
    <w:rsid w:val="00C77043"/>
    <w:rsid w:val="00C77A34"/>
    <w:rsid w:val="00C80169"/>
    <w:rsid w:val="00C809C1"/>
    <w:rsid w:val="00C816A4"/>
    <w:rsid w:val="00C831E4"/>
    <w:rsid w:val="00C836AA"/>
    <w:rsid w:val="00C84C2C"/>
    <w:rsid w:val="00C85A21"/>
    <w:rsid w:val="00C86634"/>
    <w:rsid w:val="00C86677"/>
    <w:rsid w:val="00C874D9"/>
    <w:rsid w:val="00C87516"/>
    <w:rsid w:val="00C87D14"/>
    <w:rsid w:val="00C87E49"/>
    <w:rsid w:val="00C937B5"/>
    <w:rsid w:val="00C93B03"/>
    <w:rsid w:val="00C93D77"/>
    <w:rsid w:val="00C93D97"/>
    <w:rsid w:val="00C95BF9"/>
    <w:rsid w:val="00C961EB"/>
    <w:rsid w:val="00C96760"/>
    <w:rsid w:val="00C9780D"/>
    <w:rsid w:val="00C97C8B"/>
    <w:rsid w:val="00CA11D8"/>
    <w:rsid w:val="00CA199D"/>
    <w:rsid w:val="00CA2711"/>
    <w:rsid w:val="00CA36D4"/>
    <w:rsid w:val="00CA3BBF"/>
    <w:rsid w:val="00CA3EE2"/>
    <w:rsid w:val="00CA41F7"/>
    <w:rsid w:val="00CA5F2B"/>
    <w:rsid w:val="00CB0163"/>
    <w:rsid w:val="00CB093A"/>
    <w:rsid w:val="00CB32A2"/>
    <w:rsid w:val="00CB32BF"/>
    <w:rsid w:val="00CB3478"/>
    <w:rsid w:val="00CB36D5"/>
    <w:rsid w:val="00CB3811"/>
    <w:rsid w:val="00CB682D"/>
    <w:rsid w:val="00CC114D"/>
    <w:rsid w:val="00CC1FBA"/>
    <w:rsid w:val="00CC300F"/>
    <w:rsid w:val="00CC32D2"/>
    <w:rsid w:val="00CC3B4E"/>
    <w:rsid w:val="00CC3C1F"/>
    <w:rsid w:val="00CC4392"/>
    <w:rsid w:val="00CC4CC5"/>
    <w:rsid w:val="00CC4D58"/>
    <w:rsid w:val="00CC53D6"/>
    <w:rsid w:val="00CC590E"/>
    <w:rsid w:val="00CC5D36"/>
    <w:rsid w:val="00CC5ED3"/>
    <w:rsid w:val="00CC6298"/>
    <w:rsid w:val="00CC7A3C"/>
    <w:rsid w:val="00CD0094"/>
    <w:rsid w:val="00CD01F9"/>
    <w:rsid w:val="00CD0EFA"/>
    <w:rsid w:val="00CD0F10"/>
    <w:rsid w:val="00CD173E"/>
    <w:rsid w:val="00CD276C"/>
    <w:rsid w:val="00CD2865"/>
    <w:rsid w:val="00CD2FD0"/>
    <w:rsid w:val="00CD5AE0"/>
    <w:rsid w:val="00CD7409"/>
    <w:rsid w:val="00CD7CCD"/>
    <w:rsid w:val="00CE15AD"/>
    <w:rsid w:val="00CE1B91"/>
    <w:rsid w:val="00CE2BCD"/>
    <w:rsid w:val="00CE461F"/>
    <w:rsid w:val="00CF0257"/>
    <w:rsid w:val="00CF0D3E"/>
    <w:rsid w:val="00CF1574"/>
    <w:rsid w:val="00CF16FB"/>
    <w:rsid w:val="00CF2587"/>
    <w:rsid w:val="00CF3DC0"/>
    <w:rsid w:val="00CF43FC"/>
    <w:rsid w:val="00CF550B"/>
    <w:rsid w:val="00CF6A32"/>
    <w:rsid w:val="00CF6C41"/>
    <w:rsid w:val="00CF73F2"/>
    <w:rsid w:val="00CF7C33"/>
    <w:rsid w:val="00D00ACB"/>
    <w:rsid w:val="00D036C9"/>
    <w:rsid w:val="00D04C3B"/>
    <w:rsid w:val="00D04DD5"/>
    <w:rsid w:val="00D064F8"/>
    <w:rsid w:val="00D06D32"/>
    <w:rsid w:val="00D10BF6"/>
    <w:rsid w:val="00D13F74"/>
    <w:rsid w:val="00D142B7"/>
    <w:rsid w:val="00D15715"/>
    <w:rsid w:val="00D157B8"/>
    <w:rsid w:val="00D163C7"/>
    <w:rsid w:val="00D1738F"/>
    <w:rsid w:val="00D17D24"/>
    <w:rsid w:val="00D20A4F"/>
    <w:rsid w:val="00D20A6A"/>
    <w:rsid w:val="00D214EE"/>
    <w:rsid w:val="00D223EF"/>
    <w:rsid w:val="00D2354A"/>
    <w:rsid w:val="00D240B8"/>
    <w:rsid w:val="00D26885"/>
    <w:rsid w:val="00D26F78"/>
    <w:rsid w:val="00D2756B"/>
    <w:rsid w:val="00D27CA1"/>
    <w:rsid w:val="00D309C9"/>
    <w:rsid w:val="00D31837"/>
    <w:rsid w:val="00D330D5"/>
    <w:rsid w:val="00D331E1"/>
    <w:rsid w:val="00D335C1"/>
    <w:rsid w:val="00D33A97"/>
    <w:rsid w:val="00D3472E"/>
    <w:rsid w:val="00D35EDB"/>
    <w:rsid w:val="00D366B0"/>
    <w:rsid w:val="00D36F8A"/>
    <w:rsid w:val="00D37444"/>
    <w:rsid w:val="00D406B3"/>
    <w:rsid w:val="00D40E41"/>
    <w:rsid w:val="00D40E8C"/>
    <w:rsid w:val="00D40E99"/>
    <w:rsid w:val="00D416B4"/>
    <w:rsid w:val="00D41890"/>
    <w:rsid w:val="00D4296B"/>
    <w:rsid w:val="00D43E93"/>
    <w:rsid w:val="00D44DCD"/>
    <w:rsid w:val="00D4551A"/>
    <w:rsid w:val="00D475E4"/>
    <w:rsid w:val="00D4794F"/>
    <w:rsid w:val="00D501C6"/>
    <w:rsid w:val="00D50380"/>
    <w:rsid w:val="00D505FB"/>
    <w:rsid w:val="00D50864"/>
    <w:rsid w:val="00D50FBF"/>
    <w:rsid w:val="00D515BE"/>
    <w:rsid w:val="00D51B08"/>
    <w:rsid w:val="00D51EE9"/>
    <w:rsid w:val="00D529E0"/>
    <w:rsid w:val="00D531F9"/>
    <w:rsid w:val="00D53A8F"/>
    <w:rsid w:val="00D5419C"/>
    <w:rsid w:val="00D54205"/>
    <w:rsid w:val="00D558DF"/>
    <w:rsid w:val="00D55F7E"/>
    <w:rsid w:val="00D56653"/>
    <w:rsid w:val="00D600AB"/>
    <w:rsid w:val="00D605F4"/>
    <w:rsid w:val="00D616B2"/>
    <w:rsid w:val="00D624F3"/>
    <w:rsid w:val="00D62793"/>
    <w:rsid w:val="00D62983"/>
    <w:rsid w:val="00D62B02"/>
    <w:rsid w:val="00D63230"/>
    <w:rsid w:val="00D63242"/>
    <w:rsid w:val="00D64D83"/>
    <w:rsid w:val="00D64F8A"/>
    <w:rsid w:val="00D65FE3"/>
    <w:rsid w:val="00D66CE4"/>
    <w:rsid w:val="00D66E26"/>
    <w:rsid w:val="00D67E46"/>
    <w:rsid w:val="00D7019D"/>
    <w:rsid w:val="00D70B2A"/>
    <w:rsid w:val="00D714E4"/>
    <w:rsid w:val="00D729A8"/>
    <w:rsid w:val="00D73AE0"/>
    <w:rsid w:val="00D7481B"/>
    <w:rsid w:val="00D7505F"/>
    <w:rsid w:val="00D75789"/>
    <w:rsid w:val="00D76252"/>
    <w:rsid w:val="00D76A63"/>
    <w:rsid w:val="00D76C32"/>
    <w:rsid w:val="00D80189"/>
    <w:rsid w:val="00D806D0"/>
    <w:rsid w:val="00D81790"/>
    <w:rsid w:val="00D8189C"/>
    <w:rsid w:val="00D82E53"/>
    <w:rsid w:val="00D844E3"/>
    <w:rsid w:val="00D8491C"/>
    <w:rsid w:val="00D87C7A"/>
    <w:rsid w:val="00D87EC8"/>
    <w:rsid w:val="00D91683"/>
    <w:rsid w:val="00D9472A"/>
    <w:rsid w:val="00D948A6"/>
    <w:rsid w:val="00D95612"/>
    <w:rsid w:val="00D97279"/>
    <w:rsid w:val="00D972EF"/>
    <w:rsid w:val="00D9777D"/>
    <w:rsid w:val="00D97F2C"/>
    <w:rsid w:val="00DA0621"/>
    <w:rsid w:val="00DA069A"/>
    <w:rsid w:val="00DA0AE4"/>
    <w:rsid w:val="00DA12CC"/>
    <w:rsid w:val="00DA1399"/>
    <w:rsid w:val="00DA14DC"/>
    <w:rsid w:val="00DA1CB2"/>
    <w:rsid w:val="00DA2A4A"/>
    <w:rsid w:val="00DA3194"/>
    <w:rsid w:val="00DA5033"/>
    <w:rsid w:val="00DA5F18"/>
    <w:rsid w:val="00DA7839"/>
    <w:rsid w:val="00DA7EF2"/>
    <w:rsid w:val="00DB1A31"/>
    <w:rsid w:val="00DB1C1B"/>
    <w:rsid w:val="00DB1CE0"/>
    <w:rsid w:val="00DB2506"/>
    <w:rsid w:val="00DB2C4E"/>
    <w:rsid w:val="00DB2E93"/>
    <w:rsid w:val="00DB3770"/>
    <w:rsid w:val="00DB4688"/>
    <w:rsid w:val="00DB51DA"/>
    <w:rsid w:val="00DB56D4"/>
    <w:rsid w:val="00DB74E0"/>
    <w:rsid w:val="00DB7A08"/>
    <w:rsid w:val="00DC0131"/>
    <w:rsid w:val="00DC0290"/>
    <w:rsid w:val="00DC02D0"/>
    <w:rsid w:val="00DC15C0"/>
    <w:rsid w:val="00DC1FE7"/>
    <w:rsid w:val="00DC2B10"/>
    <w:rsid w:val="00DC2EC3"/>
    <w:rsid w:val="00DC32E6"/>
    <w:rsid w:val="00DC493D"/>
    <w:rsid w:val="00DC5A81"/>
    <w:rsid w:val="00DC5F18"/>
    <w:rsid w:val="00DC7090"/>
    <w:rsid w:val="00DC794C"/>
    <w:rsid w:val="00DC7B18"/>
    <w:rsid w:val="00DC7E1D"/>
    <w:rsid w:val="00DD0CE5"/>
    <w:rsid w:val="00DD232E"/>
    <w:rsid w:val="00DD5111"/>
    <w:rsid w:val="00DD61A9"/>
    <w:rsid w:val="00DD65E2"/>
    <w:rsid w:val="00DD76EE"/>
    <w:rsid w:val="00DD7FFB"/>
    <w:rsid w:val="00DE08E6"/>
    <w:rsid w:val="00DE0F85"/>
    <w:rsid w:val="00DE12CD"/>
    <w:rsid w:val="00DE4636"/>
    <w:rsid w:val="00DE571D"/>
    <w:rsid w:val="00DE580F"/>
    <w:rsid w:val="00DE5C5C"/>
    <w:rsid w:val="00DE7123"/>
    <w:rsid w:val="00DE7CB0"/>
    <w:rsid w:val="00DF14DF"/>
    <w:rsid w:val="00DF20A4"/>
    <w:rsid w:val="00DF2115"/>
    <w:rsid w:val="00DF5524"/>
    <w:rsid w:val="00DF557A"/>
    <w:rsid w:val="00DF5918"/>
    <w:rsid w:val="00DF6C91"/>
    <w:rsid w:val="00DF6FA2"/>
    <w:rsid w:val="00DF71CF"/>
    <w:rsid w:val="00DF76B7"/>
    <w:rsid w:val="00DF7AFE"/>
    <w:rsid w:val="00E0070F"/>
    <w:rsid w:val="00E01212"/>
    <w:rsid w:val="00E01574"/>
    <w:rsid w:val="00E01652"/>
    <w:rsid w:val="00E0291D"/>
    <w:rsid w:val="00E03AEC"/>
    <w:rsid w:val="00E03B42"/>
    <w:rsid w:val="00E03DEF"/>
    <w:rsid w:val="00E0455F"/>
    <w:rsid w:val="00E04A71"/>
    <w:rsid w:val="00E04F97"/>
    <w:rsid w:val="00E055B6"/>
    <w:rsid w:val="00E064B2"/>
    <w:rsid w:val="00E06852"/>
    <w:rsid w:val="00E10038"/>
    <w:rsid w:val="00E104BC"/>
    <w:rsid w:val="00E13828"/>
    <w:rsid w:val="00E1568B"/>
    <w:rsid w:val="00E1568F"/>
    <w:rsid w:val="00E17EB5"/>
    <w:rsid w:val="00E17F01"/>
    <w:rsid w:val="00E20FE6"/>
    <w:rsid w:val="00E22010"/>
    <w:rsid w:val="00E2406E"/>
    <w:rsid w:val="00E2456A"/>
    <w:rsid w:val="00E273A0"/>
    <w:rsid w:val="00E300ED"/>
    <w:rsid w:val="00E3070B"/>
    <w:rsid w:val="00E3112A"/>
    <w:rsid w:val="00E319A5"/>
    <w:rsid w:val="00E32A94"/>
    <w:rsid w:val="00E32E4D"/>
    <w:rsid w:val="00E3321E"/>
    <w:rsid w:val="00E3390E"/>
    <w:rsid w:val="00E33F71"/>
    <w:rsid w:val="00E343B1"/>
    <w:rsid w:val="00E34EDD"/>
    <w:rsid w:val="00E35D64"/>
    <w:rsid w:val="00E3705E"/>
    <w:rsid w:val="00E37783"/>
    <w:rsid w:val="00E37829"/>
    <w:rsid w:val="00E37BED"/>
    <w:rsid w:val="00E37E7A"/>
    <w:rsid w:val="00E4328A"/>
    <w:rsid w:val="00E436F1"/>
    <w:rsid w:val="00E442CB"/>
    <w:rsid w:val="00E45235"/>
    <w:rsid w:val="00E45687"/>
    <w:rsid w:val="00E46771"/>
    <w:rsid w:val="00E518A5"/>
    <w:rsid w:val="00E51B2D"/>
    <w:rsid w:val="00E52F93"/>
    <w:rsid w:val="00E541EB"/>
    <w:rsid w:val="00E542B7"/>
    <w:rsid w:val="00E54AB0"/>
    <w:rsid w:val="00E5607E"/>
    <w:rsid w:val="00E560B5"/>
    <w:rsid w:val="00E57BB4"/>
    <w:rsid w:val="00E60F28"/>
    <w:rsid w:val="00E6227C"/>
    <w:rsid w:val="00E62C02"/>
    <w:rsid w:val="00E64789"/>
    <w:rsid w:val="00E6498D"/>
    <w:rsid w:val="00E650E3"/>
    <w:rsid w:val="00E67B42"/>
    <w:rsid w:val="00E7064A"/>
    <w:rsid w:val="00E70863"/>
    <w:rsid w:val="00E73B94"/>
    <w:rsid w:val="00E75382"/>
    <w:rsid w:val="00E75BD8"/>
    <w:rsid w:val="00E76464"/>
    <w:rsid w:val="00E800E8"/>
    <w:rsid w:val="00E80988"/>
    <w:rsid w:val="00E80F84"/>
    <w:rsid w:val="00E8260C"/>
    <w:rsid w:val="00E82C40"/>
    <w:rsid w:val="00E855AB"/>
    <w:rsid w:val="00E87355"/>
    <w:rsid w:val="00E913E4"/>
    <w:rsid w:val="00E91F2D"/>
    <w:rsid w:val="00E92A9D"/>
    <w:rsid w:val="00E932D1"/>
    <w:rsid w:val="00E93575"/>
    <w:rsid w:val="00E93EF7"/>
    <w:rsid w:val="00E94A92"/>
    <w:rsid w:val="00E94D2A"/>
    <w:rsid w:val="00E95C25"/>
    <w:rsid w:val="00E960AE"/>
    <w:rsid w:val="00E9630A"/>
    <w:rsid w:val="00E9646F"/>
    <w:rsid w:val="00E97628"/>
    <w:rsid w:val="00EA17A2"/>
    <w:rsid w:val="00EA188F"/>
    <w:rsid w:val="00EA21CE"/>
    <w:rsid w:val="00EA285A"/>
    <w:rsid w:val="00EA410A"/>
    <w:rsid w:val="00EA43E5"/>
    <w:rsid w:val="00EA4A4E"/>
    <w:rsid w:val="00EA58AF"/>
    <w:rsid w:val="00EA58FA"/>
    <w:rsid w:val="00EA5ED3"/>
    <w:rsid w:val="00EA668C"/>
    <w:rsid w:val="00EA7DFE"/>
    <w:rsid w:val="00EB2E67"/>
    <w:rsid w:val="00EB3CE2"/>
    <w:rsid w:val="00EB3DA6"/>
    <w:rsid w:val="00EB461D"/>
    <w:rsid w:val="00EB46D9"/>
    <w:rsid w:val="00EB476D"/>
    <w:rsid w:val="00EB57EA"/>
    <w:rsid w:val="00EB7ADF"/>
    <w:rsid w:val="00EC0BE7"/>
    <w:rsid w:val="00EC1147"/>
    <w:rsid w:val="00EC1501"/>
    <w:rsid w:val="00EC1A07"/>
    <w:rsid w:val="00EC24B6"/>
    <w:rsid w:val="00EC2E4A"/>
    <w:rsid w:val="00EC3255"/>
    <w:rsid w:val="00EC38ED"/>
    <w:rsid w:val="00EC4073"/>
    <w:rsid w:val="00EC503E"/>
    <w:rsid w:val="00EC5604"/>
    <w:rsid w:val="00EC57FE"/>
    <w:rsid w:val="00EC6634"/>
    <w:rsid w:val="00EC693B"/>
    <w:rsid w:val="00EC7A8E"/>
    <w:rsid w:val="00EC7B09"/>
    <w:rsid w:val="00ED0518"/>
    <w:rsid w:val="00ED062F"/>
    <w:rsid w:val="00ED08A7"/>
    <w:rsid w:val="00ED2018"/>
    <w:rsid w:val="00ED39D0"/>
    <w:rsid w:val="00ED4809"/>
    <w:rsid w:val="00ED4DF6"/>
    <w:rsid w:val="00ED72BB"/>
    <w:rsid w:val="00ED7A86"/>
    <w:rsid w:val="00ED7DC4"/>
    <w:rsid w:val="00EE2091"/>
    <w:rsid w:val="00EE219F"/>
    <w:rsid w:val="00EE40BF"/>
    <w:rsid w:val="00EE51B5"/>
    <w:rsid w:val="00EE62BE"/>
    <w:rsid w:val="00EE63BD"/>
    <w:rsid w:val="00EE7AA7"/>
    <w:rsid w:val="00EF0F48"/>
    <w:rsid w:val="00EF16AD"/>
    <w:rsid w:val="00EF2F0A"/>
    <w:rsid w:val="00EF3512"/>
    <w:rsid w:val="00EF376F"/>
    <w:rsid w:val="00EF5741"/>
    <w:rsid w:val="00F00A4C"/>
    <w:rsid w:val="00F01167"/>
    <w:rsid w:val="00F02D7E"/>
    <w:rsid w:val="00F036B1"/>
    <w:rsid w:val="00F0396F"/>
    <w:rsid w:val="00F0485C"/>
    <w:rsid w:val="00F04A7F"/>
    <w:rsid w:val="00F057F2"/>
    <w:rsid w:val="00F06C12"/>
    <w:rsid w:val="00F0772F"/>
    <w:rsid w:val="00F1022F"/>
    <w:rsid w:val="00F10774"/>
    <w:rsid w:val="00F13BC6"/>
    <w:rsid w:val="00F1441F"/>
    <w:rsid w:val="00F144B5"/>
    <w:rsid w:val="00F154B3"/>
    <w:rsid w:val="00F16566"/>
    <w:rsid w:val="00F16FD3"/>
    <w:rsid w:val="00F21284"/>
    <w:rsid w:val="00F224E5"/>
    <w:rsid w:val="00F225BD"/>
    <w:rsid w:val="00F228D2"/>
    <w:rsid w:val="00F22D18"/>
    <w:rsid w:val="00F23DD7"/>
    <w:rsid w:val="00F24187"/>
    <w:rsid w:val="00F243D3"/>
    <w:rsid w:val="00F24BDD"/>
    <w:rsid w:val="00F2582E"/>
    <w:rsid w:val="00F259FA"/>
    <w:rsid w:val="00F26418"/>
    <w:rsid w:val="00F27B8C"/>
    <w:rsid w:val="00F27BCA"/>
    <w:rsid w:val="00F301DA"/>
    <w:rsid w:val="00F30B4C"/>
    <w:rsid w:val="00F313FD"/>
    <w:rsid w:val="00F3360D"/>
    <w:rsid w:val="00F340F8"/>
    <w:rsid w:val="00F35CDB"/>
    <w:rsid w:val="00F36A6D"/>
    <w:rsid w:val="00F37394"/>
    <w:rsid w:val="00F376D1"/>
    <w:rsid w:val="00F41540"/>
    <w:rsid w:val="00F421D1"/>
    <w:rsid w:val="00F42555"/>
    <w:rsid w:val="00F43478"/>
    <w:rsid w:val="00F43ACC"/>
    <w:rsid w:val="00F45824"/>
    <w:rsid w:val="00F45B4D"/>
    <w:rsid w:val="00F46229"/>
    <w:rsid w:val="00F5118C"/>
    <w:rsid w:val="00F528EC"/>
    <w:rsid w:val="00F53202"/>
    <w:rsid w:val="00F532EA"/>
    <w:rsid w:val="00F53629"/>
    <w:rsid w:val="00F5459F"/>
    <w:rsid w:val="00F55D4D"/>
    <w:rsid w:val="00F569E5"/>
    <w:rsid w:val="00F5707E"/>
    <w:rsid w:val="00F57966"/>
    <w:rsid w:val="00F6020E"/>
    <w:rsid w:val="00F6085F"/>
    <w:rsid w:val="00F61889"/>
    <w:rsid w:val="00F63EBD"/>
    <w:rsid w:val="00F64D1A"/>
    <w:rsid w:val="00F64F9A"/>
    <w:rsid w:val="00F65781"/>
    <w:rsid w:val="00F664E9"/>
    <w:rsid w:val="00F67ABF"/>
    <w:rsid w:val="00F713AF"/>
    <w:rsid w:val="00F720F9"/>
    <w:rsid w:val="00F72AA5"/>
    <w:rsid w:val="00F731D7"/>
    <w:rsid w:val="00F73B6E"/>
    <w:rsid w:val="00F75B3F"/>
    <w:rsid w:val="00F77534"/>
    <w:rsid w:val="00F777B9"/>
    <w:rsid w:val="00F77BC5"/>
    <w:rsid w:val="00F86F95"/>
    <w:rsid w:val="00F90007"/>
    <w:rsid w:val="00F905FF"/>
    <w:rsid w:val="00F91B32"/>
    <w:rsid w:val="00F9278F"/>
    <w:rsid w:val="00F92856"/>
    <w:rsid w:val="00F92E67"/>
    <w:rsid w:val="00F93036"/>
    <w:rsid w:val="00F933FD"/>
    <w:rsid w:val="00F93950"/>
    <w:rsid w:val="00F95BFD"/>
    <w:rsid w:val="00FA0AC0"/>
    <w:rsid w:val="00FA0D85"/>
    <w:rsid w:val="00FA10FC"/>
    <w:rsid w:val="00FA1629"/>
    <w:rsid w:val="00FA1B6B"/>
    <w:rsid w:val="00FA2D41"/>
    <w:rsid w:val="00FA5BD0"/>
    <w:rsid w:val="00FA60E7"/>
    <w:rsid w:val="00FA6C81"/>
    <w:rsid w:val="00FA6D2D"/>
    <w:rsid w:val="00FB111A"/>
    <w:rsid w:val="00FB146A"/>
    <w:rsid w:val="00FB16F9"/>
    <w:rsid w:val="00FB25D6"/>
    <w:rsid w:val="00FB41BE"/>
    <w:rsid w:val="00FB4369"/>
    <w:rsid w:val="00FB541A"/>
    <w:rsid w:val="00FB6A07"/>
    <w:rsid w:val="00FB6ABE"/>
    <w:rsid w:val="00FB79B2"/>
    <w:rsid w:val="00FC016E"/>
    <w:rsid w:val="00FC062D"/>
    <w:rsid w:val="00FC15D2"/>
    <w:rsid w:val="00FC15F9"/>
    <w:rsid w:val="00FC2230"/>
    <w:rsid w:val="00FC3614"/>
    <w:rsid w:val="00FC649A"/>
    <w:rsid w:val="00FC7122"/>
    <w:rsid w:val="00FC7578"/>
    <w:rsid w:val="00FD1C98"/>
    <w:rsid w:val="00FD20B1"/>
    <w:rsid w:val="00FD23AB"/>
    <w:rsid w:val="00FD32A6"/>
    <w:rsid w:val="00FD3474"/>
    <w:rsid w:val="00FD5159"/>
    <w:rsid w:val="00FD51BD"/>
    <w:rsid w:val="00FD642E"/>
    <w:rsid w:val="00FD6C15"/>
    <w:rsid w:val="00FD76DB"/>
    <w:rsid w:val="00FE09DF"/>
    <w:rsid w:val="00FE0CE3"/>
    <w:rsid w:val="00FE1167"/>
    <w:rsid w:val="00FE203F"/>
    <w:rsid w:val="00FE2EAD"/>
    <w:rsid w:val="00FE3AAB"/>
    <w:rsid w:val="00FE3D08"/>
    <w:rsid w:val="00FE446F"/>
    <w:rsid w:val="00FE5739"/>
    <w:rsid w:val="00FE683A"/>
    <w:rsid w:val="00FE6F63"/>
    <w:rsid w:val="00FE7358"/>
    <w:rsid w:val="00FF0BD7"/>
    <w:rsid w:val="00FF0C8F"/>
    <w:rsid w:val="00FF0E57"/>
    <w:rsid w:val="00FF16BD"/>
    <w:rsid w:val="00FF182D"/>
    <w:rsid w:val="00FF190B"/>
    <w:rsid w:val="00FF3FEB"/>
    <w:rsid w:val="00FF4D50"/>
    <w:rsid w:val="00FF55A8"/>
    <w:rsid w:val="00FF5B79"/>
    <w:rsid w:val="00FF5B88"/>
    <w:rsid w:val="00FF6628"/>
    <w:rsid w:val="00FF6E97"/>
    <w:rsid w:val="00FF78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C4372"/>
  <w15:docId w15:val="{6A2F6986-7D96-994D-B0D7-F6466292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6C86"/>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F224E5"/>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F224E5"/>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13277B"/>
    <w:pPr>
      <w:spacing w:line="276" w:lineRule="auto"/>
      <w:ind w:left="709" w:hanging="709"/>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13277B"/>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B82CC5"/>
    <w:pPr>
      <w:ind w:left="720"/>
      <w:contextualSpacing/>
    </w:pPr>
  </w:style>
  <w:style w:type="numbering" w:customStyle="1" w:styleId="Estilo1">
    <w:name w:val="Estilo1"/>
    <w:uiPriority w:val="99"/>
    <w:rsid w:val="00025115"/>
    <w:pPr>
      <w:numPr>
        <w:numId w:val="9"/>
      </w:numPr>
    </w:pPr>
  </w:style>
  <w:style w:type="paragraph" w:styleId="Lista">
    <w:name w:val="List"/>
    <w:basedOn w:val="Normal"/>
    <w:uiPriority w:val="99"/>
    <w:unhideWhenUsed/>
    <w:rsid w:val="005F1494"/>
    <w:pPr>
      <w:ind w:left="283" w:hanging="283"/>
      <w:contextualSpacing/>
    </w:pPr>
  </w:style>
  <w:style w:type="paragraph" w:styleId="Continuarlista">
    <w:name w:val="List Continue"/>
    <w:basedOn w:val="Normal"/>
    <w:uiPriority w:val="99"/>
    <w:unhideWhenUsed/>
    <w:rsid w:val="005F1494"/>
    <w:pPr>
      <w:spacing w:after="120"/>
      <w:ind w:left="283"/>
      <w:contextualSpacing/>
    </w:pPr>
  </w:style>
  <w:style w:type="paragraph" w:styleId="Continuarlista2">
    <w:name w:val="List Continue 2"/>
    <w:basedOn w:val="Normal"/>
    <w:uiPriority w:val="99"/>
    <w:unhideWhenUsed/>
    <w:rsid w:val="005F1494"/>
    <w:pPr>
      <w:spacing w:after="120"/>
      <w:ind w:left="566"/>
      <w:contextualSpacing/>
    </w:pPr>
  </w:style>
  <w:style w:type="paragraph" w:styleId="Textoindependiente">
    <w:name w:val="Body Text"/>
    <w:basedOn w:val="Normal"/>
    <w:link w:val="TextoindependienteCar"/>
    <w:uiPriority w:val="99"/>
    <w:unhideWhenUsed/>
    <w:rsid w:val="005F1494"/>
    <w:pPr>
      <w:spacing w:after="120"/>
    </w:pPr>
  </w:style>
  <w:style w:type="character" w:customStyle="1" w:styleId="TextoindependienteCar">
    <w:name w:val="Texto independiente Car"/>
    <w:basedOn w:val="Fuentedeprrafopredeter"/>
    <w:link w:val="Textoindependiente"/>
    <w:uiPriority w:val="99"/>
    <w:rsid w:val="005F1494"/>
    <w:rPr>
      <w:sz w:val="16"/>
      <w:szCs w:val="16"/>
      <w:lang w:eastAsia="es-ES_tradnl"/>
    </w:rPr>
  </w:style>
  <w:style w:type="table" w:styleId="Tablaconcuadrcula">
    <w:name w:val="Table Grid"/>
    <w:basedOn w:val="Tablanormal"/>
    <w:uiPriority w:val="39"/>
    <w:rsid w:val="007314C6"/>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uentedeprrafopredeter"/>
    <w:uiPriority w:val="99"/>
    <w:semiHidden/>
    <w:unhideWhenUsed/>
    <w:rsid w:val="002C73F8"/>
    <w:rPr>
      <w:color w:val="605E5C"/>
      <w:shd w:val="clear" w:color="auto" w:fill="E1DFDD"/>
    </w:rPr>
  </w:style>
  <w:style w:type="character" w:customStyle="1" w:styleId="Mencinsinresolver1">
    <w:name w:val="Mención sin resolver1"/>
    <w:basedOn w:val="Fuentedeprrafopredeter"/>
    <w:uiPriority w:val="99"/>
    <w:semiHidden/>
    <w:unhideWhenUsed/>
    <w:rsid w:val="00EC5604"/>
    <w:rPr>
      <w:color w:val="605E5C"/>
      <w:shd w:val="clear" w:color="auto" w:fill="E1DFDD"/>
    </w:rPr>
  </w:style>
  <w:style w:type="paragraph" w:styleId="Revisin">
    <w:name w:val="Revision"/>
    <w:hidden/>
    <w:uiPriority w:val="99"/>
    <w:semiHidden/>
    <w:rsid w:val="00EC5604"/>
    <w:rPr>
      <w:sz w:val="16"/>
      <w:szCs w:val="16"/>
      <w:lang w:eastAsia="es-ES_tradnl"/>
    </w:rPr>
  </w:style>
  <w:style w:type="character" w:customStyle="1" w:styleId="apple-converted-space">
    <w:name w:val="apple-converted-space"/>
    <w:rsid w:val="006A6A96"/>
  </w:style>
  <w:style w:type="paragraph" w:styleId="Bibliografa">
    <w:name w:val="Bibliography"/>
    <w:basedOn w:val="Normal"/>
    <w:next w:val="Normal"/>
    <w:uiPriority w:val="37"/>
    <w:unhideWhenUsed/>
    <w:rsid w:val="00990B08"/>
  </w:style>
  <w:style w:type="paragraph" w:styleId="Asuntodelcomentario">
    <w:name w:val="annotation subject"/>
    <w:basedOn w:val="Textocomentario"/>
    <w:next w:val="Textocomentario"/>
    <w:link w:val="AsuntodelcomentarioCar"/>
    <w:uiPriority w:val="99"/>
    <w:semiHidden/>
    <w:unhideWhenUsed/>
    <w:rsid w:val="0019417E"/>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19417E"/>
    <w:rPr>
      <w:rFonts w:ascii="Calibri" w:hAnsi="Calibri" w:cs="Times New Roman"/>
      <w:b/>
      <w:bCs/>
      <w:lang w:val="es-ES" w:eastAsia="es-ES_tradnl"/>
    </w:rPr>
  </w:style>
  <w:style w:type="character" w:customStyle="1" w:styleId="PrrafodelistaCar">
    <w:name w:val="Párrafo de lista Car"/>
    <w:link w:val="Prrafodelista"/>
    <w:uiPriority w:val="34"/>
    <w:qFormat/>
    <w:locked/>
    <w:rsid w:val="007376EB"/>
    <w:rPr>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353">
      <w:bodyDiv w:val="1"/>
      <w:marLeft w:val="0"/>
      <w:marRight w:val="0"/>
      <w:marTop w:val="0"/>
      <w:marBottom w:val="0"/>
      <w:divBdr>
        <w:top w:val="none" w:sz="0" w:space="0" w:color="auto"/>
        <w:left w:val="none" w:sz="0" w:space="0" w:color="auto"/>
        <w:bottom w:val="none" w:sz="0" w:space="0" w:color="auto"/>
        <w:right w:val="none" w:sz="0" w:space="0" w:color="auto"/>
      </w:divBdr>
    </w:div>
    <w:div w:id="155150058">
      <w:bodyDiv w:val="1"/>
      <w:marLeft w:val="0"/>
      <w:marRight w:val="0"/>
      <w:marTop w:val="0"/>
      <w:marBottom w:val="0"/>
      <w:divBdr>
        <w:top w:val="none" w:sz="0" w:space="0" w:color="auto"/>
        <w:left w:val="none" w:sz="0" w:space="0" w:color="auto"/>
        <w:bottom w:val="none" w:sz="0" w:space="0" w:color="auto"/>
        <w:right w:val="none" w:sz="0" w:space="0" w:color="auto"/>
      </w:divBdr>
    </w:div>
    <w:div w:id="215749427">
      <w:bodyDiv w:val="1"/>
      <w:marLeft w:val="0"/>
      <w:marRight w:val="0"/>
      <w:marTop w:val="0"/>
      <w:marBottom w:val="0"/>
      <w:divBdr>
        <w:top w:val="none" w:sz="0" w:space="0" w:color="auto"/>
        <w:left w:val="none" w:sz="0" w:space="0" w:color="auto"/>
        <w:bottom w:val="none" w:sz="0" w:space="0" w:color="auto"/>
        <w:right w:val="none" w:sz="0" w:space="0" w:color="auto"/>
      </w:divBdr>
    </w:div>
    <w:div w:id="738938836">
      <w:bodyDiv w:val="1"/>
      <w:marLeft w:val="0"/>
      <w:marRight w:val="0"/>
      <w:marTop w:val="0"/>
      <w:marBottom w:val="0"/>
      <w:divBdr>
        <w:top w:val="none" w:sz="0" w:space="0" w:color="auto"/>
        <w:left w:val="none" w:sz="0" w:space="0" w:color="auto"/>
        <w:bottom w:val="none" w:sz="0" w:space="0" w:color="auto"/>
        <w:right w:val="none" w:sz="0" w:space="0" w:color="auto"/>
      </w:divBdr>
    </w:div>
    <w:div w:id="815730208">
      <w:bodyDiv w:val="1"/>
      <w:marLeft w:val="0"/>
      <w:marRight w:val="0"/>
      <w:marTop w:val="0"/>
      <w:marBottom w:val="0"/>
      <w:divBdr>
        <w:top w:val="none" w:sz="0" w:space="0" w:color="auto"/>
        <w:left w:val="none" w:sz="0" w:space="0" w:color="auto"/>
        <w:bottom w:val="none" w:sz="0" w:space="0" w:color="auto"/>
        <w:right w:val="none" w:sz="0" w:space="0" w:color="auto"/>
      </w:divBdr>
    </w:div>
    <w:div w:id="1281762917">
      <w:bodyDiv w:val="1"/>
      <w:marLeft w:val="0"/>
      <w:marRight w:val="0"/>
      <w:marTop w:val="0"/>
      <w:marBottom w:val="0"/>
      <w:divBdr>
        <w:top w:val="none" w:sz="0" w:space="0" w:color="auto"/>
        <w:left w:val="none" w:sz="0" w:space="0" w:color="auto"/>
        <w:bottom w:val="none" w:sz="0" w:space="0" w:color="auto"/>
        <w:right w:val="none" w:sz="0" w:space="0" w:color="auto"/>
      </w:divBdr>
    </w:div>
    <w:div w:id="1451433561">
      <w:bodyDiv w:val="1"/>
      <w:marLeft w:val="0"/>
      <w:marRight w:val="0"/>
      <w:marTop w:val="0"/>
      <w:marBottom w:val="0"/>
      <w:divBdr>
        <w:top w:val="none" w:sz="0" w:space="0" w:color="auto"/>
        <w:left w:val="none" w:sz="0" w:space="0" w:color="auto"/>
        <w:bottom w:val="none" w:sz="0" w:space="0" w:color="auto"/>
        <w:right w:val="none" w:sz="0" w:space="0" w:color="auto"/>
      </w:divBdr>
    </w:div>
    <w:div w:id="1524200981">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23351386">
      <w:bodyDiv w:val="1"/>
      <w:marLeft w:val="0"/>
      <w:marRight w:val="0"/>
      <w:marTop w:val="0"/>
      <w:marBottom w:val="0"/>
      <w:divBdr>
        <w:top w:val="none" w:sz="0" w:space="0" w:color="auto"/>
        <w:left w:val="none" w:sz="0" w:space="0" w:color="auto"/>
        <w:bottom w:val="none" w:sz="0" w:space="0" w:color="auto"/>
        <w:right w:val="none" w:sz="0" w:space="0" w:color="auto"/>
      </w:divBdr>
    </w:div>
    <w:div w:id="213000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Cop02</b:Tag>
    <b:SourceType>Book</b:SourceType>
    <b:Guid>{3A655269-3C6F-4714-9694-5D90FDA49406}</b:Guid>
    <b:Title>Introducción a la Lógica</b:Title>
    <b:Year>2002</b:Year>
    <b:City>México D.F.</b:City>
    <b:Publisher>Editorial Limusa</b:Publisher>
    <b:Author>
      <b:Author>
        <b:NameList>
          <b:Person>
            <b:Last>Copi</b:Last>
            <b:Middle>M.</b:Middle>
            <b:First>Irving</b:First>
          </b:Person>
          <b:Person>
            <b:Last>Cohen</b:Last>
            <b:First>Carl</b:First>
          </b:Person>
        </b:NameList>
      </b:Author>
      <b:Translator>
        <b:NameList>
          <b:Person>
            <b:Last>González Ruiz</b:Last>
            <b:Middle>Antonio</b:Middle>
            <b:First>Edgar</b:First>
          </b:Person>
        </b:NameList>
      </b:Translator>
    </b:Autho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CB6BBBBA-5457-B449-9117-AD50E1A6DC69}">
  <ds:schemaRefs>
    <ds:schemaRef ds:uri="http://schemas.openxmlformats.org/officeDocument/2006/bibliography"/>
  </ds:schemaRefs>
</ds:datastoreItem>
</file>

<file path=customXml/itemProps3.xml><?xml version="1.0" encoding="utf-8"?>
<ds:datastoreItem xmlns:ds="http://schemas.openxmlformats.org/officeDocument/2006/customXml" ds:itemID="{0EA701F8-230E-4F4A-B900-C2B394D0F5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5F8E69-E8CA-4417-84EF-BFFE8985B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3775</Words>
  <Characters>20767</Characters>
  <Application>Microsoft Office Word</Application>
  <DocSecurity>0</DocSecurity>
  <Lines>173</Lines>
  <Paragraphs>48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Sonia Jaimes Valencia</cp:lastModifiedBy>
  <cp:revision>2</cp:revision>
  <cp:lastPrinted>2020-03-11T14:38:00Z</cp:lastPrinted>
  <dcterms:created xsi:type="dcterms:W3CDTF">2021-05-31T14:39:00Z</dcterms:created>
  <dcterms:modified xsi:type="dcterms:W3CDTF">2021-05-31T14:39:00Z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