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080F" w:rsidRPr="004D080F" w:rsidRDefault="004D080F" w:rsidP="004D080F">
      <w:pPr>
        <w:tabs>
          <w:tab w:val="left" w:pos="4111"/>
        </w:tabs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4D080F">
        <w:rPr>
          <w:rFonts w:cs="Arial"/>
          <w:b/>
          <w:sz w:val="24"/>
          <w:szCs w:val="24"/>
        </w:rPr>
        <w:t>Consejero Ponente: NICOLÁS YEPES CORRALES</w:t>
      </w:r>
    </w:p>
    <w:p w:rsidR="004D080F" w:rsidRPr="004D080F" w:rsidRDefault="004D080F" w:rsidP="004D080F">
      <w:pPr>
        <w:spacing w:after="0" w:line="360" w:lineRule="auto"/>
        <w:rPr>
          <w:sz w:val="24"/>
          <w:szCs w:val="24"/>
        </w:rPr>
      </w:pPr>
    </w:p>
    <w:p w:rsidR="001A40E4" w:rsidRPr="004D080F" w:rsidRDefault="004D080F" w:rsidP="004D080F">
      <w:pPr>
        <w:spacing w:after="0" w:line="360" w:lineRule="auto"/>
        <w:rPr>
          <w:sz w:val="24"/>
          <w:szCs w:val="24"/>
        </w:rPr>
      </w:pPr>
      <w:r w:rsidRPr="004D080F">
        <w:rPr>
          <w:sz w:val="24"/>
          <w:szCs w:val="24"/>
        </w:rPr>
        <w:t>Bogotá D.C., tres (3) de noviembre de dos mil veinte (2020)</w:t>
      </w:r>
    </w:p>
    <w:p w:rsidR="004D080F" w:rsidRPr="004D080F" w:rsidRDefault="004D080F" w:rsidP="004D080F">
      <w:pPr>
        <w:spacing w:after="0" w:line="360" w:lineRule="auto"/>
        <w:rPr>
          <w:sz w:val="24"/>
          <w:szCs w:val="24"/>
        </w:rPr>
      </w:pPr>
    </w:p>
    <w:p w:rsidR="004D080F" w:rsidRPr="004D080F" w:rsidRDefault="004D080F" w:rsidP="004D080F">
      <w:pPr>
        <w:spacing w:after="0" w:line="276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4D080F">
        <w:rPr>
          <w:rFonts w:cs="Arial"/>
          <w:b/>
          <w:sz w:val="24"/>
          <w:szCs w:val="24"/>
        </w:rPr>
        <w:t xml:space="preserve">Radicación: </w:t>
      </w:r>
      <w:r w:rsidRPr="004D080F">
        <w:rPr>
          <w:rFonts w:cs="Arial"/>
          <w:color w:val="000000"/>
          <w:sz w:val="24"/>
          <w:szCs w:val="24"/>
          <w:shd w:val="clear" w:color="auto" w:fill="FFFFFF"/>
        </w:rPr>
        <w:t>11001-03-15-000-2020-03681-00</w:t>
      </w:r>
    </w:p>
    <w:p w:rsidR="004D080F" w:rsidRPr="004D080F" w:rsidRDefault="004D080F" w:rsidP="004D080F">
      <w:pPr>
        <w:spacing w:after="0" w:line="276" w:lineRule="auto"/>
        <w:jc w:val="both"/>
        <w:rPr>
          <w:rFonts w:cs="Arial"/>
          <w:sz w:val="24"/>
          <w:szCs w:val="24"/>
        </w:rPr>
      </w:pPr>
      <w:r w:rsidRPr="004D080F">
        <w:rPr>
          <w:rFonts w:cs="Arial"/>
          <w:b/>
          <w:sz w:val="24"/>
          <w:szCs w:val="24"/>
        </w:rPr>
        <w:t xml:space="preserve">Accionante: </w:t>
      </w:r>
      <w:r>
        <w:rPr>
          <w:rFonts w:cs="Arial"/>
          <w:sz w:val="24"/>
          <w:szCs w:val="24"/>
        </w:rPr>
        <w:t>Martí</w:t>
      </w:r>
      <w:r w:rsidRPr="004D080F">
        <w:rPr>
          <w:rFonts w:cs="Arial"/>
          <w:sz w:val="24"/>
          <w:szCs w:val="24"/>
        </w:rPr>
        <w:t>n Daniel Pinto López</w:t>
      </w:r>
    </w:p>
    <w:p w:rsidR="004D080F" w:rsidRPr="004D080F" w:rsidRDefault="004D080F" w:rsidP="004D080F">
      <w:pPr>
        <w:spacing w:after="0" w:line="276" w:lineRule="auto"/>
        <w:jc w:val="both"/>
        <w:rPr>
          <w:rFonts w:cs="Arial"/>
          <w:sz w:val="24"/>
          <w:szCs w:val="24"/>
        </w:rPr>
      </w:pPr>
      <w:r w:rsidRPr="004D080F">
        <w:rPr>
          <w:rFonts w:cs="Arial"/>
          <w:b/>
          <w:sz w:val="24"/>
          <w:szCs w:val="24"/>
        </w:rPr>
        <w:t xml:space="preserve">Accionados: </w:t>
      </w:r>
      <w:r w:rsidRPr="004D080F">
        <w:rPr>
          <w:rFonts w:cs="Arial"/>
          <w:sz w:val="24"/>
          <w:szCs w:val="24"/>
        </w:rPr>
        <w:t xml:space="preserve">Juzgado 65 Administrativo de Bogotá y Subsección A de la Sección Tercera del Tribunal Administrativo de Cundinamarca </w:t>
      </w:r>
    </w:p>
    <w:p w:rsidR="004D080F" w:rsidRDefault="004D080F" w:rsidP="004D080F">
      <w:pPr>
        <w:spacing w:after="0" w:line="276" w:lineRule="auto"/>
        <w:rPr>
          <w:rFonts w:cs="Arial"/>
          <w:sz w:val="24"/>
          <w:szCs w:val="24"/>
        </w:rPr>
      </w:pPr>
      <w:r w:rsidRPr="004D080F">
        <w:rPr>
          <w:rFonts w:cs="Arial"/>
          <w:b/>
          <w:sz w:val="24"/>
          <w:szCs w:val="24"/>
        </w:rPr>
        <w:t xml:space="preserve">Asunto: </w:t>
      </w:r>
      <w:r w:rsidRPr="004D080F">
        <w:rPr>
          <w:rFonts w:cs="Arial"/>
          <w:sz w:val="24"/>
          <w:szCs w:val="24"/>
        </w:rPr>
        <w:t>Acción de tutela – Concede impugnación</w:t>
      </w:r>
    </w:p>
    <w:p w:rsidR="004D080F" w:rsidRDefault="004D080F" w:rsidP="00227F12">
      <w:pPr>
        <w:spacing w:after="0" w:line="360" w:lineRule="auto"/>
        <w:rPr>
          <w:rFonts w:cs="Arial"/>
          <w:sz w:val="24"/>
          <w:szCs w:val="24"/>
        </w:rPr>
      </w:pPr>
    </w:p>
    <w:p w:rsidR="004D080F" w:rsidRDefault="004D080F" w:rsidP="00227F12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accionante presentó escrito de impugnación</w:t>
      </w:r>
      <w:r>
        <w:rPr>
          <w:rStyle w:val="Refdenotaalpie"/>
          <w:rFonts w:cs="Arial"/>
          <w:sz w:val="24"/>
          <w:szCs w:val="24"/>
        </w:rPr>
        <w:footnoteReference w:id="1"/>
      </w:r>
      <w:r>
        <w:rPr>
          <w:rFonts w:cs="Arial"/>
          <w:sz w:val="24"/>
          <w:szCs w:val="24"/>
        </w:rPr>
        <w:t xml:space="preserve"> en contra de la sentencia dictada el 21 de septiembre de 2020.</w:t>
      </w:r>
    </w:p>
    <w:p w:rsidR="004D080F" w:rsidRDefault="004D080F" w:rsidP="00227F12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4D080F" w:rsidRDefault="004D080F" w:rsidP="00227F12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Por lo anterior, el Despacho, </w:t>
      </w:r>
    </w:p>
    <w:p w:rsidR="004D080F" w:rsidRDefault="004D080F" w:rsidP="00227F12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4D080F" w:rsidRDefault="004D080F" w:rsidP="00227F12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RESUELVE</w:t>
      </w:r>
    </w:p>
    <w:p w:rsidR="004D080F" w:rsidRDefault="004D080F" w:rsidP="00227F12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:rsidR="004D080F" w:rsidRDefault="004D080F" w:rsidP="00227F12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PRIMERO: </w:t>
      </w:r>
      <w:r>
        <w:rPr>
          <w:rFonts w:cs="Arial"/>
          <w:sz w:val="24"/>
          <w:szCs w:val="24"/>
        </w:rPr>
        <w:t xml:space="preserve">Conceder la impugnación interpuesta por Martín Daniel Pinto López en contra de la sentencia de tutela de primera instancia emitida el 21 de septiembre de 2020. </w:t>
      </w:r>
    </w:p>
    <w:p w:rsidR="00227F12" w:rsidRDefault="00227F12" w:rsidP="00227F12">
      <w:pPr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227F12" w:rsidRDefault="00227F12" w:rsidP="00227F12">
      <w:pPr>
        <w:spacing w:after="0" w:line="360" w:lineRule="auto"/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</w:rPr>
        <w:t xml:space="preserve">SEGUNDO: </w:t>
      </w:r>
      <w:r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:rsidR="00227F12" w:rsidRDefault="00227F12" w:rsidP="00227F12">
      <w:pPr>
        <w:spacing w:after="0" w:line="360" w:lineRule="auto"/>
        <w:jc w:val="both"/>
        <w:rPr>
          <w:rFonts w:cs="Arial"/>
          <w:sz w:val="24"/>
          <w:szCs w:val="24"/>
          <w:lang w:val="es-ES_tradnl"/>
        </w:rPr>
      </w:pPr>
    </w:p>
    <w:p w:rsidR="00227F12" w:rsidRDefault="00227F12" w:rsidP="00227F12">
      <w:pPr>
        <w:tabs>
          <w:tab w:val="left" w:pos="5565"/>
        </w:tabs>
        <w:spacing w:after="0"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TERCERO: PUBLICAR </w:t>
      </w:r>
      <w:r>
        <w:rPr>
          <w:rFonts w:cs="Arial"/>
          <w:sz w:val="24"/>
          <w:szCs w:val="24"/>
        </w:rPr>
        <w:t>la presente providencia en la página web de esta Corporación y en las de la Rama Judicial, del ente accionado y de los vinculados.</w:t>
      </w:r>
    </w:p>
    <w:p w:rsidR="0047164D" w:rsidRDefault="0047164D" w:rsidP="00227F12">
      <w:pPr>
        <w:tabs>
          <w:tab w:val="left" w:pos="556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:rsidR="00227F12" w:rsidRDefault="00227F12" w:rsidP="00227F12">
      <w:pPr>
        <w:tabs>
          <w:tab w:val="left" w:pos="5565"/>
        </w:tabs>
        <w:spacing w:after="0"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NOTIFÍQUESE Y CÚMPLASE </w:t>
      </w:r>
    </w:p>
    <w:p w:rsidR="00227F12" w:rsidRDefault="00227F12" w:rsidP="00227F12">
      <w:pPr>
        <w:tabs>
          <w:tab w:val="left" w:pos="5565"/>
        </w:tabs>
        <w:spacing w:after="0" w:line="276" w:lineRule="auto"/>
        <w:jc w:val="center"/>
        <w:rPr>
          <w:rFonts w:cs="Arial"/>
          <w:b/>
          <w:sz w:val="24"/>
          <w:szCs w:val="24"/>
        </w:rPr>
      </w:pPr>
    </w:p>
    <w:p w:rsidR="00227F12" w:rsidRDefault="00894BBA" w:rsidP="00227F12">
      <w:pPr>
        <w:tabs>
          <w:tab w:val="left" w:pos="5565"/>
        </w:tabs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894BBA">
        <w:rPr>
          <w:rFonts w:cs="Arial"/>
          <w:b/>
          <w:noProof/>
          <w:sz w:val="24"/>
          <w:szCs w:val="24"/>
        </w:rPr>
        <w:drawing>
          <wp:inline distT="0" distB="0" distL="0" distR="0" wp14:anchorId="17D3FF97" wp14:editId="30C99648">
            <wp:extent cx="1269657" cy="618416"/>
            <wp:effectExtent l="0" t="0" r="63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0071" cy="62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F12" w:rsidRDefault="00227F12" w:rsidP="00227F12">
      <w:pPr>
        <w:tabs>
          <w:tab w:val="left" w:pos="5565"/>
        </w:tabs>
        <w:spacing w:after="0" w:line="276" w:lineRule="auto"/>
        <w:jc w:val="center"/>
        <w:rPr>
          <w:rFonts w:cs="Arial"/>
          <w:b/>
          <w:sz w:val="24"/>
          <w:szCs w:val="24"/>
        </w:rPr>
      </w:pPr>
    </w:p>
    <w:p w:rsidR="00227F12" w:rsidRDefault="00227F12" w:rsidP="00227F12">
      <w:pPr>
        <w:tabs>
          <w:tab w:val="left" w:pos="5565"/>
        </w:tabs>
        <w:spacing w:after="0"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NICOLÁS YEPES CORRALES</w:t>
      </w:r>
    </w:p>
    <w:p w:rsidR="00227F12" w:rsidRPr="0047164D" w:rsidRDefault="00227F12" w:rsidP="0047164D">
      <w:pPr>
        <w:tabs>
          <w:tab w:val="left" w:pos="5565"/>
        </w:tabs>
        <w:spacing w:after="0"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Consejero Ponente</w:t>
      </w:r>
    </w:p>
    <w:sectPr w:rsidR="00227F12" w:rsidRPr="0047164D" w:rsidSect="00810B28">
      <w:headerReference w:type="first" r:id="rId8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1406" w:rsidRDefault="00CE1406" w:rsidP="004D080F">
      <w:pPr>
        <w:spacing w:after="0" w:line="240" w:lineRule="auto"/>
      </w:pPr>
      <w:r>
        <w:separator/>
      </w:r>
    </w:p>
  </w:endnote>
  <w:endnote w:type="continuationSeparator" w:id="0">
    <w:p w:rsidR="00CE1406" w:rsidRDefault="00CE1406" w:rsidP="004D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1406" w:rsidRDefault="00CE1406" w:rsidP="004D080F">
      <w:pPr>
        <w:spacing w:after="0" w:line="240" w:lineRule="auto"/>
      </w:pPr>
      <w:r>
        <w:separator/>
      </w:r>
    </w:p>
  </w:footnote>
  <w:footnote w:type="continuationSeparator" w:id="0">
    <w:p w:rsidR="00CE1406" w:rsidRDefault="00CE1406" w:rsidP="004D080F">
      <w:pPr>
        <w:spacing w:after="0" w:line="240" w:lineRule="auto"/>
      </w:pPr>
      <w:r>
        <w:continuationSeparator/>
      </w:r>
    </w:p>
  </w:footnote>
  <w:footnote w:id="1">
    <w:p w:rsidR="004D080F" w:rsidRDefault="004D080F" w:rsidP="004D080F">
      <w:pPr>
        <w:pStyle w:val="Textonotapie"/>
        <w:jc w:val="both"/>
      </w:pPr>
      <w:r>
        <w:rPr>
          <w:rStyle w:val="Refdenotaalpie"/>
        </w:rPr>
        <w:footnoteRef/>
      </w:r>
      <w:r>
        <w:t xml:space="preserve"> El escrito de impugnación obra en el documento de certificado </w:t>
      </w:r>
      <w:r w:rsidRPr="004D080F">
        <w:t>93763115D3F4AC00 A2258F7D45452337 D2956BA1C0134885 8C4DB13D9FD5E8D4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080F" w:rsidRDefault="004D080F" w:rsidP="004D080F">
    <w:pPr>
      <w:pStyle w:val="Sinespaciado"/>
      <w:spacing w:line="276" w:lineRule="auto"/>
      <w:jc w:val="center"/>
      <w:rPr>
        <w:rFonts w:ascii="Arial" w:eastAsia="BatangChe" w:hAnsi="Arial" w:cs="Arial"/>
        <w:b/>
        <w:sz w:val="24"/>
        <w:szCs w:val="24"/>
        <w:lang w:eastAsia="es-ES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0" wp14:anchorId="187DC8C2" wp14:editId="2C8B77C5">
          <wp:simplePos x="0" y="0"/>
          <wp:positionH relativeFrom="column">
            <wp:posOffset>-286385</wp:posOffset>
          </wp:positionH>
          <wp:positionV relativeFrom="paragraph">
            <wp:posOffset>-34290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080F" w:rsidRDefault="004D080F" w:rsidP="004D080F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>
      <w:rPr>
        <w:rFonts w:ascii="Arial" w:eastAsia="BatangChe" w:hAnsi="Arial" w:cs="Arial"/>
        <w:b/>
        <w:sz w:val="24"/>
        <w:szCs w:val="24"/>
        <w:lang w:eastAsia="es-ES"/>
      </w:rPr>
      <w:t>C</w:t>
    </w:r>
    <w:r>
      <w:rPr>
        <w:rFonts w:ascii="Arial" w:hAnsi="Arial" w:cs="Arial"/>
        <w:b/>
        <w:sz w:val="24"/>
        <w:szCs w:val="24"/>
        <w:lang w:eastAsia="es-ES"/>
      </w:rPr>
      <w:t>ONSEJO DE ESTADO</w:t>
    </w:r>
  </w:p>
  <w:p w:rsidR="004D080F" w:rsidRDefault="004D080F" w:rsidP="004D080F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:rsidR="004D080F" w:rsidRDefault="004D080F" w:rsidP="004D080F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:rsidR="004D080F" w:rsidRDefault="004D080F" w:rsidP="004D080F">
    <w:pPr>
      <w:pStyle w:val="Sinespaciado"/>
      <w:spacing w:line="276" w:lineRule="auto"/>
      <w:jc w:val="center"/>
      <w:rPr>
        <w:rFonts w:ascii="Arial" w:hAnsi="Arial" w:cs="Arial"/>
        <w:b/>
        <w:color w:val="000000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:rsidR="004D080F" w:rsidRPr="004D080F" w:rsidRDefault="004D080F" w:rsidP="004D08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0F"/>
    <w:rsid w:val="001A40E4"/>
    <w:rsid w:val="00227F12"/>
    <w:rsid w:val="0047164D"/>
    <w:rsid w:val="00471C92"/>
    <w:rsid w:val="004D080F"/>
    <w:rsid w:val="00564CF2"/>
    <w:rsid w:val="005E072E"/>
    <w:rsid w:val="00810B28"/>
    <w:rsid w:val="00894BBA"/>
    <w:rsid w:val="00BF51B5"/>
    <w:rsid w:val="00CE1406"/>
    <w:rsid w:val="00E7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6DA01-4390-40DD-AEF0-42248B5C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80F"/>
    <w:pPr>
      <w:spacing w:after="160" w:line="25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080F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4D080F"/>
  </w:style>
  <w:style w:type="paragraph" w:styleId="Piedepgina">
    <w:name w:val="footer"/>
    <w:basedOn w:val="Normal"/>
    <w:link w:val="PiedepginaCar"/>
    <w:uiPriority w:val="99"/>
    <w:unhideWhenUsed/>
    <w:rsid w:val="004D080F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80F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4D080F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4D080F"/>
    <w:pPr>
      <w:jc w:val="left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D080F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080F"/>
  </w:style>
  <w:style w:type="character" w:styleId="Refdenotaalpie">
    <w:name w:val="footnote reference"/>
    <w:basedOn w:val="Fuentedeprrafopredeter"/>
    <w:uiPriority w:val="99"/>
    <w:semiHidden/>
    <w:unhideWhenUsed/>
    <w:rsid w:val="004D080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1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1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3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A455-DF87-42CD-88A7-CF0A40C6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2</cp:revision>
  <cp:lastPrinted>2020-11-04T01:33:00Z</cp:lastPrinted>
  <dcterms:created xsi:type="dcterms:W3CDTF">2020-11-04T01:33:00Z</dcterms:created>
  <dcterms:modified xsi:type="dcterms:W3CDTF">2020-11-04T01:33:00Z</dcterms:modified>
</cp:coreProperties>
</file>