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01DCC" w14:textId="77777777" w:rsidR="001A40E4" w:rsidRPr="00037FCD" w:rsidRDefault="00A14B70" w:rsidP="00A14B70">
      <w:pPr>
        <w:jc w:val="center"/>
        <w:rPr>
          <w:b/>
          <w:sz w:val="24"/>
          <w:szCs w:val="24"/>
        </w:rPr>
      </w:pPr>
      <w:r w:rsidRPr="00037FCD">
        <w:rPr>
          <w:b/>
          <w:sz w:val="24"/>
          <w:szCs w:val="24"/>
        </w:rPr>
        <w:t>Consejero Ponente: NICOLÁS YEPES CORRALES</w:t>
      </w:r>
    </w:p>
    <w:p w14:paraId="3AC3FF24" w14:textId="77777777" w:rsidR="00A14B70" w:rsidRPr="00037FCD" w:rsidRDefault="00A14B70" w:rsidP="00A862F3">
      <w:pPr>
        <w:spacing w:line="360" w:lineRule="auto"/>
        <w:jc w:val="center"/>
        <w:rPr>
          <w:b/>
          <w:sz w:val="24"/>
          <w:szCs w:val="24"/>
        </w:rPr>
      </w:pPr>
    </w:p>
    <w:p w14:paraId="0C1FCE5D" w14:textId="675968AE" w:rsidR="00A14B70" w:rsidRPr="00037FCD" w:rsidRDefault="00A14B70" w:rsidP="00A862F3">
      <w:pPr>
        <w:spacing w:line="360" w:lineRule="auto"/>
        <w:rPr>
          <w:sz w:val="24"/>
          <w:szCs w:val="24"/>
        </w:rPr>
      </w:pPr>
      <w:r w:rsidRPr="00037FCD">
        <w:rPr>
          <w:sz w:val="24"/>
          <w:szCs w:val="24"/>
        </w:rPr>
        <w:t xml:space="preserve">Bogotá D.C., </w:t>
      </w:r>
      <w:r w:rsidR="00E47631">
        <w:rPr>
          <w:sz w:val="24"/>
          <w:szCs w:val="24"/>
        </w:rPr>
        <w:t>once</w:t>
      </w:r>
      <w:r w:rsidRPr="00037FCD">
        <w:rPr>
          <w:sz w:val="24"/>
          <w:szCs w:val="24"/>
        </w:rPr>
        <w:t xml:space="preserve"> </w:t>
      </w:r>
      <w:r w:rsidR="00E47631">
        <w:rPr>
          <w:sz w:val="24"/>
          <w:szCs w:val="24"/>
        </w:rPr>
        <w:t>(11</w:t>
      </w:r>
      <w:r w:rsidRPr="00037FCD">
        <w:rPr>
          <w:sz w:val="24"/>
          <w:szCs w:val="24"/>
        </w:rPr>
        <w:t>) de noviembre de dos mil veinte (2020)</w:t>
      </w:r>
    </w:p>
    <w:p w14:paraId="3B3C87CC" w14:textId="77777777" w:rsidR="00A14B70" w:rsidRPr="00037FCD" w:rsidRDefault="00A14B70" w:rsidP="00A14B70">
      <w:pPr>
        <w:rPr>
          <w:sz w:val="24"/>
          <w:szCs w:val="24"/>
        </w:rPr>
      </w:pPr>
    </w:p>
    <w:p w14:paraId="1C3277ED" w14:textId="77777777" w:rsidR="00A14B70" w:rsidRPr="00037FCD" w:rsidRDefault="00A14B70" w:rsidP="009856CA">
      <w:pPr>
        <w:spacing w:line="276" w:lineRule="auto"/>
        <w:rPr>
          <w:b/>
          <w:sz w:val="24"/>
          <w:szCs w:val="24"/>
        </w:rPr>
      </w:pPr>
      <w:r w:rsidRPr="00037FCD">
        <w:rPr>
          <w:b/>
          <w:sz w:val="24"/>
          <w:szCs w:val="24"/>
        </w:rPr>
        <w:t xml:space="preserve">Radicación: </w:t>
      </w:r>
      <w:r w:rsidRPr="00037FCD">
        <w:rPr>
          <w:sz w:val="24"/>
          <w:szCs w:val="24"/>
        </w:rPr>
        <w:t>11001-03-15-000-2020-04592-00</w:t>
      </w:r>
    </w:p>
    <w:p w14:paraId="572F7844" w14:textId="77777777" w:rsidR="00A14B70" w:rsidRPr="00037FCD" w:rsidRDefault="00A14B70" w:rsidP="009856CA">
      <w:pPr>
        <w:spacing w:line="276" w:lineRule="auto"/>
        <w:rPr>
          <w:sz w:val="24"/>
          <w:szCs w:val="24"/>
        </w:rPr>
      </w:pPr>
      <w:r w:rsidRPr="00037FCD">
        <w:rPr>
          <w:b/>
          <w:sz w:val="24"/>
          <w:szCs w:val="24"/>
        </w:rPr>
        <w:t xml:space="preserve">Accionante: </w:t>
      </w:r>
      <w:r w:rsidRPr="00037FCD">
        <w:rPr>
          <w:sz w:val="24"/>
          <w:szCs w:val="24"/>
        </w:rPr>
        <w:t xml:space="preserve">Carlos Eduardo Sepúlveda Marín </w:t>
      </w:r>
    </w:p>
    <w:p w14:paraId="5325B93F" w14:textId="21FB081F" w:rsidR="00A14B70" w:rsidRPr="00037FCD" w:rsidRDefault="00A14B70" w:rsidP="009856CA">
      <w:pPr>
        <w:spacing w:line="276" w:lineRule="auto"/>
        <w:rPr>
          <w:b/>
          <w:sz w:val="24"/>
          <w:szCs w:val="24"/>
        </w:rPr>
      </w:pPr>
      <w:r w:rsidRPr="00037FCD">
        <w:rPr>
          <w:b/>
          <w:sz w:val="24"/>
          <w:szCs w:val="24"/>
        </w:rPr>
        <w:t>Accionado</w:t>
      </w:r>
      <w:r w:rsidR="00CB2DC2">
        <w:rPr>
          <w:b/>
          <w:sz w:val="24"/>
          <w:szCs w:val="24"/>
        </w:rPr>
        <w:t>s</w:t>
      </w:r>
      <w:r w:rsidRPr="00037FCD">
        <w:rPr>
          <w:b/>
          <w:sz w:val="24"/>
          <w:szCs w:val="24"/>
        </w:rPr>
        <w:t xml:space="preserve">: </w:t>
      </w:r>
      <w:r w:rsidR="00E93DF8" w:rsidRPr="00037FCD">
        <w:rPr>
          <w:sz w:val="24"/>
          <w:szCs w:val="24"/>
        </w:rPr>
        <w:t>Juzgado Segundo Civil Municipal de Pereira</w:t>
      </w:r>
      <w:r w:rsidR="00E93DF8" w:rsidRPr="00037FCD">
        <w:rPr>
          <w:b/>
          <w:sz w:val="24"/>
          <w:szCs w:val="24"/>
        </w:rPr>
        <w:t xml:space="preserve"> </w:t>
      </w:r>
      <w:r w:rsidR="00E93DF8" w:rsidRPr="00037FCD">
        <w:rPr>
          <w:sz w:val="24"/>
          <w:szCs w:val="24"/>
        </w:rPr>
        <w:t>y otros</w:t>
      </w:r>
    </w:p>
    <w:p w14:paraId="694078FB" w14:textId="77777777" w:rsidR="00A14B70" w:rsidRPr="00037FCD" w:rsidRDefault="00A14B70" w:rsidP="009856CA">
      <w:pPr>
        <w:spacing w:line="276" w:lineRule="auto"/>
        <w:rPr>
          <w:sz w:val="24"/>
          <w:szCs w:val="24"/>
        </w:rPr>
      </w:pPr>
      <w:r w:rsidRPr="00037FCD">
        <w:rPr>
          <w:b/>
          <w:sz w:val="24"/>
          <w:szCs w:val="24"/>
        </w:rPr>
        <w:t xml:space="preserve">Asunto: </w:t>
      </w:r>
      <w:r w:rsidR="00E93DF8" w:rsidRPr="00037FCD">
        <w:rPr>
          <w:sz w:val="24"/>
          <w:szCs w:val="24"/>
        </w:rPr>
        <w:t xml:space="preserve">Acción de tutela – Auto admisorio </w:t>
      </w:r>
    </w:p>
    <w:p w14:paraId="696E1FE1" w14:textId="77777777" w:rsidR="00A862F3" w:rsidRPr="00037FCD" w:rsidRDefault="00A862F3" w:rsidP="00A862F3">
      <w:pPr>
        <w:spacing w:line="360" w:lineRule="auto"/>
        <w:rPr>
          <w:sz w:val="24"/>
          <w:szCs w:val="24"/>
        </w:rPr>
      </w:pPr>
    </w:p>
    <w:p w14:paraId="40C9EDC1" w14:textId="3B189161" w:rsidR="00A862F3" w:rsidRPr="00037FCD" w:rsidRDefault="00A862F3" w:rsidP="00A862F3">
      <w:pPr>
        <w:spacing w:line="360" w:lineRule="auto"/>
        <w:rPr>
          <w:i/>
          <w:sz w:val="24"/>
          <w:szCs w:val="24"/>
        </w:rPr>
      </w:pPr>
      <w:r w:rsidRPr="00037FCD">
        <w:rPr>
          <w:sz w:val="24"/>
          <w:szCs w:val="24"/>
        </w:rPr>
        <w:t>El suscrito Consejero Ponente decide sobre la admisión de la acción de tutela</w:t>
      </w:r>
      <w:r w:rsidR="00077B65" w:rsidRPr="00037FCD">
        <w:rPr>
          <w:rStyle w:val="Refdenotaalpie"/>
          <w:sz w:val="24"/>
          <w:szCs w:val="24"/>
        </w:rPr>
        <w:footnoteReference w:id="1"/>
      </w:r>
      <w:r w:rsidRPr="00037FCD">
        <w:rPr>
          <w:sz w:val="24"/>
          <w:szCs w:val="24"/>
        </w:rPr>
        <w:t xml:space="preserve"> </w:t>
      </w:r>
      <w:r w:rsidRPr="008308F7">
        <w:rPr>
          <w:sz w:val="24"/>
          <w:szCs w:val="24"/>
        </w:rPr>
        <w:t xml:space="preserve">presentada por Carlos Eduardo Sepúlveda Marín en contra del Juzgado Segundo Civil Municipal de Pereira, </w:t>
      </w:r>
      <w:r w:rsidR="00CB2DC2" w:rsidRPr="008308F7">
        <w:rPr>
          <w:sz w:val="24"/>
          <w:szCs w:val="24"/>
        </w:rPr>
        <w:t>d</w:t>
      </w:r>
      <w:r w:rsidRPr="008308F7">
        <w:rPr>
          <w:sz w:val="24"/>
          <w:szCs w:val="24"/>
        </w:rPr>
        <w:t xml:space="preserve">el Juzgado Cuarto Civil </w:t>
      </w:r>
      <w:r w:rsidR="009F3ADB" w:rsidRPr="008308F7">
        <w:rPr>
          <w:sz w:val="24"/>
          <w:szCs w:val="24"/>
        </w:rPr>
        <w:t xml:space="preserve">del Circuito </w:t>
      </w:r>
      <w:r w:rsidRPr="008308F7">
        <w:rPr>
          <w:sz w:val="24"/>
          <w:szCs w:val="24"/>
        </w:rPr>
        <w:t xml:space="preserve">de Pereira, </w:t>
      </w:r>
      <w:r w:rsidR="00CB2DC2" w:rsidRPr="008308F7">
        <w:rPr>
          <w:sz w:val="24"/>
          <w:szCs w:val="24"/>
        </w:rPr>
        <w:t>d</w:t>
      </w:r>
      <w:r w:rsidRPr="008308F7">
        <w:rPr>
          <w:sz w:val="24"/>
          <w:szCs w:val="24"/>
        </w:rPr>
        <w:t>el Juzgado Primero Penal Municipal con funciones de Conoc</w:t>
      </w:r>
      <w:r w:rsidR="00D65ED7" w:rsidRPr="008308F7">
        <w:rPr>
          <w:sz w:val="24"/>
          <w:szCs w:val="24"/>
        </w:rPr>
        <w:t>imiento</w:t>
      </w:r>
      <w:r w:rsidR="006D6F4B" w:rsidRPr="008308F7">
        <w:rPr>
          <w:sz w:val="24"/>
          <w:szCs w:val="24"/>
        </w:rPr>
        <w:t xml:space="preserve"> de Pereira</w:t>
      </w:r>
      <w:r w:rsidR="00D65ED7" w:rsidRPr="008308F7">
        <w:rPr>
          <w:sz w:val="24"/>
          <w:szCs w:val="24"/>
        </w:rPr>
        <w:t>,</w:t>
      </w:r>
      <w:r w:rsidR="008C6081" w:rsidRPr="008308F7">
        <w:rPr>
          <w:sz w:val="24"/>
          <w:szCs w:val="24"/>
        </w:rPr>
        <w:t xml:space="preserve"> </w:t>
      </w:r>
      <w:r w:rsidR="00CB2DC2" w:rsidRPr="008308F7">
        <w:rPr>
          <w:sz w:val="24"/>
          <w:szCs w:val="24"/>
        </w:rPr>
        <w:t>d</w:t>
      </w:r>
      <w:r w:rsidR="008C6081" w:rsidRPr="008308F7">
        <w:rPr>
          <w:sz w:val="24"/>
          <w:szCs w:val="24"/>
        </w:rPr>
        <w:t>el Juzgado Tercero Penal Municipal de Pereira,</w:t>
      </w:r>
      <w:r w:rsidR="00D65ED7" w:rsidRPr="008308F7">
        <w:rPr>
          <w:sz w:val="24"/>
          <w:szCs w:val="24"/>
        </w:rPr>
        <w:t xml:space="preserve"> </w:t>
      </w:r>
      <w:r w:rsidR="00CB2DC2" w:rsidRPr="008308F7">
        <w:rPr>
          <w:sz w:val="24"/>
          <w:szCs w:val="24"/>
        </w:rPr>
        <w:t xml:space="preserve">de </w:t>
      </w:r>
      <w:r w:rsidR="00D65ED7" w:rsidRPr="008308F7">
        <w:rPr>
          <w:sz w:val="24"/>
          <w:szCs w:val="24"/>
        </w:rPr>
        <w:t xml:space="preserve">las Secciones </w:t>
      </w:r>
      <w:r w:rsidR="00D65ED7" w:rsidRPr="008308F7">
        <w:rPr>
          <w:color w:val="000000" w:themeColor="text1"/>
          <w:sz w:val="24"/>
          <w:szCs w:val="24"/>
        </w:rPr>
        <w:t>Primera, Segunda,</w:t>
      </w:r>
      <w:r w:rsidRPr="008308F7">
        <w:rPr>
          <w:color w:val="000000" w:themeColor="text1"/>
          <w:sz w:val="24"/>
          <w:szCs w:val="24"/>
        </w:rPr>
        <w:t xml:space="preserve"> Cuarta</w:t>
      </w:r>
      <w:r w:rsidR="00D65ED7" w:rsidRPr="008308F7">
        <w:rPr>
          <w:color w:val="000000" w:themeColor="text1"/>
          <w:sz w:val="24"/>
          <w:szCs w:val="24"/>
        </w:rPr>
        <w:t xml:space="preserve"> </w:t>
      </w:r>
      <w:r w:rsidR="00D65ED7" w:rsidRPr="008308F7">
        <w:rPr>
          <w:sz w:val="24"/>
          <w:szCs w:val="24"/>
        </w:rPr>
        <w:t>y Quinta</w:t>
      </w:r>
      <w:r w:rsidR="00254BF4" w:rsidRPr="008308F7">
        <w:rPr>
          <w:sz w:val="24"/>
          <w:szCs w:val="24"/>
        </w:rPr>
        <w:t xml:space="preserve"> del Consejo de Estado y </w:t>
      </w:r>
      <w:r w:rsidR="00CB2DC2" w:rsidRPr="008308F7">
        <w:rPr>
          <w:sz w:val="24"/>
          <w:szCs w:val="24"/>
        </w:rPr>
        <w:t xml:space="preserve">de </w:t>
      </w:r>
      <w:r w:rsidR="00254BF4" w:rsidRPr="008308F7">
        <w:rPr>
          <w:sz w:val="24"/>
          <w:szCs w:val="24"/>
        </w:rPr>
        <w:t>la Fiscalía Catorce de Pereira</w:t>
      </w:r>
      <w:r w:rsidR="00CB2DC2" w:rsidRPr="008308F7">
        <w:rPr>
          <w:sz w:val="24"/>
          <w:szCs w:val="24"/>
        </w:rPr>
        <w:t>;</w:t>
      </w:r>
      <w:r w:rsidR="00254BF4" w:rsidRPr="008308F7">
        <w:rPr>
          <w:sz w:val="24"/>
          <w:szCs w:val="24"/>
        </w:rPr>
        <w:t xml:space="preserve"> en procura de la protección de sus derechos de acceso a la administración de justicia, al debido proceso, a la igualdad, al trabajo, al mínimo vital, a la salud</w:t>
      </w:r>
      <w:r w:rsidR="00254BF4" w:rsidRPr="00037FCD">
        <w:rPr>
          <w:sz w:val="24"/>
          <w:szCs w:val="24"/>
        </w:rPr>
        <w:t xml:space="preserve">, a la vida, a la dignidad y </w:t>
      </w:r>
      <w:r w:rsidR="00254BF4" w:rsidRPr="00037FCD">
        <w:rPr>
          <w:i/>
          <w:sz w:val="24"/>
          <w:szCs w:val="24"/>
        </w:rPr>
        <w:t>“al de los menores a tener un bienestar”</w:t>
      </w:r>
      <w:r w:rsidR="00077B65" w:rsidRPr="00CB2DC2">
        <w:rPr>
          <w:rStyle w:val="Refdenotaalpie"/>
          <w:iCs/>
          <w:sz w:val="24"/>
          <w:szCs w:val="24"/>
        </w:rPr>
        <w:footnoteReference w:id="2"/>
      </w:r>
      <w:r w:rsidR="009B3821" w:rsidRPr="00CB2DC2">
        <w:rPr>
          <w:iCs/>
          <w:sz w:val="24"/>
          <w:szCs w:val="24"/>
        </w:rPr>
        <w:t>.</w:t>
      </w:r>
    </w:p>
    <w:p w14:paraId="1DB2D7FD" w14:textId="77777777" w:rsidR="00816A7C" w:rsidRPr="00037FCD" w:rsidRDefault="00816A7C" w:rsidP="00A862F3">
      <w:pPr>
        <w:spacing w:line="360" w:lineRule="auto"/>
        <w:rPr>
          <w:i/>
          <w:sz w:val="24"/>
          <w:szCs w:val="24"/>
        </w:rPr>
      </w:pPr>
    </w:p>
    <w:p w14:paraId="7114B456" w14:textId="5651507F" w:rsidR="00DF1604" w:rsidRDefault="00816A7C" w:rsidP="00A862F3">
      <w:pPr>
        <w:spacing w:line="360" w:lineRule="auto"/>
        <w:rPr>
          <w:sz w:val="24"/>
          <w:szCs w:val="24"/>
        </w:rPr>
      </w:pPr>
      <w:r w:rsidRPr="00037FCD">
        <w:rPr>
          <w:sz w:val="24"/>
          <w:szCs w:val="24"/>
        </w:rPr>
        <w:t>El peticionario estimó vulnerados sus derechos fundamentales en tanto las autoridades judiciales, al interior de varias</w:t>
      </w:r>
      <w:r w:rsidR="002F2AE7" w:rsidRPr="00037FCD">
        <w:rPr>
          <w:sz w:val="24"/>
          <w:szCs w:val="24"/>
        </w:rPr>
        <w:t xml:space="preserve"> y distintas</w:t>
      </w:r>
      <w:r w:rsidRPr="00037FCD">
        <w:rPr>
          <w:sz w:val="24"/>
          <w:szCs w:val="24"/>
        </w:rPr>
        <w:t xml:space="preserve"> acciones de tutela, resolvieron ne</w:t>
      </w:r>
      <w:r w:rsidR="00DF1604">
        <w:rPr>
          <w:sz w:val="24"/>
          <w:szCs w:val="24"/>
        </w:rPr>
        <w:t>gar sus</w:t>
      </w:r>
      <w:r w:rsidRPr="00037FCD">
        <w:rPr>
          <w:sz w:val="24"/>
          <w:szCs w:val="24"/>
        </w:rPr>
        <w:t xml:space="preserve"> pretensiones relacionadas </w:t>
      </w:r>
      <w:r w:rsidR="002F2AE7" w:rsidRPr="00037FCD">
        <w:rPr>
          <w:sz w:val="24"/>
          <w:szCs w:val="24"/>
        </w:rPr>
        <w:t>con el reintegro a su trabajo por ser despedido sin justa causa</w:t>
      </w:r>
      <w:r w:rsidR="009D1548">
        <w:rPr>
          <w:sz w:val="24"/>
          <w:szCs w:val="24"/>
        </w:rPr>
        <w:t>,</w:t>
      </w:r>
      <w:r w:rsidR="002F2AE7" w:rsidRPr="00037FCD">
        <w:rPr>
          <w:sz w:val="24"/>
          <w:szCs w:val="24"/>
        </w:rPr>
        <w:t xml:space="preserve">  la estabilidad laboral reforzada</w:t>
      </w:r>
      <w:r w:rsidR="00EC5E9E">
        <w:rPr>
          <w:sz w:val="24"/>
          <w:szCs w:val="24"/>
        </w:rPr>
        <w:t xml:space="preserve"> de la que presuntamente gozaba, </w:t>
      </w:r>
      <w:r w:rsidR="002F2AE7" w:rsidRPr="00037FCD">
        <w:rPr>
          <w:sz w:val="24"/>
          <w:szCs w:val="24"/>
        </w:rPr>
        <w:t xml:space="preserve">su rehabilitación a causa de un accidente laboral, entre otras. </w:t>
      </w:r>
    </w:p>
    <w:p w14:paraId="4257469F" w14:textId="77777777" w:rsidR="00DF1604" w:rsidRDefault="00DF1604" w:rsidP="00A862F3">
      <w:pPr>
        <w:spacing w:line="360" w:lineRule="auto"/>
        <w:rPr>
          <w:sz w:val="24"/>
          <w:szCs w:val="24"/>
        </w:rPr>
      </w:pPr>
    </w:p>
    <w:p w14:paraId="293D1383" w14:textId="2221A130" w:rsidR="00816A7C" w:rsidRPr="00E41571" w:rsidRDefault="00DF1604" w:rsidP="00A862F3">
      <w:pPr>
        <w:spacing w:line="360" w:lineRule="auto"/>
        <w:rPr>
          <w:rFonts w:cs="Arial"/>
          <w:sz w:val="22"/>
          <w:szCs w:val="22"/>
        </w:rPr>
      </w:pPr>
      <w:r>
        <w:rPr>
          <w:sz w:val="24"/>
          <w:szCs w:val="24"/>
        </w:rPr>
        <w:t xml:space="preserve">Las acciones de tutela </w:t>
      </w:r>
      <w:r w:rsidR="006D6F4B">
        <w:rPr>
          <w:sz w:val="24"/>
          <w:szCs w:val="24"/>
        </w:rPr>
        <w:t xml:space="preserve">censuradas </w:t>
      </w:r>
      <w:r>
        <w:rPr>
          <w:sz w:val="24"/>
          <w:szCs w:val="24"/>
        </w:rPr>
        <w:t xml:space="preserve">se relacionan a continuación: </w:t>
      </w:r>
    </w:p>
    <w:p w14:paraId="27224296" w14:textId="77777777" w:rsidR="00DF1604" w:rsidRPr="00E41571" w:rsidRDefault="00DF1604" w:rsidP="00A862F3">
      <w:pPr>
        <w:spacing w:line="360" w:lineRule="auto"/>
        <w:rPr>
          <w:rFonts w:cs="Arial"/>
          <w:sz w:val="22"/>
          <w:szCs w:val="22"/>
        </w:rPr>
      </w:pPr>
    </w:p>
    <w:tbl>
      <w:tblPr>
        <w:tblStyle w:val="Tablaconcuadrcula"/>
        <w:tblW w:w="0" w:type="auto"/>
        <w:tblLook w:val="04A0" w:firstRow="1" w:lastRow="0" w:firstColumn="1" w:lastColumn="0" w:noHBand="0" w:noVBand="1"/>
      </w:tblPr>
      <w:tblGrid>
        <w:gridCol w:w="2349"/>
        <w:gridCol w:w="2349"/>
        <w:gridCol w:w="2349"/>
        <w:gridCol w:w="2349"/>
      </w:tblGrid>
      <w:tr w:rsidR="00C80C9F" w:rsidRPr="005A3AED" w14:paraId="7B7BA978" w14:textId="77777777" w:rsidTr="00EA662B">
        <w:tc>
          <w:tcPr>
            <w:tcW w:w="2349" w:type="dxa"/>
          </w:tcPr>
          <w:p w14:paraId="68613E98" w14:textId="77777777" w:rsidR="00C80C9F" w:rsidRPr="005A3AED" w:rsidRDefault="00C80C9F" w:rsidP="00C80C9F">
            <w:pPr>
              <w:spacing w:line="276" w:lineRule="auto"/>
              <w:jc w:val="center"/>
              <w:rPr>
                <w:rFonts w:cs="Arial"/>
                <w:b/>
                <w:sz w:val="22"/>
                <w:szCs w:val="22"/>
              </w:rPr>
            </w:pPr>
            <w:r w:rsidRPr="005A3AED">
              <w:rPr>
                <w:rFonts w:cs="Arial"/>
                <w:b/>
                <w:sz w:val="22"/>
                <w:szCs w:val="22"/>
              </w:rPr>
              <w:t>Autoridad judicial</w:t>
            </w:r>
          </w:p>
        </w:tc>
        <w:tc>
          <w:tcPr>
            <w:tcW w:w="2349" w:type="dxa"/>
          </w:tcPr>
          <w:p w14:paraId="75AB3FB5" w14:textId="77777777" w:rsidR="00C80C9F" w:rsidRPr="005A3AED" w:rsidRDefault="00C80C9F" w:rsidP="00C80C9F">
            <w:pPr>
              <w:spacing w:line="276" w:lineRule="auto"/>
              <w:jc w:val="center"/>
              <w:rPr>
                <w:rFonts w:cs="Arial"/>
                <w:b/>
                <w:sz w:val="22"/>
                <w:szCs w:val="22"/>
              </w:rPr>
            </w:pPr>
            <w:r w:rsidRPr="005A3AED">
              <w:rPr>
                <w:rFonts w:cs="Arial"/>
                <w:b/>
                <w:sz w:val="22"/>
                <w:szCs w:val="22"/>
              </w:rPr>
              <w:t>Radicación</w:t>
            </w:r>
          </w:p>
        </w:tc>
        <w:tc>
          <w:tcPr>
            <w:tcW w:w="2349" w:type="dxa"/>
          </w:tcPr>
          <w:p w14:paraId="45B7F193" w14:textId="77777777" w:rsidR="00C80C9F" w:rsidRPr="005A3AED" w:rsidRDefault="00C80C9F" w:rsidP="00C80C9F">
            <w:pPr>
              <w:spacing w:line="276" w:lineRule="auto"/>
              <w:jc w:val="center"/>
              <w:rPr>
                <w:rFonts w:cs="Arial"/>
                <w:b/>
                <w:sz w:val="22"/>
                <w:szCs w:val="22"/>
              </w:rPr>
            </w:pPr>
            <w:r w:rsidRPr="005A3AED">
              <w:rPr>
                <w:rFonts w:cs="Arial"/>
                <w:b/>
                <w:sz w:val="22"/>
                <w:szCs w:val="22"/>
              </w:rPr>
              <w:t>Fecha de providencia</w:t>
            </w:r>
          </w:p>
        </w:tc>
        <w:tc>
          <w:tcPr>
            <w:tcW w:w="2349" w:type="dxa"/>
          </w:tcPr>
          <w:p w14:paraId="3CBB60C1" w14:textId="77777777" w:rsidR="00C80C9F" w:rsidRPr="005A3AED" w:rsidRDefault="00C80C9F" w:rsidP="00C80C9F">
            <w:pPr>
              <w:spacing w:line="360" w:lineRule="auto"/>
              <w:jc w:val="center"/>
              <w:rPr>
                <w:rFonts w:cs="Arial"/>
                <w:b/>
                <w:sz w:val="22"/>
                <w:szCs w:val="22"/>
              </w:rPr>
            </w:pPr>
            <w:r w:rsidRPr="005A3AED">
              <w:rPr>
                <w:rFonts w:cs="Arial"/>
                <w:b/>
                <w:sz w:val="22"/>
                <w:szCs w:val="22"/>
              </w:rPr>
              <w:t>Demandado</w:t>
            </w:r>
          </w:p>
        </w:tc>
      </w:tr>
      <w:tr w:rsidR="00C80C9F" w:rsidRPr="005A3AED" w14:paraId="0A59B7AD" w14:textId="77777777" w:rsidTr="00EA662B">
        <w:trPr>
          <w:trHeight w:val="776"/>
        </w:trPr>
        <w:tc>
          <w:tcPr>
            <w:tcW w:w="2349" w:type="dxa"/>
          </w:tcPr>
          <w:p w14:paraId="52216D3C" w14:textId="77777777" w:rsidR="00C80C9F" w:rsidRPr="005A3AED" w:rsidRDefault="00C80C9F" w:rsidP="00C80C9F">
            <w:pPr>
              <w:spacing w:line="276" w:lineRule="auto"/>
              <w:jc w:val="center"/>
              <w:rPr>
                <w:rFonts w:cs="Arial"/>
                <w:sz w:val="22"/>
                <w:szCs w:val="22"/>
              </w:rPr>
            </w:pPr>
            <w:r w:rsidRPr="005A3AED">
              <w:rPr>
                <w:rFonts w:cs="Arial"/>
                <w:sz w:val="22"/>
                <w:szCs w:val="22"/>
              </w:rPr>
              <w:t>Juzgado Segundo Civil Municipal de Pereira</w:t>
            </w:r>
          </w:p>
        </w:tc>
        <w:tc>
          <w:tcPr>
            <w:tcW w:w="2349" w:type="dxa"/>
            <w:vMerge w:val="restart"/>
          </w:tcPr>
          <w:p w14:paraId="67686E63" w14:textId="77777777" w:rsidR="00C80C9F" w:rsidRPr="005A3AED" w:rsidRDefault="00C80C9F" w:rsidP="00C80C9F">
            <w:pPr>
              <w:spacing w:line="276" w:lineRule="auto"/>
              <w:jc w:val="center"/>
              <w:rPr>
                <w:rFonts w:cs="Arial"/>
                <w:sz w:val="22"/>
                <w:szCs w:val="22"/>
              </w:rPr>
            </w:pPr>
          </w:p>
          <w:p w14:paraId="2C5FB2C5" w14:textId="77777777" w:rsidR="00C80C9F" w:rsidRPr="005A3AED" w:rsidRDefault="00C80C9F" w:rsidP="00C80C9F">
            <w:pPr>
              <w:spacing w:line="276" w:lineRule="auto"/>
              <w:jc w:val="center"/>
              <w:rPr>
                <w:rFonts w:cs="Arial"/>
                <w:sz w:val="22"/>
                <w:szCs w:val="22"/>
              </w:rPr>
            </w:pPr>
          </w:p>
          <w:p w14:paraId="6E59EB22" w14:textId="77777777" w:rsidR="00C80C9F" w:rsidRPr="005A3AED" w:rsidRDefault="00C80C9F" w:rsidP="00C80C9F">
            <w:pPr>
              <w:spacing w:line="276" w:lineRule="auto"/>
              <w:jc w:val="center"/>
              <w:rPr>
                <w:rFonts w:cs="Arial"/>
                <w:sz w:val="22"/>
                <w:szCs w:val="22"/>
              </w:rPr>
            </w:pPr>
            <w:r w:rsidRPr="005A3AED">
              <w:rPr>
                <w:rFonts w:cs="Arial"/>
                <w:sz w:val="22"/>
                <w:szCs w:val="22"/>
              </w:rPr>
              <w:t>66001-40-03-002-2005-00431-00</w:t>
            </w:r>
            <w:r w:rsidR="006B4D4D" w:rsidRPr="005A3AED">
              <w:rPr>
                <w:rFonts w:cs="Arial"/>
                <w:sz w:val="22"/>
                <w:szCs w:val="22"/>
              </w:rPr>
              <w:t>/01</w:t>
            </w:r>
          </w:p>
        </w:tc>
        <w:tc>
          <w:tcPr>
            <w:tcW w:w="2349" w:type="dxa"/>
          </w:tcPr>
          <w:p w14:paraId="78F09BD9" w14:textId="77777777" w:rsidR="00C80C9F" w:rsidRPr="005A3AED" w:rsidRDefault="00BA19E2" w:rsidP="00C80C9F">
            <w:pPr>
              <w:spacing w:line="276" w:lineRule="auto"/>
              <w:jc w:val="center"/>
              <w:rPr>
                <w:rFonts w:cs="Arial"/>
                <w:sz w:val="22"/>
                <w:szCs w:val="22"/>
              </w:rPr>
            </w:pPr>
            <w:r w:rsidRPr="005A3AED">
              <w:rPr>
                <w:rFonts w:cs="Arial"/>
                <w:sz w:val="22"/>
                <w:szCs w:val="22"/>
              </w:rPr>
              <w:t xml:space="preserve">Sentencia del </w:t>
            </w:r>
            <w:r w:rsidR="00C80C9F" w:rsidRPr="005A3AED">
              <w:rPr>
                <w:rFonts w:cs="Arial"/>
                <w:sz w:val="22"/>
                <w:szCs w:val="22"/>
              </w:rPr>
              <w:t>13 de julio de 2005</w:t>
            </w:r>
          </w:p>
        </w:tc>
        <w:tc>
          <w:tcPr>
            <w:tcW w:w="2349" w:type="dxa"/>
            <w:vMerge w:val="restart"/>
          </w:tcPr>
          <w:p w14:paraId="378BD43B" w14:textId="77777777" w:rsidR="00C80C9F" w:rsidRPr="005A3AED" w:rsidRDefault="00C80C9F" w:rsidP="00C80C9F">
            <w:pPr>
              <w:spacing w:line="276" w:lineRule="auto"/>
              <w:jc w:val="center"/>
              <w:rPr>
                <w:rFonts w:cs="Arial"/>
                <w:sz w:val="22"/>
                <w:szCs w:val="22"/>
              </w:rPr>
            </w:pPr>
            <w:r w:rsidRPr="005A3AED">
              <w:rPr>
                <w:rFonts w:cs="Arial"/>
                <w:sz w:val="22"/>
                <w:szCs w:val="22"/>
              </w:rPr>
              <w:t>ARP Suratep</w:t>
            </w:r>
          </w:p>
        </w:tc>
      </w:tr>
      <w:tr w:rsidR="00C80C9F" w:rsidRPr="005A3AED" w14:paraId="69D4A106" w14:textId="77777777" w:rsidTr="00EA662B">
        <w:trPr>
          <w:trHeight w:val="776"/>
        </w:trPr>
        <w:tc>
          <w:tcPr>
            <w:tcW w:w="2349" w:type="dxa"/>
          </w:tcPr>
          <w:p w14:paraId="2EE80BF7" w14:textId="77777777" w:rsidR="00C80C9F" w:rsidRPr="005A3AED" w:rsidRDefault="00C80C9F" w:rsidP="00C80C9F">
            <w:pPr>
              <w:spacing w:line="276" w:lineRule="auto"/>
              <w:jc w:val="center"/>
              <w:rPr>
                <w:rFonts w:cs="Arial"/>
                <w:sz w:val="22"/>
                <w:szCs w:val="22"/>
              </w:rPr>
            </w:pPr>
            <w:r w:rsidRPr="005A3AED">
              <w:rPr>
                <w:rFonts w:cs="Arial"/>
                <w:sz w:val="22"/>
                <w:szCs w:val="22"/>
              </w:rPr>
              <w:t>Juzgado Cuarto Civil del Circuito de Pereira</w:t>
            </w:r>
          </w:p>
        </w:tc>
        <w:tc>
          <w:tcPr>
            <w:tcW w:w="2349" w:type="dxa"/>
            <w:vMerge/>
          </w:tcPr>
          <w:p w14:paraId="171FCB57" w14:textId="77777777" w:rsidR="00C80C9F" w:rsidRPr="005A3AED" w:rsidRDefault="00C80C9F" w:rsidP="00C80C9F">
            <w:pPr>
              <w:spacing w:line="276" w:lineRule="auto"/>
              <w:jc w:val="center"/>
              <w:rPr>
                <w:rFonts w:cs="Arial"/>
                <w:sz w:val="22"/>
                <w:szCs w:val="22"/>
              </w:rPr>
            </w:pPr>
          </w:p>
        </w:tc>
        <w:tc>
          <w:tcPr>
            <w:tcW w:w="2349" w:type="dxa"/>
          </w:tcPr>
          <w:p w14:paraId="5B5B62A7" w14:textId="77777777" w:rsidR="00C80C9F" w:rsidRPr="005A3AED" w:rsidRDefault="00BA19E2" w:rsidP="00C80C9F">
            <w:pPr>
              <w:spacing w:line="276" w:lineRule="auto"/>
              <w:jc w:val="center"/>
              <w:rPr>
                <w:rFonts w:cs="Arial"/>
                <w:sz w:val="22"/>
                <w:szCs w:val="22"/>
              </w:rPr>
            </w:pPr>
            <w:r w:rsidRPr="005A3AED">
              <w:rPr>
                <w:rFonts w:cs="Arial"/>
                <w:sz w:val="22"/>
                <w:szCs w:val="22"/>
              </w:rPr>
              <w:t xml:space="preserve">Sentencia del </w:t>
            </w:r>
            <w:r w:rsidR="00C80C9F" w:rsidRPr="005A3AED">
              <w:rPr>
                <w:rFonts w:cs="Arial"/>
                <w:sz w:val="22"/>
                <w:szCs w:val="22"/>
              </w:rPr>
              <w:t>22 de agosto de 2005</w:t>
            </w:r>
          </w:p>
        </w:tc>
        <w:tc>
          <w:tcPr>
            <w:tcW w:w="2349" w:type="dxa"/>
            <w:vMerge/>
          </w:tcPr>
          <w:p w14:paraId="5BE48BD0" w14:textId="77777777" w:rsidR="00C80C9F" w:rsidRPr="005A3AED" w:rsidRDefault="00C80C9F" w:rsidP="00C80C9F">
            <w:pPr>
              <w:spacing w:line="276" w:lineRule="auto"/>
              <w:rPr>
                <w:rFonts w:cs="Arial"/>
                <w:sz w:val="22"/>
                <w:szCs w:val="22"/>
              </w:rPr>
            </w:pPr>
          </w:p>
        </w:tc>
      </w:tr>
      <w:tr w:rsidR="000B11E9" w:rsidRPr="005A3AED" w14:paraId="78284093" w14:textId="77777777" w:rsidTr="000B11E9">
        <w:trPr>
          <w:trHeight w:val="812"/>
        </w:trPr>
        <w:tc>
          <w:tcPr>
            <w:tcW w:w="2349" w:type="dxa"/>
            <w:vMerge w:val="restart"/>
          </w:tcPr>
          <w:p w14:paraId="1D3243B1" w14:textId="47F5F532" w:rsidR="000B11E9" w:rsidRPr="005A3AED" w:rsidRDefault="000B11E9" w:rsidP="00C80C9F">
            <w:pPr>
              <w:spacing w:line="276" w:lineRule="auto"/>
              <w:jc w:val="center"/>
              <w:rPr>
                <w:rFonts w:cs="Arial"/>
                <w:sz w:val="22"/>
                <w:szCs w:val="22"/>
              </w:rPr>
            </w:pPr>
            <w:r w:rsidRPr="005A3AED">
              <w:rPr>
                <w:rFonts w:cs="Arial"/>
                <w:sz w:val="22"/>
                <w:szCs w:val="22"/>
              </w:rPr>
              <w:lastRenderedPageBreak/>
              <w:t xml:space="preserve">Juzgado Primero Penal Municipal con funciones de </w:t>
            </w:r>
            <w:r w:rsidR="00CB2DC2">
              <w:rPr>
                <w:rFonts w:cs="Arial"/>
                <w:sz w:val="22"/>
                <w:szCs w:val="22"/>
              </w:rPr>
              <w:t>C</w:t>
            </w:r>
            <w:r w:rsidRPr="005A3AED">
              <w:rPr>
                <w:rFonts w:cs="Arial"/>
                <w:sz w:val="22"/>
                <w:szCs w:val="22"/>
              </w:rPr>
              <w:t>onocimiento de Pereira</w:t>
            </w:r>
          </w:p>
        </w:tc>
        <w:tc>
          <w:tcPr>
            <w:tcW w:w="2349" w:type="dxa"/>
            <w:vMerge w:val="restart"/>
          </w:tcPr>
          <w:p w14:paraId="2C5B8EFB" w14:textId="77777777" w:rsidR="000B11E9" w:rsidRPr="005A3AED" w:rsidRDefault="000B11E9" w:rsidP="00C80C9F">
            <w:pPr>
              <w:spacing w:line="276" w:lineRule="auto"/>
              <w:jc w:val="center"/>
              <w:rPr>
                <w:rFonts w:cs="Arial"/>
                <w:sz w:val="22"/>
                <w:szCs w:val="22"/>
              </w:rPr>
            </w:pPr>
          </w:p>
          <w:p w14:paraId="4F88F711" w14:textId="77777777" w:rsidR="000B11E9" w:rsidRPr="005A3AED" w:rsidRDefault="000B11E9" w:rsidP="00C80C9F">
            <w:pPr>
              <w:spacing w:line="276" w:lineRule="auto"/>
              <w:jc w:val="center"/>
              <w:rPr>
                <w:rFonts w:cs="Arial"/>
                <w:sz w:val="22"/>
                <w:szCs w:val="22"/>
              </w:rPr>
            </w:pPr>
          </w:p>
          <w:p w14:paraId="72B833C8" w14:textId="77777777" w:rsidR="000B11E9" w:rsidRPr="005A3AED" w:rsidRDefault="000B11E9" w:rsidP="000B11E9">
            <w:pPr>
              <w:spacing w:line="276" w:lineRule="auto"/>
              <w:rPr>
                <w:rFonts w:cs="Arial"/>
                <w:sz w:val="22"/>
                <w:szCs w:val="22"/>
              </w:rPr>
            </w:pPr>
          </w:p>
          <w:p w14:paraId="547B36BE" w14:textId="77777777" w:rsidR="000B11E9" w:rsidRPr="005A3AED" w:rsidRDefault="000B11E9" w:rsidP="00C80C9F">
            <w:pPr>
              <w:spacing w:line="276" w:lineRule="auto"/>
              <w:jc w:val="center"/>
              <w:rPr>
                <w:rFonts w:cs="Arial"/>
                <w:sz w:val="22"/>
                <w:szCs w:val="22"/>
              </w:rPr>
            </w:pPr>
            <w:r w:rsidRPr="005A3AED">
              <w:rPr>
                <w:rFonts w:cs="Arial"/>
                <w:sz w:val="22"/>
                <w:szCs w:val="22"/>
              </w:rPr>
              <w:t>66001-40-04-001-2005-00437-00/01</w:t>
            </w:r>
          </w:p>
        </w:tc>
        <w:tc>
          <w:tcPr>
            <w:tcW w:w="2349" w:type="dxa"/>
          </w:tcPr>
          <w:p w14:paraId="15F002A0" w14:textId="71190674" w:rsidR="000B11E9" w:rsidRPr="005A3AED" w:rsidRDefault="000B11E9" w:rsidP="000B11E9">
            <w:pPr>
              <w:spacing w:line="276" w:lineRule="auto"/>
              <w:jc w:val="center"/>
              <w:rPr>
                <w:rFonts w:cs="Arial"/>
                <w:sz w:val="22"/>
                <w:szCs w:val="22"/>
              </w:rPr>
            </w:pPr>
            <w:r w:rsidRPr="005A3AED">
              <w:rPr>
                <w:rFonts w:cs="Arial"/>
                <w:sz w:val="22"/>
                <w:szCs w:val="22"/>
              </w:rPr>
              <w:t>Sentencia del 14 de octubre de 2005</w:t>
            </w:r>
          </w:p>
        </w:tc>
        <w:tc>
          <w:tcPr>
            <w:tcW w:w="2349" w:type="dxa"/>
            <w:vMerge w:val="restart"/>
          </w:tcPr>
          <w:p w14:paraId="27D6D7F9" w14:textId="77777777" w:rsidR="000B11E9" w:rsidRPr="005A3AED" w:rsidRDefault="000B11E9" w:rsidP="00BA19E2">
            <w:pPr>
              <w:spacing w:line="276" w:lineRule="auto"/>
              <w:jc w:val="center"/>
              <w:rPr>
                <w:rFonts w:cs="Arial"/>
                <w:sz w:val="22"/>
                <w:szCs w:val="22"/>
              </w:rPr>
            </w:pPr>
            <w:r w:rsidRPr="005A3AED">
              <w:rPr>
                <w:rFonts w:cs="Arial"/>
                <w:sz w:val="22"/>
                <w:szCs w:val="22"/>
              </w:rPr>
              <w:t>ARP Suratep y Junta Regional de Calificación de Invalidez de Risaralda</w:t>
            </w:r>
          </w:p>
        </w:tc>
      </w:tr>
      <w:tr w:rsidR="000B11E9" w:rsidRPr="005A3AED" w14:paraId="5661B44E" w14:textId="77777777" w:rsidTr="000B11E9">
        <w:trPr>
          <w:trHeight w:val="812"/>
        </w:trPr>
        <w:tc>
          <w:tcPr>
            <w:tcW w:w="2349" w:type="dxa"/>
            <w:vMerge/>
          </w:tcPr>
          <w:p w14:paraId="34E0C533" w14:textId="77777777" w:rsidR="000B11E9" w:rsidRPr="005A3AED" w:rsidRDefault="000B11E9" w:rsidP="00C80C9F">
            <w:pPr>
              <w:spacing w:line="276" w:lineRule="auto"/>
              <w:jc w:val="center"/>
              <w:rPr>
                <w:rFonts w:cs="Arial"/>
                <w:sz w:val="22"/>
                <w:szCs w:val="22"/>
              </w:rPr>
            </w:pPr>
          </w:p>
        </w:tc>
        <w:tc>
          <w:tcPr>
            <w:tcW w:w="2349" w:type="dxa"/>
            <w:vMerge/>
          </w:tcPr>
          <w:p w14:paraId="2DF9F631" w14:textId="77777777" w:rsidR="000B11E9" w:rsidRPr="005A3AED" w:rsidRDefault="000B11E9" w:rsidP="00C80C9F">
            <w:pPr>
              <w:spacing w:line="276" w:lineRule="auto"/>
              <w:jc w:val="center"/>
              <w:rPr>
                <w:rFonts w:cs="Arial"/>
                <w:sz w:val="22"/>
                <w:szCs w:val="22"/>
              </w:rPr>
            </w:pPr>
          </w:p>
        </w:tc>
        <w:tc>
          <w:tcPr>
            <w:tcW w:w="2349" w:type="dxa"/>
          </w:tcPr>
          <w:p w14:paraId="69668646" w14:textId="42EF8505" w:rsidR="000B11E9" w:rsidRPr="005A3AED" w:rsidRDefault="000B11E9" w:rsidP="000B11E9">
            <w:pPr>
              <w:spacing w:line="276" w:lineRule="auto"/>
              <w:jc w:val="center"/>
              <w:rPr>
                <w:rFonts w:cs="Arial"/>
                <w:sz w:val="22"/>
                <w:szCs w:val="22"/>
              </w:rPr>
            </w:pPr>
            <w:r w:rsidRPr="005A3AED">
              <w:rPr>
                <w:rFonts w:cs="Arial"/>
                <w:sz w:val="22"/>
                <w:szCs w:val="22"/>
              </w:rPr>
              <w:t>Sentencia del 28 de noviembre de 2005</w:t>
            </w:r>
          </w:p>
        </w:tc>
        <w:tc>
          <w:tcPr>
            <w:tcW w:w="2349" w:type="dxa"/>
            <w:vMerge/>
          </w:tcPr>
          <w:p w14:paraId="1D3A086B" w14:textId="77777777" w:rsidR="000B11E9" w:rsidRPr="005A3AED" w:rsidRDefault="000B11E9" w:rsidP="00BA19E2">
            <w:pPr>
              <w:spacing w:line="276" w:lineRule="auto"/>
              <w:jc w:val="center"/>
              <w:rPr>
                <w:rFonts w:cs="Arial"/>
                <w:sz w:val="22"/>
                <w:szCs w:val="22"/>
              </w:rPr>
            </w:pPr>
          </w:p>
        </w:tc>
      </w:tr>
      <w:tr w:rsidR="000B11E9" w:rsidRPr="005A3AED" w14:paraId="45578534" w14:textId="77777777" w:rsidTr="001B4653">
        <w:trPr>
          <w:trHeight w:val="1377"/>
        </w:trPr>
        <w:tc>
          <w:tcPr>
            <w:tcW w:w="2349" w:type="dxa"/>
          </w:tcPr>
          <w:p w14:paraId="3B422E6E" w14:textId="77777777" w:rsidR="000B11E9" w:rsidRPr="005A3AED" w:rsidRDefault="000B11E9" w:rsidP="00C80C9F">
            <w:pPr>
              <w:spacing w:line="276" w:lineRule="auto"/>
              <w:jc w:val="center"/>
              <w:rPr>
                <w:rFonts w:cs="Arial"/>
                <w:sz w:val="22"/>
                <w:szCs w:val="22"/>
              </w:rPr>
            </w:pPr>
            <w:r w:rsidRPr="005A3AED">
              <w:rPr>
                <w:rFonts w:cs="Arial"/>
                <w:sz w:val="22"/>
                <w:szCs w:val="22"/>
              </w:rPr>
              <w:t xml:space="preserve">Juzgado Sexto Penal del Circuito de Pereira </w:t>
            </w:r>
          </w:p>
        </w:tc>
        <w:tc>
          <w:tcPr>
            <w:tcW w:w="2349" w:type="dxa"/>
            <w:vMerge/>
          </w:tcPr>
          <w:p w14:paraId="74FC0282" w14:textId="77777777" w:rsidR="000B11E9" w:rsidRPr="005A3AED" w:rsidRDefault="000B11E9" w:rsidP="00C80C9F">
            <w:pPr>
              <w:spacing w:line="276" w:lineRule="auto"/>
              <w:jc w:val="center"/>
              <w:rPr>
                <w:rFonts w:cs="Arial"/>
                <w:sz w:val="22"/>
                <w:szCs w:val="22"/>
                <w:highlight w:val="yellow"/>
              </w:rPr>
            </w:pPr>
          </w:p>
        </w:tc>
        <w:tc>
          <w:tcPr>
            <w:tcW w:w="2349" w:type="dxa"/>
          </w:tcPr>
          <w:p w14:paraId="02F9192F" w14:textId="072984D9" w:rsidR="000B11E9" w:rsidRPr="005A3AED" w:rsidRDefault="000B11E9" w:rsidP="00C80C9F">
            <w:pPr>
              <w:spacing w:line="276" w:lineRule="auto"/>
              <w:jc w:val="center"/>
              <w:rPr>
                <w:rFonts w:cs="Arial"/>
                <w:sz w:val="22"/>
                <w:szCs w:val="22"/>
              </w:rPr>
            </w:pPr>
            <w:r w:rsidRPr="005A3AED">
              <w:rPr>
                <w:rFonts w:cs="Arial"/>
                <w:sz w:val="22"/>
                <w:szCs w:val="22"/>
              </w:rPr>
              <w:t>Auto sobre incidente de desacato del 20 de febrero de 2006</w:t>
            </w:r>
          </w:p>
        </w:tc>
        <w:tc>
          <w:tcPr>
            <w:tcW w:w="2349" w:type="dxa"/>
            <w:vMerge/>
          </w:tcPr>
          <w:p w14:paraId="2947DF8A" w14:textId="77777777" w:rsidR="000B11E9" w:rsidRPr="005A3AED" w:rsidRDefault="000B11E9" w:rsidP="00C80C9F">
            <w:pPr>
              <w:spacing w:line="276" w:lineRule="auto"/>
              <w:rPr>
                <w:rFonts w:cs="Arial"/>
                <w:sz w:val="22"/>
                <w:szCs w:val="22"/>
              </w:rPr>
            </w:pPr>
          </w:p>
        </w:tc>
      </w:tr>
      <w:tr w:rsidR="008070BC" w:rsidRPr="005A3AED" w14:paraId="7F0B5AF1" w14:textId="77777777" w:rsidTr="00CB2DC2">
        <w:trPr>
          <w:trHeight w:val="920"/>
        </w:trPr>
        <w:tc>
          <w:tcPr>
            <w:tcW w:w="2349" w:type="dxa"/>
            <w:vMerge w:val="restart"/>
            <w:tcBorders>
              <w:bottom w:val="single" w:sz="4" w:space="0" w:color="auto"/>
            </w:tcBorders>
          </w:tcPr>
          <w:p w14:paraId="499E0517" w14:textId="63B5D712" w:rsidR="008070BC" w:rsidRPr="005A3AED" w:rsidRDefault="008070BC" w:rsidP="00C80C9F">
            <w:pPr>
              <w:spacing w:line="276" w:lineRule="auto"/>
              <w:jc w:val="center"/>
              <w:rPr>
                <w:rFonts w:cs="Arial"/>
                <w:sz w:val="22"/>
                <w:szCs w:val="22"/>
              </w:rPr>
            </w:pPr>
            <w:r w:rsidRPr="005A3AED">
              <w:rPr>
                <w:rFonts w:cs="Arial"/>
                <w:sz w:val="22"/>
                <w:szCs w:val="22"/>
              </w:rPr>
              <w:t xml:space="preserve">Juzgado Sexto Penal del Circuito de Pereira </w:t>
            </w:r>
          </w:p>
        </w:tc>
        <w:tc>
          <w:tcPr>
            <w:tcW w:w="2349" w:type="dxa"/>
            <w:vMerge w:val="restart"/>
            <w:tcBorders>
              <w:bottom w:val="single" w:sz="4" w:space="0" w:color="auto"/>
            </w:tcBorders>
          </w:tcPr>
          <w:p w14:paraId="7B729E6A" w14:textId="77777777" w:rsidR="008070BC" w:rsidRPr="005A3AED" w:rsidRDefault="008070BC" w:rsidP="00C80C9F">
            <w:pPr>
              <w:spacing w:line="276" w:lineRule="auto"/>
              <w:jc w:val="center"/>
              <w:rPr>
                <w:rFonts w:cs="Arial"/>
                <w:sz w:val="22"/>
                <w:szCs w:val="22"/>
              </w:rPr>
            </w:pPr>
          </w:p>
          <w:p w14:paraId="77344EA0" w14:textId="77777777" w:rsidR="008070BC" w:rsidRPr="005A3AED" w:rsidRDefault="008070BC" w:rsidP="00C80C9F">
            <w:pPr>
              <w:spacing w:line="276" w:lineRule="auto"/>
              <w:jc w:val="center"/>
              <w:rPr>
                <w:rFonts w:cs="Arial"/>
                <w:sz w:val="22"/>
                <w:szCs w:val="22"/>
              </w:rPr>
            </w:pPr>
          </w:p>
          <w:p w14:paraId="4E361E18" w14:textId="4235B9AB" w:rsidR="008070BC" w:rsidRPr="005A3AED" w:rsidRDefault="008070BC" w:rsidP="00EA662B">
            <w:pPr>
              <w:spacing w:line="276" w:lineRule="auto"/>
              <w:jc w:val="center"/>
              <w:rPr>
                <w:rFonts w:cs="Arial"/>
                <w:sz w:val="22"/>
                <w:szCs w:val="22"/>
              </w:rPr>
            </w:pPr>
            <w:r w:rsidRPr="005A3AED">
              <w:rPr>
                <w:rFonts w:cs="Arial"/>
                <w:sz w:val="22"/>
                <w:szCs w:val="22"/>
              </w:rPr>
              <w:t>66001-40-04-003-2005-00141-00/02</w:t>
            </w:r>
          </w:p>
          <w:p w14:paraId="0D2D574A" w14:textId="5563DA25" w:rsidR="008070BC" w:rsidRPr="005A3AED" w:rsidRDefault="008070BC" w:rsidP="00C80C9F">
            <w:pPr>
              <w:spacing w:line="276" w:lineRule="auto"/>
              <w:jc w:val="center"/>
              <w:rPr>
                <w:rFonts w:cs="Arial"/>
                <w:sz w:val="22"/>
                <w:szCs w:val="22"/>
              </w:rPr>
            </w:pPr>
          </w:p>
        </w:tc>
        <w:tc>
          <w:tcPr>
            <w:tcW w:w="2349" w:type="dxa"/>
            <w:tcBorders>
              <w:bottom w:val="single" w:sz="4" w:space="0" w:color="auto"/>
            </w:tcBorders>
          </w:tcPr>
          <w:p w14:paraId="1F7A59D2" w14:textId="04970392" w:rsidR="008070BC" w:rsidRPr="005A3AED" w:rsidRDefault="008070BC" w:rsidP="007E73EC">
            <w:pPr>
              <w:spacing w:line="276" w:lineRule="auto"/>
              <w:jc w:val="center"/>
              <w:rPr>
                <w:rFonts w:cs="Arial"/>
                <w:sz w:val="22"/>
                <w:szCs w:val="22"/>
              </w:rPr>
            </w:pPr>
            <w:r w:rsidRPr="005A3AED">
              <w:rPr>
                <w:rFonts w:cs="Arial"/>
                <w:sz w:val="22"/>
                <w:szCs w:val="22"/>
              </w:rPr>
              <w:t xml:space="preserve">Sentencia del 9 de junio de 2005  </w:t>
            </w:r>
          </w:p>
        </w:tc>
        <w:tc>
          <w:tcPr>
            <w:tcW w:w="2349" w:type="dxa"/>
            <w:vMerge w:val="restart"/>
            <w:tcBorders>
              <w:bottom w:val="single" w:sz="4" w:space="0" w:color="auto"/>
            </w:tcBorders>
          </w:tcPr>
          <w:p w14:paraId="33D4A003" w14:textId="45316273" w:rsidR="008070BC" w:rsidRPr="005A3AED" w:rsidRDefault="008070BC" w:rsidP="00EA662B">
            <w:pPr>
              <w:spacing w:line="276" w:lineRule="auto"/>
              <w:jc w:val="center"/>
              <w:rPr>
                <w:rFonts w:cs="Arial"/>
                <w:sz w:val="22"/>
                <w:szCs w:val="22"/>
              </w:rPr>
            </w:pPr>
            <w:r w:rsidRPr="005A3AED">
              <w:rPr>
                <w:rFonts w:cs="Arial"/>
                <w:sz w:val="22"/>
                <w:szCs w:val="22"/>
              </w:rPr>
              <w:t>ARP Suratep</w:t>
            </w:r>
          </w:p>
        </w:tc>
      </w:tr>
      <w:tr w:rsidR="008070BC" w:rsidRPr="005A3AED" w14:paraId="4134E83E" w14:textId="77777777" w:rsidTr="00EA662B">
        <w:trPr>
          <w:trHeight w:val="485"/>
        </w:trPr>
        <w:tc>
          <w:tcPr>
            <w:tcW w:w="2349" w:type="dxa"/>
            <w:vMerge/>
          </w:tcPr>
          <w:p w14:paraId="16823DBA" w14:textId="77777777" w:rsidR="008070BC" w:rsidRPr="005A3AED" w:rsidRDefault="008070BC" w:rsidP="00C80C9F">
            <w:pPr>
              <w:spacing w:line="276" w:lineRule="auto"/>
              <w:jc w:val="center"/>
              <w:rPr>
                <w:rFonts w:cs="Arial"/>
                <w:sz w:val="22"/>
                <w:szCs w:val="22"/>
              </w:rPr>
            </w:pPr>
          </w:p>
        </w:tc>
        <w:tc>
          <w:tcPr>
            <w:tcW w:w="2349" w:type="dxa"/>
            <w:vMerge/>
          </w:tcPr>
          <w:p w14:paraId="1D86BC33" w14:textId="77777777" w:rsidR="008070BC" w:rsidRPr="005A3AED" w:rsidRDefault="008070BC" w:rsidP="00C80C9F">
            <w:pPr>
              <w:spacing w:line="276" w:lineRule="auto"/>
              <w:jc w:val="center"/>
              <w:rPr>
                <w:rFonts w:cs="Arial"/>
                <w:sz w:val="22"/>
                <w:szCs w:val="22"/>
              </w:rPr>
            </w:pPr>
          </w:p>
        </w:tc>
        <w:tc>
          <w:tcPr>
            <w:tcW w:w="2349" w:type="dxa"/>
          </w:tcPr>
          <w:p w14:paraId="54EEA9C6" w14:textId="37F5C5BA" w:rsidR="008070BC" w:rsidRPr="005A3AED" w:rsidRDefault="008070BC" w:rsidP="007E73EC">
            <w:pPr>
              <w:spacing w:line="276" w:lineRule="auto"/>
              <w:jc w:val="center"/>
              <w:rPr>
                <w:rFonts w:cs="Arial"/>
                <w:sz w:val="22"/>
                <w:szCs w:val="22"/>
              </w:rPr>
            </w:pPr>
            <w:r w:rsidRPr="005A3AED">
              <w:rPr>
                <w:rFonts w:cs="Arial"/>
                <w:sz w:val="22"/>
                <w:szCs w:val="22"/>
              </w:rPr>
              <w:t>Auto sobre incidente de desacato del 6 de septiembre de 2005</w:t>
            </w:r>
          </w:p>
        </w:tc>
        <w:tc>
          <w:tcPr>
            <w:tcW w:w="2349" w:type="dxa"/>
            <w:vMerge/>
          </w:tcPr>
          <w:p w14:paraId="62F3E213" w14:textId="77777777" w:rsidR="008070BC" w:rsidRPr="005A3AED" w:rsidRDefault="008070BC" w:rsidP="00C80C9F">
            <w:pPr>
              <w:spacing w:line="276" w:lineRule="auto"/>
              <w:rPr>
                <w:rFonts w:cs="Arial"/>
                <w:sz w:val="22"/>
                <w:szCs w:val="22"/>
              </w:rPr>
            </w:pPr>
          </w:p>
        </w:tc>
      </w:tr>
      <w:tr w:rsidR="004A2593" w:rsidRPr="005A3AED" w14:paraId="16E9F2E6" w14:textId="77777777" w:rsidTr="00EA662B">
        <w:trPr>
          <w:trHeight w:val="991"/>
        </w:trPr>
        <w:tc>
          <w:tcPr>
            <w:tcW w:w="2349" w:type="dxa"/>
          </w:tcPr>
          <w:p w14:paraId="5BC93B18" w14:textId="77777777" w:rsidR="004A2593" w:rsidRPr="005A3AED" w:rsidRDefault="004A2593" w:rsidP="00C80C9F">
            <w:pPr>
              <w:spacing w:line="276" w:lineRule="auto"/>
              <w:jc w:val="center"/>
              <w:rPr>
                <w:rFonts w:cs="Arial"/>
                <w:sz w:val="22"/>
                <w:szCs w:val="22"/>
              </w:rPr>
            </w:pPr>
            <w:r w:rsidRPr="005A3AED">
              <w:rPr>
                <w:rFonts w:cs="Arial"/>
                <w:sz w:val="22"/>
                <w:szCs w:val="22"/>
              </w:rPr>
              <w:t xml:space="preserve">Juzgado Segundo Penal Municipal con funciones de Control de Garantías </w:t>
            </w:r>
          </w:p>
        </w:tc>
        <w:tc>
          <w:tcPr>
            <w:tcW w:w="2349" w:type="dxa"/>
            <w:vMerge w:val="restart"/>
          </w:tcPr>
          <w:p w14:paraId="595997B2" w14:textId="77777777" w:rsidR="00CB2DC2" w:rsidRDefault="00CB2DC2" w:rsidP="003119B2">
            <w:pPr>
              <w:spacing w:line="276" w:lineRule="auto"/>
              <w:jc w:val="center"/>
              <w:rPr>
                <w:rFonts w:cs="Arial"/>
                <w:sz w:val="22"/>
                <w:szCs w:val="22"/>
              </w:rPr>
            </w:pPr>
          </w:p>
          <w:p w14:paraId="4CB67213" w14:textId="77777777" w:rsidR="00CB2DC2" w:rsidRDefault="00CB2DC2" w:rsidP="003119B2">
            <w:pPr>
              <w:spacing w:line="276" w:lineRule="auto"/>
              <w:jc w:val="center"/>
              <w:rPr>
                <w:rFonts w:cs="Arial"/>
                <w:sz w:val="22"/>
                <w:szCs w:val="22"/>
              </w:rPr>
            </w:pPr>
          </w:p>
          <w:p w14:paraId="51ECE454" w14:textId="5D1D6B9E" w:rsidR="004A2593" w:rsidRPr="005A3AED" w:rsidRDefault="003119B2" w:rsidP="003119B2">
            <w:pPr>
              <w:spacing w:line="276" w:lineRule="auto"/>
              <w:jc w:val="center"/>
              <w:rPr>
                <w:rFonts w:cs="Arial"/>
                <w:sz w:val="22"/>
                <w:szCs w:val="22"/>
              </w:rPr>
            </w:pPr>
            <w:r w:rsidRPr="005A3AED">
              <w:rPr>
                <w:rFonts w:cs="Arial"/>
                <w:sz w:val="22"/>
                <w:szCs w:val="22"/>
              </w:rPr>
              <w:t>66001-40-88-002-2006-00114-01</w:t>
            </w:r>
          </w:p>
        </w:tc>
        <w:tc>
          <w:tcPr>
            <w:tcW w:w="2349" w:type="dxa"/>
          </w:tcPr>
          <w:p w14:paraId="080057D7" w14:textId="741F68F8" w:rsidR="004A2593" w:rsidRPr="005A3AED" w:rsidRDefault="000B11E9" w:rsidP="00EA662B">
            <w:pPr>
              <w:spacing w:line="276" w:lineRule="auto"/>
              <w:jc w:val="center"/>
              <w:rPr>
                <w:rFonts w:cs="Arial"/>
                <w:sz w:val="22"/>
                <w:szCs w:val="22"/>
              </w:rPr>
            </w:pPr>
            <w:r w:rsidRPr="005A3AED">
              <w:rPr>
                <w:rFonts w:cs="Arial"/>
                <w:sz w:val="22"/>
                <w:szCs w:val="22"/>
              </w:rPr>
              <w:t xml:space="preserve">Sentencia del </w:t>
            </w:r>
            <w:r w:rsidR="00EA662B" w:rsidRPr="005A3AED">
              <w:rPr>
                <w:rFonts w:cs="Arial"/>
                <w:sz w:val="22"/>
                <w:szCs w:val="22"/>
              </w:rPr>
              <w:t>29 de noviembre de 2006</w:t>
            </w:r>
          </w:p>
        </w:tc>
        <w:tc>
          <w:tcPr>
            <w:tcW w:w="2349" w:type="dxa"/>
            <w:vMerge w:val="restart"/>
          </w:tcPr>
          <w:p w14:paraId="1036871C" w14:textId="13E5FBC1" w:rsidR="004A2593" w:rsidRPr="005A3AED" w:rsidRDefault="004A2593" w:rsidP="009F10EF">
            <w:pPr>
              <w:spacing w:line="276" w:lineRule="auto"/>
              <w:jc w:val="center"/>
              <w:rPr>
                <w:rFonts w:cs="Arial"/>
                <w:sz w:val="22"/>
                <w:szCs w:val="22"/>
              </w:rPr>
            </w:pPr>
            <w:r w:rsidRPr="005A3AED">
              <w:rPr>
                <w:rFonts w:cs="Arial"/>
                <w:sz w:val="22"/>
                <w:szCs w:val="22"/>
              </w:rPr>
              <w:t>EPS Salud total</w:t>
            </w:r>
          </w:p>
        </w:tc>
      </w:tr>
      <w:tr w:rsidR="004A2593" w:rsidRPr="005A3AED" w14:paraId="13797DE1" w14:textId="77777777" w:rsidTr="00EA662B">
        <w:trPr>
          <w:trHeight w:val="991"/>
        </w:trPr>
        <w:tc>
          <w:tcPr>
            <w:tcW w:w="2349" w:type="dxa"/>
          </w:tcPr>
          <w:p w14:paraId="28181E19" w14:textId="118D63FD" w:rsidR="004A2593" w:rsidRPr="005A3AED" w:rsidRDefault="004A2593" w:rsidP="00C80C9F">
            <w:pPr>
              <w:spacing w:line="276" w:lineRule="auto"/>
              <w:jc w:val="center"/>
              <w:rPr>
                <w:rFonts w:cs="Arial"/>
                <w:sz w:val="22"/>
                <w:szCs w:val="22"/>
              </w:rPr>
            </w:pPr>
            <w:r w:rsidRPr="005A3AED">
              <w:rPr>
                <w:rFonts w:cs="Arial"/>
                <w:sz w:val="22"/>
                <w:szCs w:val="22"/>
              </w:rPr>
              <w:t>Juzgado Tercero Penal del Circuito de</w:t>
            </w:r>
            <w:r w:rsidR="003119B2" w:rsidRPr="005A3AED">
              <w:rPr>
                <w:rFonts w:cs="Arial"/>
                <w:sz w:val="22"/>
                <w:szCs w:val="22"/>
              </w:rPr>
              <w:t xml:space="preserve"> Pereira</w:t>
            </w:r>
            <w:r w:rsidRPr="005A3AED">
              <w:rPr>
                <w:rFonts w:cs="Arial"/>
                <w:sz w:val="22"/>
                <w:szCs w:val="22"/>
              </w:rPr>
              <w:t xml:space="preserve"> </w:t>
            </w:r>
          </w:p>
        </w:tc>
        <w:tc>
          <w:tcPr>
            <w:tcW w:w="2349" w:type="dxa"/>
            <w:vMerge/>
          </w:tcPr>
          <w:p w14:paraId="404775EE" w14:textId="77777777" w:rsidR="004A2593" w:rsidRPr="005A3AED" w:rsidRDefault="004A2593" w:rsidP="00C80C9F">
            <w:pPr>
              <w:spacing w:line="276" w:lineRule="auto"/>
              <w:jc w:val="center"/>
              <w:rPr>
                <w:rFonts w:cs="Arial"/>
                <w:sz w:val="22"/>
                <w:szCs w:val="22"/>
              </w:rPr>
            </w:pPr>
          </w:p>
        </w:tc>
        <w:tc>
          <w:tcPr>
            <w:tcW w:w="2349" w:type="dxa"/>
          </w:tcPr>
          <w:p w14:paraId="108404EE" w14:textId="740AEBA0" w:rsidR="004A2593" w:rsidRPr="005A3AED" w:rsidRDefault="000B11E9" w:rsidP="00C80C9F">
            <w:pPr>
              <w:spacing w:line="276" w:lineRule="auto"/>
              <w:jc w:val="center"/>
              <w:rPr>
                <w:rFonts w:cs="Arial"/>
                <w:sz w:val="22"/>
                <w:szCs w:val="22"/>
              </w:rPr>
            </w:pPr>
            <w:r w:rsidRPr="005A3AED">
              <w:rPr>
                <w:rFonts w:cs="Arial"/>
                <w:sz w:val="22"/>
                <w:szCs w:val="22"/>
              </w:rPr>
              <w:t xml:space="preserve">Sentencia del </w:t>
            </w:r>
            <w:r w:rsidR="00C07591" w:rsidRPr="005A3AED">
              <w:rPr>
                <w:rFonts w:cs="Arial"/>
                <w:sz w:val="22"/>
                <w:szCs w:val="22"/>
              </w:rPr>
              <w:t xml:space="preserve">8 de febrero de 2007 </w:t>
            </w:r>
          </w:p>
        </w:tc>
        <w:tc>
          <w:tcPr>
            <w:tcW w:w="2349" w:type="dxa"/>
            <w:vMerge/>
          </w:tcPr>
          <w:p w14:paraId="33BDCD4B" w14:textId="77777777" w:rsidR="004A2593" w:rsidRPr="005A3AED" w:rsidRDefault="004A2593" w:rsidP="00C80C9F">
            <w:pPr>
              <w:spacing w:line="276" w:lineRule="auto"/>
              <w:rPr>
                <w:rFonts w:cs="Arial"/>
                <w:sz w:val="22"/>
                <w:szCs w:val="22"/>
              </w:rPr>
            </w:pPr>
          </w:p>
        </w:tc>
      </w:tr>
      <w:tr w:rsidR="00C663BD" w:rsidRPr="005A3AED" w14:paraId="7698FF1B" w14:textId="77777777" w:rsidTr="00EA662B">
        <w:trPr>
          <w:trHeight w:val="991"/>
        </w:trPr>
        <w:tc>
          <w:tcPr>
            <w:tcW w:w="2349" w:type="dxa"/>
          </w:tcPr>
          <w:p w14:paraId="36DEED17" w14:textId="77777777" w:rsidR="00C663BD" w:rsidRPr="005A3AED" w:rsidRDefault="00C663BD" w:rsidP="00C80C9F">
            <w:pPr>
              <w:spacing w:line="276" w:lineRule="auto"/>
              <w:jc w:val="center"/>
              <w:rPr>
                <w:rFonts w:cs="Arial"/>
                <w:sz w:val="22"/>
                <w:szCs w:val="22"/>
              </w:rPr>
            </w:pPr>
            <w:r w:rsidRPr="005A3AED">
              <w:rPr>
                <w:rFonts w:cs="Arial"/>
                <w:sz w:val="22"/>
                <w:szCs w:val="22"/>
              </w:rPr>
              <w:t xml:space="preserve">Juzgado Quinto Penal Municipal de Pereira </w:t>
            </w:r>
          </w:p>
        </w:tc>
        <w:tc>
          <w:tcPr>
            <w:tcW w:w="2349" w:type="dxa"/>
          </w:tcPr>
          <w:p w14:paraId="427E367E" w14:textId="77777777" w:rsidR="00CB2DC2" w:rsidRDefault="00CB2DC2" w:rsidP="00C80C9F">
            <w:pPr>
              <w:spacing w:line="276" w:lineRule="auto"/>
              <w:jc w:val="center"/>
              <w:rPr>
                <w:rFonts w:cs="Arial"/>
                <w:sz w:val="22"/>
                <w:szCs w:val="22"/>
              </w:rPr>
            </w:pPr>
          </w:p>
          <w:p w14:paraId="213A68B8" w14:textId="0E432F67" w:rsidR="00C663BD" w:rsidRPr="005A3AED" w:rsidRDefault="002D4E8F" w:rsidP="00C80C9F">
            <w:pPr>
              <w:spacing w:line="276" w:lineRule="auto"/>
              <w:jc w:val="center"/>
              <w:rPr>
                <w:rFonts w:cs="Arial"/>
                <w:sz w:val="22"/>
                <w:szCs w:val="22"/>
              </w:rPr>
            </w:pPr>
            <w:r w:rsidRPr="005A3AED">
              <w:rPr>
                <w:rFonts w:cs="Arial"/>
                <w:sz w:val="22"/>
                <w:szCs w:val="22"/>
              </w:rPr>
              <w:t>66001</w:t>
            </w:r>
            <w:r w:rsidR="00925032" w:rsidRPr="005A3AED">
              <w:rPr>
                <w:rFonts w:cs="Arial"/>
                <w:sz w:val="22"/>
                <w:szCs w:val="22"/>
              </w:rPr>
              <w:t>-</w:t>
            </w:r>
            <w:r w:rsidRPr="005A3AED">
              <w:rPr>
                <w:rFonts w:cs="Arial"/>
                <w:sz w:val="22"/>
                <w:szCs w:val="22"/>
              </w:rPr>
              <w:t>40</w:t>
            </w:r>
            <w:r w:rsidR="00925032" w:rsidRPr="005A3AED">
              <w:rPr>
                <w:rFonts w:cs="Arial"/>
                <w:sz w:val="22"/>
                <w:szCs w:val="22"/>
              </w:rPr>
              <w:t>-</w:t>
            </w:r>
            <w:r w:rsidRPr="005A3AED">
              <w:rPr>
                <w:rFonts w:cs="Arial"/>
                <w:sz w:val="22"/>
                <w:szCs w:val="22"/>
              </w:rPr>
              <w:t>03</w:t>
            </w:r>
            <w:r w:rsidR="00925032" w:rsidRPr="005A3AED">
              <w:rPr>
                <w:rFonts w:cs="Arial"/>
                <w:sz w:val="22"/>
                <w:szCs w:val="22"/>
              </w:rPr>
              <w:t>-</w:t>
            </w:r>
            <w:r w:rsidRPr="005A3AED">
              <w:rPr>
                <w:rFonts w:cs="Arial"/>
                <w:sz w:val="22"/>
                <w:szCs w:val="22"/>
              </w:rPr>
              <w:t>005</w:t>
            </w:r>
            <w:r w:rsidR="00925032" w:rsidRPr="005A3AED">
              <w:rPr>
                <w:rFonts w:cs="Arial"/>
                <w:sz w:val="22"/>
                <w:szCs w:val="22"/>
              </w:rPr>
              <w:t>-</w:t>
            </w:r>
            <w:r w:rsidRPr="005A3AED">
              <w:rPr>
                <w:rFonts w:cs="Arial"/>
                <w:sz w:val="22"/>
                <w:szCs w:val="22"/>
              </w:rPr>
              <w:t>2007</w:t>
            </w:r>
            <w:r w:rsidR="00925032" w:rsidRPr="005A3AED">
              <w:rPr>
                <w:rFonts w:cs="Arial"/>
                <w:sz w:val="22"/>
                <w:szCs w:val="22"/>
              </w:rPr>
              <w:t>-</w:t>
            </w:r>
            <w:r w:rsidRPr="005A3AED">
              <w:rPr>
                <w:rFonts w:cs="Arial"/>
                <w:sz w:val="22"/>
                <w:szCs w:val="22"/>
              </w:rPr>
              <w:t>00349</w:t>
            </w:r>
            <w:r w:rsidR="00925032" w:rsidRPr="005A3AED">
              <w:rPr>
                <w:rFonts w:cs="Arial"/>
                <w:sz w:val="22"/>
                <w:szCs w:val="22"/>
              </w:rPr>
              <w:t>-</w:t>
            </w:r>
            <w:r w:rsidRPr="005A3AED">
              <w:rPr>
                <w:rFonts w:cs="Arial"/>
                <w:sz w:val="22"/>
                <w:szCs w:val="22"/>
              </w:rPr>
              <w:t>00</w:t>
            </w:r>
          </w:p>
        </w:tc>
        <w:tc>
          <w:tcPr>
            <w:tcW w:w="2349" w:type="dxa"/>
          </w:tcPr>
          <w:p w14:paraId="58D01AC2" w14:textId="61FE4AF0" w:rsidR="00C663BD" w:rsidRPr="005A3AED" w:rsidRDefault="000B11E9" w:rsidP="00C80C9F">
            <w:pPr>
              <w:spacing w:line="276" w:lineRule="auto"/>
              <w:jc w:val="center"/>
              <w:rPr>
                <w:rFonts w:cs="Arial"/>
                <w:sz w:val="22"/>
                <w:szCs w:val="22"/>
                <w:highlight w:val="cyan"/>
              </w:rPr>
            </w:pPr>
            <w:r w:rsidRPr="005A3AED">
              <w:rPr>
                <w:rFonts w:cs="Arial"/>
                <w:sz w:val="22"/>
                <w:szCs w:val="22"/>
              </w:rPr>
              <w:t xml:space="preserve">Sentencia del </w:t>
            </w:r>
            <w:r w:rsidR="00C663BD" w:rsidRPr="005A3AED">
              <w:rPr>
                <w:rFonts w:cs="Arial"/>
                <w:sz w:val="22"/>
                <w:szCs w:val="22"/>
              </w:rPr>
              <w:t>23 de mayo de 2007</w:t>
            </w:r>
          </w:p>
        </w:tc>
        <w:tc>
          <w:tcPr>
            <w:tcW w:w="2349" w:type="dxa"/>
          </w:tcPr>
          <w:p w14:paraId="429F5BFE" w14:textId="7972FC64" w:rsidR="00C663BD" w:rsidRPr="005A3AED" w:rsidRDefault="00E41571" w:rsidP="00C80C9F">
            <w:pPr>
              <w:spacing w:line="276" w:lineRule="auto"/>
              <w:rPr>
                <w:rFonts w:cs="Arial"/>
                <w:sz w:val="22"/>
                <w:szCs w:val="22"/>
              </w:rPr>
            </w:pPr>
            <w:r w:rsidRPr="005A3AED">
              <w:rPr>
                <w:rFonts w:cs="Arial"/>
                <w:sz w:val="22"/>
                <w:szCs w:val="22"/>
              </w:rPr>
              <w:t>Mereser Ltda., Nicole S.A, Arp Suratep y EPS Salud Total</w:t>
            </w:r>
          </w:p>
        </w:tc>
      </w:tr>
      <w:tr w:rsidR="00C663BD" w:rsidRPr="005A3AED" w14:paraId="552F69C6" w14:textId="77777777" w:rsidTr="00EA662B">
        <w:trPr>
          <w:trHeight w:val="991"/>
        </w:trPr>
        <w:tc>
          <w:tcPr>
            <w:tcW w:w="2349" w:type="dxa"/>
          </w:tcPr>
          <w:p w14:paraId="667F94DC" w14:textId="3A488723" w:rsidR="00C663BD" w:rsidRPr="005A3AED" w:rsidRDefault="003F0691" w:rsidP="00E41571">
            <w:pPr>
              <w:spacing w:line="276" w:lineRule="auto"/>
              <w:jc w:val="center"/>
              <w:rPr>
                <w:rFonts w:cs="Arial"/>
                <w:color w:val="000000" w:themeColor="text1"/>
                <w:sz w:val="22"/>
                <w:szCs w:val="22"/>
              </w:rPr>
            </w:pPr>
            <w:r w:rsidRPr="005A3AED">
              <w:rPr>
                <w:rFonts w:cs="Arial"/>
                <w:color w:val="000000" w:themeColor="text1"/>
                <w:sz w:val="22"/>
                <w:szCs w:val="22"/>
              </w:rPr>
              <w:t>Sección Cuarta del Consejo de Estado</w:t>
            </w:r>
          </w:p>
        </w:tc>
        <w:tc>
          <w:tcPr>
            <w:tcW w:w="2349" w:type="dxa"/>
          </w:tcPr>
          <w:p w14:paraId="59C53DCC" w14:textId="77777777" w:rsidR="00CB2DC2" w:rsidRDefault="00CB2DC2" w:rsidP="00E41571">
            <w:pPr>
              <w:spacing w:line="276" w:lineRule="auto"/>
              <w:jc w:val="center"/>
              <w:rPr>
                <w:rFonts w:cs="Arial"/>
                <w:color w:val="000000" w:themeColor="text1"/>
                <w:sz w:val="22"/>
                <w:szCs w:val="22"/>
              </w:rPr>
            </w:pPr>
          </w:p>
          <w:p w14:paraId="477EA50C" w14:textId="7EFD62D3" w:rsidR="00C663BD" w:rsidRPr="005A3AED" w:rsidRDefault="00C663BD" w:rsidP="00E41571">
            <w:pPr>
              <w:spacing w:line="276" w:lineRule="auto"/>
              <w:jc w:val="center"/>
              <w:rPr>
                <w:rFonts w:cs="Arial"/>
                <w:color w:val="000000" w:themeColor="text1"/>
                <w:sz w:val="22"/>
                <w:szCs w:val="22"/>
              </w:rPr>
            </w:pPr>
            <w:r w:rsidRPr="005A3AED">
              <w:rPr>
                <w:rFonts w:cs="Arial"/>
                <w:color w:val="000000" w:themeColor="text1"/>
                <w:sz w:val="22"/>
                <w:szCs w:val="22"/>
              </w:rPr>
              <w:t>17</w:t>
            </w:r>
            <w:r w:rsidR="003F0691" w:rsidRPr="005A3AED">
              <w:rPr>
                <w:rFonts w:cs="Arial"/>
                <w:color w:val="000000" w:themeColor="text1"/>
                <w:sz w:val="22"/>
                <w:szCs w:val="22"/>
              </w:rPr>
              <w:t>001-23-00-000-2009-00033-01</w:t>
            </w:r>
          </w:p>
        </w:tc>
        <w:tc>
          <w:tcPr>
            <w:tcW w:w="2349" w:type="dxa"/>
          </w:tcPr>
          <w:p w14:paraId="608E9121" w14:textId="6948C173" w:rsidR="00C663BD" w:rsidRPr="005A3AED" w:rsidRDefault="00CB2DC2" w:rsidP="00E41571">
            <w:pPr>
              <w:spacing w:line="276" w:lineRule="auto"/>
              <w:jc w:val="center"/>
              <w:rPr>
                <w:rFonts w:cs="Arial"/>
                <w:color w:val="000000" w:themeColor="text1"/>
                <w:sz w:val="22"/>
                <w:szCs w:val="22"/>
              </w:rPr>
            </w:pPr>
            <w:r w:rsidRPr="005A3AED">
              <w:rPr>
                <w:rFonts w:cs="Arial"/>
                <w:sz w:val="22"/>
                <w:szCs w:val="22"/>
              </w:rPr>
              <w:t xml:space="preserve">Sentencia del </w:t>
            </w:r>
            <w:r w:rsidR="00F1516E" w:rsidRPr="005A3AED">
              <w:rPr>
                <w:rFonts w:cs="Arial"/>
                <w:color w:val="000000" w:themeColor="text1"/>
                <w:sz w:val="22"/>
                <w:szCs w:val="22"/>
              </w:rPr>
              <w:t>20</w:t>
            </w:r>
            <w:r w:rsidR="003F0691" w:rsidRPr="005A3AED">
              <w:rPr>
                <w:rFonts w:cs="Arial"/>
                <w:color w:val="000000" w:themeColor="text1"/>
                <w:sz w:val="22"/>
                <w:szCs w:val="22"/>
              </w:rPr>
              <w:t xml:space="preserve"> de mayo</w:t>
            </w:r>
            <w:r w:rsidR="00C663BD" w:rsidRPr="005A3AED">
              <w:rPr>
                <w:rFonts w:cs="Arial"/>
                <w:color w:val="000000" w:themeColor="text1"/>
                <w:sz w:val="22"/>
                <w:szCs w:val="22"/>
              </w:rPr>
              <w:t xml:space="preserve"> de 2009</w:t>
            </w:r>
          </w:p>
        </w:tc>
        <w:tc>
          <w:tcPr>
            <w:tcW w:w="2349" w:type="dxa"/>
          </w:tcPr>
          <w:p w14:paraId="58627BAC" w14:textId="0B7511CD" w:rsidR="00C663BD" w:rsidRPr="005A3AED" w:rsidRDefault="003F0691" w:rsidP="00E41571">
            <w:pPr>
              <w:spacing w:line="276" w:lineRule="auto"/>
              <w:jc w:val="center"/>
              <w:rPr>
                <w:rFonts w:cs="Arial"/>
                <w:color w:val="000000" w:themeColor="text1"/>
                <w:sz w:val="22"/>
                <w:szCs w:val="22"/>
              </w:rPr>
            </w:pPr>
            <w:r w:rsidRPr="005A3AED">
              <w:rPr>
                <w:rFonts w:cs="Arial"/>
                <w:color w:val="000000" w:themeColor="text1"/>
                <w:sz w:val="22"/>
                <w:szCs w:val="22"/>
              </w:rPr>
              <w:t>Ministerio de la Protección Social</w:t>
            </w:r>
          </w:p>
        </w:tc>
      </w:tr>
      <w:tr w:rsidR="003F0691" w:rsidRPr="005A3AED" w14:paraId="4AD5B1D2" w14:textId="77777777" w:rsidTr="00EA662B">
        <w:trPr>
          <w:trHeight w:val="617"/>
        </w:trPr>
        <w:tc>
          <w:tcPr>
            <w:tcW w:w="2349" w:type="dxa"/>
          </w:tcPr>
          <w:p w14:paraId="16F9A72D" w14:textId="5F3305C2" w:rsidR="003F0691" w:rsidRPr="005A3AED" w:rsidRDefault="00F1516E" w:rsidP="00E41571">
            <w:pPr>
              <w:spacing w:line="276" w:lineRule="auto"/>
              <w:jc w:val="center"/>
              <w:rPr>
                <w:rFonts w:cs="Arial"/>
                <w:color w:val="000000" w:themeColor="text1"/>
                <w:sz w:val="22"/>
                <w:szCs w:val="22"/>
              </w:rPr>
            </w:pPr>
            <w:r w:rsidRPr="005A3AED">
              <w:rPr>
                <w:rFonts w:cs="Arial"/>
                <w:color w:val="000000" w:themeColor="text1"/>
                <w:sz w:val="22"/>
                <w:szCs w:val="22"/>
              </w:rPr>
              <w:t>Sección Quinta del Consejo de Estado</w:t>
            </w:r>
          </w:p>
        </w:tc>
        <w:tc>
          <w:tcPr>
            <w:tcW w:w="2349" w:type="dxa"/>
            <w:vMerge w:val="restart"/>
          </w:tcPr>
          <w:p w14:paraId="501B28FB" w14:textId="77777777" w:rsidR="005A3AED" w:rsidRPr="005A3AED" w:rsidRDefault="005A3AED" w:rsidP="00E41571">
            <w:pPr>
              <w:spacing w:line="276" w:lineRule="auto"/>
              <w:jc w:val="center"/>
              <w:rPr>
                <w:rFonts w:cs="Arial"/>
                <w:color w:val="000000" w:themeColor="text1"/>
                <w:sz w:val="22"/>
                <w:szCs w:val="22"/>
              </w:rPr>
            </w:pPr>
          </w:p>
          <w:p w14:paraId="028F1F73" w14:textId="77777777" w:rsidR="003F0691" w:rsidRPr="005A3AED" w:rsidRDefault="003F0691" w:rsidP="00E41571">
            <w:pPr>
              <w:spacing w:line="276" w:lineRule="auto"/>
              <w:jc w:val="center"/>
              <w:rPr>
                <w:rFonts w:cs="Arial"/>
                <w:color w:val="000000" w:themeColor="text1"/>
                <w:sz w:val="22"/>
                <w:szCs w:val="22"/>
              </w:rPr>
            </w:pPr>
            <w:r w:rsidRPr="005A3AED">
              <w:rPr>
                <w:rFonts w:cs="Arial"/>
                <w:color w:val="000000" w:themeColor="text1"/>
                <w:sz w:val="22"/>
                <w:szCs w:val="22"/>
              </w:rPr>
              <w:t>11001-03-15-000-2013-02060-00/01</w:t>
            </w:r>
          </w:p>
        </w:tc>
        <w:tc>
          <w:tcPr>
            <w:tcW w:w="2349" w:type="dxa"/>
          </w:tcPr>
          <w:p w14:paraId="47B637CC" w14:textId="273239BD" w:rsidR="003F0691" w:rsidRPr="005A3AED" w:rsidRDefault="00CB2DC2" w:rsidP="00E41571">
            <w:pPr>
              <w:spacing w:line="276" w:lineRule="auto"/>
              <w:jc w:val="center"/>
              <w:rPr>
                <w:rFonts w:cs="Arial"/>
                <w:color w:val="000000" w:themeColor="text1"/>
                <w:sz w:val="22"/>
                <w:szCs w:val="22"/>
              </w:rPr>
            </w:pPr>
            <w:r w:rsidRPr="005A3AED">
              <w:rPr>
                <w:rFonts w:cs="Arial"/>
                <w:sz w:val="22"/>
                <w:szCs w:val="22"/>
              </w:rPr>
              <w:t xml:space="preserve">Sentencia del </w:t>
            </w:r>
            <w:r w:rsidR="00F1516E" w:rsidRPr="005A3AED">
              <w:rPr>
                <w:rFonts w:cs="Arial"/>
                <w:color w:val="000000" w:themeColor="text1"/>
                <w:sz w:val="22"/>
                <w:szCs w:val="22"/>
              </w:rPr>
              <w:t>11 de diciembre de 2013</w:t>
            </w:r>
          </w:p>
        </w:tc>
        <w:tc>
          <w:tcPr>
            <w:tcW w:w="2349" w:type="dxa"/>
            <w:vMerge w:val="restart"/>
          </w:tcPr>
          <w:p w14:paraId="34876FB8" w14:textId="675A8D42" w:rsidR="003F0691" w:rsidRPr="005A3AED" w:rsidRDefault="00F1516E" w:rsidP="00E41571">
            <w:pPr>
              <w:spacing w:line="276" w:lineRule="auto"/>
              <w:jc w:val="center"/>
              <w:rPr>
                <w:rFonts w:cs="Arial"/>
                <w:color w:val="000000" w:themeColor="text1"/>
                <w:sz w:val="22"/>
                <w:szCs w:val="22"/>
              </w:rPr>
            </w:pPr>
            <w:r w:rsidRPr="005A3AED">
              <w:rPr>
                <w:rFonts w:cs="Arial"/>
                <w:color w:val="000000" w:themeColor="text1"/>
                <w:sz w:val="22"/>
                <w:szCs w:val="22"/>
              </w:rPr>
              <w:t xml:space="preserve">Consejo </w:t>
            </w:r>
            <w:r w:rsidR="00CB2DC2">
              <w:rPr>
                <w:rFonts w:cs="Arial"/>
                <w:color w:val="000000" w:themeColor="text1"/>
                <w:sz w:val="22"/>
                <w:szCs w:val="22"/>
              </w:rPr>
              <w:t>d</w:t>
            </w:r>
            <w:r w:rsidRPr="005A3AED">
              <w:rPr>
                <w:rFonts w:cs="Arial"/>
                <w:color w:val="000000" w:themeColor="text1"/>
                <w:sz w:val="22"/>
                <w:szCs w:val="22"/>
              </w:rPr>
              <w:t>e Estado Sección Cuarta y otros</w:t>
            </w:r>
          </w:p>
        </w:tc>
      </w:tr>
      <w:tr w:rsidR="003F0691" w:rsidRPr="005A3AED" w14:paraId="07810CA0" w14:textId="77777777" w:rsidTr="00EA662B">
        <w:trPr>
          <w:trHeight w:val="617"/>
        </w:trPr>
        <w:tc>
          <w:tcPr>
            <w:tcW w:w="2349" w:type="dxa"/>
          </w:tcPr>
          <w:p w14:paraId="0313A62D" w14:textId="1BEAE024" w:rsidR="003F0691" w:rsidRPr="005A3AED" w:rsidRDefault="00F1516E" w:rsidP="00E41571">
            <w:pPr>
              <w:spacing w:line="276" w:lineRule="auto"/>
              <w:jc w:val="center"/>
              <w:rPr>
                <w:rFonts w:cs="Arial"/>
                <w:color w:val="000000" w:themeColor="text1"/>
                <w:sz w:val="22"/>
                <w:szCs w:val="22"/>
              </w:rPr>
            </w:pPr>
            <w:r w:rsidRPr="005A3AED">
              <w:rPr>
                <w:rFonts w:cs="Arial"/>
                <w:color w:val="000000" w:themeColor="text1"/>
                <w:sz w:val="22"/>
                <w:szCs w:val="22"/>
              </w:rPr>
              <w:t>Sección Primera del Consejo de Estado</w:t>
            </w:r>
          </w:p>
        </w:tc>
        <w:tc>
          <w:tcPr>
            <w:tcW w:w="2349" w:type="dxa"/>
            <w:vMerge/>
          </w:tcPr>
          <w:p w14:paraId="23DABA81" w14:textId="77777777" w:rsidR="003F0691" w:rsidRPr="005A3AED" w:rsidRDefault="003F0691" w:rsidP="00E41571">
            <w:pPr>
              <w:spacing w:line="276" w:lineRule="auto"/>
              <w:jc w:val="center"/>
              <w:rPr>
                <w:rFonts w:cs="Arial"/>
                <w:color w:val="000000" w:themeColor="text1"/>
                <w:sz w:val="22"/>
                <w:szCs w:val="22"/>
              </w:rPr>
            </w:pPr>
          </w:p>
        </w:tc>
        <w:tc>
          <w:tcPr>
            <w:tcW w:w="2349" w:type="dxa"/>
          </w:tcPr>
          <w:p w14:paraId="1931BC83" w14:textId="4CDDBCC9" w:rsidR="003F0691" w:rsidRPr="005A3AED" w:rsidRDefault="00CB2DC2" w:rsidP="00E41571">
            <w:pPr>
              <w:spacing w:line="276" w:lineRule="auto"/>
              <w:jc w:val="center"/>
              <w:rPr>
                <w:rFonts w:cs="Arial"/>
                <w:color w:val="000000" w:themeColor="text1"/>
                <w:sz w:val="22"/>
                <w:szCs w:val="22"/>
              </w:rPr>
            </w:pPr>
            <w:r w:rsidRPr="005A3AED">
              <w:rPr>
                <w:rFonts w:cs="Arial"/>
                <w:sz w:val="22"/>
                <w:szCs w:val="22"/>
              </w:rPr>
              <w:t xml:space="preserve">Sentencia del </w:t>
            </w:r>
            <w:r w:rsidR="00F1516E" w:rsidRPr="005A3AED">
              <w:rPr>
                <w:rFonts w:cs="Arial"/>
                <w:color w:val="000000" w:themeColor="text1"/>
                <w:sz w:val="22"/>
                <w:szCs w:val="22"/>
              </w:rPr>
              <w:t>13 de marzo de 2014</w:t>
            </w:r>
          </w:p>
        </w:tc>
        <w:tc>
          <w:tcPr>
            <w:tcW w:w="2349" w:type="dxa"/>
            <w:vMerge/>
          </w:tcPr>
          <w:p w14:paraId="2419A94F" w14:textId="77777777" w:rsidR="003F0691" w:rsidRPr="005A3AED" w:rsidRDefault="003F0691" w:rsidP="00E41571">
            <w:pPr>
              <w:spacing w:line="276" w:lineRule="auto"/>
              <w:jc w:val="center"/>
              <w:rPr>
                <w:rFonts w:cs="Arial"/>
                <w:color w:val="000000" w:themeColor="text1"/>
                <w:sz w:val="22"/>
                <w:szCs w:val="22"/>
              </w:rPr>
            </w:pPr>
          </w:p>
        </w:tc>
      </w:tr>
      <w:tr w:rsidR="003F0691" w:rsidRPr="005A3AED" w14:paraId="7E7DF7AD" w14:textId="77777777" w:rsidTr="00EA662B">
        <w:trPr>
          <w:trHeight w:val="589"/>
        </w:trPr>
        <w:tc>
          <w:tcPr>
            <w:tcW w:w="2349" w:type="dxa"/>
          </w:tcPr>
          <w:p w14:paraId="7CCE1031" w14:textId="25388EE9" w:rsidR="003F0691" w:rsidRPr="005A3AED" w:rsidRDefault="003F0691" w:rsidP="00E41571">
            <w:pPr>
              <w:spacing w:line="276" w:lineRule="auto"/>
              <w:jc w:val="center"/>
              <w:rPr>
                <w:rFonts w:cs="Arial"/>
                <w:color w:val="000000" w:themeColor="text1"/>
                <w:sz w:val="22"/>
                <w:szCs w:val="22"/>
              </w:rPr>
            </w:pPr>
            <w:r w:rsidRPr="005A3AED">
              <w:rPr>
                <w:rFonts w:cs="Arial"/>
                <w:color w:val="000000" w:themeColor="text1"/>
                <w:sz w:val="22"/>
                <w:szCs w:val="22"/>
              </w:rPr>
              <w:t>Sección Segunda del Consejo de Estado</w:t>
            </w:r>
          </w:p>
        </w:tc>
        <w:tc>
          <w:tcPr>
            <w:tcW w:w="2349" w:type="dxa"/>
            <w:vMerge w:val="restart"/>
          </w:tcPr>
          <w:p w14:paraId="2D5B2A93" w14:textId="77777777" w:rsidR="008070BC" w:rsidRPr="005A3AED" w:rsidRDefault="008070BC" w:rsidP="00E41571">
            <w:pPr>
              <w:spacing w:line="276" w:lineRule="auto"/>
              <w:jc w:val="center"/>
              <w:rPr>
                <w:rFonts w:cs="Arial"/>
                <w:color w:val="000000" w:themeColor="text1"/>
                <w:sz w:val="22"/>
                <w:szCs w:val="22"/>
              </w:rPr>
            </w:pPr>
          </w:p>
          <w:p w14:paraId="08501F3D" w14:textId="77777777" w:rsidR="003F0691" w:rsidRPr="005A3AED" w:rsidRDefault="003F0691" w:rsidP="00E41571">
            <w:pPr>
              <w:spacing w:line="276" w:lineRule="auto"/>
              <w:jc w:val="center"/>
              <w:rPr>
                <w:rFonts w:cs="Arial"/>
                <w:color w:val="000000" w:themeColor="text1"/>
                <w:sz w:val="22"/>
                <w:szCs w:val="22"/>
              </w:rPr>
            </w:pPr>
            <w:r w:rsidRPr="005A3AED">
              <w:rPr>
                <w:rFonts w:cs="Arial"/>
                <w:color w:val="000000" w:themeColor="text1"/>
                <w:sz w:val="22"/>
                <w:szCs w:val="22"/>
              </w:rPr>
              <w:t>11001-03-15-000-2014-02517-00/01</w:t>
            </w:r>
          </w:p>
        </w:tc>
        <w:tc>
          <w:tcPr>
            <w:tcW w:w="2349" w:type="dxa"/>
          </w:tcPr>
          <w:p w14:paraId="04CB2F52" w14:textId="71A03C8A" w:rsidR="003F0691" w:rsidRPr="005A3AED" w:rsidRDefault="00CB2DC2" w:rsidP="00E41571">
            <w:pPr>
              <w:spacing w:line="276" w:lineRule="auto"/>
              <w:jc w:val="center"/>
              <w:rPr>
                <w:rFonts w:cs="Arial"/>
                <w:color w:val="000000" w:themeColor="text1"/>
                <w:sz w:val="22"/>
                <w:szCs w:val="22"/>
              </w:rPr>
            </w:pPr>
            <w:r w:rsidRPr="005A3AED">
              <w:rPr>
                <w:rFonts w:cs="Arial"/>
                <w:sz w:val="22"/>
                <w:szCs w:val="22"/>
              </w:rPr>
              <w:t xml:space="preserve">Sentencia del </w:t>
            </w:r>
            <w:r w:rsidR="00F1516E" w:rsidRPr="005A3AED">
              <w:rPr>
                <w:rFonts w:cs="Arial"/>
                <w:color w:val="000000" w:themeColor="text1"/>
                <w:sz w:val="22"/>
                <w:szCs w:val="22"/>
              </w:rPr>
              <w:t>10 de noviembre de 2014</w:t>
            </w:r>
          </w:p>
        </w:tc>
        <w:tc>
          <w:tcPr>
            <w:tcW w:w="2349" w:type="dxa"/>
            <w:vMerge w:val="restart"/>
          </w:tcPr>
          <w:p w14:paraId="01E30D32" w14:textId="09CA9245" w:rsidR="003F0691" w:rsidRPr="005A3AED" w:rsidRDefault="00F1516E" w:rsidP="00E41571">
            <w:pPr>
              <w:spacing w:line="276" w:lineRule="auto"/>
              <w:jc w:val="center"/>
              <w:rPr>
                <w:rFonts w:cs="Arial"/>
                <w:color w:val="000000" w:themeColor="text1"/>
                <w:sz w:val="22"/>
                <w:szCs w:val="22"/>
              </w:rPr>
            </w:pPr>
            <w:r w:rsidRPr="005A3AED">
              <w:rPr>
                <w:rFonts w:cs="Arial"/>
                <w:color w:val="000000" w:themeColor="text1"/>
                <w:sz w:val="22"/>
                <w:szCs w:val="22"/>
              </w:rPr>
              <w:t xml:space="preserve">Consejo </w:t>
            </w:r>
            <w:r w:rsidR="00CB2DC2">
              <w:rPr>
                <w:rFonts w:cs="Arial"/>
                <w:color w:val="000000" w:themeColor="text1"/>
                <w:sz w:val="22"/>
                <w:szCs w:val="22"/>
              </w:rPr>
              <w:t>d</w:t>
            </w:r>
            <w:r w:rsidRPr="005A3AED">
              <w:rPr>
                <w:rFonts w:cs="Arial"/>
                <w:color w:val="000000" w:themeColor="text1"/>
                <w:sz w:val="22"/>
                <w:szCs w:val="22"/>
              </w:rPr>
              <w:t>e Estado Sección Primera y otros</w:t>
            </w:r>
          </w:p>
        </w:tc>
      </w:tr>
      <w:tr w:rsidR="003F0691" w:rsidRPr="005A3AED" w14:paraId="3D089702" w14:textId="77777777" w:rsidTr="00EA662B">
        <w:trPr>
          <w:trHeight w:val="589"/>
        </w:trPr>
        <w:tc>
          <w:tcPr>
            <w:tcW w:w="2349" w:type="dxa"/>
          </w:tcPr>
          <w:p w14:paraId="419390C0" w14:textId="77777777" w:rsidR="003F0691" w:rsidRPr="005A3AED" w:rsidRDefault="003F0691" w:rsidP="003F0691">
            <w:pPr>
              <w:spacing w:line="276" w:lineRule="auto"/>
              <w:jc w:val="center"/>
              <w:rPr>
                <w:rFonts w:cs="Arial"/>
                <w:sz w:val="22"/>
                <w:szCs w:val="22"/>
              </w:rPr>
            </w:pPr>
            <w:r w:rsidRPr="005A3AED">
              <w:rPr>
                <w:rFonts w:cs="Arial"/>
                <w:sz w:val="22"/>
                <w:szCs w:val="22"/>
              </w:rPr>
              <w:t xml:space="preserve">Sección Cuarta del Consejo de Estado </w:t>
            </w:r>
          </w:p>
        </w:tc>
        <w:tc>
          <w:tcPr>
            <w:tcW w:w="2349" w:type="dxa"/>
            <w:vMerge/>
          </w:tcPr>
          <w:p w14:paraId="5524EBB1" w14:textId="77777777" w:rsidR="003F0691" w:rsidRPr="005A3AED" w:rsidRDefault="003F0691" w:rsidP="00C80C9F">
            <w:pPr>
              <w:spacing w:line="276" w:lineRule="auto"/>
              <w:jc w:val="center"/>
              <w:rPr>
                <w:rFonts w:cs="Arial"/>
                <w:sz w:val="22"/>
                <w:szCs w:val="22"/>
              </w:rPr>
            </w:pPr>
          </w:p>
        </w:tc>
        <w:tc>
          <w:tcPr>
            <w:tcW w:w="2349" w:type="dxa"/>
          </w:tcPr>
          <w:p w14:paraId="0472CC42" w14:textId="2B3F6BF3" w:rsidR="003F0691" w:rsidRPr="005A3AED" w:rsidRDefault="00CB2DC2" w:rsidP="00C80C9F">
            <w:pPr>
              <w:spacing w:line="276" w:lineRule="auto"/>
              <w:jc w:val="center"/>
              <w:rPr>
                <w:rFonts w:cs="Arial"/>
                <w:sz w:val="22"/>
                <w:szCs w:val="22"/>
              </w:rPr>
            </w:pPr>
            <w:r w:rsidRPr="005A3AED">
              <w:rPr>
                <w:rFonts w:cs="Arial"/>
                <w:sz w:val="22"/>
                <w:szCs w:val="22"/>
              </w:rPr>
              <w:t xml:space="preserve">Sentencia del </w:t>
            </w:r>
            <w:r w:rsidR="00E41571" w:rsidRPr="005A3AED">
              <w:rPr>
                <w:rFonts w:cs="Arial"/>
                <w:sz w:val="22"/>
                <w:szCs w:val="22"/>
              </w:rPr>
              <w:t>14 de mayo de 2015</w:t>
            </w:r>
          </w:p>
        </w:tc>
        <w:tc>
          <w:tcPr>
            <w:tcW w:w="2349" w:type="dxa"/>
            <w:vMerge/>
          </w:tcPr>
          <w:p w14:paraId="4312A31E" w14:textId="77777777" w:rsidR="003F0691" w:rsidRPr="005A3AED" w:rsidRDefault="003F0691" w:rsidP="00C80C9F">
            <w:pPr>
              <w:spacing w:line="276" w:lineRule="auto"/>
              <w:rPr>
                <w:rFonts w:cs="Arial"/>
                <w:sz w:val="22"/>
                <w:szCs w:val="22"/>
              </w:rPr>
            </w:pPr>
          </w:p>
        </w:tc>
      </w:tr>
    </w:tbl>
    <w:p w14:paraId="4B5D10AA" w14:textId="77777777" w:rsidR="000B0FC0" w:rsidRPr="00037FCD" w:rsidRDefault="000B0FC0" w:rsidP="00A862F3">
      <w:pPr>
        <w:spacing w:line="360" w:lineRule="auto"/>
        <w:rPr>
          <w:sz w:val="24"/>
          <w:szCs w:val="24"/>
        </w:rPr>
      </w:pPr>
    </w:p>
    <w:p w14:paraId="4C5515F6" w14:textId="77777777" w:rsidR="000B0FC0" w:rsidRPr="00037FCD" w:rsidRDefault="000B0FC0" w:rsidP="000B0FC0">
      <w:pPr>
        <w:spacing w:line="360" w:lineRule="auto"/>
        <w:rPr>
          <w:rFonts w:cs="Arial"/>
          <w:sz w:val="24"/>
          <w:szCs w:val="24"/>
        </w:rPr>
      </w:pPr>
      <w:r w:rsidRPr="00037FCD">
        <w:rPr>
          <w:rFonts w:cs="Arial"/>
          <w:sz w:val="24"/>
          <w:szCs w:val="24"/>
        </w:rPr>
        <w:t xml:space="preserve">Se considera que esta Subsección es competente para conocer y fallar la presente solicitud de amparo, de conformidad con lo establecido en los artículos 86 de la </w:t>
      </w:r>
      <w:r w:rsidRPr="00037FCD">
        <w:rPr>
          <w:rFonts w:cs="Arial"/>
          <w:sz w:val="24"/>
          <w:szCs w:val="24"/>
        </w:rPr>
        <w:lastRenderedPageBreak/>
        <w:t>Constitución Política</w:t>
      </w:r>
      <w:r w:rsidRPr="00037FCD">
        <w:rPr>
          <w:rFonts w:cs="Arial"/>
          <w:sz w:val="24"/>
          <w:szCs w:val="24"/>
          <w:vertAlign w:val="superscript"/>
        </w:rPr>
        <w:footnoteReference w:id="3"/>
      </w:r>
      <w:r w:rsidRPr="00037FCD">
        <w:rPr>
          <w:rFonts w:cs="Arial"/>
          <w:sz w:val="24"/>
          <w:szCs w:val="24"/>
        </w:rPr>
        <w:t>, 37</w:t>
      </w:r>
      <w:r w:rsidRPr="00037FCD">
        <w:rPr>
          <w:rFonts w:cs="Arial"/>
          <w:sz w:val="24"/>
          <w:szCs w:val="24"/>
          <w:vertAlign w:val="superscript"/>
        </w:rPr>
        <w:footnoteReference w:id="4"/>
      </w:r>
      <w:r w:rsidRPr="00037FCD">
        <w:rPr>
          <w:rFonts w:cs="Arial"/>
          <w:sz w:val="24"/>
          <w:szCs w:val="24"/>
        </w:rPr>
        <w:t xml:space="preserve"> del Decreto Ley 2591 de 1991 y 13</w:t>
      </w:r>
      <w:r w:rsidRPr="00037FCD">
        <w:rPr>
          <w:rStyle w:val="Refdenotaalpie"/>
          <w:rFonts w:cs="Arial"/>
          <w:sz w:val="24"/>
          <w:szCs w:val="24"/>
        </w:rPr>
        <w:footnoteReference w:id="5"/>
      </w:r>
      <w:r w:rsidRPr="00037FCD">
        <w:rPr>
          <w:rFonts w:cs="Arial"/>
          <w:sz w:val="24"/>
          <w:szCs w:val="24"/>
        </w:rPr>
        <w:t xml:space="preserve"> del Acuerdo 080 de 2019 de la Sala Plena del Consejo de Estado. </w:t>
      </w:r>
    </w:p>
    <w:p w14:paraId="77384DCA" w14:textId="77777777" w:rsidR="000B0FC0" w:rsidRPr="00037FCD" w:rsidRDefault="000B0FC0" w:rsidP="000B0FC0">
      <w:pPr>
        <w:spacing w:line="360" w:lineRule="auto"/>
        <w:rPr>
          <w:rFonts w:cs="Arial"/>
          <w:sz w:val="24"/>
          <w:szCs w:val="24"/>
        </w:rPr>
      </w:pPr>
    </w:p>
    <w:p w14:paraId="460D2CE7" w14:textId="77777777" w:rsidR="000B0FC0" w:rsidRPr="00037FCD" w:rsidRDefault="000B0FC0" w:rsidP="000B0FC0">
      <w:pPr>
        <w:spacing w:line="360" w:lineRule="auto"/>
        <w:rPr>
          <w:sz w:val="24"/>
          <w:szCs w:val="24"/>
        </w:rPr>
      </w:pPr>
      <w:r w:rsidRPr="00037FCD">
        <w:rPr>
          <w:rFonts w:cs="Arial"/>
          <w:sz w:val="24"/>
          <w:szCs w:val="24"/>
        </w:rPr>
        <w:t>Así mismo, el Despacho encuentra que se reúnen los requisitos de forma exigidos en el artículo 14 del Decreto Ley 2591 de 1991 y procede a admitir la acción de tutela interpuesta por</w:t>
      </w:r>
      <w:r w:rsidR="009856CA" w:rsidRPr="00037FCD">
        <w:rPr>
          <w:rFonts w:cs="Arial"/>
          <w:sz w:val="24"/>
          <w:szCs w:val="24"/>
        </w:rPr>
        <w:t xml:space="preserve"> </w:t>
      </w:r>
      <w:r w:rsidR="009856CA" w:rsidRPr="00037FCD">
        <w:rPr>
          <w:sz w:val="24"/>
          <w:szCs w:val="24"/>
        </w:rPr>
        <w:t>Carlos Eduardo Sepúlveda Marín en contra del Juzgado Segundo Civil Municipal de Pereira</w:t>
      </w:r>
      <w:r w:rsidR="009856CA" w:rsidRPr="00037FCD">
        <w:rPr>
          <w:b/>
          <w:sz w:val="24"/>
          <w:szCs w:val="24"/>
        </w:rPr>
        <w:t xml:space="preserve"> </w:t>
      </w:r>
      <w:r w:rsidR="009856CA" w:rsidRPr="00037FCD">
        <w:rPr>
          <w:sz w:val="24"/>
          <w:szCs w:val="24"/>
        </w:rPr>
        <w:t>y otros.</w:t>
      </w:r>
    </w:p>
    <w:p w14:paraId="028070C4" w14:textId="77777777" w:rsidR="009856CA" w:rsidRPr="00037FCD" w:rsidRDefault="009856CA" w:rsidP="000B0FC0">
      <w:pPr>
        <w:spacing w:line="360" w:lineRule="auto"/>
        <w:rPr>
          <w:sz w:val="24"/>
          <w:szCs w:val="24"/>
        </w:rPr>
      </w:pPr>
    </w:p>
    <w:p w14:paraId="1472B053" w14:textId="77777777" w:rsidR="009856CA" w:rsidRPr="00037FCD" w:rsidRDefault="009856CA" w:rsidP="000B0FC0">
      <w:pPr>
        <w:spacing w:line="360" w:lineRule="auto"/>
        <w:rPr>
          <w:sz w:val="24"/>
          <w:szCs w:val="24"/>
        </w:rPr>
      </w:pPr>
      <w:r w:rsidRPr="00037FCD">
        <w:rPr>
          <w:sz w:val="24"/>
          <w:szCs w:val="24"/>
        </w:rPr>
        <w:t xml:space="preserve">En consecuencia se, </w:t>
      </w:r>
    </w:p>
    <w:p w14:paraId="0EE31E93" w14:textId="77777777" w:rsidR="009856CA" w:rsidRPr="00037FCD" w:rsidRDefault="009856CA" w:rsidP="000B0FC0">
      <w:pPr>
        <w:spacing w:line="360" w:lineRule="auto"/>
        <w:rPr>
          <w:sz w:val="24"/>
          <w:szCs w:val="24"/>
        </w:rPr>
      </w:pPr>
    </w:p>
    <w:p w14:paraId="3A189D48" w14:textId="77777777" w:rsidR="009856CA" w:rsidRPr="00037FCD" w:rsidRDefault="009856CA" w:rsidP="009856CA">
      <w:pPr>
        <w:spacing w:line="360" w:lineRule="auto"/>
        <w:jc w:val="center"/>
        <w:rPr>
          <w:b/>
          <w:sz w:val="24"/>
          <w:szCs w:val="24"/>
        </w:rPr>
      </w:pPr>
      <w:r w:rsidRPr="00037FCD">
        <w:rPr>
          <w:b/>
          <w:sz w:val="24"/>
          <w:szCs w:val="24"/>
        </w:rPr>
        <w:t>III. RESUELVE</w:t>
      </w:r>
    </w:p>
    <w:p w14:paraId="5D56AF9E" w14:textId="77777777" w:rsidR="009856CA" w:rsidRPr="00037FCD" w:rsidRDefault="009856CA" w:rsidP="009856CA">
      <w:pPr>
        <w:spacing w:line="360" w:lineRule="auto"/>
        <w:rPr>
          <w:b/>
          <w:sz w:val="24"/>
          <w:szCs w:val="24"/>
        </w:rPr>
      </w:pPr>
    </w:p>
    <w:p w14:paraId="619C1FC8" w14:textId="77777777" w:rsidR="009856CA" w:rsidRPr="00037FCD" w:rsidRDefault="009856CA" w:rsidP="009856CA">
      <w:pPr>
        <w:spacing w:line="360" w:lineRule="auto"/>
        <w:rPr>
          <w:sz w:val="24"/>
          <w:szCs w:val="24"/>
        </w:rPr>
      </w:pPr>
      <w:r w:rsidRPr="00037FCD">
        <w:rPr>
          <w:b/>
          <w:sz w:val="24"/>
          <w:szCs w:val="24"/>
        </w:rPr>
        <w:t xml:space="preserve">PRIMERO: ADMITIR </w:t>
      </w:r>
      <w:r w:rsidRPr="00037FCD">
        <w:rPr>
          <w:sz w:val="24"/>
          <w:szCs w:val="24"/>
        </w:rPr>
        <w:t>la acción de tutela interpuesta por Carlos Eduardo Sepúlveda Marín en contra del Juzgado Segundo Civil Municipal de Pereira</w:t>
      </w:r>
      <w:r w:rsidRPr="00037FCD">
        <w:rPr>
          <w:b/>
          <w:sz w:val="24"/>
          <w:szCs w:val="24"/>
        </w:rPr>
        <w:t xml:space="preserve"> </w:t>
      </w:r>
      <w:r w:rsidRPr="00037FCD">
        <w:rPr>
          <w:sz w:val="24"/>
          <w:szCs w:val="24"/>
        </w:rPr>
        <w:t>y otros</w:t>
      </w:r>
      <w:r w:rsidR="006F3647" w:rsidRPr="00037FCD">
        <w:rPr>
          <w:sz w:val="24"/>
          <w:szCs w:val="24"/>
        </w:rPr>
        <w:t xml:space="preserve">. </w:t>
      </w:r>
    </w:p>
    <w:p w14:paraId="3D7C1E43" w14:textId="77777777" w:rsidR="006F3647" w:rsidRPr="00037FCD" w:rsidRDefault="006F3647" w:rsidP="009856CA">
      <w:pPr>
        <w:spacing w:line="360" w:lineRule="auto"/>
        <w:rPr>
          <w:sz w:val="24"/>
          <w:szCs w:val="24"/>
        </w:rPr>
      </w:pPr>
    </w:p>
    <w:p w14:paraId="5DA1CBAD" w14:textId="61735E59" w:rsidR="006F3647" w:rsidRPr="00037FCD" w:rsidRDefault="006F3647" w:rsidP="009856CA">
      <w:pPr>
        <w:spacing w:line="360" w:lineRule="auto"/>
        <w:rPr>
          <w:sz w:val="24"/>
          <w:szCs w:val="24"/>
        </w:rPr>
      </w:pPr>
      <w:r w:rsidRPr="00037FCD">
        <w:rPr>
          <w:b/>
          <w:sz w:val="24"/>
          <w:szCs w:val="24"/>
        </w:rPr>
        <w:t xml:space="preserve">SEGUNDO: NOTIFICAR </w:t>
      </w:r>
      <w:r w:rsidRPr="00037FCD">
        <w:rPr>
          <w:sz w:val="24"/>
          <w:szCs w:val="24"/>
        </w:rPr>
        <w:t xml:space="preserve">mediante oficio al Juzgado Segundo Civil Municipal de Pereira, al Juzgado Cuarto Civil </w:t>
      </w:r>
      <w:r w:rsidR="009C0BE5">
        <w:rPr>
          <w:sz w:val="24"/>
          <w:szCs w:val="24"/>
        </w:rPr>
        <w:t xml:space="preserve">del Circuito </w:t>
      </w:r>
      <w:r w:rsidRPr="00037FCD">
        <w:rPr>
          <w:sz w:val="24"/>
          <w:szCs w:val="24"/>
        </w:rPr>
        <w:t>de Pereira, al Juzgado Primero Penal Municipal con funciones de Conocimiento</w:t>
      </w:r>
      <w:r w:rsidR="00391B02" w:rsidRPr="00391B02">
        <w:rPr>
          <w:sz w:val="24"/>
          <w:szCs w:val="24"/>
        </w:rPr>
        <w:t xml:space="preserve"> </w:t>
      </w:r>
      <w:r w:rsidR="00391B02">
        <w:rPr>
          <w:sz w:val="24"/>
          <w:szCs w:val="24"/>
        </w:rPr>
        <w:t>de Pereira</w:t>
      </w:r>
      <w:r w:rsidRPr="00037FCD">
        <w:rPr>
          <w:sz w:val="24"/>
          <w:szCs w:val="24"/>
        </w:rPr>
        <w:t xml:space="preserve">, </w:t>
      </w:r>
      <w:r w:rsidR="008308F7">
        <w:rPr>
          <w:sz w:val="24"/>
          <w:szCs w:val="24"/>
        </w:rPr>
        <w:t>a</w:t>
      </w:r>
      <w:r w:rsidR="008308F7" w:rsidRPr="008308F7">
        <w:rPr>
          <w:sz w:val="24"/>
          <w:szCs w:val="24"/>
        </w:rPr>
        <w:t>l Juzgado Tercero Penal Municipal de Pereira,</w:t>
      </w:r>
      <w:r w:rsidR="002E460A">
        <w:rPr>
          <w:sz w:val="24"/>
          <w:szCs w:val="24"/>
        </w:rPr>
        <w:t xml:space="preserve"> a</w:t>
      </w:r>
      <w:r w:rsidRPr="00037FCD">
        <w:rPr>
          <w:sz w:val="24"/>
          <w:szCs w:val="24"/>
        </w:rPr>
        <w:t xml:space="preserve"> las Secciones Primera, Segunda, Cuarta y Quinta del Consejo de Estado</w:t>
      </w:r>
      <w:r w:rsidR="00AE714D" w:rsidRPr="00037FCD">
        <w:rPr>
          <w:sz w:val="24"/>
          <w:szCs w:val="24"/>
        </w:rPr>
        <w:t xml:space="preserve"> y a la Fiscalía Catorce de Pereira</w:t>
      </w:r>
      <w:r w:rsidRPr="00037FCD">
        <w:rPr>
          <w:sz w:val="24"/>
          <w:szCs w:val="24"/>
        </w:rPr>
        <w:t xml:space="preserve">, para que, dentro del término de dos (2) días contados a partir de su recibo, ejerzan su derecho de defensa. </w:t>
      </w:r>
    </w:p>
    <w:p w14:paraId="230F95CC" w14:textId="77777777" w:rsidR="006F3647" w:rsidRPr="005A3AED" w:rsidRDefault="006F3647" w:rsidP="009856CA">
      <w:pPr>
        <w:spacing w:line="360" w:lineRule="auto"/>
        <w:rPr>
          <w:sz w:val="24"/>
          <w:szCs w:val="24"/>
        </w:rPr>
      </w:pPr>
    </w:p>
    <w:p w14:paraId="27F286CE" w14:textId="4DBC3D45" w:rsidR="006F3647" w:rsidRDefault="006F3647" w:rsidP="009856CA">
      <w:pPr>
        <w:spacing w:line="360" w:lineRule="auto"/>
        <w:rPr>
          <w:sz w:val="24"/>
          <w:szCs w:val="24"/>
        </w:rPr>
      </w:pPr>
      <w:r w:rsidRPr="005A3AED">
        <w:rPr>
          <w:b/>
          <w:sz w:val="24"/>
          <w:szCs w:val="24"/>
        </w:rPr>
        <w:t>TERCERO: VINCULAR</w:t>
      </w:r>
      <w:r w:rsidRPr="00391B02">
        <w:rPr>
          <w:bCs/>
          <w:sz w:val="24"/>
          <w:szCs w:val="24"/>
        </w:rPr>
        <w:t>,</w:t>
      </w:r>
      <w:r w:rsidRPr="005A3AED">
        <w:rPr>
          <w:b/>
          <w:sz w:val="24"/>
          <w:szCs w:val="24"/>
        </w:rPr>
        <w:t xml:space="preserve"> </w:t>
      </w:r>
      <w:r w:rsidRPr="005A3AED">
        <w:rPr>
          <w:sz w:val="24"/>
          <w:szCs w:val="24"/>
        </w:rPr>
        <w:t>conforme a lo dispuesto en el artículo 13 del Decreto Ley 2591</w:t>
      </w:r>
      <w:r w:rsidR="00AE714D" w:rsidRPr="005A3AED">
        <w:rPr>
          <w:sz w:val="24"/>
          <w:szCs w:val="24"/>
        </w:rPr>
        <w:t xml:space="preserve"> de 1991</w:t>
      </w:r>
      <w:r w:rsidR="00391B02">
        <w:rPr>
          <w:sz w:val="24"/>
          <w:szCs w:val="24"/>
        </w:rPr>
        <w:t>,</w:t>
      </w:r>
      <w:r w:rsidR="00AE714D" w:rsidRPr="005A3AED">
        <w:rPr>
          <w:sz w:val="24"/>
          <w:szCs w:val="24"/>
        </w:rPr>
        <w:t xml:space="preserve"> a la ARP Suratep, hoy </w:t>
      </w:r>
      <w:r w:rsidR="00AE714D" w:rsidRPr="00130720">
        <w:rPr>
          <w:sz w:val="24"/>
          <w:szCs w:val="24"/>
        </w:rPr>
        <w:t>ARL Sura,</w:t>
      </w:r>
      <w:r w:rsidR="00DD75C3" w:rsidRPr="00130720">
        <w:rPr>
          <w:sz w:val="24"/>
          <w:szCs w:val="24"/>
        </w:rPr>
        <w:t xml:space="preserve"> </w:t>
      </w:r>
      <w:r w:rsidR="005A3AED" w:rsidRPr="00130720">
        <w:rPr>
          <w:sz w:val="24"/>
          <w:szCs w:val="24"/>
        </w:rPr>
        <w:t>a Mereser Ltda., a Nicole S.A.,</w:t>
      </w:r>
      <w:r w:rsidR="00AE714D" w:rsidRPr="00130720">
        <w:rPr>
          <w:sz w:val="24"/>
          <w:szCs w:val="24"/>
        </w:rPr>
        <w:t xml:space="preserve"> a la Junta Regional de Calificación de Invalidez de Risaralda</w:t>
      </w:r>
      <w:r w:rsidR="005A3AED" w:rsidRPr="00130720">
        <w:rPr>
          <w:sz w:val="24"/>
          <w:szCs w:val="24"/>
        </w:rPr>
        <w:t xml:space="preserve"> y al </w:t>
      </w:r>
      <w:r w:rsidR="005A3AED" w:rsidRPr="00130720">
        <w:rPr>
          <w:rFonts w:cs="Arial"/>
          <w:color w:val="000000" w:themeColor="text1"/>
          <w:sz w:val="24"/>
          <w:szCs w:val="24"/>
        </w:rPr>
        <w:t>Ministerio de Salud y Protección Social</w:t>
      </w:r>
      <w:r w:rsidR="00AE714D" w:rsidRPr="00130720">
        <w:rPr>
          <w:sz w:val="24"/>
          <w:szCs w:val="24"/>
        </w:rPr>
        <w:t xml:space="preserve"> </w:t>
      </w:r>
      <w:r w:rsidR="00DC4B2E" w:rsidRPr="00130720">
        <w:rPr>
          <w:sz w:val="24"/>
          <w:szCs w:val="24"/>
        </w:rPr>
        <w:t xml:space="preserve">en su condición de entidades accionadas </w:t>
      </w:r>
      <w:r w:rsidR="00397146" w:rsidRPr="00130720">
        <w:rPr>
          <w:sz w:val="24"/>
          <w:szCs w:val="24"/>
        </w:rPr>
        <w:t>al interior de los trámites de tutela reseñados</w:t>
      </w:r>
      <w:r w:rsidR="00E128BD" w:rsidRPr="00130720">
        <w:rPr>
          <w:sz w:val="24"/>
          <w:szCs w:val="24"/>
        </w:rPr>
        <w:t xml:space="preserve">; así como al Tribunal Administrativo de Caldas, que dictó </w:t>
      </w:r>
      <w:r w:rsidR="00391B02">
        <w:rPr>
          <w:sz w:val="24"/>
          <w:szCs w:val="24"/>
        </w:rPr>
        <w:t xml:space="preserve">la </w:t>
      </w:r>
      <w:r w:rsidR="00E128BD" w:rsidRPr="00130720">
        <w:rPr>
          <w:sz w:val="24"/>
          <w:szCs w:val="24"/>
        </w:rPr>
        <w:t xml:space="preserve">sentencia de primera instancia en el asunto de radicado No. </w:t>
      </w:r>
      <w:r w:rsidR="00130720" w:rsidRPr="00130720">
        <w:rPr>
          <w:sz w:val="24"/>
          <w:szCs w:val="24"/>
        </w:rPr>
        <w:t>17001-23-31-000-2009-000</w:t>
      </w:r>
      <w:r w:rsidR="007C292A" w:rsidRPr="00130720">
        <w:rPr>
          <w:sz w:val="24"/>
          <w:szCs w:val="24"/>
        </w:rPr>
        <w:t>33-00</w:t>
      </w:r>
      <w:r w:rsidR="00397146" w:rsidRPr="00130720">
        <w:rPr>
          <w:sz w:val="24"/>
          <w:szCs w:val="24"/>
        </w:rPr>
        <w:t xml:space="preserve">. </w:t>
      </w:r>
      <w:r w:rsidR="00397146" w:rsidRPr="00130720">
        <w:rPr>
          <w:sz w:val="24"/>
          <w:szCs w:val="24"/>
        </w:rPr>
        <w:lastRenderedPageBreak/>
        <w:t>Infórmeseles que cuentan con el término de dos (2) días, a partir del recibo del oficio respectivo, para que se pronuncien sobre el contenido de la acción de amparo.</w:t>
      </w:r>
      <w:r w:rsidR="00397146" w:rsidRPr="005A3AED">
        <w:rPr>
          <w:sz w:val="24"/>
          <w:szCs w:val="24"/>
        </w:rPr>
        <w:t xml:space="preserve"> </w:t>
      </w:r>
    </w:p>
    <w:p w14:paraId="49876B70" w14:textId="77777777" w:rsidR="008308F7" w:rsidRPr="005A3AED" w:rsidRDefault="008308F7" w:rsidP="009856CA">
      <w:pPr>
        <w:spacing w:line="360" w:lineRule="auto"/>
        <w:rPr>
          <w:sz w:val="24"/>
          <w:szCs w:val="24"/>
        </w:rPr>
      </w:pPr>
    </w:p>
    <w:p w14:paraId="5B13B3A2" w14:textId="77777777" w:rsidR="00037FCD" w:rsidRPr="005A3AED" w:rsidRDefault="00037FCD" w:rsidP="009856CA">
      <w:pPr>
        <w:spacing w:line="360" w:lineRule="auto"/>
        <w:rPr>
          <w:sz w:val="24"/>
          <w:szCs w:val="24"/>
        </w:rPr>
      </w:pPr>
      <w:r w:rsidRPr="005A3AED">
        <w:rPr>
          <w:b/>
          <w:sz w:val="24"/>
          <w:szCs w:val="24"/>
        </w:rPr>
        <w:t xml:space="preserve">CUARTO: TENER </w:t>
      </w:r>
      <w:r w:rsidRPr="005A3AED">
        <w:rPr>
          <w:sz w:val="24"/>
          <w:szCs w:val="24"/>
        </w:rPr>
        <w:t xml:space="preserve">como pruebas los documentos arrimados con la solicitud de amparo. </w:t>
      </w:r>
    </w:p>
    <w:p w14:paraId="1DDF23B9" w14:textId="77777777" w:rsidR="00037FCD" w:rsidRPr="005A3AED" w:rsidRDefault="00037FCD" w:rsidP="009856CA">
      <w:pPr>
        <w:spacing w:line="360" w:lineRule="auto"/>
        <w:rPr>
          <w:sz w:val="24"/>
          <w:szCs w:val="24"/>
        </w:rPr>
      </w:pPr>
    </w:p>
    <w:p w14:paraId="7182A7B8" w14:textId="1926AC10" w:rsidR="00D82294" w:rsidRPr="009D4E67" w:rsidRDefault="00037FCD" w:rsidP="00BA43FF">
      <w:pPr>
        <w:spacing w:line="360" w:lineRule="auto"/>
        <w:rPr>
          <w:rFonts w:cs="Arial"/>
          <w:sz w:val="24"/>
          <w:szCs w:val="24"/>
        </w:rPr>
      </w:pPr>
      <w:r w:rsidRPr="009D4E67">
        <w:rPr>
          <w:b/>
          <w:sz w:val="24"/>
          <w:szCs w:val="24"/>
        </w:rPr>
        <w:t xml:space="preserve">QUINTO: ORDENAR </w:t>
      </w:r>
      <w:r w:rsidRPr="009D4E67">
        <w:rPr>
          <w:sz w:val="24"/>
          <w:szCs w:val="24"/>
        </w:rPr>
        <w:t>a las autoridades judiciales accionadas</w:t>
      </w:r>
      <w:r w:rsidR="00BA43FF" w:rsidRPr="009D4E67">
        <w:rPr>
          <w:sz w:val="24"/>
          <w:szCs w:val="24"/>
        </w:rPr>
        <w:t xml:space="preserve"> y vinculadas</w:t>
      </w:r>
      <w:r w:rsidRPr="009D4E67">
        <w:rPr>
          <w:sz w:val="24"/>
          <w:szCs w:val="24"/>
        </w:rPr>
        <w:t xml:space="preserve"> que, en el </w:t>
      </w:r>
      <w:r w:rsidRPr="009D4E67">
        <w:rPr>
          <w:color w:val="000000" w:themeColor="text1"/>
          <w:sz w:val="24"/>
          <w:szCs w:val="24"/>
        </w:rPr>
        <w:t xml:space="preserve">término más expedito, remitan en medio digital la demanda, las sentencias de primera y segunda instancia </w:t>
      </w:r>
      <w:r w:rsidR="00130720" w:rsidRPr="009D4E67">
        <w:rPr>
          <w:color w:val="000000" w:themeColor="text1"/>
          <w:sz w:val="24"/>
          <w:szCs w:val="24"/>
        </w:rPr>
        <w:t>con su constancia de ejecutoria y los autos que resolvieron sobre los incidentes de desacato,</w:t>
      </w:r>
      <w:r w:rsidRPr="009D4E67">
        <w:rPr>
          <w:color w:val="000000" w:themeColor="text1"/>
          <w:sz w:val="24"/>
          <w:szCs w:val="24"/>
        </w:rPr>
        <w:t xml:space="preserve"> </w:t>
      </w:r>
      <w:r w:rsidR="00391B02">
        <w:rPr>
          <w:color w:val="000000" w:themeColor="text1"/>
          <w:sz w:val="24"/>
          <w:szCs w:val="24"/>
        </w:rPr>
        <w:t>en los</w:t>
      </w:r>
      <w:r w:rsidRPr="009D4E67">
        <w:rPr>
          <w:color w:val="000000" w:themeColor="text1"/>
          <w:sz w:val="24"/>
          <w:szCs w:val="24"/>
        </w:rPr>
        <w:t xml:space="preserve"> procesos de </w:t>
      </w:r>
      <w:r w:rsidR="0056383D" w:rsidRPr="009D4E67">
        <w:rPr>
          <w:color w:val="000000" w:themeColor="text1"/>
          <w:sz w:val="24"/>
          <w:szCs w:val="24"/>
        </w:rPr>
        <w:t xml:space="preserve">tutela de </w:t>
      </w:r>
      <w:r w:rsidRPr="009D4E67">
        <w:rPr>
          <w:color w:val="000000" w:themeColor="text1"/>
          <w:sz w:val="24"/>
          <w:szCs w:val="24"/>
        </w:rPr>
        <w:t xml:space="preserve">radicados Nos. </w:t>
      </w:r>
      <w:r w:rsidR="00D82294" w:rsidRPr="009D4E67">
        <w:rPr>
          <w:rFonts w:cs="Arial"/>
          <w:color w:val="000000" w:themeColor="text1"/>
          <w:sz w:val="24"/>
          <w:szCs w:val="24"/>
        </w:rPr>
        <w:t>66001-40-03-002-2005-00431-00/01; 66001-40-04-001-2005-00437-00/01; 6600</w:t>
      </w:r>
      <w:r w:rsidR="00130720" w:rsidRPr="009D4E67">
        <w:rPr>
          <w:rFonts w:cs="Arial"/>
          <w:color w:val="000000" w:themeColor="text1"/>
          <w:sz w:val="24"/>
          <w:szCs w:val="24"/>
        </w:rPr>
        <w:t>1-40-04-003-2005-00141-00/01/02</w:t>
      </w:r>
      <w:r w:rsidR="00D82294" w:rsidRPr="009D4E67">
        <w:rPr>
          <w:rFonts w:cs="Arial"/>
          <w:color w:val="000000" w:themeColor="text1"/>
          <w:sz w:val="24"/>
          <w:szCs w:val="24"/>
        </w:rPr>
        <w:t>; 66001-40-88-002-2006-00114-00/01; 66001-40-03-005-2007-00349-00; 17001-23-00-000-2009-00033-</w:t>
      </w:r>
      <w:r w:rsidR="00130720" w:rsidRPr="009D4E67">
        <w:rPr>
          <w:rFonts w:cs="Arial"/>
          <w:color w:val="000000" w:themeColor="text1"/>
          <w:sz w:val="24"/>
          <w:szCs w:val="24"/>
        </w:rPr>
        <w:t>00/</w:t>
      </w:r>
      <w:r w:rsidR="00D82294" w:rsidRPr="009D4E67">
        <w:rPr>
          <w:rFonts w:cs="Arial"/>
          <w:color w:val="000000" w:themeColor="text1"/>
          <w:sz w:val="24"/>
          <w:szCs w:val="24"/>
        </w:rPr>
        <w:t>01; 11001-03-15-000-2013</w:t>
      </w:r>
      <w:r w:rsidR="00130720" w:rsidRPr="009D4E67">
        <w:rPr>
          <w:rFonts w:cs="Arial"/>
          <w:color w:val="000000" w:themeColor="text1"/>
          <w:sz w:val="24"/>
          <w:szCs w:val="24"/>
        </w:rPr>
        <w:t>-02060-00/01 y</w:t>
      </w:r>
      <w:r w:rsidR="00D82294" w:rsidRPr="009D4E67">
        <w:rPr>
          <w:rFonts w:cs="Arial"/>
          <w:color w:val="000000" w:themeColor="text1"/>
          <w:sz w:val="24"/>
          <w:szCs w:val="24"/>
        </w:rPr>
        <w:t xml:space="preserve"> 11001-03-15-000-2014-02517-00/01</w:t>
      </w:r>
      <w:r w:rsidR="00BA43FF" w:rsidRPr="009D4E67">
        <w:rPr>
          <w:color w:val="000000" w:themeColor="text1"/>
          <w:sz w:val="24"/>
          <w:szCs w:val="24"/>
        </w:rPr>
        <w:t xml:space="preserve">. </w:t>
      </w:r>
    </w:p>
    <w:p w14:paraId="47D377A4" w14:textId="77777777" w:rsidR="00037FCD" w:rsidRPr="005A3AED" w:rsidRDefault="00037FCD" w:rsidP="009856CA">
      <w:pPr>
        <w:spacing w:line="360" w:lineRule="auto"/>
        <w:rPr>
          <w:sz w:val="24"/>
          <w:szCs w:val="24"/>
        </w:rPr>
      </w:pPr>
    </w:p>
    <w:p w14:paraId="16A1AF50" w14:textId="77777777" w:rsidR="00037FCD" w:rsidRPr="005A3AED" w:rsidRDefault="00037FCD" w:rsidP="00037FCD">
      <w:pPr>
        <w:overflowPunct w:val="0"/>
        <w:autoSpaceDE w:val="0"/>
        <w:autoSpaceDN w:val="0"/>
        <w:adjustRightInd w:val="0"/>
        <w:spacing w:line="360" w:lineRule="auto"/>
        <w:textAlignment w:val="baseline"/>
        <w:rPr>
          <w:rFonts w:eastAsia="Verdana" w:cs="Arial"/>
          <w:sz w:val="24"/>
          <w:szCs w:val="24"/>
        </w:rPr>
      </w:pPr>
      <w:r w:rsidRPr="005A3AED">
        <w:rPr>
          <w:rFonts w:cs="Arial"/>
          <w:b/>
          <w:sz w:val="24"/>
          <w:szCs w:val="24"/>
        </w:rPr>
        <w:t xml:space="preserve">SEXTO: </w:t>
      </w:r>
      <w:r w:rsidRPr="005A3AED">
        <w:rPr>
          <w:rFonts w:eastAsia="Verdana" w:cs="Arial"/>
          <w:b/>
          <w:bCs/>
          <w:sz w:val="24"/>
          <w:szCs w:val="24"/>
        </w:rPr>
        <w:t>PUBLICAR</w:t>
      </w:r>
      <w:r w:rsidRPr="005A3AED">
        <w:rPr>
          <w:rFonts w:eastAsia="Verdana" w:cs="Arial"/>
          <w:sz w:val="24"/>
          <w:szCs w:val="24"/>
        </w:rPr>
        <w:t xml:space="preserve"> la presente providencia en la página web de esta Corporación y en las de la Rama Judicial, del ente accionado y de los vinculados.</w:t>
      </w:r>
    </w:p>
    <w:p w14:paraId="53CF56A5" w14:textId="77777777" w:rsidR="00037FCD" w:rsidRPr="005A3AED" w:rsidRDefault="00037FCD" w:rsidP="00037FCD">
      <w:pPr>
        <w:overflowPunct w:val="0"/>
        <w:autoSpaceDE w:val="0"/>
        <w:autoSpaceDN w:val="0"/>
        <w:adjustRightInd w:val="0"/>
        <w:spacing w:line="360" w:lineRule="auto"/>
        <w:textAlignment w:val="baseline"/>
        <w:rPr>
          <w:rFonts w:eastAsia="Verdana" w:cs="Arial"/>
          <w:sz w:val="24"/>
          <w:szCs w:val="24"/>
        </w:rPr>
      </w:pPr>
    </w:p>
    <w:p w14:paraId="543BD5D3" w14:textId="4F8313F5" w:rsidR="00037FCD" w:rsidRPr="005A3AED" w:rsidRDefault="00037FCD" w:rsidP="00037FCD">
      <w:pPr>
        <w:overflowPunct w:val="0"/>
        <w:autoSpaceDE w:val="0"/>
        <w:autoSpaceDN w:val="0"/>
        <w:adjustRightInd w:val="0"/>
        <w:spacing w:line="360" w:lineRule="auto"/>
        <w:textAlignment w:val="baseline"/>
        <w:rPr>
          <w:rFonts w:eastAsia="Verdana" w:cs="Arial"/>
          <w:sz w:val="24"/>
          <w:szCs w:val="24"/>
        </w:rPr>
      </w:pPr>
      <w:r w:rsidRPr="005A3AED">
        <w:rPr>
          <w:rFonts w:eastAsia="Verdana" w:cs="Arial"/>
          <w:b/>
          <w:sz w:val="24"/>
          <w:szCs w:val="24"/>
        </w:rPr>
        <w:t xml:space="preserve">SÉPTIMO: SUSPENDER </w:t>
      </w:r>
      <w:r w:rsidRPr="005A3AED">
        <w:rPr>
          <w:rFonts w:eastAsia="Verdana" w:cs="Arial"/>
          <w:sz w:val="24"/>
          <w:szCs w:val="24"/>
        </w:rPr>
        <w:t xml:space="preserve">los términos de la presente acción constitucional desde el </w:t>
      </w:r>
      <w:r w:rsidR="00391B02">
        <w:rPr>
          <w:rFonts w:eastAsia="Verdana" w:cs="Arial"/>
          <w:sz w:val="24"/>
          <w:szCs w:val="24"/>
        </w:rPr>
        <w:t>4</w:t>
      </w:r>
      <w:r w:rsidRPr="005A3AED">
        <w:rPr>
          <w:rFonts w:eastAsia="Verdana" w:cs="Arial"/>
          <w:sz w:val="24"/>
          <w:szCs w:val="24"/>
        </w:rPr>
        <w:t xml:space="preserve"> de noviembre de 2020, inclusive, hasta que reingrese el expediente al Despacho.</w:t>
      </w:r>
    </w:p>
    <w:p w14:paraId="1686F059" w14:textId="77777777" w:rsidR="00037FCD" w:rsidRPr="005A3AED" w:rsidRDefault="00037FCD" w:rsidP="00037FCD">
      <w:pPr>
        <w:overflowPunct w:val="0"/>
        <w:autoSpaceDE w:val="0"/>
        <w:autoSpaceDN w:val="0"/>
        <w:adjustRightInd w:val="0"/>
        <w:spacing w:line="360" w:lineRule="auto"/>
        <w:textAlignment w:val="baseline"/>
        <w:rPr>
          <w:rFonts w:eastAsia="Verdana" w:cs="Arial"/>
          <w:sz w:val="24"/>
          <w:szCs w:val="24"/>
        </w:rPr>
      </w:pPr>
    </w:p>
    <w:p w14:paraId="51BF4100" w14:textId="77777777" w:rsidR="00037FCD" w:rsidRPr="005A3AED" w:rsidRDefault="00037FCD" w:rsidP="00037FCD">
      <w:pPr>
        <w:overflowPunct w:val="0"/>
        <w:autoSpaceDE w:val="0"/>
        <w:autoSpaceDN w:val="0"/>
        <w:adjustRightInd w:val="0"/>
        <w:spacing w:line="360" w:lineRule="auto"/>
        <w:textAlignment w:val="baseline"/>
        <w:rPr>
          <w:rFonts w:cs="Arial"/>
          <w:sz w:val="24"/>
          <w:szCs w:val="24"/>
        </w:rPr>
      </w:pPr>
    </w:p>
    <w:p w14:paraId="312D7F75" w14:textId="77777777" w:rsidR="00037FCD" w:rsidRPr="005A3AED" w:rsidRDefault="00037FCD" w:rsidP="00037FCD">
      <w:pPr>
        <w:spacing w:line="360" w:lineRule="auto"/>
        <w:jc w:val="center"/>
        <w:rPr>
          <w:rFonts w:cs="Arial"/>
          <w:b/>
          <w:bCs/>
          <w:sz w:val="24"/>
          <w:szCs w:val="24"/>
        </w:rPr>
      </w:pPr>
      <w:r w:rsidRPr="005A3AED">
        <w:rPr>
          <w:rFonts w:cs="Arial"/>
          <w:b/>
          <w:bCs/>
          <w:sz w:val="24"/>
          <w:szCs w:val="24"/>
        </w:rPr>
        <w:t>NOTIFÍQUESE Y CÚMPLASE</w:t>
      </w:r>
    </w:p>
    <w:p w14:paraId="397F78E8" w14:textId="687DA333" w:rsidR="00037FCD" w:rsidRPr="005A3AED" w:rsidRDefault="00037FCD" w:rsidP="00037FCD">
      <w:pPr>
        <w:spacing w:line="360" w:lineRule="auto"/>
        <w:jc w:val="center"/>
        <w:rPr>
          <w:rFonts w:cs="Arial"/>
          <w:b/>
          <w:bCs/>
          <w:sz w:val="24"/>
          <w:szCs w:val="24"/>
        </w:rPr>
      </w:pPr>
    </w:p>
    <w:p w14:paraId="53658D1E" w14:textId="77777777" w:rsidR="00037FCD" w:rsidRPr="005A3AED" w:rsidRDefault="00037FCD" w:rsidP="00037FCD">
      <w:pPr>
        <w:spacing w:line="276" w:lineRule="auto"/>
        <w:jc w:val="center"/>
        <w:rPr>
          <w:rFonts w:cs="Arial"/>
          <w:b/>
          <w:sz w:val="24"/>
          <w:szCs w:val="24"/>
        </w:rPr>
      </w:pPr>
      <w:r w:rsidRPr="005A3AED">
        <w:rPr>
          <w:rFonts w:cs="Arial"/>
          <w:b/>
          <w:sz w:val="24"/>
          <w:szCs w:val="24"/>
        </w:rPr>
        <w:t>NICOLÁS YEPES CORRALES</w:t>
      </w:r>
    </w:p>
    <w:p w14:paraId="79E394A8" w14:textId="77777777" w:rsidR="00037FCD" w:rsidRPr="005A3AED" w:rsidRDefault="00037FCD" w:rsidP="00037FCD">
      <w:pPr>
        <w:spacing w:line="276" w:lineRule="auto"/>
        <w:jc w:val="center"/>
        <w:rPr>
          <w:sz w:val="24"/>
          <w:szCs w:val="24"/>
        </w:rPr>
      </w:pPr>
      <w:r w:rsidRPr="005A3AED">
        <w:rPr>
          <w:rFonts w:cs="Arial"/>
          <w:b/>
          <w:sz w:val="24"/>
          <w:szCs w:val="24"/>
        </w:rPr>
        <w:t>Consejero Ponente</w:t>
      </w:r>
    </w:p>
    <w:p w14:paraId="2ACAEC4A" w14:textId="77777777" w:rsidR="00037FCD" w:rsidRPr="005A3AED" w:rsidRDefault="00037FCD" w:rsidP="009856CA">
      <w:pPr>
        <w:spacing w:line="360" w:lineRule="auto"/>
        <w:rPr>
          <w:sz w:val="24"/>
          <w:szCs w:val="24"/>
        </w:rPr>
      </w:pPr>
    </w:p>
    <w:sectPr w:rsidR="00037FCD" w:rsidRPr="005A3AED"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928A4" w14:textId="77777777" w:rsidR="009F37EE" w:rsidRDefault="009F37EE" w:rsidP="00A14B70">
      <w:r>
        <w:separator/>
      </w:r>
    </w:p>
  </w:endnote>
  <w:endnote w:type="continuationSeparator" w:id="0">
    <w:p w14:paraId="018E960F" w14:textId="77777777" w:rsidR="009F37EE" w:rsidRDefault="009F37EE" w:rsidP="00A1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BD6F5" w14:textId="77777777" w:rsidR="009F37EE" w:rsidRDefault="009F37EE" w:rsidP="00A14B70">
      <w:r>
        <w:separator/>
      </w:r>
    </w:p>
  </w:footnote>
  <w:footnote w:type="continuationSeparator" w:id="0">
    <w:p w14:paraId="452CAE8C" w14:textId="77777777" w:rsidR="009F37EE" w:rsidRDefault="009F37EE" w:rsidP="00A14B70">
      <w:r>
        <w:continuationSeparator/>
      </w:r>
    </w:p>
  </w:footnote>
  <w:footnote w:id="1">
    <w:p w14:paraId="122C7972" w14:textId="77777777" w:rsidR="00077B65" w:rsidRDefault="00077B65">
      <w:pPr>
        <w:pStyle w:val="Textonotapie"/>
      </w:pPr>
      <w:r>
        <w:rPr>
          <w:rStyle w:val="Refdenotaalpie"/>
        </w:rPr>
        <w:footnoteRef/>
      </w:r>
      <w:r>
        <w:t xml:space="preserve"> El escrito de tutela obra en el documento de certificado </w:t>
      </w:r>
      <w:r w:rsidRPr="00077B65">
        <w:t>FF1F55C063951636 952F52573B29779F 8C76A4B4CB7344E5 5714B9E9395E1DC7</w:t>
      </w:r>
      <w:r>
        <w:t>, en el expediente de tutela digital.</w:t>
      </w:r>
    </w:p>
  </w:footnote>
  <w:footnote w:id="2">
    <w:p w14:paraId="4F3BC502" w14:textId="77777777" w:rsidR="00077B65" w:rsidRDefault="00077B65">
      <w:pPr>
        <w:pStyle w:val="Textonotapie"/>
      </w:pPr>
      <w:r>
        <w:rPr>
          <w:rStyle w:val="Refdenotaalpie"/>
        </w:rPr>
        <w:footnoteRef/>
      </w:r>
      <w:r>
        <w:t xml:space="preserve"> Folio 1 del escrito de tutela que obra en el documento de certificado </w:t>
      </w:r>
      <w:r w:rsidRPr="00077B65">
        <w:t>FF1F55C063951636 952F52573B29779F 8C76A4B4CB7344E5 5714B9E9395E1DC7</w:t>
      </w:r>
      <w:r>
        <w:t>, en el expediente de tutela digital.</w:t>
      </w:r>
    </w:p>
  </w:footnote>
  <w:footnote w:id="3">
    <w:p w14:paraId="4301B937" w14:textId="77777777" w:rsidR="000B0FC0" w:rsidRPr="00D86BF4" w:rsidRDefault="000B0FC0" w:rsidP="000B0FC0">
      <w:pPr>
        <w:pStyle w:val="Textonotapie"/>
        <w:rPr>
          <w:rFonts w:cs="Arial"/>
          <w:color w:val="000000"/>
        </w:rPr>
      </w:pPr>
      <w:r w:rsidRPr="00D86BF4">
        <w:rPr>
          <w:rStyle w:val="Refdenotaalpie"/>
          <w:rFonts w:cs="Arial"/>
          <w:color w:val="000000"/>
        </w:rPr>
        <w:footnoteRef/>
      </w:r>
      <w:r w:rsidRPr="00D86BF4">
        <w:rPr>
          <w:rFonts w:cs="Arial"/>
          <w:color w:val="000000"/>
        </w:rPr>
        <w:t xml:space="preserve"> A</w:t>
      </w:r>
      <w:r w:rsidRPr="00D86BF4">
        <w:rPr>
          <w:rFonts w:cs="Arial"/>
          <w:bCs/>
          <w:color w:val="000000"/>
        </w:rPr>
        <w:t>rtículo 86.</w:t>
      </w:r>
      <w:r w:rsidRPr="00D86BF4">
        <w:rPr>
          <w:rFonts w:cs="Arial"/>
          <w:b/>
          <w:bCs/>
          <w:color w:val="000000"/>
        </w:rPr>
        <w:t> </w:t>
      </w:r>
      <w:r w:rsidRPr="00D86BF4">
        <w:rPr>
          <w:rFonts w:cs="Arial"/>
          <w:color w:val="000000"/>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 </w:t>
      </w:r>
    </w:p>
  </w:footnote>
  <w:footnote w:id="4">
    <w:p w14:paraId="342B4481" w14:textId="77777777" w:rsidR="000B0FC0" w:rsidRPr="00D86BF4" w:rsidRDefault="000B0FC0" w:rsidP="000B0FC0">
      <w:pPr>
        <w:pStyle w:val="Textonotapie"/>
        <w:rPr>
          <w:rFonts w:cs="Arial"/>
          <w:color w:val="000000"/>
        </w:rPr>
      </w:pPr>
      <w:r w:rsidRPr="00D86BF4">
        <w:rPr>
          <w:rStyle w:val="Refdenotaalpie"/>
          <w:rFonts w:cs="Arial"/>
          <w:color w:val="000000"/>
        </w:rPr>
        <w:footnoteRef/>
      </w:r>
      <w:r w:rsidRPr="00D86BF4">
        <w:rPr>
          <w:rFonts w:cs="Arial"/>
          <w:color w:val="000000"/>
        </w:rPr>
        <w:t xml:space="preserve"> </w:t>
      </w:r>
      <w:r w:rsidRPr="00D86BF4">
        <w:rPr>
          <w:rFonts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p>
  </w:footnote>
  <w:footnote w:id="5">
    <w:p w14:paraId="7AEFD450" w14:textId="77777777" w:rsidR="000B0FC0" w:rsidRPr="00D86BF4" w:rsidRDefault="000B0FC0" w:rsidP="000B0FC0">
      <w:pPr>
        <w:pStyle w:val="Textonotapie"/>
        <w:rPr>
          <w:rFonts w:cs="Arial"/>
          <w:color w:val="000000"/>
        </w:rPr>
      </w:pPr>
      <w:r w:rsidRPr="00D86BF4">
        <w:rPr>
          <w:rStyle w:val="Refdenotaalpie"/>
          <w:rFonts w:cs="Arial"/>
          <w:color w:val="000000"/>
        </w:rPr>
        <w:footnoteRef/>
      </w:r>
      <w:r w:rsidRPr="00D86BF4">
        <w:rPr>
          <w:rFonts w:cs="Arial"/>
          <w:color w:val="000000"/>
        </w:rPr>
        <w:t xml:space="preserve"> 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864297"/>
      <w:docPartObj>
        <w:docPartGallery w:val="Page Numbers (Top of Page)"/>
        <w:docPartUnique/>
      </w:docPartObj>
    </w:sdtPr>
    <w:sdtEndPr/>
    <w:sdtContent>
      <w:p w14:paraId="6D083827" w14:textId="77777777" w:rsidR="000B0FC0" w:rsidRDefault="000B0FC0">
        <w:pPr>
          <w:pStyle w:val="Encabezado"/>
          <w:jc w:val="center"/>
        </w:pPr>
        <w:r>
          <w:fldChar w:fldCharType="begin"/>
        </w:r>
        <w:r>
          <w:instrText>PAGE   \* MERGEFORMAT</w:instrText>
        </w:r>
        <w:r>
          <w:fldChar w:fldCharType="separate"/>
        </w:r>
        <w:r w:rsidR="007C1658" w:rsidRPr="007C1658">
          <w:rPr>
            <w:noProof/>
            <w:lang w:val="es-ES"/>
          </w:rPr>
          <w:t>2</w:t>
        </w:r>
        <w:r>
          <w:fldChar w:fldCharType="end"/>
        </w:r>
      </w:p>
    </w:sdtContent>
  </w:sdt>
  <w:p w14:paraId="6F5F2A99" w14:textId="77777777" w:rsidR="000B0FC0" w:rsidRPr="000B0FC0" w:rsidRDefault="000B0FC0" w:rsidP="000B0FC0">
    <w:pPr>
      <w:jc w:val="right"/>
      <w:rPr>
        <w:i/>
        <w:sz w:val="18"/>
        <w:szCs w:val="18"/>
      </w:rPr>
    </w:pPr>
    <w:r w:rsidRPr="000B0FC0">
      <w:rPr>
        <w:i/>
        <w:sz w:val="18"/>
        <w:szCs w:val="18"/>
      </w:rPr>
      <w:t xml:space="preserve">Acción de tutela – Auto admisorio </w:t>
    </w:r>
  </w:p>
  <w:p w14:paraId="30F2284B" w14:textId="77777777" w:rsidR="000B0FC0" w:rsidRPr="000B0FC0" w:rsidRDefault="000B0FC0" w:rsidP="000B0FC0">
    <w:pPr>
      <w:jc w:val="right"/>
      <w:rPr>
        <w:i/>
        <w:sz w:val="18"/>
        <w:szCs w:val="18"/>
      </w:rPr>
    </w:pPr>
    <w:r w:rsidRPr="000B0FC0">
      <w:rPr>
        <w:i/>
        <w:sz w:val="18"/>
        <w:szCs w:val="18"/>
      </w:rPr>
      <w:t>Radicación: 11001-03-15-000-2020-04592-00</w:t>
    </w:r>
  </w:p>
  <w:p w14:paraId="550090B3" w14:textId="77777777" w:rsidR="000B0FC0" w:rsidRPr="000B0FC0" w:rsidRDefault="000B0FC0" w:rsidP="000B0FC0">
    <w:pPr>
      <w:jc w:val="right"/>
      <w:rPr>
        <w:i/>
        <w:sz w:val="18"/>
        <w:szCs w:val="18"/>
      </w:rPr>
    </w:pPr>
    <w:r w:rsidRPr="000B0FC0">
      <w:rPr>
        <w:i/>
        <w:sz w:val="18"/>
        <w:szCs w:val="18"/>
      </w:rPr>
      <w:t xml:space="preserve">Accionante: Carlos Eduardo Sepúlveda Marín </w:t>
    </w:r>
  </w:p>
  <w:p w14:paraId="11BBF97F" w14:textId="77777777" w:rsidR="000B0FC0" w:rsidRPr="000B0FC0" w:rsidRDefault="000B0FC0" w:rsidP="000B0FC0">
    <w:pPr>
      <w:jc w:val="right"/>
      <w:rPr>
        <w:i/>
        <w:sz w:val="18"/>
        <w:szCs w:val="18"/>
      </w:rPr>
    </w:pPr>
    <w:r w:rsidRPr="000B0FC0">
      <w:rPr>
        <w:i/>
        <w:sz w:val="18"/>
        <w:szCs w:val="18"/>
      </w:rPr>
      <w:t>Accionado: Juzgado Segundo Civil Municipal de Pereira y otros</w:t>
    </w:r>
  </w:p>
  <w:p w14:paraId="735F4823" w14:textId="77777777" w:rsidR="000B0FC0" w:rsidRDefault="000B0F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682D0" w14:textId="77777777" w:rsidR="00A14B70" w:rsidRPr="00E93DF8" w:rsidRDefault="00A14B70" w:rsidP="00A14B70">
    <w:pPr>
      <w:pStyle w:val="Encabezado"/>
      <w:rPr>
        <w:sz w:val="24"/>
        <w:szCs w:val="24"/>
      </w:rPr>
    </w:pPr>
    <w:r w:rsidRPr="00E93DF8">
      <w:rPr>
        <w:noProof/>
        <w:sz w:val="24"/>
        <w:szCs w:val="24"/>
        <w:lang w:eastAsia="es-CO"/>
      </w:rPr>
      <w:drawing>
        <wp:anchor distT="0" distB="0" distL="114300" distR="114300" simplePos="0" relativeHeight="251659264" behindDoc="1" locked="0" layoutInCell="1" allowOverlap="1" wp14:anchorId="7F6CB110" wp14:editId="07D1AED3">
          <wp:simplePos x="0" y="0"/>
          <wp:positionH relativeFrom="column">
            <wp:posOffset>-377929</wp:posOffset>
          </wp:positionH>
          <wp:positionV relativeFrom="paragraph">
            <wp:posOffset>-130486</wp:posOffset>
          </wp:positionV>
          <wp:extent cx="1238250" cy="1154430"/>
          <wp:effectExtent l="0" t="0" r="0" b="0"/>
          <wp:wrapNone/>
          <wp:docPr id="2" name="Imagen 2" descr="ESCUDO FINAL FF-0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53655" w14:textId="77777777" w:rsidR="00A14B70" w:rsidRPr="00E93DF8" w:rsidRDefault="00A14B70" w:rsidP="00A14B70">
    <w:pPr>
      <w:ind w:right="-93"/>
      <w:jc w:val="center"/>
      <w:rPr>
        <w:rFonts w:cs="Arial"/>
        <w:b/>
        <w:bCs/>
        <w:sz w:val="24"/>
        <w:szCs w:val="24"/>
        <w:lang w:eastAsia="es-ES"/>
      </w:rPr>
    </w:pPr>
    <w:r w:rsidRPr="00E93DF8">
      <w:rPr>
        <w:rFonts w:cs="Arial"/>
        <w:b/>
        <w:bCs/>
        <w:sz w:val="24"/>
        <w:szCs w:val="24"/>
        <w:lang w:eastAsia="es-ES"/>
      </w:rPr>
      <w:t>CONSEJO DE ESTADO</w:t>
    </w:r>
  </w:p>
  <w:p w14:paraId="590253BD" w14:textId="77777777" w:rsidR="00A14B70" w:rsidRPr="00E93DF8" w:rsidRDefault="00A14B70" w:rsidP="00A14B70">
    <w:pPr>
      <w:ind w:right="-93"/>
      <w:jc w:val="center"/>
      <w:rPr>
        <w:rFonts w:cs="Arial"/>
        <w:b/>
        <w:bCs/>
        <w:color w:val="000000"/>
        <w:sz w:val="24"/>
        <w:szCs w:val="24"/>
        <w:lang w:eastAsia="es-ES"/>
      </w:rPr>
    </w:pPr>
    <w:r w:rsidRPr="00E93DF8">
      <w:rPr>
        <w:rFonts w:cs="Arial"/>
        <w:b/>
        <w:bCs/>
        <w:color w:val="000000"/>
        <w:sz w:val="24"/>
        <w:szCs w:val="24"/>
        <w:lang w:eastAsia="es-ES"/>
      </w:rPr>
      <w:t>SALA DE LO CONTENCIOSO ADMINISTRATIVO</w:t>
    </w:r>
  </w:p>
  <w:p w14:paraId="4953530D" w14:textId="77777777" w:rsidR="00A14B70" w:rsidRPr="00E93DF8" w:rsidRDefault="00A14B70" w:rsidP="00A14B70">
    <w:pPr>
      <w:ind w:right="-93"/>
      <w:jc w:val="center"/>
      <w:rPr>
        <w:rFonts w:cs="Arial"/>
        <w:b/>
        <w:bCs/>
        <w:color w:val="000000"/>
        <w:sz w:val="24"/>
        <w:szCs w:val="24"/>
        <w:lang w:eastAsia="es-ES"/>
      </w:rPr>
    </w:pPr>
    <w:r w:rsidRPr="00E93DF8">
      <w:rPr>
        <w:rFonts w:cs="Arial"/>
        <w:b/>
        <w:bCs/>
        <w:color w:val="000000"/>
        <w:sz w:val="24"/>
        <w:szCs w:val="24"/>
        <w:lang w:eastAsia="es-ES"/>
      </w:rPr>
      <w:t>SECCIÓN TERCERA</w:t>
    </w:r>
  </w:p>
  <w:p w14:paraId="1CA5E7F3" w14:textId="77777777" w:rsidR="00A14B70" w:rsidRPr="00E93DF8" w:rsidRDefault="00A14B70" w:rsidP="00A14B70">
    <w:pPr>
      <w:ind w:right="-93"/>
      <w:jc w:val="center"/>
      <w:rPr>
        <w:rFonts w:cs="Arial"/>
        <w:b/>
        <w:bCs/>
        <w:color w:val="000000"/>
        <w:sz w:val="24"/>
        <w:szCs w:val="24"/>
        <w:lang w:eastAsia="es-ES"/>
      </w:rPr>
    </w:pPr>
    <w:r w:rsidRPr="00E93DF8">
      <w:rPr>
        <w:rFonts w:cs="Arial"/>
        <w:b/>
        <w:bCs/>
        <w:color w:val="000000"/>
        <w:sz w:val="24"/>
        <w:szCs w:val="24"/>
        <w:lang w:eastAsia="es-ES"/>
      </w:rPr>
      <w:t>SUBSECCIÓN C</w:t>
    </w:r>
  </w:p>
  <w:p w14:paraId="23C02108" w14:textId="77777777" w:rsidR="00A14B70" w:rsidRPr="00E93DF8" w:rsidRDefault="00A14B70" w:rsidP="00D65ED7">
    <w:pPr>
      <w:ind w:right="-93"/>
      <w:rPr>
        <w:rFonts w:cs="Arial"/>
        <w:b/>
        <w:bCs/>
        <w:color w:val="000000"/>
        <w:sz w:val="24"/>
        <w:szCs w:val="24"/>
        <w:lang w:eastAsia="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70"/>
    <w:rsid w:val="00020EC1"/>
    <w:rsid w:val="00037FCD"/>
    <w:rsid w:val="00077B65"/>
    <w:rsid w:val="000B0FC0"/>
    <w:rsid w:val="000B11E9"/>
    <w:rsid w:val="00130720"/>
    <w:rsid w:val="00133F29"/>
    <w:rsid w:val="001A40E4"/>
    <w:rsid w:val="00254BF4"/>
    <w:rsid w:val="002616F3"/>
    <w:rsid w:val="0027567F"/>
    <w:rsid w:val="002D4E8F"/>
    <w:rsid w:val="002E460A"/>
    <w:rsid w:val="002F2AE7"/>
    <w:rsid w:val="003119B2"/>
    <w:rsid w:val="00391B02"/>
    <w:rsid w:val="00397146"/>
    <w:rsid w:val="003D1E3F"/>
    <w:rsid w:val="003F0691"/>
    <w:rsid w:val="004A2593"/>
    <w:rsid w:val="004E58CE"/>
    <w:rsid w:val="00501899"/>
    <w:rsid w:val="0056383D"/>
    <w:rsid w:val="005A3AED"/>
    <w:rsid w:val="00656063"/>
    <w:rsid w:val="00677298"/>
    <w:rsid w:val="006B4D4D"/>
    <w:rsid w:val="006D6F4B"/>
    <w:rsid w:val="006F3647"/>
    <w:rsid w:val="006F5735"/>
    <w:rsid w:val="007C1658"/>
    <w:rsid w:val="007C292A"/>
    <w:rsid w:val="007E73EC"/>
    <w:rsid w:val="00806C02"/>
    <w:rsid w:val="008070BC"/>
    <w:rsid w:val="00810B28"/>
    <w:rsid w:val="00816A7C"/>
    <w:rsid w:val="008308F7"/>
    <w:rsid w:val="00861BF1"/>
    <w:rsid w:val="00882667"/>
    <w:rsid w:val="008C491A"/>
    <w:rsid w:val="008C6081"/>
    <w:rsid w:val="00925032"/>
    <w:rsid w:val="0095592C"/>
    <w:rsid w:val="009856CA"/>
    <w:rsid w:val="009B3821"/>
    <w:rsid w:val="009C0BE5"/>
    <w:rsid w:val="009D1548"/>
    <w:rsid w:val="009D4E67"/>
    <w:rsid w:val="009F10EF"/>
    <w:rsid w:val="009F37EE"/>
    <w:rsid w:val="009F3ADB"/>
    <w:rsid w:val="00A14B70"/>
    <w:rsid w:val="00A46171"/>
    <w:rsid w:val="00A46380"/>
    <w:rsid w:val="00A862F3"/>
    <w:rsid w:val="00AB0DB1"/>
    <w:rsid w:val="00AD5814"/>
    <w:rsid w:val="00AE714D"/>
    <w:rsid w:val="00BA19E2"/>
    <w:rsid w:val="00BA43FF"/>
    <w:rsid w:val="00BB08E0"/>
    <w:rsid w:val="00C056A4"/>
    <w:rsid w:val="00C07591"/>
    <w:rsid w:val="00C46848"/>
    <w:rsid w:val="00C663BD"/>
    <w:rsid w:val="00C80C9F"/>
    <w:rsid w:val="00CB2DC2"/>
    <w:rsid w:val="00CC4E77"/>
    <w:rsid w:val="00D3740A"/>
    <w:rsid w:val="00D65ED7"/>
    <w:rsid w:val="00D82294"/>
    <w:rsid w:val="00DC4B2E"/>
    <w:rsid w:val="00DD75C3"/>
    <w:rsid w:val="00DF1604"/>
    <w:rsid w:val="00E128BD"/>
    <w:rsid w:val="00E41571"/>
    <w:rsid w:val="00E47631"/>
    <w:rsid w:val="00E70CB9"/>
    <w:rsid w:val="00E93DF8"/>
    <w:rsid w:val="00EA662B"/>
    <w:rsid w:val="00EC5E9E"/>
    <w:rsid w:val="00F151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17E16"/>
  <w15:chartTrackingRefBased/>
  <w15:docId w15:val="{3DB657A6-4DD2-4526-BC50-814E61A6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3119B2"/>
    <w:pPr>
      <w:spacing w:before="100" w:beforeAutospacing="1" w:after="100" w:afterAutospacing="1"/>
      <w:jc w:val="left"/>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B70"/>
    <w:pPr>
      <w:tabs>
        <w:tab w:val="center" w:pos="4419"/>
        <w:tab w:val="right" w:pos="8838"/>
      </w:tabs>
    </w:pPr>
  </w:style>
  <w:style w:type="character" w:customStyle="1" w:styleId="EncabezadoCar">
    <w:name w:val="Encabezado Car"/>
    <w:basedOn w:val="Fuentedeprrafopredeter"/>
    <w:link w:val="Encabezado"/>
    <w:uiPriority w:val="99"/>
    <w:rsid w:val="00A14B70"/>
  </w:style>
  <w:style w:type="paragraph" w:styleId="Piedepgina">
    <w:name w:val="footer"/>
    <w:basedOn w:val="Normal"/>
    <w:link w:val="PiedepginaCar"/>
    <w:uiPriority w:val="99"/>
    <w:unhideWhenUsed/>
    <w:rsid w:val="00A14B70"/>
    <w:pPr>
      <w:tabs>
        <w:tab w:val="center" w:pos="4419"/>
        <w:tab w:val="right" w:pos="8838"/>
      </w:tabs>
    </w:pPr>
  </w:style>
  <w:style w:type="character" w:customStyle="1" w:styleId="PiedepginaCar">
    <w:name w:val="Pie de página Car"/>
    <w:basedOn w:val="Fuentedeprrafopredeter"/>
    <w:link w:val="Piedepgina"/>
    <w:uiPriority w:val="99"/>
    <w:rsid w:val="00A14B70"/>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nhideWhenUsed/>
    <w:qFormat/>
    <w:rsid w:val="00077B65"/>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077B65"/>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basedOn w:val="Fuentedeprrafopredeter"/>
    <w:link w:val="4GChar"/>
    <w:unhideWhenUsed/>
    <w:qFormat/>
    <w:rsid w:val="00077B6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B0FC0"/>
    <w:rPr>
      <w:vertAlign w:val="superscript"/>
    </w:rPr>
  </w:style>
  <w:style w:type="table" w:styleId="Tablaconcuadrcula">
    <w:name w:val="Table Grid"/>
    <w:basedOn w:val="Tablanormal"/>
    <w:uiPriority w:val="39"/>
    <w:rsid w:val="00DF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25032"/>
    <w:rPr>
      <w:sz w:val="16"/>
      <w:szCs w:val="16"/>
    </w:rPr>
  </w:style>
  <w:style w:type="paragraph" w:styleId="Textocomentario">
    <w:name w:val="annotation text"/>
    <w:basedOn w:val="Normal"/>
    <w:link w:val="TextocomentarioCar"/>
    <w:uiPriority w:val="99"/>
    <w:semiHidden/>
    <w:unhideWhenUsed/>
    <w:rsid w:val="00925032"/>
  </w:style>
  <w:style w:type="character" w:customStyle="1" w:styleId="TextocomentarioCar">
    <w:name w:val="Texto comentario Car"/>
    <w:basedOn w:val="Fuentedeprrafopredeter"/>
    <w:link w:val="Textocomentario"/>
    <w:uiPriority w:val="99"/>
    <w:semiHidden/>
    <w:rsid w:val="00925032"/>
  </w:style>
  <w:style w:type="paragraph" w:styleId="Asuntodelcomentario">
    <w:name w:val="annotation subject"/>
    <w:basedOn w:val="Textocomentario"/>
    <w:next w:val="Textocomentario"/>
    <w:link w:val="AsuntodelcomentarioCar"/>
    <w:uiPriority w:val="99"/>
    <w:semiHidden/>
    <w:unhideWhenUsed/>
    <w:rsid w:val="00925032"/>
    <w:rPr>
      <w:b/>
      <w:bCs/>
    </w:rPr>
  </w:style>
  <w:style w:type="character" w:customStyle="1" w:styleId="AsuntodelcomentarioCar">
    <w:name w:val="Asunto del comentario Car"/>
    <w:basedOn w:val="TextocomentarioCar"/>
    <w:link w:val="Asuntodelcomentario"/>
    <w:uiPriority w:val="99"/>
    <w:semiHidden/>
    <w:rsid w:val="00925032"/>
    <w:rPr>
      <w:b/>
      <w:bCs/>
    </w:rPr>
  </w:style>
  <w:style w:type="paragraph" w:styleId="Textodeglobo">
    <w:name w:val="Balloon Text"/>
    <w:basedOn w:val="Normal"/>
    <w:link w:val="TextodegloboCar"/>
    <w:uiPriority w:val="99"/>
    <w:semiHidden/>
    <w:unhideWhenUsed/>
    <w:rsid w:val="009250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032"/>
    <w:rPr>
      <w:rFonts w:ascii="Segoe UI" w:hAnsi="Segoe UI" w:cs="Segoe UI"/>
      <w:sz w:val="18"/>
      <w:szCs w:val="18"/>
    </w:rPr>
  </w:style>
  <w:style w:type="character" w:customStyle="1" w:styleId="Ttulo3Car">
    <w:name w:val="Título 3 Car"/>
    <w:basedOn w:val="Fuentedeprrafopredeter"/>
    <w:link w:val="Ttulo3"/>
    <w:uiPriority w:val="9"/>
    <w:rsid w:val="003119B2"/>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1EB9B-53FF-4E61-A8A6-3F813952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5291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2020-11-11T21:45:00Z</cp:lastPrinted>
  <dcterms:created xsi:type="dcterms:W3CDTF">2020-11-11T21:45:00Z</dcterms:created>
  <dcterms:modified xsi:type="dcterms:W3CDTF">2020-11-11T21:45:00Z</dcterms:modified>
</cp:coreProperties>
</file>