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0BD6F" w14:textId="77777777" w:rsidR="009E3ECE" w:rsidRPr="00703DAC" w:rsidRDefault="009E3ECE" w:rsidP="009E3ECE">
      <w:pPr>
        <w:pStyle w:val="Sinespaciado"/>
        <w:rPr>
          <w:color w:val="auto"/>
          <w:szCs w:val="24"/>
        </w:rPr>
      </w:pPr>
      <w:r w:rsidRPr="00703DAC">
        <w:rPr>
          <w:color w:val="auto"/>
          <w:szCs w:val="24"/>
        </w:rPr>
        <w:t>CONSEJERO PONENTE: JAIME ENRIQUE RODRÍGUEZ NAVAS</w:t>
      </w:r>
    </w:p>
    <w:p w14:paraId="66003472" w14:textId="77777777" w:rsidR="009E3ECE" w:rsidRPr="00703DAC" w:rsidRDefault="009E3ECE" w:rsidP="009E3ECE">
      <w:pPr>
        <w:contextualSpacing/>
        <w:rPr>
          <w:b/>
          <w:bCs/>
          <w:sz w:val="24"/>
          <w:szCs w:val="24"/>
        </w:rPr>
      </w:pPr>
    </w:p>
    <w:p w14:paraId="30E8F38C" w14:textId="77777777" w:rsidR="009E3ECE" w:rsidRPr="00703DAC" w:rsidRDefault="009E3ECE" w:rsidP="009E3ECE">
      <w:pPr>
        <w:contextualSpacing/>
        <w:rPr>
          <w:bCs/>
          <w:sz w:val="24"/>
          <w:szCs w:val="24"/>
        </w:rPr>
      </w:pPr>
      <w:r w:rsidRPr="00703DAC">
        <w:rPr>
          <w:bCs/>
          <w:sz w:val="24"/>
          <w:szCs w:val="24"/>
        </w:rPr>
        <w:t>Bogotá D.C., siete (7) de septiembre dos mil veinte (2020).</w:t>
      </w:r>
    </w:p>
    <w:p w14:paraId="73D41E8B" w14:textId="77777777" w:rsidR="009E3ECE" w:rsidRPr="00703DAC" w:rsidRDefault="009E3ECE" w:rsidP="009E3ECE">
      <w:pPr>
        <w:contextualSpacing/>
        <w:rPr>
          <w:b/>
          <w:sz w:val="24"/>
          <w:szCs w:val="24"/>
        </w:rPr>
      </w:pPr>
    </w:p>
    <w:p w14:paraId="2BA4AEC9" w14:textId="77777777" w:rsidR="009E3ECE" w:rsidRPr="00703DAC" w:rsidRDefault="009E3ECE" w:rsidP="009E3ECE">
      <w:pPr>
        <w:ind w:left="1985" w:hanging="1985"/>
        <w:contextualSpacing/>
        <w:rPr>
          <w:b/>
          <w:sz w:val="24"/>
          <w:szCs w:val="24"/>
        </w:rPr>
      </w:pPr>
      <w:r w:rsidRPr="00703DAC">
        <w:rPr>
          <w:b/>
          <w:sz w:val="24"/>
          <w:szCs w:val="24"/>
        </w:rPr>
        <w:t xml:space="preserve">Referencia: </w:t>
      </w:r>
      <w:r w:rsidRPr="00703DAC">
        <w:rPr>
          <w:b/>
          <w:sz w:val="24"/>
          <w:szCs w:val="24"/>
        </w:rPr>
        <w:tab/>
      </w:r>
      <w:r w:rsidRPr="00703DAC">
        <w:rPr>
          <w:sz w:val="24"/>
          <w:szCs w:val="24"/>
        </w:rPr>
        <w:t>Acción de tutela.</w:t>
      </w:r>
    </w:p>
    <w:p w14:paraId="67D22B43" w14:textId="39BEA6AF" w:rsidR="009E3ECE" w:rsidRPr="00703DAC" w:rsidRDefault="009E3ECE" w:rsidP="009E3ECE">
      <w:pPr>
        <w:tabs>
          <w:tab w:val="left" w:pos="1985"/>
        </w:tabs>
        <w:contextualSpacing/>
        <w:rPr>
          <w:sz w:val="24"/>
          <w:szCs w:val="24"/>
        </w:rPr>
      </w:pPr>
      <w:r w:rsidRPr="00703DAC">
        <w:rPr>
          <w:b/>
          <w:sz w:val="24"/>
          <w:szCs w:val="24"/>
        </w:rPr>
        <w:t>Radicación:</w:t>
      </w:r>
      <w:r w:rsidRPr="00703DAC">
        <w:rPr>
          <w:b/>
          <w:sz w:val="24"/>
          <w:szCs w:val="24"/>
        </w:rPr>
        <w:tab/>
      </w:r>
      <w:r w:rsidR="00632DBD">
        <w:rPr>
          <w:sz w:val="24"/>
          <w:szCs w:val="24"/>
        </w:rPr>
        <w:t>11001-03-15-000-2020-03468</w:t>
      </w:r>
      <w:r w:rsidRPr="00703DAC">
        <w:rPr>
          <w:sz w:val="24"/>
          <w:szCs w:val="24"/>
        </w:rPr>
        <w:t>-00.</w:t>
      </w:r>
    </w:p>
    <w:p w14:paraId="04D285CE" w14:textId="77777777" w:rsidR="009E3ECE" w:rsidRPr="00703DAC" w:rsidRDefault="009E3ECE" w:rsidP="009E3ECE">
      <w:pPr>
        <w:tabs>
          <w:tab w:val="left" w:pos="1985"/>
        </w:tabs>
        <w:contextualSpacing/>
        <w:rPr>
          <w:sz w:val="24"/>
          <w:szCs w:val="24"/>
        </w:rPr>
      </w:pPr>
      <w:r w:rsidRPr="00703DAC">
        <w:rPr>
          <w:b/>
          <w:sz w:val="24"/>
          <w:szCs w:val="24"/>
        </w:rPr>
        <w:t>Accionante:</w:t>
      </w:r>
      <w:r w:rsidRPr="00703DAC">
        <w:rPr>
          <w:b/>
          <w:sz w:val="24"/>
          <w:szCs w:val="24"/>
        </w:rPr>
        <w:tab/>
      </w:r>
      <w:r w:rsidRPr="00703DAC">
        <w:rPr>
          <w:sz w:val="24"/>
          <w:szCs w:val="24"/>
        </w:rPr>
        <w:t>Purificación Cortés Cortés.</w:t>
      </w:r>
    </w:p>
    <w:p w14:paraId="1B63E8DC" w14:textId="77777777" w:rsidR="009E3ECE" w:rsidRPr="00703DAC" w:rsidRDefault="009E3ECE" w:rsidP="009E3ECE">
      <w:pPr>
        <w:tabs>
          <w:tab w:val="left" w:pos="1985"/>
        </w:tabs>
        <w:ind w:left="1985" w:right="51" w:hanging="1985"/>
        <w:contextualSpacing/>
        <w:rPr>
          <w:bCs/>
          <w:sz w:val="24"/>
          <w:szCs w:val="24"/>
        </w:rPr>
      </w:pPr>
      <w:r w:rsidRPr="00703DAC">
        <w:rPr>
          <w:b/>
          <w:sz w:val="24"/>
          <w:szCs w:val="24"/>
        </w:rPr>
        <w:t>Accionado:</w:t>
      </w:r>
      <w:r w:rsidRPr="00703DAC">
        <w:rPr>
          <w:b/>
          <w:sz w:val="24"/>
          <w:szCs w:val="24"/>
        </w:rPr>
        <w:tab/>
      </w:r>
      <w:r w:rsidRPr="00703DAC">
        <w:rPr>
          <w:bCs/>
          <w:sz w:val="24"/>
          <w:szCs w:val="24"/>
        </w:rPr>
        <w:t>Tribunal Administrativo de Nariño.</w:t>
      </w:r>
    </w:p>
    <w:p w14:paraId="62E8FC2A" w14:textId="77777777" w:rsidR="009E3ECE" w:rsidRPr="00703DAC" w:rsidRDefault="009E3ECE" w:rsidP="009E3ECE">
      <w:pPr>
        <w:tabs>
          <w:tab w:val="left" w:pos="8222"/>
        </w:tabs>
        <w:ind w:right="51"/>
        <w:contextualSpacing/>
        <w:rPr>
          <w:b/>
          <w:sz w:val="24"/>
          <w:szCs w:val="24"/>
        </w:rPr>
      </w:pPr>
    </w:p>
    <w:p w14:paraId="1F1EB299" w14:textId="77777777" w:rsidR="009E3ECE" w:rsidRPr="00703DAC" w:rsidRDefault="009E3ECE" w:rsidP="009E3ECE">
      <w:pPr>
        <w:pBdr>
          <w:bottom w:val="single" w:sz="12" w:space="0" w:color="auto"/>
        </w:pBdr>
        <w:ind w:left="2832" w:hanging="2832"/>
        <w:contextualSpacing/>
        <w:rPr>
          <w:b/>
          <w:sz w:val="24"/>
          <w:szCs w:val="24"/>
        </w:rPr>
      </w:pPr>
      <w:r w:rsidRPr="00703DAC">
        <w:rPr>
          <w:b/>
          <w:sz w:val="24"/>
          <w:szCs w:val="24"/>
        </w:rPr>
        <w:t>SENTENCIA DE PRIMERA INSTANCIA</w:t>
      </w:r>
    </w:p>
    <w:p w14:paraId="77B65B2A" w14:textId="77777777" w:rsidR="009E3ECE" w:rsidRPr="00703DAC" w:rsidRDefault="009E3ECE" w:rsidP="009E3ECE">
      <w:pPr>
        <w:contextualSpacing/>
        <w:jc w:val="center"/>
        <w:rPr>
          <w:b/>
          <w:sz w:val="24"/>
          <w:szCs w:val="24"/>
        </w:rPr>
      </w:pPr>
    </w:p>
    <w:p w14:paraId="29D45451" w14:textId="77777777" w:rsidR="009E3ECE" w:rsidRPr="00703DAC" w:rsidRDefault="009E3ECE" w:rsidP="009E3ECE">
      <w:pPr>
        <w:pStyle w:val="Textoindependiente21"/>
        <w:spacing w:after="0"/>
        <w:ind w:left="0"/>
        <w:jc w:val="both"/>
        <w:rPr>
          <w:rFonts w:cs="Arial"/>
          <w:bCs/>
          <w:sz w:val="24"/>
          <w:szCs w:val="24"/>
          <w:lang w:val="es-CO"/>
        </w:rPr>
      </w:pPr>
      <w:r w:rsidRPr="00703DAC">
        <w:rPr>
          <w:rFonts w:cs="Arial"/>
          <w:sz w:val="24"/>
          <w:szCs w:val="24"/>
        </w:rPr>
        <w:t>La Sala decide en primera instancia la acción de tutela incoada por Purificación Cortés Cortés</w:t>
      </w:r>
      <w:r w:rsidRPr="00703DAC">
        <w:rPr>
          <w:rFonts w:cs="Arial"/>
          <w:sz w:val="24"/>
          <w:szCs w:val="24"/>
          <w:lang w:val="es-CO"/>
        </w:rPr>
        <w:t xml:space="preserve"> en contra </w:t>
      </w:r>
      <w:r w:rsidRPr="00703DAC">
        <w:rPr>
          <w:rFonts w:cs="Arial"/>
          <w:sz w:val="24"/>
          <w:szCs w:val="24"/>
          <w:lang w:val="es-ES"/>
        </w:rPr>
        <w:t xml:space="preserve">del </w:t>
      </w:r>
      <w:bookmarkStart w:id="0" w:name="_Hlk49761891"/>
      <w:r w:rsidRPr="00703DAC">
        <w:rPr>
          <w:rFonts w:cs="Arial"/>
          <w:sz w:val="24"/>
          <w:szCs w:val="24"/>
          <w:lang w:val="es-ES"/>
        </w:rPr>
        <w:t>Tribunal Administrativo de Nariño</w:t>
      </w:r>
      <w:r w:rsidRPr="00703DAC">
        <w:rPr>
          <w:rFonts w:cs="Arial"/>
          <w:bCs/>
          <w:sz w:val="24"/>
          <w:szCs w:val="24"/>
          <w:lang w:val="es-CO"/>
        </w:rPr>
        <w:t>.</w:t>
      </w:r>
    </w:p>
    <w:p w14:paraId="51B37D38" w14:textId="77777777" w:rsidR="009E3ECE" w:rsidRPr="00703DAC" w:rsidRDefault="009E3ECE" w:rsidP="009E3ECE">
      <w:pPr>
        <w:pStyle w:val="Textoindependiente21"/>
        <w:spacing w:after="0"/>
        <w:ind w:left="0"/>
        <w:jc w:val="both"/>
        <w:rPr>
          <w:rFonts w:cs="Arial"/>
          <w:bCs/>
          <w:sz w:val="24"/>
          <w:szCs w:val="24"/>
          <w:lang w:val="es-CO"/>
        </w:rPr>
      </w:pPr>
    </w:p>
    <w:bookmarkEnd w:id="0"/>
    <w:p w14:paraId="6DD7A65B" w14:textId="77777777" w:rsidR="009E3ECE" w:rsidRPr="00703DAC" w:rsidRDefault="009E3ECE" w:rsidP="009E3ECE">
      <w:pPr>
        <w:pStyle w:val="Ttulo1"/>
        <w:spacing w:before="0" w:after="0" w:line="240" w:lineRule="auto"/>
        <w:rPr>
          <w:rFonts w:cs="Arial"/>
          <w:szCs w:val="24"/>
        </w:rPr>
      </w:pPr>
      <w:r w:rsidRPr="00703DAC">
        <w:rPr>
          <w:rFonts w:cs="Arial"/>
          <w:szCs w:val="24"/>
        </w:rPr>
        <w:t>ANTECEDENTES</w:t>
      </w:r>
    </w:p>
    <w:p w14:paraId="0515E92C" w14:textId="77777777" w:rsidR="009E3ECE" w:rsidRPr="00703DAC" w:rsidRDefault="009E3ECE" w:rsidP="009E3ECE">
      <w:pPr>
        <w:rPr>
          <w:sz w:val="24"/>
          <w:szCs w:val="24"/>
        </w:rPr>
      </w:pPr>
    </w:p>
    <w:p w14:paraId="349EF70E" w14:textId="77777777" w:rsidR="009E3ECE" w:rsidRPr="00703DAC" w:rsidRDefault="009E3ECE" w:rsidP="009E3ECE">
      <w:pPr>
        <w:pStyle w:val="Ttulo2"/>
        <w:spacing w:before="0" w:after="0"/>
        <w:rPr>
          <w:rFonts w:cs="Arial"/>
          <w:szCs w:val="24"/>
          <w:lang w:eastAsia="es-ES"/>
        </w:rPr>
      </w:pPr>
      <w:r w:rsidRPr="00703DAC">
        <w:rPr>
          <w:rFonts w:cs="Arial"/>
          <w:szCs w:val="24"/>
          <w:lang w:eastAsia="es-ES"/>
        </w:rPr>
        <w:t>Solicitud de tutela</w:t>
      </w:r>
    </w:p>
    <w:p w14:paraId="5178A528" w14:textId="77777777" w:rsidR="009E3ECE" w:rsidRPr="00703DAC" w:rsidRDefault="009E3ECE" w:rsidP="009E3ECE">
      <w:pPr>
        <w:overflowPunct w:val="0"/>
        <w:autoSpaceDE w:val="0"/>
        <w:autoSpaceDN w:val="0"/>
        <w:adjustRightInd w:val="0"/>
        <w:contextualSpacing/>
        <w:textAlignment w:val="baseline"/>
        <w:rPr>
          <w:sz w:val="24"/>
          <w:szCs w:val="24"/>
        </w:rPr>
      </w:pPr>
    </w:p>
    <w:p w14:paraId="1C64DDE7" w14:textId="2E106A3E" w:rsidR="009E3ECE" w:rsidRPr="00703DAC" w:rsidRDefault="009E3ECE" w:rsidP="009E3ECE">
      <w:pPr>
        <w:autoSpaceDE w:val="0"/>
        <w:autoSpaceDN w:val="0"/>
        <w:adjustRightInd w:val="0"/>
        <w:rPr>
          <w:sz w:val="24"/>
          <w:szCs w:val="24"/>
          <w:lang w:val="es-MX" w:eastAsia="ja-JP"/>
        </w:rPr>
      </w:pPr>
      <w:r w:rsidRPr="00703DAC">
        <w:rPr>
          <w:sz w:val="24"/>
          <w:szCs w:val="24"/>
          <w:lang w:val="es-MX" w:eastAsia="ja-JP"/>
        </w:rPr>
        <w:t>Purificación Cortés Cortés solicitó el amparo constitucional de sus derechos fundamentales al debido proceso, al acceso a la administración de justicia, a la igualdad, al mínimo vital, a la seguridad social y a la congruencia en las sentencias, que consideró fueron vulnerados por el Tribunal Administrativo de Nariño, con ocasión del fallo proferido el 9 de octubre de 2019 dentro del proceso de nulidad y restablecimiento del derecho con radicado 52001333300420130050301, que fue iniciado en contra de la Unidad Administrativa Especial de Gestión Pensional y Contribuciones Parafiscales de la Protección Social (UGPP).</w:t>
      </w:r>
    </w:p>
    <w:p w14:paraId="64A1AFBF" w14:textId="77777777" w:rsidR="009E3ECE" w:rsidRPr="00703DAC" w:rsidRDefault="009E3ECE" w:rsidP="009E3ECE">
      <w:pPr>
        <w:contextualSpacing/>
        <w:rPr>
          <w:rFonts w:eastAsia="Verdana"/>
          <w:sz w:val="24"/>
          <w:szCs w:val="24"/>
          <w:lang w:val="es-MX"/>
        </w:rPr>
      </w:pPr>
    </w:p>
    <w:p w14:paraId="29E02182" w14:textId="2E03FDA6" w:rsidR="009E3ECE" w:rsidRPr="00703DAC" w:rsidRDefault="009E3ECE" w:rsidP="009E3ECE">
      <w:pPr>
        <w:numPr>
          <w:ilvl w:val="0"/>
          <w:numId w:val="3"/>
        </w:numPr>
        <w:contextualSpacing/>
        <w:rPr>
          <w:rFonts w:eastAsia="Verdana"/>
          <w:b/>
          <w:sz w:val="24"/>
          <w:szCs w:val="24"/>
        </w:rPr>
      </w:pPr>
      <w:r w:rsidRPr="00703DAC">
        <w:rPr>
          <w:rFonts w:eastAsia="Verdana"/>
          <w:b/>
          <w:sz w:val="24"/>
          <w:szCs w:val="24"/>
        </w:rPr>
        <w:t>Hechos</w:t>
      </w:r>
      <w:r w:rsidRPr="00703DAC">
        <w:rPr>
          <w:rStyle w:val="Refdenotaalpie"/>
          <w:rFonts w:eastAsia="Verdana"/>
          <w:b/>
          <w:sz w:val="24"/>
          <w:szCs w:val="24"/>
        </w:rPr>
        <w:footnoteReference w:id="1"/>
      </w:r>
    </w:p>
    <w:p w14:paraId="16723A04" w14:textId="77777777" w:rsidR="009E3ECE" w:rsidRPr="00703DAC" w:rsidRDefault="009E3ECE" w:rsidP="009E3ECE">
      <w:pPr>
        <w:contextualSpacing/>
        <w:rPr>
          <w:rFonts w:eastAsia="Verdana"/>
          <w:sz w:val="24"/>
          <w:szCs w:val="24"/>
        </w:rPr>
      </w:pPr>
    </w:p>
    <w:p w14:paraId="3728715D" w14:textId="77777777" w:rsidR="009E3ECE" w:rsidRPr="00703DAC" w:rsidRDefault="009E3ECE" w:rsidP="009E3ECE">
      <w:pPr>
        <w:autoSpaceDE w:val="0"/>
        <w:autoSpaceDN w:val="0"/>
        <w:adjustRightInd w:val="0"/>
        <w:rPr>
          <w:sz w:val="24"/>
          <w:szCs w:val="24"/>
          <w:lang w:val="es-MX" w:eastAsia="ja-JP"/>
        </w:rPr>
      </w:pPr>
      <w:r w:rsidRPr="00703DAC">
        <w:rPr>
          <w:b/>
          <w:sz w:val="24"/>
          <w:szCs w:val="24"/>
          <w:lang w:val="es-MX" w:eastAsia="ja-JP"/>
        </w:rPr>
        <w:t>2.1.</w:t>
      </w:r>
      <w:r w:rsidRPr="00703DAC">
        <w:rPr>
          <w:sz w:val="24"/>
          <w:szCs w:val="24"/>
          <w:lang w:val="es-MX" w:eastAsia="ja-JP"/>
        </w:rPr>
        <w:t xml:space="preserve"> Purificación Cortés Cortés presentó demanda en ejercicio del medio de control de nulidad y restablecimiento del derecho en contra de la UGPP, con la pretensión de que el juez administrativo declarara la nulidad de las resoluciones núms. RDP-015612, RDP-22265 y RDP-024532, proferidas, respectivamente, el 8 de abril, 16 y 29 de mayo de 2013, que negaron la petición de reconocimiento de la pensión de sobrevivientes en la condición de compañera permanente de </w:t>
      </w:r>
      <w:bookmarkStart w:id="1" w:name="_Hlk49761700"/>
      <w:r w:rsidRPr="00703DAC">
        <w:rPr>
          <w:sz w:val="24"/>
          <w:szCs w:val="24"/>
          <w:lang w:val="es-MX" w:eastAsia="ja-JP"/>
        </w:rPr>
        <w:t>Otoniel Orobio Tenorio</w:t>
      </w:r>
      <w:bookmarkEnd w:id="1"/>
      <w:r w:rsidRPr="00703DAC">
        <w:rPr>
          <w:sz w:val="24"/>
          <w:szCs w:val="24"/>
          <w:lang w:val="es-MX" w:eastAsia="ja-JP"/>
        </w:rPr>
        <w:t xml:space="preserve">, quien falleció el 7 de febrero de 1989. En consecuencia, solicitó que se ordenara a la autoridad prestacional el pago de la mesada vitalicia que le fue negada. </w:t>
      </w:r>
    </w:p>
    <w:p w14:paraId="2591C252" w14:textId="77777777" w:rsidR="009E3ECE" w:rsidRPr="00703DAC" w:rsidRDefault="009E3ECE" w:rsidP="009E3ECE">
      <w:pPr>
        <w:rPr>
          <w:sz w:val="24"/>
          <w:szCs w:val="24"/>
          <w:lang w:val="es-MX" w:eastAsia="ja-JP"/>
        </w:rPr>
      </w:pPr>
    </w:p>
    <w:p w14:paraId="63D88CD8" w14:textId="5BAE3B87" w:rsidR="009E3ECE" w:rsidRPr="00703DAC" w:rsidRDefault="009E3ECE" w:rsidP="009E3ECE">
      <w:pPr>
        <w:rPr>
          <w:sz w:val="24"/>
          <w:szCs w:val="24"/>
          <w:lang w:val="es-MX" w:eastAsia="ja-JP"/>
        </w:rPr>
      </w:pPr>
      <w:r w:rsidRPr="00703DAC">
        <w:rPr>
          <w:sz w:val="24"/>
          <w:szCs w:val="24"/>
          <w:lang w:val="es-MX" w:eastAsia="ja-JP"/>
        </w:rPr>
        <w:t>La señora Cortés fundamentó sus pretensiones en la aplicación de la Ley 100 de 1993, por ser esta norma más favorable que el régimen contenido en la Ley 33 de 1985, por cuanto exige un menor tiempo de prestación del servicio para adquirir el derecho pensional.</w:t>
      </w:r>
    </w:p>
    <w:p w14:paraId="05A01822" w14:textId="77777777" w:rsidR="009E3ECE" w:rsidRPr="00703DAC" w:rsidRDefault="009E3ECE" w:rsidP="009E3ECE">
      <w:pPr>
        <w:autoSpaceDE w:val="0"/>
        <w:autoSpaceDN w:val="0"/>
        <w:adjustRightInd w:val="0"/>
        <w:rPr>
          <w:sz w:val="24"/>
          <w:szCs w:val="24"/>
          <w:lang w:val="es-MX" w:eastAsia="ja-JP"/>
        </w:rPr>
      </w:pPr>
    </w:p>
    <w:p w14:paraId="69CA85C6" w14:textId="5027C58F" w:rsidR="009E3ECE" w:rsidRPr="00703DAC" w:rsidRDefault="009E3ECE" w:rsidP="009E3ECE">
      <w:pPr>
        <w:autoSpaceDE w:val="0"/>
        <w:autoSpaceDN w:val="0"/>
        <w:adjustRightInd w:val="0"/>
        <w:rPr>
          <w:sz w:val="24"/>
          <w:szCs w:val="24"/>
          <w:lang w:val="es-MX" w:eastAsia="ja-JP"/>
        </w:rPr>
      </w:pPr>
      <w:r w:rsidRPr="00703DAC">
        <w:rPr>
          <w:b/>
          <w:sz w:val="24"/>
          <w:szCs w:val="24"/>
          <w:lang w:val="es-MX" w:eastAsia="ja-JP"/>
        </w:rPr>
        <w:t>2.2.</w:t>
      </w:r>
      <w:r w:rsidRPr="00703DAC">
        <w:rPr>
          <w:sz w:val="24"/>
          <w:szCs w:val="24"/>
          <w:lang w:val="es-MX" w:eastAsia="ja-JP"/>
        </w:rPr>
        <w:t xml:space="preserve"> El asunto correspondió en primera instancia al </w:t>
      </w:r>
      <w:r w:rsidRPr="00703DAC">
        <w:rPr>
          <w:b/>
          <w:bCs/>
          <w:sz w:val="24"/>
          <w:szCs w:val="24"/>
          <w:lang w:val="es-MX" w:eastAsia="ja-JP"/>
        </w:rPr>
        <w:t>Juzgado Tercero Administrativo de Pasto</w:t>
      </w:r>
      <w:r w:rsidRPr="00703DAC">
        <w:rPr>
          <w:sz w:val="24"/>
          <w:szCs w:val="24"/>
          <w:lang w:val="es-MX" w:eastAsia="ja-JP"/>
        </w:rPr>
        <w:t>, autoridad que, en sentencia del 22 de julio de 2016</w:t>
      </w:r>
      <w:r w:rsidRPr="00703DAC">
        <w:rPr>
          <w:rStyle w:val="Refdenotaalpie"/>
          <w:sz w:val="24"/>
          <w:szCs w:val="24"/>
          <w:lang w:val="es-MX" w:eastAsia="ja-JP"/>
        </w:rPr>
        <w:footnoteReference w:id="2"/>
      </w:r>
      <w:r w:rsidRPr="00703DAC">
        <w:rPr>
          <w:sz w:val="24"/>
          <w:szCs w:val="24"/>
          <w:lang w:val="es-MX" w:eastAsia="ja-JP"/>
        </w:rPr>
        <w:t xml:space="preserve">, negó las pretensiones de la demanda. Como fundamento de su decisión, explicó que el artículo 46 de la Ley 100 de 1993 no era aplicable al caso concreto, porque al momento en el que falleció el señor Orobio, este era beneficiario del régimen de transición de la Ley 33 de 1985, </w:t>
      </w:r>
      <w:r w:rsidRPr="00703DAC">
        <w:rPr>
          <w:sz w:val="24"/>
          <w:szCs w:val="24"/>
          <w:lang w:val="es-MX" w:eastAsia="ja-JP"/>
        </w:rPr>
        <w:lastRenderedPageBreak/>
        <w:t>es decir, las leyes 6 de 1945, 4 de 1966, 12 de 1975 y los decretos 3135 de 1968 y 1045 de 1978, que igualmente exigían el cumplimiento de 20 años de servicio para que fuera procedente el reconocimiento de la pensión de sobrevivientes, requisito que no se cumplió.</w:t>
      </w:r>
    </w:p>
    <w:p w14:paraId="197AEA54" w14:textId="77777777" w:rsidR="009E3ECE" w:rsidRPr="00703DAC" w:rsidRDefault="009E3ECE" w:rsidP="009E3ECE">
      <w:pPr>
        <w:autoSpaceDE w:val="0"/>
        <w:autoSpaceDN w:val="0"/>
        <w:adjustRightInd w:val="0"/>
        <w:rPr>
          <w:sz w:val="24"/>
          <w:szCs w:val="24"/>
          <w:lang w:val="es-MX" w:eastAsia="ja-JP"/>
        </w:rPr>
      </w:pPr>
    </w:p>
    <w:p w14:paraId="1B7C537D" w14:textId="77777777" w:rsidR="009E3ECE" w:rsidRPr="00703DAC" w:rsidRDefault="009E3ECE" w:rsidP="009E3ECE">
      <w:pPr>
        <w:autoSpaceDE w:val="0"/>
        <w:autoSpaceDN w:val="0"/>
        <w:adjustRightInd w:val="0"/>
        <w:rPr>
          <w:sz w:val="24"/>
          <w:szCs w:val="24"/>
          <w:lang w:val="es-MX" w:eastAsia="ja-JP"/>
        </w:rPr>
      </w:pPr>
      <w:r w:rsidRPr="00703DAC">
        <w:rPr>
          <w:sz w:val="24"/>
          <w:szCs w:val="24"/>
          <w:lang w:val="es-MX" w:eastAsia="ja-JP"/>
        </w:rPr>
        <w:t>Además, agregó que no era posible aplicar de manera retrospectiva la Ley 100 de 1993, en razón a que la tesis del Consejo de Estado, aceptada por la Corte Constitucional, señala que la ley que gobierna el reconocimiento de la pensión de beneficiarios es la vigente al momento del fallecimiento del causante.</w:t>
      </w:r>
    </w:p>
    <w:p w14:paraId="0B9B9404" w14:textId="77777777" w:rsidR="009E3ECE" w:rsidRPr="00703DAC" w:rsidRDefault="009E3ECE" w:rsidP="009E3ECE">
      <w:pPr>
        <w:autoSpaceDE w:val="0"/>
        <w:autoSpaceDN w:val="0"/>
        <w:adjustRightInd w:val="0"/>
        <w:rPr>
          <w:sz w:val="24"/>
          <w:szCs w:val="24"/>
          <w:lang w:val="es-MX" w:eastAsia="ja-JP"/>
        </w:rPr>
      </w:pPr>
    </w:p>
    <w:p w14:paraId="6A8A1A5E" w14:textId="7366B6AE" w:rsidR="009E3ECE" w:rsidRPr="00703DAC" w:rsidRDefault="009E3ECE" w:rsidP="009E3ECE">
      <w:pPr>
        <w:autoSpaceDE w:val="0"/>
        <w:autoSpaceDN w:val="0"/>
        <w:adjustRightInd w:val="0"/>
        <w:rPr>
          <w:sz w:val="24"/>
          <w:szCs w:val="24"/>
          <w:lang w:val="es-MX" w:eastAsia="ja-JP"/>
        </w:rPr>
      </w:pPr>
      <w:r w:rsidRPr="00703DAC">
        <w:rPr>
          <w:b/>
          <w:sz w:val="24"/>
          <w:szCs w:val="24"/>
          <w:lang w:val="es-MX" w:eastAsia="ja-JP"/>
        </w:rPr>
        <w:t>2.3.</w:t>
      </w:r>
      <w:r w:rsidRPr="00703DAC">
        <w:rPr>
          <w:sz w:val="24"/>
          <w:szCs w:val="24"/>
          <w:lang w:val="es-MX" w:eastAsia="ja-JP"/>
        </w:rPr>
        <w:t xml:space="preserve"> En contra de la anterior decisión la parte demandante presentó recurso de apelación en el que reiteró que el régimen contenido en la Ley 100 de 1993 debía ser aplicado a su caso, con fundamento en el principio de favorabilidad, toda vez que solo exigía que el causante hubiera cotizado cincuenta semanas dentro de los últimos tres años anteriores al fallecimiento.</w:t>
      </w:r>
    </w:p>
    <w:p w14:paraId="4F227BD6" w14:textId="77777777" w:rsidR="009E3ECE" w:rsidRPr="00703DAC" w:rsidRDefault="009E3ECE" w:rsidP="009E3ECE">
      <w:pPr>
        <w:autoSpaceDE w:val="0"/>
        <w:autoSpaceDN w:val="0"/>
        <w:adjustRightInd w:val="0"/>
        <w:rPr>
          <w:sz w:val="24"/>
          <w:szCs w:val="24"/>
          <w:lang w:val="es-MX" w:eastAsia="ja-JP"/>
        </w:rPr>
      </w:pPr>
    </w:p>
    <w:p w14:paraId="78F5ABF6" w14:textId="4A52C872" w:rsidR="009E3ECE" w:rsidRPr="00703DAC" w:rsidRDefault="009E3ECE" w:rsidP="009E3ECE">
      <w:pPr>
        <w:autoSpaceDE w:val="0"/>
        <w:autoSpaceDN w:val="0"/>
        <w:adjustRightInd w:val="0"/>
        <w:rPr>
          <w:sz w:val="24"/>
          <w:szCs w:val="24"/>
          <w:lang w:val="es-MX" w:eastAsia="ja-JP"/>
        </w:rPr>
      </w:pPr>
      <w:r w:rsidRPr="00D705F9">
        <w:rPr>
          <w:b/>
          <w:bCs/>
          <w:sz w:val="24"/>
          <w:szCs w:val="24"/>
          <w:lang w:val="es-MX" w:eastAsia="ja-JP"/>
        </w:rPr>
        <w:t xml:space="preserve">2.4. </w:t>
      </w:r>
      <w:r w:rsidRPr="00703DAC">
        <w:rPr>
          <w:sz w:val="24"/>
          <w:szCs w:val="24"/>
          <w:lang w:val="es-MX" w:eastAsia="ja-JP"/>
        </w:rPr>
        <w:t xml:space="preserve">El </w:t>
      </w:r>
      <w:r w:rsidRPr="00703DAC">
        <w:rPr>
          <w:b/>
          <w:bCs/>
          <w:sz w:val="24"/>
          <w:szCs w:val="24"/>
          <w:lang w:val="es-MX" w:eastAsia="ja-JP"/>
        </w:rPr>
        <w:t>Tribunal Administrativo de Nariño</w:t>
      </w:r>
      <w:r w:rsidRPr="00703DAC">
        <w:rPr>
          <w:sz w:val="24"/>
          <w:szCs w:val="24"/>
          <w:lang w:val="es-MX" w:eastAsia="ja-JP"/>
        </w:rPr>
        <w:t>, en providencia del 9 de octubre de 2019</w:t>
      </w:r>
      <w:r w:rsidRPr="00703DAC">
        <w:rPr>
          <w:rStyle w:val="Refdenotaalpie"/>
          <w:sz w:val="24"/>
          <w:szCs w:val="24"/>
          <w:lang w:val="es-MX" w:eastAsia="ja-JP"/>
        </w:rPr>
        <w:footnoteReference w:id="3"/>
      </w:r>
      <w:r w:rsidRPr="00703DAC">
        <w:rPr>
          <w:sz w:val="24"/>
          <w:szCs w:val="24"/>
          <w:lang w:val="es-MX" w:eastAsia="ja-JP"/>
        </w:rPr>
        <w:t xml:space="preserve">, confirmó la sentencia apelada, pero por razones diferentes a las que esgrimió el juez de primera instancia. El </w:t>
      </w:r>
      <w:r w:rsidRPr="00703DAC">
        <w:rPr>
          <w:i/>
          <w:sz w:val="24"/>
          <w:szCs w:val="24"/>
          <w:lang w:val="es-MX" w:eastAsia="ja-JP"/>
        </w:rPr>
        <w:t>ad quem,</w:t>
      </w:r>
      <w:r w:rsidRPr="00703DAC">
        <w:rPr>
          <w:sz w:val="24"/>
          <w:szCs w:val="24"/>
          <w:lang w:val="es-MX" w:eastAsia="ja-JP"/>
        </w:rPr>
        <w:t xml:space="preserve"> analizó la prueba supl</w:t>
      </w:r>
      <w:r w:rsidR="00D705F9">
        <w:rPr>
          <w:sz w:val="24"/>
          <w:szCs w:val="24"/>
          <w:lang w:val="es-MX" w:eastAsia="ja-JP"/>
        </w:rPr>
        <w:t xml:space="preserve">etoria y encontró acreditado un periodo </w:t>
      </w:r>
      <w:r w:rsidRPr="00703DAC">
        <w:rPr>
          <w:sz w:val="24"/>
          <w:szCs w:val="24"/>
          <w:lang w:val="es-MX" w:eastAsia="ja-JP"/>
        </w:rPr>
        <w:t xml:space="preserve">adicional de cotización al sistema con el cual el causante cumplió con el requisito de </w:t>
      </w:r>
      <w:r w:rsidRPr="00D705F9">
        <w:rPr>
          <w:sz w:val="24"/>
          <w:szCs w:val="24"/>
          <w:lang w:val="es-MX" w:eastAsia="ja-JP"/>
        </w:rPr>
        <w:t>tiempo</w:t>
      </w:r>
      <w:r w:rsidRPr="00703DAC">
        <w:rPr>
          <w:sz w:val="24"/>
          <w:szCs w:val="24"/>
          <w:lang w:val="es-MX" w:eastAsia="ja-JP"/>
        </w:rPr>
        <w:t xml:space="preserve"> de servicio necesario para hacer viable la transmisión del derecho pensional, bajo el régimen de la Ley 33 de 1985.</w:t>
      </w:r>
    </w:p>
    <w:p w14:paraId="03D2F9CD" w14:textId="77777777" w:rsidR="009E3ECE" w:rsidRPr="00703DAC" w:rsidRDefault="009E3ECE" w:rsidP="009E3ECE">
      <w:pPr>
        <w:autoSpaceDE w:val="0"/>
        <w:autoSpaceDN w:val="0"/>
        <w:adjustRightInd w:val="0"/>
        <w:rPr>
          <w:sz w:val="24"/>
          <w:szCs w:val="24"/>
          <w:lang w:val="es-MX" w:eastAsia="ja-JP"/>
        </w:rPr>
      </w:pPr>
    </w:p>
    <w:p w14:paraId="4FC5E3A5" w14:textId="77777777" w:rsidR="009E3ECE" w:rsidRPr="00703DAC" w:rsidRDefault="009E3ECE" w:rsidP="009E3ECE">
      <w:pPr>
        <w:autoSpaceDE w:val="0"/>
        <w:autoSpaceDN w:val="0"/>
        <w:adjustRightInd w:val="0"/>
        <w:rPr>
          <w:sz w:val="24"/>
          <w:szCs w:val="24"/>
          <w:lang w:val="es-MX" w:eastAsia="ja-JP"/>
        </w:rPr>
      </w:pPr>
      <w:r w:rsidRPr="00703DAC">
        <w:rPr>
          <w:sz w:val="24"/>
          <w:szCs w:val="24"/>
          <w:lang w:val="es-MX" w:eastAsia="ja-JP"/>
        </w:rPr>
        <w:t xml:space="preserve">No obstante, al examinar si la demandante cumplía con los requisitos mínimos para el reconocimiento de la pensión, halló que, de las piezas procesales, no se podía deducir con certeza el término de convivencia y la vida marital con Otoniel Orobio Tenorio. </w:t>
      </w:r>
    </w:p>
    <w:p w14:paraId="75BB174A" w14:textId="77777777" w:rsidR="009E3ECE" w:rsidRPr="00703DAC" w:rsidRDefault="009E3ECE" w:rsidP="009E3ECE">
      <w:pPr>
        <w:autoSpaceDE w:val="0"/>
        <w:autoSpaceDN w:val="0"/>
        <w:adjustRightInd w:val="0"/>
        <w:rPr>
          <w:sz w:val="24"/>
          <w:szCs w:val="24"/>
          <w:lang w:val="es-MX" w:eastAsia="ja-JP"/>
        </w:rPr>
      </w:pPr>
    </w:p>
    <w:p w14:paraId="3FCCBFB9" w14:textId="34C00D32" w:rsidR="009E3ECE" w:rsidRDefault="009E3ECE" w:rsidP="009E3ECE">
      <w:pPr>
        <w:autoSpaceDE w:val="0"/>
        <w:autoSpaceDN w:val="0"/>
        <w:adjustRightInd w:val="0"/>
        <w:rPr>
          <w:sz w:val="24"/>
          <w:szCs w:val="24"/>
          <w:lang w:val="es-MX" w:eastAsia="ja-JP"/>
        </w:rPr>
      </w:pPr>
      <w:r w:rsidRPr="00703DAC">
        <w:rPr>
          <w:sz w:val="24"/>
          <w:szCs w:val="24"/>
          <w:lang w:val="es-MX" w:eastAsia="ja-JP"/>
        </w:rPr>
        <w:t>Para llegar a la anterior conclusión,</w:t>
      </w:r>
      <w:r w:rsidR="0070124D">
        <w:rPr>
          <w:sz w:val="24"/>
          <w:szCs w:val="24"/>
          <w:lang w:val="es-MX" w:eastAsia="ja-JP"/>
        </w:rPr>
        <w:t xml:space="preserve"> expuso los siguiente motivos:</w:t>
      </w:r>
    </w:p>
    <w:p w14:paraId="402DB686" w14:textId="77777777" w:rsidR="0070124D" w:rsidRPr="00703DAC" w:rsidRDefault="0070124D" w:rsidP="009E3ECE">
      <w:pPr>
        <w:autoSpaceDE w:val="0"/>
        <w:autoSpaceDN w:val="0"/>
        <w:adjustRightInd w:val="0"/>
        <w:rPr>
          <w:sz w:val="24"/>
          <w:szCs w:val="24"/>
          <w:lang w:val="es-MX" w:eastAsia="ja-JP"/>
        </w:rPr>
      </w:pPr>
    </w:p>
    <w:p w14:paraId="2CE3E33E" w14:textId="77777777" w:rsidR="009E3ECE" w:rsidRPr="00703DAC" w:rsidRDefault="009E3ECE" w:rsidP="009E3ECE">
      <w:pPr>
        <w:autoSpaceDE w:val="0"/>
        <w:autoSpaceDN w:val="0"/>
        <w:adjustRightInd w:val="0"/>
        <w:ind w:left="566"/>
        <w:rPr>
          <w:sz w:val="22"/>
          <w:szCs w:val="22"/>
          <w:lang w:val="es-MX" w:eastAsia="ja-JP"/>
        </w:rPr>
      </w:pPr>
      <w:r w:rsidRPr="00703DAC">
        <w:rPr>
          <w:sz w:val="22"/>
          <w:szCs w:val="22"/>
          <w:lang w:val="es-MX" w:eastAsia="ja-JP"/>
        </w:rPr>
        <w:t xml:space="preserve">“8.11. […] lo dicho en las declaraciones antes referidas, no determina con certeza el término de convivencia entre la demandante y quien en vida fuera el señor Otoniel Orobio Tenorio, ni tampoco respecto la vida marital de la demandante con el causante que es requisito indispensable, sin el cual no es posible acceder al reconocimiento pensional pretendido por la demandante. </w:t>
      </w:r>
    </w:p>
    <w:p w14:paraId="3D917C7E" w14:textId="7A5B4D14" w:rsidR="009E3ECE" w:rsidRPr="00703DAC" w:rsidRDefault="009E3ECE" w:rsidP="009E3ECE">
      <w:pPr>
        <w:autoSpaceDE w:val="0"/>
        <w:autoSpaceDN w:val="0"/>
        <w:adjustRightInd w:val="0"/>
        <w:ind w:left="566"/>
        <w:rPr>
          <w:sz w:val="22"/>
          <w:szCs w:val="22"/>
          <w:lang w:val="es-MX" w:eastAsia="ja-JP"/>
        </w:rPr>
      </w:pPr>
      <w:r w:rsidRPr="00703DAC">
        <w:rPr>
          <w:sz w:val="22"/>
          <w:szCs w:val="22"/>
          <w:lang w:val="es-MX" w:eastAsia="ja-JP"/>
        </w:rPr>
        <w:t>8.12. Dicho de otra manera, pese a que las pruebas extraproceso coincide</w:t>
      </w:r>
      <w:r w:rsidR="00D705F9">
        <w:rPr>
          <w:sz w:val="22"/>
          <w:szCs w:val="22"/>
          <w:lang w:val="es-MX" w:eastAsia="ja-JP"/>
        </w:rPr>
        <w:t xml:space="preserve"> [sic]</w:t>
      </w:r>
      <w:r w:rsidRPr="00703DAC">
        <w:rPr>
          <w:sz w:val="22"/>
          <w:szCs w:val="22"/>
          <w:lang w:val="es-MX" w:eastAsia="ja-JP"/>
        </w:rPr>
        <w:t xml:space="preserve"> en decir que la señora Purificación Cortés Cortés convivió con el señor Otoniel Orobio Tenorio más o menos durante un término de 20 años, también existen declaraciones que afirman que la señora Margarita Angulo igualmente convivió durante 20 años y hasta el momento de su muerte con el de </w:t>
      </w:r>
      <w:r w:rsidRPr="00703DAC">
        <w:rPr>
          <w:i/>
          <w:iCs/>
          <w:sz w:val="22"/>
          <w:szCs w:val="22"/>
          <w:lang w:val="es-MX" w:eastAsia="ja-JP"/>
        </w:rPr>
        <w:t>cujus</w:t>
      </w:r>
      <w:r w:rsidRPr="00703DAC">
        <w:rPr>
          <w:sz w:val="22"/>
          <w:szCs w:val="22"/>
          <w:lang w:val="es-MX" w:eastAsia="ja-JP"/>
        </w:rPr>
        <w:t xml:space="preserve">, por lo cual no existe certeza que la demandante convivió e hizo vida marital con el señor Orobio Cortes hasta el momento de su fallecimiento. Es evidente entonces que hay contradicción entre tales declaraciones, sin que permita arribar a la conclusión pretendida por la actora. </w:t>
      </w:r>
    </w:p>
    <w:p w14:paraId="1161C5BE" w14:textId="38F28C24" w:rsidR="009E3ECE" w:rsidRPr="00703DAC" w:rsidRDefault="009E3ECE" w:rsidP="009E3ECE">
      <w:pPr>
        <w:autoSpaceDE w:val="0"/>
        <w:autoSpaceDN w:val="0"/>
        <w:adjustRightInd w:val="0"/>
        <w:ind w:left="566"/>
        <w:rPr>
          <w:sz w:val="22"/>
          <w:szCs w:val="22"/>
          <w:lang w:val="es-MX" w:eastAsia="ja-JP"/>
        </w:rPr>
      </w:pPr>
      <w:r w:rsidRPr="00703DAC">
        <w:rPr>
          <w:sz w:val="22"/>
          <w:szCs w:val="22"/>
          <w:lang w:val="es-MX" w:eastAsia="ja-JP"/>
        </w:rPr>
        <w:t>8.13. Además, la condición de compañero (a) y la vida marital impone similares condiciones o trato entre cónyuges o compañeros, esto es brindarse apoyo, socorro y ayuda, aspectos que no aparec</w:t>
      </w:r>
      <w:r w:rsidR="00D705F9">
        <w:rPr>
          <w:sz w:val="22"/>
          <w:szCs w:val="22"/>
          <w:lang w:val="es-MX" w:eastAsia="ja-JP"/>
        </w:rPr>
        <w:t xml:space="preserve">en acreditados en el </w:t>
      </w:r>
      <w:r w:rsidR="00D705F9">
        <w:rPr>
          <w:sz w:val="22"/>
          <w:szCs w:val="22"/>
          <w:lang w:val="es-MX" w:eastAsia="ja-JP"/>
        </w:rPr>
        <w:t>expediente</w:t>
      </w:r>
      <w:r w:rsidR="00277551">
        <w:rPr>
          <w:sz w:val="22"/>
          <w:szCs w:val="22"/>
          <w:lang w:val="es-MX" w:eastAsia="ja-JP"/>
        </w:rPr>
        <w:t>.</w:t>
      </w:r>
    </w:p>
    <w:p w14:paraId="6EEBC6F0" w14:textId="77777777" w:rsidR="009E3ECE" w:rsidRPr="00703DAC" w:rsidRDefault="009E3ECE" w:rsidP="009E3ECE">
      <w:pPr>
        <w:autoSpaceDE w:val="0"/>
        <w:autoSpaceDN w:val="0"/>
        <w:adjustRightInd w:val="0"/>
        <w:ind w:left="566"/>
        <w:rPr>
          <w:sz w:val="22"/>
          <w:szCs w:val="22"/>
          <w:lang w:val="es-MX" w:eastAsia="ja-JP"/>
        </w:rPr>
      </w:pPr>
      <w:r w:rsidRPr="00703DAC">
        <w:rPr>
          <w:sz w:val="22"/>
          <w:szCs w:val="22"/>
          <w:lang w:val="es-MX" w:eastAsia="ja-JP"/>
        </w:rPr>
        <w:t>[…]</w:t>
      </w:r>
    </w:p>
    <w:p w14:paraId="663BD8E0" w14:textId="269558EA" w:rsidR="009E3ECE" w:rsidRPr="00703DAC" w:rsidRDefault="009E3ECE" w:rsidP="009E3ECE">
      <w:pPr>
        <w:autoSpaceDE w:val="0"/>
        <w:autoSpaceDN w:val="0"/>
        <w:adjustRightInd w:val="0"/>
        <w:ind w:left="566"/>
        <w:rPr>
          <w:sz w:val="22"/>
          <w:szCs w:val="22"/>
          <w:lang w:val="es-MX" w:eastAsia="ja-JP"/>
        </w:rPr>
      </w:pPr>
      <w:r w:rsidRPr="00703DAC">
        <w:rPr>
          <w:sz w:val="22"/>
          <w:szCs w:val="22"/>
          <w:lang w:val="es-MX" w:eastAsia="ja-JP"/>
        </w:rPr>
        <w:t xml:space="preserve">8.15. De otro lado debe agregarse también que si bien hoy el CGP, art. 222, no exige la ratificación de las pruebas extraproceso, a menos que la contraparte así lo solicite, ello no implica que tal prueba se acoja en su integralidad sin la valoración y examen que corresponde a la luz de la sana crítica. No puede perderse de vista que la tarea de valoración de las pruebas a la luz de la sana crítica, debe realizarse en conjunto de las </w:t>
      </w:r>
      <w:r w:rsidRPr="00703DAC">
        <w:rPr>
          <w:sz w:val="22"/>
          <w:szCs w:val="22"/>
          <w:lang w:val="es-MX" w:eastAsia="ja-JP"/>
        </w:rPr>
        <w:lastRenderedPageBreak/>
        <w:t>demás pruebas; el escrutinio de la prueba no puede quedar de lado en torno a los hechos que pretende probarse y en cuanto aludan a los presupuestos de hecho de las normas que se invoquen como sustento del derecho, en este caso del derecho a la pensión de sobrevivientes”</w:t>
      </w:r>
      <w:r w:rsidRPr="00703DAC">
        <w:rPr>
          <w:rStyle w:val="Refdenotaalpie"/>
          <w:sz w:val="24"/>
          <w:szCs w:val="24"/>
          <w:lang w:val="es-MX" w:eastAsia="ja-JP"/>
        </w:rPr>
        <w:t xml:space="preserve"> </w:t>
      </w:r>
      <w:r w:rsidRPr="00703DAC">
        <w:rPr>
          <w:rStyle w:val="Refdenotaalpie"/>
          <w:sz w:val="24"/>
          <w:szCs w:val="24"/>
          <w:lang w:val="es-MX" w:eastAsia="ja-JP"/>
        </w:rPr>
        <w:footnoteReference w:id="4"/>
      </w:r>
      <w:r w:rsidRPr="00703DAC">
        <w:rPr>
          <w:sz w:val="22"/>
          <w:szCs w:val="22"/>
          <w:lang w:val="es-MX" w:eastAsia="ja-JP"/>
        </w:rPr>
        <w:t xml:space="preserve">. </w:t>
      </w:r>
    </w:p>
    <w:p w14:paraId="20FBF499" w14:textId="77777777" w:rsidR="009E3ECE" w:rsidRPr="00703DAC" w:rsidRDefault="009E3ECE" w:rsidP="009E3ECE">
      <w:pPr>
        <w:contextualSpacing/>
        <w:rPr>
          <w:bCs/>
          <w:sz w:val="24"/>
          <w:szCs w:val="24"/>
        </w:rPr>
      </w:pPr>
    </w:p>
    <w:p w14:paraId="7CE368A5" w14:textId="77777777" w:rsidR="009E3ECE" w:rsidRPr="00703DAC" w:rsidRDefault="009E3ECE" w:rsidP="009E3ECE">
      <w:pPr>
        <w:numPr>
          <w:ilvl w:val="0"/>
          <w:numId w:val="3"/>
        </w:numPr>
        <w:overflowPunct w:val="0"/>
        <w:autoSpaceDE w:val="0"/>
        <w:autoSpaceDN w:val="0"/>
        <w:adjustRightInd w:val="0"/>
        <w:contextualSpacing/>
        <w:rPr>
          <w:rFonts w:eastAsia="Times New Roman"/>
          <w:b/>
          <w:sz w:val="24"/>
          <w:szCs w:val="24"/>
          <w:lang w:eastAsia="es-ES"/>
        </w:rPr>
      </w:pPr>
      <w:r w:rsidRPr="00703DAC">
        <w:rPr>
          <w:rFonts w:eastAsia="Times New Roman"/>
          <w:b/>
          <w:sz w:val="24"/>
          <w:szCs w:val="24"/>
          <w:lang w:eastAsia="es-ES"/>
        </w:rPr>
        <w:t>Pretensiones de tutela</w:t>
      </w:r>
    </w:p>
    <w:p w14:paraId="3B3284B1" w14:textId="77777777" w:rsidR="009E3ECE" w:rsidRPr="00703DAC" w:rsidRDefault="009E3ECE" w:rsidP="009E3ECE">
      <w:pPr>
        <w:overflowPunct w:val="0"/>
        <w:autoSpaceDE w:val="0"/>
        <w:autoSpaceDN w:val="0"/>
        <w:adjustRightInd w:val="0"/>
        <w:contextualSpacing/>
        <w:rPr>
          <w:rFonts w:eastAsia="Times New Roman"/>
          <w:sz w:val="24"/>
          <w:szCs w:val="24"/>
          <w:lang w:eastAsia="es-ES"/>
        </w:rPr>
      </w:pPr>
    </w:p>
    <w:p w14:paraId="1C1952CB" w14:textId="12C2AC17" w:rsidR="009E3ECE" w:rsidRPr="00703DAC" w:rsidRDefault="009E3ECE" w:rsidP="009E3ECE">
      <w:pPr>
        <w:autoSpaceDE w:val="0"/>
        <w:autoSpaceDN w:val="0"/>
        <w:adjustRightInd w:val="0"/>
        <w:rPr>
          <w:sz w:val="24"/>
          <w:szCs w:val="24"/>
          <w:lang w:val="es-MX" w:eastAsia="ja-JP"/>
        </w:rPr>
      </w:pPr>
      <w:r w:rsidRPr="00703DAC">
        <w:rPr>
          <w:sz w:val="24"/>
          <w:szCs w:val="24"/>
          <w:lang w:val="es-MX" w:eastAsia="ja-JP"/>
        </w:rPr>
        <w:t>La accionante presentó escrito de tutela el 30 de julio de 2020</w:t>
      </w:r>
      <w:r w:rsidRPr="00703DAC">
        <w:rPr>
          <w:rStyle w:val="Refdenotaalpie"/>
          <w:sz w:val="24"/>
          <w:szCs w:val="24"/>
          <w:lang w:val="es-MX" w:eastAsia="ja-JP"/>
        </w:rPr>
        <w:footnoteReference w:id="5"/>
      </w:r>
      <w:r w:rsidRPr="00703DAC">
        <w:rPr>
          <w:sz w:val="24"/>
          <w:szCs w:val="24"/>
          <w:lang w:val="es-MX" w:eastAsia="ja-JP"/>
        </w:rPr>
        <w:t xml:space="preserve">, en el que solicitó al juez de tutela que: (i) </w:t>
      </w:r>
      <w:r w:rsidRPr="00277551">
        <w:rPr>
          <w:sz w:val="24"/>
          <w:szCs w:val="24"/>
          <w:lang w:val="es-MX" w:eastAsia="ja-JP"/>
        </w:rPr>
        <w:t xml:space="preserve">ampare sus derechos fundamentales al </w:t>
      </w:r>
      <w:r w:rsidRPr="00D705F9">
        <w:rPr>
          <w:sz w:val="24"/>
          <w:szCs w:val="24"/>
        </w:rPr>
        <w:t xml:space="preserve">debido proceso, al acceso a la administración de justicia, </w:t>
      </w:r>
      <w:r w:rsidRPr="00277551">
        <w:rPr>
          <w:sz w:val="24"/>
          <w:szCs w:val="24"/>
          <w:lang w:val="es-MX" w:eastAsia="ja-JP"/>
        </w:rPr>
        <w:t>a la igualdad, al mínimo vital, a la seguridad social y a la congruencia en las sentencias;</w:t>
      </w:r>
      <w:r w:rsidRPr="00703DAC">
        <w:rPr>
          <w:sz w:val="24"/>
          <w:szCs w:val="24"/>
          <w:lang w:val="es-MX" w:eastAsia="ja-JP"/>
        </w:rPr>
        <w:t xml:space="preserve"> (ii) deje sin efectos el fallo de segunda instancia proferido el 9 de octubre de 2019; y (iii) ordene al Tribunal Administrativo de Nariño que conceda las pretensiones de la demanda.</w:t>
      </w:r>
    </w:p>
    <w:p w14:paraId="1289FD15" w14:textId="77777777" w:rsidR="009E3ECE" w:rsidRPr="00703DAC" w:rsidRDefault="009E3ECE" w:rsidP="009E3ECE">
      <w:pPr>
        <w:overflowPunct w:val="0"/>
        <w:autoSpaceDE w:val="0"/>
        <w:autoSpaceDN w:val="0"/>
        <w:adjustRightInd w:val="0"/>
        <w:contextualSpacing/>
        <w:rPr>
          <w:sz w:val="24"/>
          <w:szCs w:val="24"/>
        </w:rPr>
      </w:pPr>
    </w:p>
    <w:p w14:paraId="52BEBF1B" w14:textId="77777777" w:rsidR="009E3ECE" w:rsidRPr="00703DAC" w:rsidRDefault="009E3ECE" w:rsidP="009E3ECE">
      <w:pPr>
        <w:numPr>
          <w:ilvl w:val="0"/>
          <w:numId w:val="3"/>
        </w:numPr>
        <w:overflowPunct w:val="0"/>
        <w:autoSpaceDE w:val="0"/>
        <w:autoSpaceDN w:val="0"/>
        <w:adjustRightInd w:val="0"/>
        <w:contextualSpacing/>
        <w:rPr>
          <w:sz w:val="24"/>
          <w:szCs w:val="24"/>
        </w:rPr>
      </w:pPr>
      <w:r w:rsidRPr="00703DAC">
        <w:rPr>
          <w:rFonts w:eastAsia="Arial Unicode MS"/>
          <w:b/>
          <w:sz w:val="24"/>
          <w:szCs w:val="24"/>
        </w:rPr>
        <w:t>Argumentos de la solicitud de tutela</w:t>
      </w:r>
    </w:p>
    <w:p w14:paraId="7AB65CA6" w14:textId="77777777" w:rsidR="009E3ECE" w:rsidRPr="00703DAC" w:rsidRDefault="009E3ECE" w:rsidP="009E3ECE">
      <w:pPr>
        <w:overflowPunct w:val="0"/>
        <w:autoSpaceDE w:val="0"/>
        <w:autoSpaceDN w:val="0"/>
        <w:adjustRightInd w:val="0"/>
        <w:contextualSpacing/>
        <w:rPr>
          <w:sz w:val="24"/>
          <w:szCs w:val="24"/>
        </w:rPr>
      </w:pPr>
    </w:p>
    <w:p w14:paraId="410D5772" w14:textId="77777777" w:rsidR="009E3ECE" w:rsidRPr="00703DAC" w:rsidRDefault="009E3ECE" w:rsidP="009E3ECE">
      <w:pPr>
        <w:autoSpaceDE w:val="0"/>
        <w:autoSpaceDN w:val="0"/>
        <w:adjustRightInd w:val="0"/>
        <w:rPr>
          <w:sz w:val="24"/>
          <w:szCs w:val="24"/>
          <w:lang w:val="es-MX" w:eastAsia="ja-JP"/>
        </w:rPr>
      </w:pPr>
      <w:r w:rsidRPr="00703DAC">
        <w:rPr>
          <w:sz w:val="24"/>
          <w:szCs w:val="24"/>
          <w:lang w:val="es-MX" w:eastAsia="ja-JP"/>
        </w:rPr>
        <w:t xml:space="preserve">Purificación Cortés Cortés afirmó que el Tribunal Administrativo de Nariño, en la sentencia del 9 de octubre de 2019, vulneró sus garantías constitucionales al </w:t>
      </w:r>
      <w:r w:rsidRPr="00703DAC">
        <w:rPr>
          <w:sz w:val="23"/>
          <w:szCs w:val="23"/>
        </w:rPr>
        <w:t xml:space="preserve">debido proceso, al acceso a la administración de justicia, </w:t>
      </w:r>
      <w:r w:rsidRPr="00703DAC">
        <w:rPr>
          <w:sz w:val="24"/>
          <w:szCs w:val="24"/>
          <w:lang w:val="es-MX" w:eastAsia="ja-JP"/>
        </w:rPr>
        <w:t>a la igualdad, al mínimo vital, a la seguridad social y a la congruencia en las sentencias, porque incurrió en los siguientes defectos:</w:t>
      </w:r>
    </w:p>
    <w:p w14:paraId="37E09618" w14:textId="77777777" w:rsidR="009E3ECE" w:rsidRPr="00703DAC" w:rsidRDefault="009E3ECE" w:rsidP="009E3ECE">
      <w:pPr>
        <w:autoSpaceDE w:val="0"/>
        <w:autoSpaceDN w:val="0"/>
        <w:adjustRightInd w:val="0"/>
        <w:rPr>
          <w:sz w:val="24"/>
          <w:szCs w:val="24"/>
          <w:lang w:val="es-MX" w:eastAsia="ja-JP"/>
        </w:rPr>
      </w:pPr>
    </w:p>
    <w:p w14:paraId="623F36E8" w14:textId="0925D580" w:rsidR="009E3ECE" w:rsidRPr="00703DAC" w:rsidRDefault="009E3ECE" w:rsidP="009E3ECE">
      <w:pPr>
        <w:autoSpaceDE w:val="0"/>
        <w:autoSpaceDN w:val="0"/>
        <w:adjustRightInd w:val="0"/>
        <w:rPr>
          <w:sz w:val="24"/>
          <w:szCs w:val="24"/>
          <w:lang w:val="es-MX" w:eastAsia="ja-JP"/>
        </w:rPr>
      </w:pPr>
      <w:r w:rsidRPr="00703DAC">
        <w:rPr>
          <w:b/>
          <w:sz w:val="24"/>
          <w:szCs w:val="24"/>
          <w:lang w:val="es-MX" w:eastAsia="ja-JP"/>
        </w:rPr>
        <w:t xml:space="preserve">4.1. Sustantivo. </w:t>
      </w:r>
      <w:r w:rsidRPr="00703DAC">
        <w:rPr>
          <w:sz w:val="24"/>
          <w:szCs w:val="24"/>
          <w:lang w:val="es-MX" w:eastAsia="ja-JP"/>
        </w:rPr>
        <w:t>Debe existir congruencia entre lo decidido por el superior y los argumentos de apelación, conforme lo dispone el artículo 328 del Código General del Proceso. En el caso concreto, el Tribunal Administrativo de Nariño debía pronunciarse sobre el motivo de inconformidad, que giró en torno al cumplimiento del requisito del tiempo de servicio, y no en relación con la condición de compañera permanente de la demandante, pues esta situación quedó probada en primera instancia y no fue objeto del recurso.</w:t>
      </w:r>
      <w:r w:rsidR="00AF2259">
        <w:rPr>
          <w:sz w:val="24"/>
          <w:szCs w:val="24"/>
          <w:lang w:val="es-MX" w:eastAsia="ja-JP"/>
        </w:rPr>
        <w:t xml:space="preserve"> Por tanto, vulneró</w:t>
      </w:r>
      <w:r w:rsidRPr="00703DAC">
        <w:rPr>
          <w:sz w:val="24"/>
          <w:szCs w:val="24"/>
          <w:lang w:val="es-MX" w:eastAsia="ja-JP"/>
        </w:rPr>
        <w:t xml:space="preserve"> los principios de </w:t>
      </w:r>
      <w:r w:rsidRPr="00703DAC">
        <w:rPr>
          <w:i/>
          <w:sz w:val="24"/>
          <w:szCs w:val="24"/>
          <w:lang w:val="es-MX" w:eastAsia="ja-JP"/>
        </w:rPr>
        <w:t>no reformatio in pejus</w:t>
      </w:r>
      <w:r w:rsidRPr="00703DAC">
        <w:rPr>
          <w:sz w:val="24"/>
          <w:szCs w:val="24"/>
          <w:lang w:val="es-MX" w:eastAsia="ja-JP"/>
        </w:rPr>
        <w:t xml:space="preserve"> y de congruencia.</w:t>
      </w:r>
    </w:p>
    <w:p w14:paraId="2E2A4138" w14:textId="77777777" w:rsidR="009E3ECE" w:rsidRPr="00703DAC" w:rsidRDefault="009E3ECE" w:rsidP="009E3ECE">
      <w:pPr>
        <w:autoSpaceDE w:val="0"/>
        <w:autoSpaceDN w:val="0"/>
        <w:adjustRightInd w:val="0"/>
        <w:rPr>
          <w:sz w:val="24"/>
          <w:szCs w:val="24"/>
          <w:lang w:val="es-MX" w:eastAsia="ja-JP"/>
        </w:rPr>
      </w:pPr>
    </w:p>
    <w:p w14:paraId="2614BA24" w14:textId="77777777" w:rsidR="009E3ECE" w:rsidRPr="00703DAC" w:rsidRDefault="009E3ECE" w:rsidP="009E3ECE">
      <w:pPr>
        <w:autoSpaceDE w:val="0"/>
        <w:autoSpaceDN w:val="0"/>
        <w:adjustRightInd w:val="0"/>
        <w:rPr>
          <w:sz w:val="24"/>
          <w:szCs w:val="24"/>
          <w:lang w:val="es-MX" w:eastAsia="ja-JP"/>
        </w:rPr>
      </w:pPr>
      <w:r w:rsidRPr="00703DAC">
        <w:rPr>
          <w:b/>
          <w:sz w:val="24"/>
          <w:szCs w:val="24"/>
          <w:lang w:val="es-MX" w:eastAsia="ja-JP"/>
        </w:rPr>
        <w:t xml:space="preserve">4.2. Decisión sin motivación. </w:t>
      </w:r>
      <w:r w:rsidRPr="00703DAC">
        <w:rPr>
          <w:sz w:val="24"/>
          <w:szCs w:val="24"/>
          <w:lang w:val="es-MX" w:eastAsia="ja-JP"/>
        </w:rPr>
        <w:t xml:space="preserve">El fundamento del recurso interpuesto por la demandante dentro del proceso ordinario, cuestionó la supuesta falta de cumplimiento del requisito del tiempo de servicio del causante del derecho y no la convivencia entre estos. En ese orden, se configuró una indebida motivación en la decisión que negó la prestación periódica. </w:t>
      </w:r>
    </w:p>
    <w:p w14:paraId="0435C4C8" w14:textId="77777777" w:rsidR="009E3ECE" w:rsidRPr="00703DAC" w:rsidRDefault="009E3ECE" w:rsidP="009E3ECE">
      <w:pPr>
        <w:autoSpaceDE w:val="0"/>
        <w:autoSpaceDN w:val="0"/>
        <w:adjustRightInd w:val="0"/>
        <w:rPr>
          <w:b/>
          <w:sz w:val="24"/>
          <w:szCs w:val="24"/>
          <w:lang w:val="es-MX" w:eastAsia="ja-JP"/>
        </w:rPr>
      </w:pPr>
    </w:p>
    <w:p w14:paraId="1DCAEDFF" w14:textId="77777777" w:rsidR="009E3ECE" w:rsidRPr="00703DAC" w:rsidRDefault="009E3ECE" w:rsidP="009E3ECE">
      <w:pPr>
        <w:autoSpaceDE w:val="0"/>
        <w:autoSpaceDN w:val="0"/>
        <w:adjustRightInd w:val="0"/>
        <w:rPr>
          <w:sz w:val="24"/>
          <w:szCs w:val="24"/>
          <w:lang w:val="es-MX" w:eastAsia="ja-JP"/>
        </w:rPr>
      </w:pPr>
      <w:r w:rsidRPr="00703DAC">
        <w:rPr>
          <w:b/>
          <w:sz w:val="24"/>
          <w:szCs w:val="24"/>
          <w:lang w:val="es-MX" w:eastAsia="ja-JP"/>
        </w:rPr>
        <w:t xml:space="preserve">4.3. Fáctico. </w:t>
      </w:r>
      <w:r w:rsidRPr="00703DAC">
        <w:rPr>
          <w:sz w:val="24"/>
          <w:szCs w:val="24"/>
          <w:lang w:val="es-MX" w:eastAsia="ja-JP"/>
        </w:rPr>
        <w:t xml:space="preserve">El tribunal de segunda instancia realizó una valoración arbitraria y caprichosa de las declaraciones de Emiliana Tena, Zoila Olanda Márquez Guerrero, Guillermo González Arboleda y Paulino Ruiz Quiñones, quienes manifestaron que la demandante y el señor Orobio tuvieron una unión marital de hecho, que procrearon 4 hijos, lo que fue un hecho notorio, y que todos dependían económicamente del occiso. </w:t>
      </w:r>
    </w:p>
    <w:p w14:paraId="0D19121A" w14:textId="77777777" w:rsidR="009E3ECE" w:rsidRPr="00703DAC" w:rsidRDefault="009E3ECE" w:rsidP="009E3ECE">
      <w:pPr>
        <w:autoSpaceDE w:val="0"/>
        <w:autoSpaceDN w:val="0"/>
        <w:adjustRightInd w:val="0"/>
        <w:rPr>
          <w:sz w:val="24"/>
          <w:szCs w:val="24"/>
          <w:lang w:val="es-MX" w:eastAsia="ja-JP"/>
        </w:rPr>
      </w:pPr>
    </w:p>
    <w:p w14:paraId="15D82758" w14:textId="5DA14A42" w:rsidR="009E3ECE" w:rsidRDefault="009E3ECE" w:rsidP="009E3ECE">
      <w:pPr>
        <w:autoSpaceDE w:val="0"/>
        <w:autoSpaceDN w:val="0"/>
        <w:adjustRightInd w:val="0"/>
        <w:rPr>
          <w:sz w:val="24"/>
          <w:szCs w:val="24"/>
          <w:lang w:val="es-MX" w:eastAsia="ja-JP"/>
        </w:rPr>
      </w:pPr>
      <w:r w:rsidRPr="00703DAC">
        <w:rPr>
          <w:sz w:val="24"/>
          <w:szCs w:val="24"/>
          <w:lang w:val="es-MX" w:eastAsia="ja-JP"/>
        </w:rPr>
        <w:t xml:space="preserve">Estos testimonios no fueron tachados de falsos, inconsistentes o irregulares, y </w:t>
      </w:r>
      <w:r w:rsidR="00AF2259">
        <w:rPr>
          <w:sz w:val="24"/>
          <w:szCs w:val="24"/>
          <w:lang w:val="es-MX" w:eastAsia="ja-JP"/>
        </w:rPr>
        <w:t>con base en e</w:t>
      </w:r>
      <w:r w:rsidRPr="00703DAC">
        <w:rPr>
          <w:sz w:val="24"/>
          <w:szCs w:val="24"/>
          <w:lang w:val="es-MX" w:eastAsia="ja-JP"/>
        </w:rPr>
        <w:t xml:space="preserve">stos y </w:t>
      </w:r>
      <w:r w:rsidR="00AF2259">
        <w:rPr>
          <w:sz w:val="24"/>
          <w:szCs w:val="24"/>
          <w:lang w:val="es-MX" w:eastAsia="ja-JP"/>
        </w:rPr>
        <w:t xml:space="preserve">en </w:t>
      </w:r>
      <w:r w:rsidRPr="00703DAC">
        <w:rPr>
          <w:sz w:val="24"/>
          <w:szCs w:val="24"/>
          <w:lang w:val="es-MX" w:eastAsia="ja-JP"/>
        </w:rPr>
        <w:t xml:space="preserve">el interrogatorio de parte, </w:t>
      </w:r>
      <w:r w:rsidR="00AF2259">
        <w:rPr>
          <w:sz w:val="24"/>
          <w:szCs w:val="24"/>
          <w:lang w:val="es-MX" w:eastAsia="ja-JP"/>
        </w:rPr>
        <w:t>la primera instancia del ordinario</w:t>
      </w:r>
      <w:r w:rsidRPr="00703DAC">
        <w:rPr>
          <w:sz w:val="24"/>
          <w:szCs w:val="24"/>
          <w:lang w:val="es-MX" w:eastAsia="ja-JP"/>
        </w:rPr>
        <w:t xml:space="preserve"> encontró acreditada la convivencia entre compañeros permanentes, razón por la que no hubo necesidad de ejercer los </w:t>
      </w:r>
      <w:r w:rsidRPr="00D705F9">
        <w:rPr>
          <w:sz w:val="24"/>
          <w:szCs w:val="24"/>
          <w:lang w:val="es-MX" w:eastAsia="ja-JP"/>
        </w:rPr>
        <w:t>derechos</w:t>
      </w:r>
      <w:r w:rsidRPr="00703DAC">
        <w:rPr>
          <w:sz w:val="24"/>
          <w:szCs w:val="24"/>
          <w:lang w:val="es-MX" w:eastAsia="ja-JP"/>
        </w:rPr>
        <w:t xml:space="preserve"> de defensa y contradicción. Sin embargo, con la decisión de</w:t>
      </w:r>
      <w:r w:rsidR="00AF2259">
        <w:rPr>
          <w:sz w:val="24"/>
          <w:szCs w:val="24"/>
          <w:lang w:val="es-MX" w:eastAsia="ja-JP"/>
        </w:rPr>
        <w:t xml:space="preserve"> segunda instancia se vulneraron </w:t>
      </w:r>
      <w:r w:rsidRPr="00703DAC">
        <w:rPr>
          <w:sz w:val="24"/>
          <w:szCs w:val="24"/>
          <w:lang w:val="es-MX" w:eastAsia="ja-JP"/>
        </w:rPr>
        <w:t xml:space="preserve">estos </w:t>
      </w:r>
      <w:r w:rsidRPr="00D705F9">
        <w:rPr>
          <w:sz w:val="24"/>
          <w:szCs w:val="24"/>
          <w:lang w:val="es-MX" w:eastAsia="ja-JP"/>
        </w:rPr>
        <w:t>derechos</w:t>
      </w:r>
      <w:r w:rsidRPr="00703DAC">
        <w:rPr>
          <w:sz w:val="24"/>
          <w:szCs w:val="24"/>
          <w:lang w:val="es-MX" w:eastAsia="ja-JP"/>
        </w:rPr>
        <w:t>, pues sin motivo alguno la segunda instancia desconoció</w:t>
      </w:r>
      <w:r w:rsidR="00AF2259">
        <w:rPr>
          <w:sz w:val="24"/>
          <w:szCs w:val="24"/>
          <w:lang w:val="es-MX" w:eastAsia="ja-JP"/>
        </w:rPr>
        <w:t xml:space="preserve"> el mérito de esas pruebas</w:t>
      </w:r>
      <w:r w:rsidRPr="00703DAC">
        <w:rPr>
          <w:sz w:val="24"/>
          <w:szCs w:val="24"/>
          <w:lang w:val="es-MX" w:eastAsia="ja-JP"/>
        </w:rPr>
        <w:t xml:space="preserve">. </w:t>
      </w:r>
    </w:p>
    <w:p w14:paraId="6AB27CB6" w14:textId="77777777" w:rsidR="008A0F13" w:rsidRPr="00703DAC" w:rsidRDefault="008A0F13" w:rsidP="009E3ECE">
      <w:pPr>
        <w:autoSpaceDE w:val="0"/>
        <w:autoSpaceDN w:val="0"/>
        <w:adjustRightInd w:val="0"/>
        <w:rPr>
          <w:sz w:val="24"/>
          <w:szCs w:val="24"/>
          <w:lang w:val="es-MX" w:eastAsia="ja-JP"/>
        </w:rPr>
      </w:pPr>
    </w:p>
    <w:p w14:paraId="66676823" w14:textId="6BA1E09B" w:rsidR="009E3ECE" w:rsidRPr="00703DAC" w:rsidRDefault="009E3ECE" w:rsidP="009E3ECE">
      <w:pPr>
        <w:autoSpaceDE w:val="0"/>
        <w:autoSpaceDN w:val="0"/>
        <w:adjustRightInd w:val="0"/>
        <w:rPr>
          <w:sz w:val="24"/>
          <w:szCs w:val="24"/>
          <w:lang w:val="es-MX" w:eastAsia="ja-JP"/>
        </w:rPr>
      </w:pPr>
      <w:r w:rsidRPr="00703DAC">
        <w:rPr>
          <w:b/>
          <w:sz w:val="24"/>
          <w:szCs w:val="24"/>
          <w:lang w:val="es-MX" w:eastAsia="ja-JP"/>
        </w:rPr>
        <w:lastRenderedPageBreak/>
        <w:t xml:space="preserve">4.4. Desconocimiento del precedente. </w:t>
      </w:r>
      <w:r w:rsidRPr="00703DAC">
        <w:rPr>
          <w:sz w:val="24"/>
          <w:szCs w:val="24"/>
          <w:lang w:val="es-MX" w:eastAsia="ja-JP"/>
        </w:rPr>
        <w:t xml:space="preserve">La autoridad tutelada negó el derecho pensional de la señora Cortés, a pesar de que en el proceso ordinario se probó que el </w:t>
      </w:r>
      <w:r w:rsidR="00AF2259">
        <w:rPr>
          <w:sz w:val="24"/>
          <w:szCs w:val="24"/>
          <w:lang w:val="es-MX" w:eastAsia="ja-JP"/>
        </w:rPr>
        <w:t xml:space="preserve">cumplimiento a satisfacción del </w:t>
      </w:r>
      <w:r w:rsidRPr="00703DAC">
        <w:rPr>
          <w:sz w:val="24"/>
          <w:szCs w:val="24"/>
          <w:lang w:val="es-MX" w:eastAsia="ja-JP"/>
        </w:rPr>
        <w:t xml:space="preserve">requisito principal, consistente en </w:t>
      </w:r>
      <w:r w:rsidR="00AF2259">
        <w:rPr>
          <w:sz w:val="24"/>
          <w:szCs w:val="24"/>
          <w:lang w:val="es-MX" w:eastAsia="ja-JP"/>
        </w:rPr>
        <w:t xml:space="preserve">el tiempo de trabajo </w:t>
      </w:r>
      <w:r w:rsidR="00AF2259" w:rsidRPr="00703DAC">
        <w:rPr>
          <w:sz w:val="24"/>
          <w:szCs w:val="24"/>
          <w:lang w:val="es-MX" w:eastAsia="ja-JP"/>
        </w:rPr>
        <w:t xml:space="preserve">al servicio del Estado, </w:t>
      </w:r>
      <w:r w:rsidR="00AF2259">
        <w:rPr>
          <w:sz w:val="24"/>
          <w:szCs w:val="24"/>
          <w:lang w:val="es-MX" w:eastAsia="ja-JP"/>
        </w:rPr>
        <w:t xml:space="preserve">por </w:t>
      </w:r>
      <w:r w:rsidR="00AF2259" w:rsidRPr="00AF2259">
        <w:rPr>
          <w:sz w:val="24"/>
          <w:szCs w:val="24"/>
          <w:lang w:val="es-MX" w:eastAsia="ja-JP"/>
        </w:rPr>
        <w:t xml:space="preserve">Otoniel Orobio Tenorio </w:t>
      </w:r>
      <w:r w:rsidR="00AF2259">
        <w:rPr>
          <w:sz w:val="24"/>
          <w:szCs w:val="24"/>
          <w:lang w:val="es-MX" w:eastAsia="ja-JP"/>
        </w:rPr>
        <w:t xml:space="preserve">durante </w:t>
      </w:r>
      <w:r w:rsidRPr="00703DAC">
        <w:rPr>
          <w:sz w:val="24"/>
          <w:szCs w:val="24"/>
          <w:lang w:val="es-MX" w:eastAsia="ja-JP"/>
        </w:rPr>
        <w:t>más de 20 años</w:t>
      </w:r>
      <w:r w:rsidR="00AF2259">
        <w:rPr>
          <w:sz w:val="24"/>
          <w:szCs w:val="24"/>
          <w:lang w:val="es-MX" w:eastAsia="ja-JP"/>
        </w:rPr>
        <w:t>.</w:t>
      </w:r>
      <w:r w:rsidRPr="00703DAC">
        <w:rPr>
          <w:sz w:val="24"/>
          <w:szCs w:val="24"/>
          <w:lang w:val="es-MX" w:eastAsia="ja-JP"/>
        </w:rPr>
        <w:t xml:space="preserve"> </w:t>
      </w:r>
    </w:p>
    <w:p w14:paraId="281304F9" w14:textId="77777777" w:rsidR="009E3ECE" w:rsidRPr="00703DAC" w:rsidRDefault="009E3ECE" w:rsidP="009E3ECE">
      <w:pPr>
        <w:autoSpaceDE w:val="0"/>
        <w:autoSpaceDN w:val="0"/>
        <w:adjustRightInd w:val="0"/>
        <w:rPr>
          <w:sz w:val="24"/>
          <w:szCs w:val="24"/>
          <w:lang w:val="es-MX" w:eastAsia="ja-JP"/>
        </w:rPr>
      </w:pPr>
    </w:p>
    <w:p w14:paraId="7CB27A67" w14:textId="4622B8DD" w:rsidR="009E3ECE" w:rsidRPr="00703DAC" w:rsidRDefault="009E3ECE" w:rsidP="009E3ECE">
      <w:pPr>
        <w:autoSpaceDE w:val="0"/>
        <w:autoSpaceDN w:val="0"/>
        <w:adjustRightInd w:val="0"/>
        <w:rPr>
          <w:sz w:val="24"/>
          <w:szCs w:val="24"/>
          <w:lang w:val="es-MX" w:eastAsia="ja-JP"/>
        </w:rPr>
      </w:pPr>
      <w:r w:rsidRPr="00703DAC">
        <w:rPr>
          <w:b/>
          <w:sz w:val="24"/>
          <w:szCs w:val="24"/>
          <w:lang w:val="es-MX" w:eastAsia="ja-JP"/>
        </w:rPr>
        <w:t>4.5.</w:t>
      </w:r>
      <w:r w:rsidRPr="00703DAC">
        <w:rPr>
          <w:sz w:val="24"/>
          <w:szCs w:val="24"/>
          <w:lang w:val="es-MX" w:eastAsia="ja-JP"/>
        </w:rPr>
        <w:t xml:space="preserve"> Por último, alegó que se está generando un perjuicio irremediable, </w:t>
      </w:r>
      <w:r w:rsidR="00AF2259">
        <w:rPr>
          <w:sz w:val="24"/>
          <w:szCs w:val="24"/>
          <w:lang w:val="es-MX" w:eastAsia="ja-JP"/>
        </w:rPr>
        <w:t>por cuanto ella, en la actualidad,</w:t>
      </w:r>
      <w:r w:rsidRPr="00703DAC">
        <w:rPr>
          <w:sz w:val="24"/>
          <w:szCs w:val="24"/>
          <w:lang w:val="es-MX" w:eastAsia="ja-JP"/>
        </w:rPr>
        <w:t xml:space="preserve"> vive de la caridad de sus vecinos.</w:t>
      </w:r>
    </w:p>
    <w:p w14:paraId="660EB93A" w14:textId="77777777" w:rsidR="009E3ECE" w:rsidRPr="00703DAC" w:rsidRDefault="009E3ECE" w:rsidP="009E3ECE">
      <w:pPr>
        <w:overflowPunct w:val="0"/>
        <w:autoSpaceDE w:val="0"/>
        <w:autoSpaceDN w:val="0"/>
        <w:adjustRightInd w:val="0"/>
        <w:contextualSpacing/>
        <w:rPr>
          <w:sz w:val="24"/>
          <w:szCs w:val="24"/>
        </w:rPr>
      </w:pPr>
    </w:p>
    <w:p w14:paraId="5DE4D0FE" w14:textId="77777777" w:rsidR="009E3ECE" w:rsidRPr="00703DAC" w:rsidRDefault="009E3ECE" w:rsidP="009E3ECE">
      <w:pPr>
        <w:numPr>
          <w:ilvl w:val="0"/>
          <w:numId w:val="3"/>
        </w:numPr>
        <w:overflowPunct w:val="0"/>
        <w:autoSpaceDE w:val="0"/>
        <w:autoSpaceDN w:val="0"/>
        <w:adjustRightInd w:val="0"/>
        <w:contextualSpacing/>
        <w:rPr>
          <w:rFonts w:eastAsia="Times New Roman"/>
          <w:b/>
          <w:sz w:val="24"/>
          <w:szCs w:val="24"/>
          <w:lang w:eastAsia="es-ES"/>
        </w:rPr>
      </w:pPr>
      <w:r w:rsidRPr="00703DAC">
        <w:rPr>
          <w:b/>
          <w:sz w:val="24"/>
          <w:szCs w:val="24"/>
        </w:rPr>
        <w:t xml:space="preserve">Trámite de tutela e intervenciones  </w:t>
      </w:r>
    </w:p>
    <w:p w14:paraId="2E3281D5" w14:textId="77777777" w:rsidR="009E3ECE" w:rsidRPr="00703DAC" w:rsidRDefault="009E3ECE" w:rsidP="009E3ECE">
      <w:pPr>
        <w:overflowPunct w:val="0"/>
        <w:autoSpaceDE w:val="0"/>
        <w:autoSpaceDN w:val="0"/>
        <w:adjustRightInd w:val="0"/>
        <w:contextualSpacing/>
        <w:rPr>
          <w:rFonts w:eastAsia="Times New Roman"/>
          <w:b/>
          <w:sz w:val="24"/>
          <w:szCs w:val="24"/>
          <w:lang w:eastAsia="es-ES"/>
        </w:rPr>
      </w:pPr>
    </w:p>
    <w:p w14:paraId="62AB8EE2" w14:textId="621BB5D0" w:rsidR="009E3ECE" w:rsidRPr="00703DAC" w:rsidRDefault="009E3ECE" w:rsidP="009E3ECE">
      <w:pPr>
        <w:overflowPunct w:val="0"/>
        <w:autoSpaceDE w:val="0"/>
        <w:autoSpaceDN w:val="0"/>
        <w:adjustRightInd w:val="0"/>
        <w:rPr>
          <w:rFonts w:eastAsia="Times New Roman"/>
          <w:bCs/>
          <w:sz w:val="24"/>
          <w:szCs w:val="24"/>
          <w:lang w:eastAsia="es-ES"/>
        </w:rPr>
      </w:pPr>
      <w:r w:rsidRPr="00703DAC">
        <w:rPr>
          <w:b/>
          <w:sz w:val="24"/>
          <w:szCs w:val="24"/>
          <w:lang w:val="es-MX" w:eastAsia="ja-JP"/>
        </w:rPr>
        <w:t>5.1.</w:t>
      </w:r>
      <w:r w:rsidRPr="00703DAC">
        <w:rPr>
          <w:sz w:val="24"/>
          <w:szCs w:val="24"/>
          <w:lang w:val="es-MX" w:eastAsia="ja-JP"/>
        </w:rPr>
        <w:t xml:space="preserve"> </w:t>
      </w:r>
      <w:r w:rsidRPr="00703DAC">
        <w:rPr>
          <w:rFonts w:eastAsia="Times New Roman"/>
          <w:bCs/>
          <w:sz w:val="24"/>
          <w:szCs w:val="24"/>
          <w:lang w:eastAsia="es-ES"/>
        </w:rPr>
        <w:t>El Despacho del Magistrado Ponente, con auto del 11 de agosto de 2020</w:t>
      </w:r>
      <w:r w:rsidR="00CB4C21" w:rsidRPr="00703DAC">
        <w:rPr>
          <w:rStyle w:val="Refdenotaalpie"/>
          <w:rFonts w:eastAsia="Times New Roman"/>
          <w:bCs/>
          <w:sz w:val="24"/>
          <w:szCs w:val="24"/>
          <w:lang w:eastAsia="es-ES"/>
        </w:rPr>
        <w:footnoteReference w:id="6"/>
      </w:r>
      <w:r w:rsidRPr="00703DAC">
        <w:rPr>
          <w:rFonts w:eastAsia="Times New Roman"/>
          <w:bCs/>
          <w:sz w:val="24"/>
          <w:szCs w:val="24"/>
          <w:lang w:eastAsia="es-ES"/>
        </w:rPr>
        <w:t xml:space="preserve">, admitió la acción, vinculó a la UGPP y al </w:t>
      </w:r>
      <w:r w:rsidRPr="00703DAC">
        <w:rPr>
          <w:bCs/>
          <w:sz w:val="24"/>
          <w:szCs w:val="24"/>
          <w:lang w:val="es-MX" w:eastAsia="ja-JP"/>
        </w:rPr>
        <w:t>Juzgado Tercero Administrativo del Circuito de Pasto, y ordenó notificar a los sujetos procesales.</w:t>
      </w:r>
    </w:p>
    <w:p w14:paraId="6A957161" w14:textId="77777777" w:rsidR="009E3ECE" w:rsidRPr="00703DAC" w:rsidRDefault="009E3ECE" w:rsidP="009E3ECE">
      <w:pPr>
        <w:overflowPunct w:val="0"/>
        <w:autoSpaceDE w:val="0"/>
        <w:autoSpaceDN w:val="0"/>
        <w:adjustRightInd w:val="0"/>
        <w:contextualSpacing/>
        <w:rPr>
          <w:b/>
          <w:sz w:val="24"/>
          <w:szCs w:val="24"/>
        </w:rPr>
      </w:pPr>
    </w:p>
    <w:p w14:paraId="022B8B0E" w14:textId="3F5C8418" w:rsidR="009E3ECE" w:rsidRPr="00703DAC" w:rsidRDefault="009E3ECE" w:rsidP="009E3ECE">
      <w:pPr>
        <w:autoSpaceDE w:val="0"/>
        <w:autoSpaceDN w:val="0"/>
        <w:adjustRightInd w:val="0"/>
        <w:rPr>
          <w:sz w:val="24"/>
          <w:szCs w:val="24"/>
          <w:lang w:val="es-MX" w:eastAsia="ja-JP"/>
        </w:rPr>
      </w:pPr>
      <w:r w:rsidRPr="00703DAC">
        <w:rPr>
          <w:b/>
          <w:sz w:val="24"/>
          <w:szCs w:val="24"/>
          <w:lang w:val="es-MX" w:eastAsia="ja-JP"/>
        </w:rPr>
        <w:t>5.2.</w:t>
      </w:r>
      <w:r w:rsidRPr="00703DAC">
        <w:rPr>
          <w:sz w:val="24"/>
          <w:szCs w:val="24"/>
          <w:lang w:val="es-MX" w:eastAsia="ja-JP"/>
        </w:rPr>
        <w:t xml:space="preserve"> El </w:t>
      </w:r>
      <w:r w:rsidRPr="00703DAC">
        <w:rPr>
          <w:b/>
          <w:bCs/>
          <w:sz w:val="24"/>
          <w:szCs w:val="24"/>
          <w:lang w:val="es-MX" w:eastAsia="ja-JP"/>
        </w:rPr>
        <w:t xml:space="preserve">Tribunal Administrativo de Nariño, </w:t>
      </w:r>
      <w:r w:rsidRPr="00703DAC">
        <w:rPr>
          <w:sz w:val="24"/>
          <w:szCs w:val="24"/>
          <w:lang w:val="es-MX" w:eastAsia="ja-JP"/>
        </w:rPr>
        <w:t xml:space="preserve">en </w:t>
      </w:r>
      <w:r w:rsidR="00AF2259">
        <w:rPr>
          <w:sz w:val="24"/>
          <w:szCs w:val="24"/>
          <w:lang w:val="es-MX" w:eastAsia="ja-JP"/>
        </w:rPr>
        <w:t xml:space="preserve">el </w:t>
      </w:r>
      <w:r w:rsidRPr="00703DAC">
        <w:rPr>
          <w:sz w:val="24"/>
          <w:szCs w:val="24"/>
          <w:lang w:val="es-MX" w:eastAsia="ja-JP"/>
        </w:rPr>
        <w:t>informe</w:t>
      </w:r>
      <w:r w:rsidR="00AF2259">
        <w:rPr>
          <w:sz w:val="24"/>
          <w:szCs w:val="24"/>
          <w:lang w:val="es-MX" w:eastAsia="ja-JP"/>
        </w:rPr>
        <w:t xml:space="preserve"> que rindió </w:t>
      </w:r>
      <w:r w:rsidR="00471300">
        <w:rPr>
          <w:sz w:val="24"/>
          <w:szCs w:val="24"/>
          <w:lang w:val="es-MX" w:eastAsia="ja-JP"/>
        </w:rPr>
        <w:t>sobre su actuación</w:t>
      </w:r>
      <w:r w:rsidR="00AA70ED" w:rsidRPr="00703DAC">
        <w:rPr>
          <w:rStyle w:val="Refdenotaalpie"/>
          <w:sz w:val="24"/>
          <w:szCs w:val="24"/>
          <w:lang w:val="es-MX" w:eastAsia="ja-JP"/>
        </w:rPr>
        <w:footnoteReference w:id="7"/>
      </w:r>
      <w:r w:rsidRPr="00703DAC">
        <w:rPr>
          <w:sz w:val="24"/>
          <w:szCs w:val="24"/>
          <w:lang w:val="es-MX" w:eastAsia="ja-JP"/>
        </w:rPr>
        <w:t>, señaló que la decisión</w:t>
      </w:r>
      <w:r w:rsidR="00471300">
        <w:rPr>
          <w:sz w:val="24"/>
          <w:szCs w:val="24"/>
          <w:lang w:val="es-MX" w:eastAsia="ja-JP"/>
        </w:rPr>
        <w:t xml:space="preserve"> por él adoptada se encuentra</w:t>
      </w:r>
      <w:r w:rsidRPr="00703DAC">
        <w:rPr>
          <w:sz w:val="24"/>
          <w:szCs w:val="24"/>
          <w:lang w:val="es-MX" w:eastAsia="ja-JP"/>
        </w:rPr>
        <w:t xml:space="preserve"> debidamente motivada en aspectos jurídicos y fácticos, por lo que no puede ser calificada como una vía de hecho. Solicitó que se desestimaran las pretensiones del amparo, en tanto no se configuran los requisitos de procedencia ni de procedibilidad de la acción de tutela contra providencia judicial.</w:t>
      </w:r>
    </w:p>
    <w:p w14:paraId="5B825261" w14:textId="77777777" w:rsidR="009E3ECE" w:rsidRPr="00703DAC" w:rsidRDefault="009E3ECE" w:rsidP="009E3ECE">
      <w:pPr>
        <w:autoSpaceDE w:val="0"/>
        <w:autoSpaceDN w:val="0"/>
        <w:adjustRightInd w:val="0"/>
        <w:rPr>
          <w:sz w:val="24"/>
          <w:szCs w:val="24"/>
          <w:lang w:val="es-MX" w:eastAsia="ja-JP"/>
        </w:rPr>
      </w:pPr>
    </w:p>
    <w:p w14:paraId="319F3938" w14:textId="471349C6" w:rsidR="009E3ECE" w:rsidRPr="00703DAC" w:rsidRDefault="009E3ECE" w:rsidP="00471300">
      <w:pPr>
        <w:rPr>
          <w:bCs/>
          <w:sz w:val="24"/>
          <w:szCs w:val="24"/>
          <w:lang w:val="es-MX" w:eastAsia="ja-JP"/>
        </w:rPr>
      </w:pPr>
      <w:r w:rsidRPr="00703DAC">
        <w:rPr>
          <w:b/>
          <w:bCs/>
          <w:sz w:val="24"/>
          <w:szCs w:val="24"/>
          <w:lang w:val="es-MX" w:eastAsia="ja-JP"/>
        </w:rPr>
        <w:t>5.3.</w:t>
      </w:r>
      <w:r w:rsidRPr="00703DAC">
        <w:rPr>
          <w:sz w:val="24"/>
          <w:szCs w:val="24"/>
          <w:lang w:val="es-MX" w:eastAsia="ja-JP"/>
        </w:rPr>
        <w:t xml:space="preserve"> La </w:t>
      </w:r>
      <w:r w:rsidRPr="00703DAC">
        <w:rPr>
          <w:b/>
          <w:bCs/>
          <w:sz w:val="24"/>
          <w:szCs w:val="24"/>
          <w:lang w:val="es-MX" w:eastAsia="ja-JP"/>
        </w:rPr>
        <w:t>Unidad Administrativa Especial de Gestión Pensional y Contribuciones Parafiscales de la Protección Social</w:t>
      </w:r>
      <w:r w:rsidR="00471300">
        <w:rPr>
          <w:b/>
          <w:bCs/>
          <w:sz w:val="24"/>
          <w:szCs w:val="24"/>
          <w:lang w:val="es-MX" w:eastAsia="ja-JP"/>
        </w:rPr>
        <w:t>,</w:t>
      </w:r>
      <w:r w:rsidR="00471300" w:rsidRPr="00471300">
        <w:rPr>
          <w:sz w:val="24"/>
          <w:szCs w:val="24"/>
          <w:lang w:val="es-MX" w:eastAsia="ja-JP"/>
        </w:rPr>
        <w:t xml:space="preserve"> por su lado,</w:t>
      </w:r>
      <w:r w:rsidR="00471300">
        <w:rPr>
          <w:bCs/>
          <w:sz w:val="24"/>
          <w:szCs w:val="24"/>
          <w:lang w:val="es-MX" w:eastAsia="ja-JP"/>
        </w:rPr>
        <w:t xml:space="preserve"> manifestó</w:t>
      </w:r>
      <w:r w:rsidRPr="00703DAC">
        <w:rPr>
          <w:bCs/>
          <w:sz w:val="24"/>
          <w:szCs w:val="24"/>
          <w:lang w:val="es-MX" w:eastAsia="ja-JP"/>
        </w:rPr>
        <w:t xml:space="preserve"> que</w:t>
      </w:r>
      <w:r w:rsidR="00471300">
        <w:rPr>
          <w:bCs/>
          <w:sz w:val="24"/>
          <w:szCs w:val="24"/>
          <w:lang w:val="es-MX" w:eastAsia="ja-JP"/>
        </w:rPr>
        <w:t xml:space="preserve"> el</w:t>
      </w:r>
      <w:r w:rsidRPr="00703DAC">
        <w:rPr>
          <w:bCs/>
          <w:sz w:val="24"/>
          <w:szCs w:val="24"/>
          <w:lang w:val="es-MX" w:eastAsia="ja-JP"/>
        </w:rPr>
        <w:t xml:space="preserve"> </w:t>
      </w:r>
      <w:r w:rsidR="00471300" w:rsidRPr="00471300">
        <w:rPr>
          <w:bCs/>
          <w:sz w:val="24"/>
          <w:szCs w:val="24"/>
          <w:lang w:val="es-MX" w:eastAsia="ja-JP"/>
        </w:rPr>
        <w:t>Tribunal Administrativo de Nariño</w:t>
      </w:r>
      <w:r w:rsidR="00471300">
        <w:rPr>
          <w:bCs/>
          <w:sz w:val="24"/>
          <w:szCs w:val="24"/>
          <w:lang w:val="es-MX" w:eastAsia="ja-JP"/>
        </w:rPr>
        <w:t xml:space="preserve"> </w:t>
      </w:r>
      <w:r w:rsidRPr="00703DAC">
        <w:rPr>
          <w:bCs/>
          <w:sz w:val="24"/>
          <w:szCs w:val="24"/>
          <w:lang w:val="es-MX" w:eastAsia="ja-JP"/>
        </w:rPr>
        <w:t xml:space="preserve">no incurrió en los defectos </w:t>
      </w:r>
      <w:r w:rsidR="00471300">
        <w:rPr>
          <w:bCs/>
          <w:sz w:val="24"/>
          <w:szCs w:val="24"/>
          <w:lang w:val="es-MX" w:eastAsia="ja-JP"/>
        </w:rPr>
        <w:t>que le atribuye la accionante;</w:t>
      </w:r>
      <w:r w:rsidRPr="00703DAC">
        <w:rPr>
          <w:bCs/>
          <w:sz w:val="24"/>
          <w:szCs w:val="24"/>
          <w:lang w:val="es-MX" w:eastAsia="ja-JP"/>
        </w:rPr>
        <w:t xml:space="preserve"> que la tutela no es el mecanismo para solicitar prestaciones sociales y que en el caso concreto no se demostró un perjuicio irremediable</w:t>
      </w:r>
      <w:r w:rsidR="00AA70ED" w:rsidRPr="00703DAC">
        <w:rPr>
          <w:rStyle w:val="Refdenotaalpie"/>
          <w:bCs/>
          <w:sz w:val="24"/>
          <w:szCs w:val="24"/>
          <w:lang w:val="es-MX" w:eastAsia="ja-JP"/>
        </w:rPr>
        <w:footnoteReference w:id="8"/>
      </w:r>
      <w:r w:rsidRPr="00703DAC">
        <w:rPr>
          <w:bCs/>
          <w:sz w:val="24"/>
          <w:szCs w:val="24"/>
          <w:lang w:val="es-MX" w:eastAsia="ja-JP"/>
        </w:rPr>
        <w:t xml:space="preserve">. En consecuencia, solicitó que se declare la improcedencia de la acción. </w:t>
      </w:r>
    </w:p>
    <w:p w14:paraId="4462EBFD" w14:textId="77777777" w:rsidR="009E3ECE" w:rsidRPr="00703DAC" w:rsidRDefault="009E3ECE" w:rsidP="009E3ECE">
      <w:pPr>
        <w:autoSpaceDE w:val="0"/>
        <w:autoSpaceDN w:val="0"/>
        <w:adjustRightInd w:val="0"/>
        <w:rPr>
          <w:sz w:val="24"/>
          <w:szCs w:val="24"/>
          <w:lang w:val="es-MX" w:eastAsia="ja-JP"/>
        </w:rPr>
      </w:pPr>
    </w:p>
    <w:p w14:paraId="2204302A" w14:textId="02546674" w:rsidR="009E3ECE" w:rsidRPr="00703DAC" w:rsidRDefault="009E3ECE" w:rsidP="009E3ECE">
      <w:pPr>
        <w:autoSpaceDE w:val="0"/>
        <w:autoSpaceDN w:val="0"/>
        <w:adjustRightInd w:val="0"/>
        <w:rPr>
          <w:sz w:val="24"/>
          <w:szCs w:val="24"/>
          <w:lang w:val="es-MX" w:eastAsia="ja-JP"/>
        </w:rPr>
      </w:pPr>
      <w:r w:rsidRPr="00703DAC">
        <w:rPr>
          <w:b/>
          <w:bCs/>
          <w:sz w:val="24"/>
          <w:szCs w:val="24"/>
          <w:lang w:val="es-MX" w:eastAsia="ja-JP"/>
        </w:rPr>
        <w:t>5.4.</w:t>
      </w:r>
      <w:r w:rsidRPr="00703DAC">
        <w:rPr>
          <w:sz w:val="24"/>
          <w:szCs w:val="24"/>
          <w:lang w:val="es-MX" w:eastAsia="ja-JP"/>
        </w:rPr>
        <w:t xml:space="preserve"> El </w:t>
      </w:r>
      <w:r w:rsidRPr="00703DAC">
        <w:rPr>
          <w:b/>
          <w:bCs/>
          <w:sz w:val="24"/>
          <w:szCs w:val="24"/>
          <w:lang w:val="es-MX" w:eastAsia="ja-JP"/>
        </w:rPr>
        <w:t xml:space="preserve">Juzgado Tercero Administrativo del Circuito de Pasto, </w:t>
      </w:r>
      <w:r w:rsidRPr="00703DAC">
        <w:rPr>
          <w:sz w:val="24"/>
          <w:szCs w:val="24"/>
          <w:lang w:val="es-MX" w:eastAsia="ja-JP"/>
        </w:rPr>
        <w:t>informó</w:t>
      </w:r>
      <w:r w:rsidR="001B60B5" w:rsidRPr="00703DAC">
        <w:rPr>
          <w:rStyle w:val="Refdenotaalpie"/>
          <w:sz w:val="24"/>
          <w:szCs w:val="24"/>
          <w:lang w:val="es-MX" w:eastAsia="ja-JP"/>
        </w:rPr>
        <w:footnoteReference w:id="9"/>
      </w:r>
      <w:r w:rsidRPr="00703DAC">
        <w:rPr>
          <w:sz w:val="24"/>
          <w:szCs w:val="24"/>
          <w:lang w:val="es-MX" w:eastAsia="ja-JP"/>
        </w:rPr>
        <w:t xml:space="preserve"> que la sentencia del 22 de julio de 2016 fue proferida con observancia de los preceptos legales y jurisprudenciales que consideró eran aplicables al caso, que lo llevaron a concluir que la señora Cortés no demostró el cumplimiento de los requisitos para acceder a la sustitución pensional, conforme lo dispone la Ley 33 de 1985, esto es, que el causante hubiere laborado 20 años al servicio de entidades públicas. </w:t>
      </w:r>
    </w:p>
    <w:p w14:paraId="3656B9AB" w14:textId="77777777" w:rsidR="004168CB" w:rsidRPr="00703DAC" w:rsidRDefault="004168CB" w:rsidP="00C55060">
      <w:pPr>
        <w:overflowPunct w:val="0"/>
        <w:autoSpaceDE w:val="0"/>
        <w:autoSpaceDN w:val="0"/>
        <w:adjustRightInd w:val="0"/>
        <w:contextualSpacing/>
        <w:rPr>
          <w:rFonts w:eastAsia="Verdana"/>
          <w:sz w:val="24"/>
          <w:szCs w:val="24"/>
        </w:rPr>
      </w:pPr>
    </w:p>
    <w:p w14:paraId="2E0A79F2" w14:textId="77777777" w:rsidR="00155E78" w:rsidRPr="00703DAC" w:rsidRDefault="000C5DB7" w:rsidP="00C55060">
      <w:pPr>
        <w:pStyle w:val="Ttulo1"/>
        <w:spacing w:before="0" w:after="0" w:line="240" w:lineRule="auto"/>
        <w:rPr>
          <w:rFonts w:cs="Arial"/>
          <w:szCs w:val="24"/>
          <w:lang w:val="es-ES_tradnl"/>
        </w:rPr>
      </w:pPr>
      <w:r w:rsidRPr="00703DAC">
        <w:rPr>
          <w:rFonts w:cs="Arial"/>
          <w:szCs w:val="24"/>
          <w:lang w:val="es-ES_tradnl"/>
        </w:rPr>
        <w:t>CONSIDERACIONES</w:t>
      </w:r>
    </w:p>
    <w:p w14:paraId="4101652C" w14:textId="55031700" w:rsidR="000C5DB7" w:rsidRPr="00703DAC" w:rsidRDefault="000C5DB7" w:rsidP="00C55060">
      <w:pPr>
        <w:numPr>
          <w:ilvl w:val="0"/>
          <w:numId w:val="1"/>
        </w:numPr>
        <w:tabs>
          <w:tab w:val="left" w:pos="426"/>
        </w:tabs>
        <w:ind w:left="0" w:firstLine="0"/>
        <w:contextualSpacing/>
        <w:rPr>
          <w:b/>
          <w:sz w:val="24"/>
          <w:szCs w:val="24"/>
          <w:lang w:val="es-ES_tradnl"/>
        </w:rPr>
      </w:pPr>
      <w:r w:rsidRPr="00703DAC">
        <w:rPr>
          <w:b/>
          <w:sz w:val="24"/>
          <w:szCs w:val="24"/>
          <w:lang w:val="es-ES_tradnl"/>
        </w:rPr>
        <w:t>Competencia</w:t>
      </w:r>
    </w:p>
    <w:p w14:paraId="729641CD" w14:textId="77777777" w:rsidR="006E742C" w:rsidRPr="00703DAC" w:rsidRDefault="006E742C" w:rsidP="00C55060">
      <w:pPr>
        <w:tabs>
          <w:tab w:val="left" w:pos="426"/>
        </w:tabs>
        <w:contextualSpacing/>
        <w:rPr>
          <w:b/>
          <w:sz w:val="24"/>
          <w:szCs w:val="24"/>
          <w:lang w:val="es-ES_tradnl"/>
        </w:rPr>
      </w:pPr>
    </w:p>
    <w:p w14:paraId="23384028" w14:textId="77777777" w:rsidR="00D51DED" w:rsidRPr="00703DAC" w:rsidRDefault="00D51DED" w:rsidP="00C55060">
      <w:pPr>
        <w:pStyle w:val="Prrafodelista"/>
        <w:ind w:left="0"/>
        <w:jc w:val="both"/>
        <w:rPr>
          <w:rFonts w:ascii="Arial" w:hAnsi="Arial" w:cs="Arial"/>
        </w:rPr>
      </w:pPr>
      <w:r w:rsidRPr="00703DAC">
        <w:rPr>
          <w:rFonts w:ascii="Arial" w:hAnsi="Arial" w:cs="Arial"/>
        </w:rPr>
        <w:t>La Sala es competente para decidir la presente acción de tutela en virtud de lo dispuesto en el artículo 86 de la Constitución Política, en el Decreto 2591 de 1991, en el Decreto 1983 de 2017 que modificó el Decreto 1069 de 2015 y en el Acuerdo de Sala Plena del Consejo de Estado No. 080 del 12 de marzo de 2019</w:t>
      </w:r>
      <w:r w:rsidRPr="00703DAC">
        <w:rPr>
          <w:rStyle w:val="Refdenotaalpie"/>
          <w:rFonts w:ascii="Arial" w:hAnsi="Arial" w:cs="Arial"/>
        </w:rPr>
        <w:footnoteReference w:id="10"/>
      </w:r>
      <w:r w:rsidRPr="00703DAC">
        <w:rPr>
          <w:rFonts w:ascii="Arial" w:hAnsi="Arial" w:cs="Arial"/>
        </w:rPr>
        <w:t>.</w:t>
      </w:r>
    </w:p>
    <w:p w14:paraId="5F822D9A" w14:textId="77777777" w:rsidR="00403849" w:rsidRPr="00703DAC" w:rsidRDefault="00403849" w:rsidP="00C55060">
      <w:pPr>
        <w:overflowPunct w:val="0"/>
        <w:autoSpaceDE w:val="0"/>
        <w:autoSpaceDN w:val="0"/>
        <w:adjustRightInd w:val="0"/>
        <w:contextualSpacing/>
        <w:rPr>
          <w:rFonts w:eastAsia="Times New Roman"/>
          <w:sz w:val="24"/>
          <w:szCs w:val="24"/>
          <w:lang w:val="es-MX" w:eastAsia="es-ES"/>
        </w:rPr>
      </w:pPr>
    </w:p>
    <w:p w14:paraId="15CACC09" w14:textId="77777777" w:rsidR="000C5DB7" w:rsidRPr="00703DAC" w:rsidRDefault="000C5DB7" w:rsidP="00C55060">
      <w:pPr>
        <w:numPr>
          <w:ilvl w:val="0"/>
          <w:numId w:val="1"/>
        </w:numPr>
        <w:ind w:left="426"/>
        <w:contextualSpacing/>
        <w:rPr>
          <w:b/>
          <w:bCs/>
          <w:sz w:val="24"/>
          <w:szCs w:val="24"/>
          <w:lang w:val="es-ES_tradnl"/>
        </w:rPr>
      </w:pPr>
      <w:r w:rsidRPr="00703DAC">
        <w:rPr>
          <w:b/>
          <w:bCs/>
          <w:sz w:val="24"/>
          <w:szCs w:val="24"/>
          <w:lang w:val="es-ES"/>
        </w:rPr>
        <w:lastRenderedPageBreak/>
        <w:t>Procedibilidad de la acción</w:t>
      </w:r>
    </w:p>
    <w:p w14:paraId="4B96FEE6" w14:textId="1DE7AB28" w:rsidR="000C5DB7" w:rsidRPr="00703DAC" w:rsidRDefault="000C5DB7" w:rsidP="00C55060">
      <w:pPr>
        <w:contextualSpacing/>
        <w:rPr>
          <w:sz w:val="24"/>
          <w:szCs w:val="24"/>
        </w:rPr>
      </w:pPr>
    </w:p>
    <w:p w14:paraId="4DDBEF00" w14:textId="42D0DE0D" w:rsidR="000C5DB7" w:rsidRPr="00703DAC" w:rsidRDefault="00D51DED" w:rsidP="00C55060">
      <w:pPr>
        <w:contextualSpacing/>
        <w:rPr>
          <w:rFonts w:eastAsia="Arial"/>
          <w:sz w:val="24"/>
          <w:szCs w:val="24"/>
          <w:lang w:val="es-MX"/>
        </w:rPr>
      </w:pPr>
      <w:r w:rsidRPr="00703DAC">
        <w:rPr>
          <w:rFonts w:eastAsia="Arial"/>
          <w:sz w:val="24"/>
          <w:szCs w:val="24"/>
          <w:lang w:val="es-MX"/>
        </w:rPr>
        <w:t xml:space="preserve">En los casos en que la solicitud de amparo ataca una providencia judicial, la doctrina constitucional  ha indicado que el juez de tutela debe, en forma preliminar, realizar un examen de procedibilidad general  de la </w:t>
      </w:r>
      <w:r w:rsidRPr="00C53C69">
        <w:rPr>
          <w:rFonts w:eastAsia="Arial"/>
          <w:sz w:val="24"/>
          <w:szCs w:val="24"/>
          <w:lang w:val="es-MX"/>
        </w:rPr>
        <w:t>acción</w:t>
      </w:r>
      <w:r w:rsidRPr="00703DAC">
        <w:rPr>
          <w:rFonts w:eastAsia="Arial"/>
          <w:sz w:val="24"/>
          <w:szCs w:val="24"/>
          <w:lang w:val="es-MX"/>
        </w:rPr>
        <w:t xml:space="preserve">;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w:t>
      </w:r>
      <w:r w:rsidRPr="00C53C69">
        <w:rPr>
          <w:rFonts w:eastAsia="Arial"/>
          <w:sz w:val="24"/>
          <w:szCs w:val="24"/>
          <w:lang w:val="es-MX"/>
        </w:rPr>
        <w:t>acción</w:t>
      </w:r>
      <w:r w:rsidRPr="00703DAC">
        <w:rPr>
          <w:rFonts w:eastAsia="Arial"/>
          <w:sz w:val="24"/>
          <w:szCs w:val="24"/>
          <w:lang w:val="es-MX"/>
        </w:rPr>
        <w:t xml:space="preserve"> de tutela contra providencias judiciales</w:t>
      </w:r>
      <w:r w:rsidRPr="00703DAC">
        <w:rPr>
          <w:sz w:val="24"/>
          <w:szCs w:val="24"/>
          <w:vertAlign w:val="superscript"/>
        </w:rPr>
        <w:footnoteReference w:id="11"/>
      </w:r>
      <w:r w:rsidRPr="00703DAC">
        <w:rPr>
          <w:rFonts w:eastAsia="Arial"/>
          <w:sz w:val="24"/>
          <w:szCs w:val="24"/>
          <w:lang w:val="es-MX"/>
        </w:rPr>
        <w:t>.</w:t>
      </w:r>
    </w:p>
    <w:p w14:paraId="65558F73" w14:textId="77777777" w:rsidR="00D51DED" w:rsidRPr="00703DAC" w:rsidRDefault="00D51DED" w:rsidP="00C55060">
      <w:pPr>
        <w:contextualSpacing/>
        <w:rPr>
          <w:rFonts w:eastAsia="Verdana"/>
          <w:b/>
          <w:sz w:val="24"/>
          <w:szCs w:val="24"/>
          <w:lang w:val="es-ES_tradnl"/>
        </w:rPr>
      </w:pPr>
    </w:p>
    <w:p w14:paraId="3461D779" w14:textId="240C4397" w:rsidR="000C5DB7" w:rsidRPr="00703DAC" w:rsidRDefault="000C5DB7" w:rsidP="00C55060">
      <w:pPr>
        <w:autoSpaceDE w:val="0"/>
        <w:autoSpaceDN w:val="0"/>
        <w:adjustRightInd w:val="0"/>
        <w:rPr>
          <w:sz w:val="24"/>
          <w:szCs w:val="24"/>
          <w:lang w:val="es-ES_tradnl"/>
        </w:rPr>
      </w:pPr>
      <w:r w:rsidRPr="00703DAC">
        <w:rPr>
          <w:rFonts w:eastAsia="Verdana"/>
          <w:b/>
          <w:sz w:val="24"/>
          <w:szCs w:val="24"/>
          <w:lang w:val="es-ES_tradnl"/>
        </w:rPr>
        <w:t xml:space="preserve">2.1. </w:t>
      </w:r>
      <w:r w:rsidR="00D51DED" w:rsidRPr="00703DAC">
        <w:rPr>
          <w:rFonts w:eastAsia="Verdana"/>
          <w:sz w:val="24"/>
          <w:szCs w:val="24"/>
          <w:lang w:val="es-ES_tradnl"/>
        </w:rPr>
        <w:t xml:space="preserve">La </w:t>
      </w:r>
      <w:r w:rsidRPr="00703DAC">
        <w:rPr>
          <w:b/>
          <w:sz w:val="24"/>
          <w:szCs w:val="24"/>
          <w:lang w:val="es-ES_tradnl"/>
        </w:rPr>
        <w:t>legitimación</w:t>
      </w:r>
      <w:r w:rsidRPr="00703DAC">
        <w:rPr>
          <w:sz w:val="24"/>
          <w:szCs w:val="24"/>
          <w:lang w:val="es-ES_tradnl"/>
        </w:rPr>
        <w:t xml:space="preserve"> </w:t>
      </w:r>
      <w:r w:rsidRPr="00703DAC">
        <w:rPr>
          <w:b/>
          <w:sz w:val="24"/>
          <w:szCs w:val="24"/>
          <w:lang w:val="es-ES_tradnl"/>
        </w:rPr>
        <w:t>en la causa</w:t>
      </w:r>
      <w:r w:rsidRPr="00703DAC">
        <w:rPr>
          <w:sz w:val="24"/>
          <w:szCs w:val="24"/>
          <w:lang w:val="es-ES_tradnl"/>
        </w:rPr>
        <w:t xml:space="preserve"> </w:t>
      </w:r>
      <w:r w:rsidRPr="00703DAC">
        <w:rPr>
          <w:b/>
          <w:sz w:val="24"/>
          <w:szCs w:val="24"/>
          <w:lang w:val="es-ES_tradnl"/>
        </w:rPr>
        <w:t>por</w:t>
      </w:r>
      <w:r w:rsidRPr="00703DAC">
        <w:rPr>
          <w:sz w:val="24"/>
          <w:szCs w:val="24"/>
          <w:lang w:val="es-ES_tradnl"/>
        </w:rPr>
        <w:t xml:space="preserve"> </w:t>
      </w:r>
      <w:r w:rsidRPr="00703DAC">
        <w:rPr>
          <w:b/>
          <w:sz w:val="24"/>
          <w:szCs w:val="24"/>
          <w:lang w:val="es-ES_tradnl"/>
        </w:rPr>
        <w:t>activa</w:t>
      </w:r>
      <w:r w:rsidR="00D51DED" w:rsidRPr="00703DAC">
        <w:rPr>
          <w:sz w:val="24"/>
          <w:szCs w:val="24"/>
          <w:lang w:val="es-ES_tradnl"/>
        </w:rPr>
        <w:t xml:space="preserve"> de Purificación Cortés Cortés se encuentra acreditada, puesto que fungió como demandante dentro del proceso de nulidad y restablecimiento del derecho con radicado </w:t>
      </w:r>
      <w:r w:rsidR="00D51DED" w:rsidRPr="00703DAC">
        <w:rPr>
          <w:sz w:val="24"/>
          <w:szCs w:val="24"/>
          <w:lang w:val="es-MX" w:eastAsia="ja-JP"/>
        </w:rPr>
        <w:t>52001-33-33-004-2013-00503-01</w:t>
      </w:r>
      <w:r w:rsidR="00D51DED" w:rsidRPr="00703DAC">
        <w:rPr>
          <w:sz w:val="24"/>
          <w:szCs w:val="24"/>
          <w:lang w:val="es-ES_tradnl"/>
        </w:rPr>
        <w:t>, y es la titular de los derechos fundamentales que adujo fueron vulnerados.</w:t>
      </w:r>
    </w:p>
    <w:p w14:paraId="07291410" w14:textId="77777777" w:rsidR="00D51DED" w:rsidRPr="00703DAC" w:rsidRDefault="00D51DED" w:rsidP="00C55060">
      <w:pPr>
        <w:autoSpaceDE w:val="0"/>
        <w:autoSpaceDN w:val="0"/>
        <w:adjustRightInd w:val="0"/>
        <w:rPr>
          <w:sz w:val="24"/>
          <w:szCs w:val="24"/>
          <w:lang w:val="es-MX"/>
        </w:rPr>
      </w:pPr>
    </w:p>
    <w:p w14:paraId="02CA43AC" w14:textId="468C2DBC" w:rsidR="00D51DED" w:rsidRPr="00703DAC" w:rsidRDefault="00D51DED" w:rsidP="00C55060">
      <w:pPr>
        <w:tabs>
          <w:tab w:val="left" w:pos="0"/>
        </w:tabs>
        <w:contextualSpacing/>
        <w:rPr>
          <w:sz w:val="24"/>
          <w:szCs w:val="24"/>
          <w:lang w:val="es-ES_tradnl"/>
        </w:rPr>
      </w:pPr>
      <w:r w:rsidRPr="00703DAC">
        <w:rPr>
          <w:sz w:val="24"/>
          <w:szCs w:val="24"/>
          <w:lang w:val="es-ES_tradnl"/>
        </w:rPr>
        <w:t xml:space="preserve">También está probada </w:t>
      </w:r>
      <w:r w:rsidRPr="00703DAC">
        <w:rPr>
          <w:b/>
          <w:sz w:val="24"/>
          <w:szCs w:val="24"/>
          <w:lang w:val="es-ES_tradnl"/>
        </w:rPr>
        <w:t>la legitimación en la causa por pasiva</w:t>
      </w:r>
      <w:r w:rsidRPr="00703DAC">
        <w:rPr>
          <w:sz w:val="24"/>
          <w:szCs w:val="24"/>
          <w:lang w:val="es-ES_tradnl"/>
        </w:rPr>
        <w:t xml:space="preserve">, </w:t>
      </w:r>
      <w:r w:rsidR="00D705F9">
        <w:rPr>
          <w:sz w:val="24"/>
          <w:szCs w:val="24"/>
          <w:lang w:val="es-ES_tradnl"/>
        </w:rPr>
        <w:t>el Tribunal Administrativo de Nariño</w:t>
      </w:r>
      <w:r w:rsidRPr="00703DAC">
        <w:rPr>
          <w:sz w:val="24"/>
          <w:szCs w:val="24"/>
          <w:lang w:val="es-ES_tradnl"/>
        </w:rPr>
        <w:t xml:space="preserve">, </w:t>
      </w:r>
      <w:r w:rsidR="00D705F9">
        <w:rPr>
          <w:sz w:val="24"/>
          <w:szCs w:val="24"/>
          <w:lang w:val="es-ES_tradnl"/>
        </w:rPr>
        <w:t>fue la autoridad que profirió la</w:t>
      </w:r>
      <w:r w:rsidRPr="00703DAC">
        <w:rPr>
          <w:sz w:val="24"/>
          <w:szCs w:val="24"/>
          <w:lang w:val="es-ES_tradnl"/>
        </w:rPr>
        <w:t xml:space="preserve"> </w:t>
      </w:r>
      <w:r w:rsidR="00D705F9">
        <w:rPr>
          <w:sz w:val="24"/>
          <w:szCs w:val="24"/>
          <w:lang w:val="es-ES_tradnl"/>
        </w:rPr>
        <w:t>sentencia</w:t>
      </w:r>
      <w:r w:rsidRPr="00703DAC">
        <w:rPr>
          <w:sz w:val="24"/>
          <w:szCs w:val="24"/>
          <w:lang w:val="es-ES_tradnl"/>
        </w:rPr>
        <w:t xml:space="preserve"> del </w:t>
      </w:r>
      <w:r w:rsidR="00D705F9" w:rsidRPr="00703DAC">
        <w:rPr>
          <w:sz w:val="24"/>
          <w:szCs w:val="24"/>
          <w:lang w:val="es-MX" w:eastAsia="ja-JP"/>
        </w:rPr>
        <w:t xml:space="preserve">9 de octubre de 2019 </w:t>
      </w:r>
      <w:r w:rsidRPr="00703DAC">
        <w:rPr>
          <w:sz w:val="24"/>
          <w:szCs w:val="24"/>
          <w:lang w:val="es-ES_tradnl"/>
        </w:rPr>
        <w:t>que, según la tutelante, vulne</w:t>
      </w:r>
      <w:r w:rsidR="00C53C69">
        <w:rPr>
          <w:sz w:val="24"/>
          <w:szCs w:val="24"/>
          <w:lang w:val="es-ES_tradnl"/>
        </w:rPr>
        <w:t>raron</w:t>
      </w:r>
      <w:r w:rsidRPr="00703DAC">
        <w:rPr>
          <w:sz w:val="24"/>
          <w:szCs w:val="24"/>
          <w:lang w:val="es-ES_tradnl"/>
        </w:rPr>
        <w:t xml:space="preserve"> sus derechos </w:t>
      </w:r>
      <w:r w:rsidRPr="00703DAC">
        <w:rPr>
          <w:sz w:val="24"/>
          <w:szCs w:val="24"/>
          <w:lang w:val="es-ES_tradnl"/>
        </w:rPr>
        <w:t>fundamentales.</w:t>
      </w:r>
    </w:p>
    <w:p w14:paraId="3CF2D8B6" w14:textId="2492D409" w:rsidR="000C5DB7" w:rsidRPr="00703DAC" w:rsidRDefault="000C5DB7" w:rsidP="00C55060">
      <w:pPr>
        <w:tabs>
          <w:tab w:val="left" w:pos="0"/>
        </w:tabs>
        <w:contextualSpacing/>
        <w:rPr>
          <w:sz w:val="24"/>
          <w:szCs w:val="24"/>
          <w:lang w:val="es-ES_tradnl"/>
        </w:rPr>
      </w:pPr>
      <w:r w:rsidRPr="00703DAC">
        <w:rPr>
          <w:sz w:val="24"/>
          <w:szCs w:val="24"/>
          <w:lang w:val="es-ES_tradnl"/>
        </w:rPr>
        <w:t xml:space="preserve"> </w:t>
      </w:r>
    </w:p>
    <w:p w14:paraId="203A15ED" w14:textId="78B4F74F" w:rsidR="001C4808" w:rsidRPr="00703DAC" w:rsidRDefault="001C4808" w:rsidP="00C55060">
      <w:pPr>
        <w:overflowPunct w:val="0"/>
        <w:autoSpaceDE w:val="0"/>
        <w:autoSpaceDN w:val="0"/>
        <w:adjustRightInd w:val="0"/>
        <w:contextualSpacing/>
        <w:rPr>
          <w:rFonts w:eastAsia="Times New Roman"/>
          <w:b/>
          <w:bCs/>
          <w:sz w:val="24"/>
          <w:szCs w:val="24"/>
          <w:lang w:eastAsia="es-ES"/>
        </w:rPr>
      </w:pPr>
      <w:r w:rsidRPr="00703DAC">
        <w:rPr>
          <w:rFonts w:eastAsia="Times New Roman"/>
          <w:b/>
          <w:sz w:val="24"/>
          <w:szCs w:val="24"/>
          <w:lang w:val="es-ES_tradnl" w:eastAsia="es-ES"/>
        </w:rPr>
        <w:t xml:space="preserve">2.2. </w:t>
      </w:r>
      <w:r w:rsidR="00A378E5" w:rsidRPr="00703DAC">
        <w:rPr>
          <w:rFonts w:eastAsia="Times New Roman"/>
          <w:b/>
          <w:sz w:val="24"/>
          <w:szCs w:val="24"/>
          <w:lang w:val="es-ES_tradnl" w:eastAsia="es-ES"/>
        </w:rPr>
        <w:t>R</w:t>
      </w:r>
      <w:r w:rsidRPr="00703DAC">
        <w:rPr>
          <w:rFonts w:eastAsia="Times New Roman"/>
          <w:b/>
          <w:bCs/>
          <w:sz w:val="24"/>
          <w:szCs w:val="24"/>
          <w:lang w:eastAsia="es-ES"/>
        </w:rPr>
        <w:t>elevancia constitucional y subsidiariedad</w:t>
      </w:r>
    </w:p>
    <w:p w14:paraId="329828D1" w14:textId="77777777" w:rsidR="004E7976" w:rsidRPr="00703DAC" w:rsidRDefault="004E7976" w:rsidP="00C55060">
      <w:pPr>
        <w:overflowPunct w:val="0"/>
        <w:autoSpaceDE w:val="0"/>
        <w:autoSpaceDN w:val="0"/>
        <w:adjustRightInd w:val="0"/>
        <w:contextualSpacing/>
        <w:rPr>
          <w:rFonts w:eastAsia="Times New Roman"/>
          <w:b/>
          <w:bCs/>
          <w:sz w:val="24"/>
          <w:szCs w:val="24"/>
          <w:lang w:eastAsia="es-ES"/>
        </w:rPr>
      </w:pPr>
    </w:p>
    <w:p w14:paraId="7A3B780D" w14:textId="77777777" w:rsidR="001117E0" w:rsidRPr="00703DAC" w:rsidRDefault="001117E0" w:rsidP="00C55060">
      <w:pPr>
        <w:overflowPunct w:val="0"/>
        <w:autoSpaceDE w:val="0"/>
        <w:autoSpaceDN w:val="0"/>
        <w:adjustRightInd w:val="0"/>
        <w:contextualSpacing/>
        <w:rPr>
          <w:rFonts w:eastAsia="Times New Roman"/>
          <w:bCs/>
          <w:sz w:val="24"/>
          <w:szCs w:val="24"/>
          <w:lang w:val="es-ES" w:eastAsia="es-ES"/>
        </w:rPr>
      </w:pPr>
      <w:r w:rsidRPr="00703DAC">
        <w:rPr>
          <w:rFonts w:eastAsia="Times New Roman"/>
          <w:bCs/>
          <w:sz w:val="24"/>
          <w:szCs w:val="24"/>
          <w:lang w:val="es-ES" w:eastAsia="es-ES"/>
        </w:rPr>
        <w:t>El requisito de relevancia constitucional se entiende cumplido cuando se acredita que el asunto gira en torno al contenido, alcance y goce de algún derecho fundamental</w:t>
      </w:r>
      <w:r w:rsidRPr="00703DAC">
        <w:rPr>
          <w:rFonts w:eastAsia="Times New Roman"/>
          <w:bCs/>
          <w:sz w:val="24"/>
          <w:szCs w:val="24"/>
          <w:vertAlign w:val="superscript"/>
          <w:lang w:eastAsia="es-ES"/>
        </w:rPr>
        <w:footnoteReference w:id="12"/>
      </w:r>
      <w:r w:rsidRPr="00703DAC">
        <w:rPr>
          <w:rFonts w:eastAsia="Times New Roman"/>
          <w:bCs/>
          <w:sz w:val="24"/>
          <w:szCs w:val="24"/>
          <w:lang w:val="es-ES" w:eastAsia="es-ES"/>
        </w:rPr>
        <w:t xml:space="preserve"> y no a asuntos de carácter meramente legal o de contenido económico que corresponde definir a otras jurisdicciones</w:t>
      </w:r>
      <w:r w:rsidRPr="00703DAC">
        <w:rPr>
          <w:rFonts w:eastAsia="Times New Roman"/>
          <w:bCs/>
          <w:sz w:val="24"/>
          <w:szCs w:val="24"/>
          <w:vertAlign w:val="superscript"/>
          <w:lang w:val="es-ES" w:eastAsia="es-ES"/>
        </w:rPr>
        <w:footnoteReference w:id="13"/>
      </w:r>
      <w:r w:rsidRPr="00703DAC">
        <w:rPr>
          <w:rFonts w:eastAsia="Times New Roman"/>
          <w:bCs/>
          <w:sz w:val="24"/>
          <w:szCs w:val="24"/>
          <w:lang w:val="es-ES" w:eastAsia="es-ES"/>
        </w:rPr>
        <w:t xml:space="preserve">. </w:t>
      </w:r>
    </w:p>
    <w:p w14:paraId="07B7E087" w14:textId="77777777" w:rsidR="00965004" w:rsidRPr="00703DAC" w:rsidRDefault="00965004" w:rsidP="00C55060">
      <w:pPr>
        <w:overflowPunct w:val="0"/>
        <w:autoSpaceDE w:val="0"/>
        <w:autoSpaceDN w:val="0"/>
        <w:adjustRightInd w:val="0"/>
        <w:contextualSpacing/>
        <w:rPr>
          <w:rFonts w:eastAsia="Verdana"/>
          <w:sz w:val="24"/>
          <w:szCs w:val="24"/>
        </w:rPr>
      </w:pPr>
    </w:p>
    <w:p w14:paraId="342D4348" w14:textId="77777777" w:rsidR="00965004" w:rsidRPr="00703DAC" w:rsidRDefault="00965004" w:rsidP="00C55060">
      <w:pPr>
        <w:ind w:right="-93"/>
        <w:rPr>
          <w:sz w:val="24"/>
          <w:szCs w:val="24"/>
        </w:rPr>
      </w:pPr>
      <w:r w:rsidRPr="00703DAC">
        <w:rPr>
          <w:sz w:val="24"/>
          <w:szCs w:val="24"/>
        </w:rPr>
        <w:t>De acuerdo con la jurisprudencia, el requisito de relevancia constitucional persigue, como mínimo, tres finalidades, las cuales son: “(i) preservar la competencia y la independencia de los jueces de las jurisdicciones diferentes a la constitucional</w:t>
      </w:r>
      <w:r w:rsidRPr="00703DAC">
        <w:rPr>
          <w:sz w:val="24"/>
          <w:szCs w:val="24"/>
          <w:vertAlign w:val="superscript"/>
        </w:rPr>
        <w:footnoteReference w:id="14"/>
      </w:r>
      <w:r w:rsidRPr="00703DAC">
        <w:rPr>
          <w:sz w:val="24"/>
          <w:szCs w:val="24"/>
        </w:rPr>
        <w:t xml:space="preserve"> y, por tanto, evitar que la </w:t>
      </w:r>
      <w:r w:rsidRPr="00C53C69">
        <w:rPr>
          <w:sz w:val="24"/>
          <w:szCs w:val="24"/>
        </w:rPr>
        <w:t>acción de tutela</w:t>
      </w:r>
      <w:r w:rsidRPr="00703DAC">
        <w:rPr>
          <w:sz w:val="24"/>
          <w:szCs w:val="24"/>
        </w:rPr>
        <w:t xml:space="preserve"> se utilice para discutir asuntos de mera legalidad</w:t>
      </w:r>
      <w:r w:rsidRPr="00703DAC">
        <w:rPr>
          <w:sz w:val="24"/>
          <w:szCs w:val="24"/>
          <w:vertAlign w:val="superscript"/>
        </w:rPr>
        <w:footnoteReference w:id="15"/>
      </w:r>
      <w:r w:rsidRPr="00703DAC">
        <w:rPr>
          <w:sz w:val="24"/>
          <w:szCs w:val="24"/>
        </w:rPr>
        <w:t xml:space="preserve">;  (ii) restringir el ejercicio de la </w:t>
      </w:r>
      <w:r w:rsidRPr="00C53C69">
        <w:rPr>
          <w:sz w:val="24"/>
          <w:szCs w:val="24"/>
        </w:rPr>
        <w:t>acción de tutela</w:t>
      </w:r>
      <w:r w:rsidRPr="00703DAC">
        <w:rPr>
          <w:sz w:val="24"/>
          <w:szCs w:val="24"/>
        </w:rPr>
        <w:t xml:space="preserve"> a cuestiones de relevancia </w:t>
      </w:r>
      <w:r w:rsidRPr="00703DAC">
        <w:rPr>
          <w:sz w:val="24"/>
          <w:szCs w:val="24"/>
        </w:rPr>
        <w:lastRenderedPageBreak/>
        <w:t>constitucional que afecten los derechos fundamentales</w:t>
      </w:r>
      <w:r w:rsidRPr="00703DAC">
        <w:rPr>
          <w:sz w:val="24"/>
          <w:szCs w:val="24"/>
          <w:vertAlign w:val="superscript"/>
        </w:rPr>
        <w:footnoteReference w:id="16"/>
      </w:r>
      <w:r w:rsidRPr="00703DAC">
        <w:rPr>
          <w:sz w:val="24"/>
          <w:szCs w:val="24"/>
        </w:rPr>
        <w:t> y, finalmente, (iii) impedir que la acción de tutela se convierta en una instancia o recurso adicional para controvertir las decisiones de los jueces</w:t>
      </w:r>
      <w:r w:rsidRPr="00703DAC">
        <w:rPr>
          <w:sz w:val="24"/>
          <w:szCs w:val="24"/>
          <w:vertAlign w:val="superscript"/>
        </w:rPr>
        <w:footnoteReference w:id="17"/>
      </w:r>
      <w:r w:rsidRPr="00703DAC">
        <w:rPr>
          <w:sz w:val="24"/>
          <w:szCs w:val="24"/>
        </w:rPr>
        <w:t>”</w:t>
      </w:r>
      <w:r w:rsidRPr="00703DAC">
        <w:rPr>
          <w:sz w:val="24"/>
          <w:szCs w:val="24"/>
          <w:vertAlign w:val="superscript"/>
        </w:rPr>
        <w:footnoteReference w:id="18"/>
      </w:r>
      <w:r w:rsidRPr="00703DAC">
        <w:rPr>
          <w:sz w:val="24"/>
          <w:szCs w:val="24"/>
        </w:rPr>
        <w:t>.</w:t>
      </w:r>
    </w:p>
    <w:p w14:paraId="28721E2B" w14:textId="77777777" w:rsidR="00965004" w:rsidRPr="00703DAC" w:rsidRDefault="00965004" w:rsidP="00C55060">
      <w:pPr>
        <w:overflowPunct w:val="0"/>
        <w:autoSpaceDE w:val="0"/>
        <w:autoSpaceDN w:val="0"/>
        <w:adjustRightInd w:val="0"/>
        <w:contextualSpacing/>
        <w:rPr>
          <w:rFonts w:eastAsia="Verdana"/>
          <w:sz w:val="24"/>
          <w:szCs w:val="24"/>
        </w:rPr>
      </w:pPr>
    </w:p>
    <w:p w14:paraId="3CFC2C11" w14:textId="44B2046B" w:rsidR="00965004" w:rsidRPr="00703DAC" w:rsidRDefault="00D84355" w:rsidP="00C55060">
      <w:pPr>
        <w:overflowPunct w:val="0"/>
        <w:autoSpaceDE w:val="0"/>
        <w:autoSpaceDN w:val="0"/>
        <w:adjustRightInd w:val="0"/>
        <w:contextualSpacing/>
        <w:rPr>
          <w:rFonts w:eastAsia="Verdana"/>
          <w:sz w:val="24"/>
          <w:szCs w:val="24"/>
        </w:rPr>
      </w:pPr>
      <w:r w:rsidRPr="00703DAC">
        <w:rPr>
          <w:rFonts w:eastAsia="Verdana"/>
          <w:sz w:val="24"/>
          <w:szCs w:val="24"/>
        </w:rPr>
        <w:t xml:space="preserve">Así, el </w:t>
      </w:r>
      <w:r w:rsidR="00965004" w:rsidRPr="00703DAC">
        <w:rPr>
          <w:rFonts w:eastAsia="Verdana"/>
          <w:sz w:val="24"/>
          <w:szCs w:val="24"/>
        </w:rPr>
        <w:t>requisito de relevancia constitucional exige que la alegación en la solicitud de amparo esté dirigida a exponer una valoración en sentido negativo de la actuación jurisdiccional, en clave de los defectos como han sido definidos por la jurisprudencia. Así, son improcedentes los argumentos destinados a proponer fórmulas que habrían podido ser tenidas en cuenta en el proceso ordinario, o reiterar las ya expuestas en este, toda vez que, como lo ha establecido la Corte Constitucional, “la función del juez de tutela no es la de fungir como una instancia adicional del procedimiento judicial que se cuestiona</w:t>
      </w:r>
      <w:bookmarkStart w:id="2" w:name="_ftnref40"/>
      <w:r w:rsidR="00965004" w:rsidRPr="00703DAC">
        <w:rPr>
          <w:rFonts w:eastAsia="Verdana"/>
          <w:sz w:val="24"/>
          <w:szCs w:val="24"/>
        </w:rPr>
        <w:fldChar w:fldCharType="begin"/>
      </w:r>
      <w:r w:rsidR="00965004" w:rsidRPr="00703DAC">
        <w:rPr>
          <w:rFonts w:eastAsia="Verdana"/>
          <w:sz w:val="24"/>
          <w:szCs w:val="24"/>
        </w:rPr>
        <w:instrText xml:space="preserve"> HYPERLINK "http://www.corteconstitucional.gov.co/relatoria/2019/t-066-19.htm" \l "_ftn40" \o "" </w:instrText>
      </w:r>
      <w:r w:rsidR="00965004" w:rsidRPr="00703DAC">
        <w:rPr>
          <w:rFonts w:eastAsia="Verdana"/>
          <w:sz w:val="24"/>
          <w:szCs w:val="24"/>
        </w:rPr>
        <w:fldChar w:fldCharType="end"/>
      </w:r>
      <w:bookmarkEnd w:id="2"/>
      <w:r w:rsidR="00965004" w:rsidRPr="00703DAC">
        <w:rPr>
          <w:rFonts w:eastAsia="Verdana"/>
          <w:sz w:val="24"/>
          <w:szCs w:val="24"/>
        </w:rPr>
        <w:t>, pues ello desconocería la competencia y finalidad de administración de justicia por parte de los jueces naturales, así como su autonomía funcional”</w:t>
      </w:r>
      <w:r w:rsidR="00965004" w:rsidRPr="00703DAC">
        <w:rPr>
          <w:rFonts w:eastAsia="Verdana"/>
          <w:sz w:val="24"/>
          <w:szCs w:val="24"/>
          <w:vertAlign w:val="superscript"/>
        </w:rPr>
        <w:footnoteReference w:id="19"/>
      </w:r>
      <w:r w:rsidR="00965004" w:rsidRPr="00703DAC">
        <w:rPr>
          <w:rFonts w:eastAsia="Verdana"/>
          <w:sz w:val="24"/>
          <w:szCs w:val="24"/>
        </w:rPr>
        <w:t xml:space="preserve">. </w:t>
      </w:r>
    </w:p>
    <w:p w14:paraId="6BAD26D7" w14:textId="6CB7E6CC" w:rsidR="00086B66" w:rsidRPr="00703DAC" w:rsidRDefault="00086B66" w:rsidP="00C55060">
      <w:pPr>
        <w:overflowPunct w:val="0"/>
        <w:autoSpaceDE w:val="0"/>
        <w:autoSpaceDN w:val="0"/>
        <w:adjustRightInd w:val="0"/>
        <w:contextualSpacing/>
        <w:rPr>
          <w:rFonts w:eastAsia="Verdana"/>
          <w:sz w:val="24"/>
          <w:szCs w:val="24"/>
        </w:rPr>
      </w:pPr>
    </w:p>
    <w:p w14:paraId="2C4634C3" w14:textId="77777777" w:rsidR="00086B66" w:rsidRPr="00703DAC" w:rsidRDefault="00086B66" w:rsidP="00C55060">
      <w:pPr>
        <w:tabs>
          <w:tab w:val="left" w:pos="0"/>
        </w:tabs>
        <w:contextualSpacing/>
        <w:rPr>
          <w:sz w:val="24"/>
          <w:szCs w:val="24"/>
        </w:rPr>
      </w:pPr>
      <w:r w:rsidRPr="00703DAC">
        <w:rPr>
          <w:sz w:val="24"/>
          <w:szCs w:val="24"/>
        </w:rPr>
        <w:t xml:space="preserve">Por su parte, el carácter </w:t>
      </w:r>
      <w:r w:rsidRPr="00703DAC">
        <w:rPr>
          <w:b/>
          <w:sz w:val="24"/>
          <w:szCs w:val="24"/>
        </w:rPr>
        <w:t>subsidiario</w:t>
      </w:r>
      <w:r w:rsidRPr="00703DAC">
        <w:rPr>
          <w:sz w:val="24"/>
          <w:szCs w:val="24"/>
        </w:rPr>
        <w:t xml:space="preserve"> de la acción de tutela está definido expresamente en el artículo 86 Superior como presupuesto general de procedencia de la misma, al establecer que “solo procederá cuando el afectado no disponga de otro medio de defensa judicial, salvo que aquella se utilice como mecanismo transitorio para evitar un perjuicio irremediable”. A su vez, dicho presupuesto se desarrolló en el artículo 6º numeral 1º del Decreto 2591 de 1991</w:t>
      </w:r>
      <w:r w:rsidRPr="00703DAC">
        <w:rPr>
          <w:sz w:val="24"/>
          <w:szCs w:val="24"/>
          <w:vertAlign w:val="superscript"/>
        </w:rPr>
        <w:footnoteReference w:id="20"/>
      </w:r>
      <w:r w:rsidRPr="00703DAC">
        <w:rPr>
          <w:sz w:val="24"/>
          <w:szCs w:val="24"/>
        </w:rPr>
        <w:t xml:space="preserve">. </w:t>
      </w:r>
    </w:p>
    <w:p w14:paraId="1C62D497" w14:textId="77777777" w:rsidR="00086B66" w:rsidRPr="00703DAC" w:rsidRDefault="00086B66" w:rsidP="00C55060">
      <w:pPr>
        <w:tabs>
          <w:tab w:val="left" w:pos="0"/>
        </w:tabs>
        <w:contextualSpacing/>
        <w:rPr>
          <w:sz w:val="24"/>
          <w:szCs w:val="24"/>
          <w:u w:val="single"/>
        </w:rPr>
      </w:pPr>
    </w:p>
    <w:p w14:paraId="16825DBB" w14:textId="77777777" w:rsidR="00086B66" w:rsidRPr="00703DAC" w:rsidRDefault="00086B66" w:rsidP="00C55060">
      <w:pPr>
        <w:tabs>
          <w:tab w:val="left" w:pos="0"/>
        </w:tabs>
        <w:contextualSpacing/>
        <w:rPr>
          <w:sz w:val="24"/>
          <w:szCs w:val="24"/>
        </w:rPr>
      </w:pPr>
      <w:r w:rsidRPr="00703DAC">
        <w:rPr>
          <w:sz w:val="24"/>
          <w:szCs w:val="24"/>
        </w:rPr>
        <w:t>Estas disposiciones son claras al establecer que la acción de tutela no es un mecanismo principal de defensa de los derechos fundamentales, por lo tanto, se debe acudir a los mecanismos ordinarios de defensa que resulten idóneos y eficaces para su amparo, con el fin de: i) prevenir la intromisión indebida de una autoridad distinta a la que adelanta el proceso ordinario; ii) que no se alteren o sustituyan de manera fraudulenta los mecanismos de defensa diseñados por el Legislador; y iii) que los ciudadanos observen un mínimo de diligencia en la gestión de sus asuntos, pues no es esta la forma de enmendar deficiencias, errores o deducidos, ni de recuperar oportunidades vencidas al interior de un proceso judicial</w:t>
      </w:r>
      <w:r w:rsidRPr="00703DAC">
        <w:rPr>
          <w:sz w:val="24"/>
          <w:szCs w:val="24"/>
          <w:vertAlign w:val="superscript"/>
        </w:rPr>
        <w:footnoteReference w:id="21"/>
      </w:r>
      <w:r w:rsidRPr="00703DAC">
        <w:rPr>
          <w:sz w:val="24"/>
          <w:szCs w:val="24"/>
        </w:rPr>
        <w:t xml:space="preserve">.  </w:t>
      </w:r>
    </w:p>
    <w:p w14:paraId="0FB78278" w14:textId="58B0AB3F" w:rsidR="000C5DB7" w:rsidRPr="00703DAC" w:rsidRDefault="000C5DB7" w:rsidP="00C55060">
      <w:pPr>
        <w:shd w:val="clear" w:color="auto" w:fill="FFFFFF"/>
        <w:contextualSpacing/>
        <w:textAlignment w:val="baseline"/>
        <w:rPr>
          <w:rFonts w:eastAsia="Verdana"/>
          <w:sz w:val="24"/>
          <w:szCs w:val="24"/>
        </w:rPr>
      </w:pPr>
    </w:p>
    <w:p w14:paraId="21D361AF" w14:textId="53346286" w:rsidR="00143CD4" w:rsidRPr="00703DAC" w:rsidRDefault="00143CD4" w:rsidP="00C55060">
      <w:pPr>
        <w:autoSpaceDE w:val="0"/>
        <w:autoSpaceDN w:val="0"/>
        <w:adjustRightInd w:val="0"/>
        <w:rPr>
          <w:sz w:val="24"/>
          <w:szCs w:val="24"/>
          <w:lang w:val="es-MX" w:eastAsia="ja-JP"/>
        </w:rPr>
      </w:pPr>
      <w:r w:rsidRPr="00703DAC">
        <w:rPr>
          <w:sz w:val="24"/>
          <w:szCs w:val="24"/>
          <w:lang w:val="es-MX" w:eastAsia="ja-JP"/>
        </w:rPr>
        <w:t>La Sala revisa</w:t>
      </w:r>
      <w:r w:rsidR="00BA110E" w:rsidRPr="00703DAC">
        <w:rPr>
          <w:sz w:val="24"/>
          <w:szCs w:val="24"/>
          <w:lang w:val="es-MX" w:eastAsia="ja-JP"/>
        </w:rPr>
        <w:t>rá</w:t>
      </w:r>
      <w:r w:rsidRPr="00703DAC">
        <w:rPr>
          <w:sz w:val="24"/>
          <w:szCs w:val="24"/>
          <w:lang w:val="es-MX" w:eastAsia="ja-JP"/>
        </w:rPr>
        <w:t xml:space="preserve"> a continuación los argumentos expuestos en el escrito de</w:t>
      </w:r>
      <w:r w:rsidR="00BA110E" w:rsidRPr="00703DAC">
        <w:rPr>
          <w:sz w:val="24"/>
          <w:szCs w:val="24"/>
          <w:lang w:val="es-MX" w:eastAsia="ja-JP"/>
        </w:rPr>
        <w:t xml:space="preserve"> solicitud de amparo de tutela </w:t>
      </w:r>
      <w:r w:rsidRPr="00703DAC">
        <w:rPr>
          <w:sz w:val="24"/>
          <w:szCs w:val="24"/>
          <w:lang w:val="es-MX" w:eastAsia="ja-JP"/>
        </w:rPr>
        <w:t>a partir de los parámetros constitucionales fijado en los requisitos generales de relevancia constitucional</w:t>
      </w:r>
      <w:r w:rsidR="002A5310" w:rsidRPr="00703DAC">
        <w:rPr>
          <w:sz w:val="24"/>
          <w:szCs w:val="24"/>
          <w:lang w:val="es-MX" w:eastAsia="ja-JP"/>
        </w:rPr>
        <w:t xml:space="preserve"> y subsidiariedad</w:t>
      </w:r>
      <w:r w:rsidRPr="00703DAC">
        <w:rPr>
          <w:sz w:val="24"/>
          <w:szCs w:val="24"/>
          <w:lang w:val="es-MX" w:eastAsia="ja-JP"/>
        </w:rPr>
        <w:t>. Solo en caso de encontrar satisfecho</w:t>
      </w:r>
      <w:r w:rsidR="00862920" w:rsidRPr="00703DAC">
        <w:rPr>
          <w:sz w:val="24"/>
          <w:szCs w:val="24"/>
          <w:lang w:val="es-MX" w:eastAsia="ja-JP"/>
        </w:rPr>
        <w:t>s</w:t>
      </w:r>
      <w:r w:rsidRPr="00703DAC">
        <w:rPr>
          <w:sz w:val="24"/>
          <w:szCs w:val="24"/>
          <w:lang w:val="es-MX" w:eastAsia="ja-JP"/>
        </w:rPr>
        <w:t xml:space="preserve"> dicho</w:t>
      </w:r>
      <w:r w:rsidR="00862920" w:rsidRPr="00703DAC">
        <w:rPr>
          <w:sz w:val="24"/>
          <w:szCs w:val="24"/>
          <w:lang w:val="es-MX" w:eastAsia="ja-JP"/>
        </w:rPr>
        <w:t>s</w:t>
      </w:r>
      <w:r w:rsidRPr="00703DAC">
        <w:rPr>
          <w:sz w:val="24"/>
          <w:szCs w:val="24"/>
          <w:lang w:val="es-MX" w:eastAsia="ja-JP"/>
        </w:rPr>
        <w:t xml:space="preserve"> requisito</w:t>
      </w:r>
      <w:r w:rsidR="00862920" w:rsidRPr="00703DAC">
        <w:rPr>
          <w:sz w:val="24"/>
          <w:szCs w:val="24"/>
          <w:lang w:val="es-MX" w:eastAsia="ja-JP"/>
        </w:rPr>
        <w:t>s</w:t>
      </w:r>
      <w:r w:rsidRPr="00703DAC">
        <w:rPr>
          <w:sz w:val="24"/>
          <w:szCs w:val="24"/>
          <w:lang w:val="es-MX" w:eastAsia="ja-JP"/>
        </w:rPr>
        <w:t xml:space="preserve"> continuará con el estudio de los demás exigencias de </w:t>
      </w:r>
      <w:r w:rsidRPr="00703DAC">
        <w:rPr>
          <w:sz w:val="24"/>
          <w:szCs w:val="24"/>
          <w:lang w:val="es-MX" w:eastAsia="ja-JP"/>
        </w:rPr>
        <w:lastRenderedPageBreak/>
        <w:t>procedibilidad, y si hay lugar a ello, a emitir un pronunciamiento de fondo en lo que corresponda.</w:t>
      </w:r>
    </w:p>
    <w:p w14:paraId="38E2BE1B" w14:textId="77777777" w:rsidR="00084ACD" w:rsidRPr="00703DAC" w:rsidRDefault="00084ACD" w:rsidP="00C55060">
      <w:pPr>
        <w:autoSpaceDE w:val="0"/>
        <w:autoSpaceDN w:val="0"/>
        <w:adjustRightInd w:val="0"/>
        <w:rPr>
          <w:sz w:val="24"/>
          <w:szCs w:val="24"/>
          <w:lang w:val="es-MX" w:eastAsia="ja-JP"/>
        </w:rPr>
      </w:pPr>
    </w:p>
    <w:p w14:paraId="7146CDB9" w14:textId="77777777" w:rsidR="001B60B5" w:rsidRPr="00703DAC" w:rsidRDefault="001B60B5" w:rsidP="00C55060">
      <w:pPr>
        <w:autoSpaceDE w:val="0"/>
        <w:autoSpaceDN w:val="0"/>
        <w:adjustRightInd w:val="0"/>
        <w:rPr>
          <w:b/>
          <w:sz w:val="24"/>
          <w:szCs w:val="24"/>
          <w:lang w:val="es-MX" w:eastAsia="ja-JP"/>
        </w:rPr>
      </w:pPr>
      <w:r w:rsidRPr="00703DAC">
        <w:rPr>
          <w:b/>
          <w:sz w:val="24"/>
          <w:szCs w:val="24"/>
          <w:lang w:val="es-MX" w:eastAsia="ja-JP"/>
        </w:rPr>
        <w:t xml:space="preserve">2.3. </w:t>
      </w:r>
      <w:r w:rsidR="00BA110E" w:rsidRPr="00703DAC">
        <w:rPr>
          <w:b/>
          <w:sz w:val="24"/>
          <w:szCs w:val="24"/>
          <w:lang w:val="es-MX" w:eastAsia="ja-JP"/>
        </w:rPr>
        <w:t xml:space="preserve">Caso concreto. </w:t>
      </w:r>
    </w:p>
    <w:p w14:paraId="423E2028" w14:textId="77777777" w:rsidR="001B60B5" w:rsidRPr="00703DAC" w:rsidRDefault="001B60B5" w:rsidP="00C55060">
      <w:pPr>
        <w:autoSpaceDE w:val="0"/>
        <w:autoSpaceDN w:val="0"/>
        <w:adjustRightInd w:val="0"/>
        <w:rPr>
          <w:sz w:val="24"/>
          <w:szCs w:val="24"/>
          <w:lang w:val="es-MX" w:eastAsia="ja-JP"/>
        </w:rPr>
      </w:pPr>
    </w:p>
    <w:p w14:paraId="61E86EB0" w14:textId="4F45A36C" w:rsidR="00BA110E" w:rsidRPr="00703DAC" w:rsidRDefault="001B60B5" w:rsidP="00C55060">
      <w:pPr>
        <w:autoSpaceDE w:val="0"/>
        <w:autoSpaceDN w:val="0"/>
        <w:adjustRightInd w:val="0"/>
        <w:rPr>
          <w:i/>
          <w:sz w:val="24"/>
          <w:szCs w:val="24"/>
          <w:lang w:val="es-MX" w:eastAsia="ja-JP"/>
        </w:rPr>
      </w:pPr>
      <w:r w:rsidRPr="00703DAC">
        <w:rPr>
          <w:b/>
          <w:sz w:val="24"/>
          <w:szCs w:val="24"/>
          <w:lang w:val="es-MX" w:eastAsia="ja-JP"/>
        </w:rPr>
        <w:t xml:space="preserve">2.3.1. </w:t>
      </w:r>
      <w:r w:rsidR="00BA110E" w:rsidRPr="00703DAC">
        <w:rPr>
          <w:sz w:val="24"/>
          <w:szCs w:val="24"/>
          <w:lang w:val="es-MX" w:eastAsia="ja-JP"/>
        </w:rPr>
        <w:t xml:space="preserve">En el asunto bajo examen, la accionante </w:t>
      </w:r>
      <w:r w:rsidR="00586281" w:rsidRPr="00703DAC">
        <w:rPr>
          <w:sz w:val="24"/>
          <w:szCs w:val="24"/>
          <w:lang w:val="es-MX" w:eastAsia="ja-JP"/>
        </w:rPr>
        <w:t>aseguró</w:t>
      </w:r>
      <w:r w:rsidR="00BA110E" w:rsidRPr="00703DAC">
        <w:rPr>
          <w:sz w:val="24"/>
          <w:szCs w:val="24"/>
          <w:lang w:val="es-MX" w:eastAsia="ja-JP"/>
        </w:rPr>
        <w:t xml:space="preserve"> </w:t>
      </w:r>
      <w:r w:rsidR="00586281" w:rsidRPr="00703DAC">
        <w:rPr>
          <w:sz w:val="24"/>
          <w:szCs w:val="24"/>
          <w:lang w:val="es-MX" w:eastAsia="ja-JP"/>
        </w:rPr>
        <w:t xml:space="preserve">que el </w:t>
      </w:r>
      <w:r w:rsidR="00586281" w:rsidRPr="00C53C69">
        <w:rPr>
          <w:sz w:val="24"/>
          <w:szCs w:val="24"/>
          <w:lang w:val="es-MX" w:eastAsia="ja-JP"/>
        </w:rPr>
        <w:t>Tribunal</w:t>
      </w:r>
      <w:r w:rsidR="00586281" w:rsidRPr="00703DAC">
        <w:rPr>
          <w:sz w:val="24"/>
          <w:szCs w:val="24"/>
          <w:lang w:val="es-MX" w:eastAsia="ja-JP"/>
        </w:rPr>
        <w:t xml:space="preserve"> Administrativo de Nariño, en la sentencia del 9 de octubre de 2019, </w:t>
      </w:r>
      <w:r w:rsidR="00AB0E06" w:rsidRPr="00703DAC">
        <w:rPr>
          <w:sz w:val="24"/>
          <w:szCs w:val="24"/>
          <w:lang w:val="es-MX" w:eastAsia="ja-JP"/>
        </w:rPr>
        <w:t>vulner</w:t>
      </w:r>
      <w:r w:rsidR="0064439B">
        <w:rPr>
          <w:sz w:val="24"/>
          <w:szCs w:val="24"/>
          <w:lang w:val="es-MX" w:eastAsia="ja-JP"/>
        </w:rPr>
        <w:t>ó</w:t>
      </w:r>
      <w:r w:rsidR="00AB0E06" w:rsidRPr="00703DAC">
        <w:rPr>
          <w:sz w:val="24"/>
          <w:szCs w:val="24"/>
          <w:lang w:val="es-MX" w:eastAsia="ja-JP"/>
        </w:rPr>
        <w:t xml:space="preserve"> sus derechos fundamen</w:t>
      </w:r>
      <w:r w:rsidR="004D43F5">
        <w:rPr>
          <w:sz w:val="24"/>
          <w:szCs w:val="24"/>
          <w:lang w:val="es-MX" w:eastAsia="ja-JP"/>
        </w:rPr>
        <w:t>tale</w:t>
      </w:r>
      <w:r w:rsidR="00AB0E06" w:rsidRPr="00703DAC">
        <w:rPr>
          <w:sz w:val="24"/>
          <w:szCs w:val="24"/>
          <w:lang w:val="es-MX" w:eastAsia="ja-JP"/>
        </w:rPr>
        <w:t xml:space="preserve">s, en la medida en que </w:t>
      </w:r>
      <w:r w:rsidR="00586281" w:rsidRPr="00703DAC">
        <w:rPr>
          <w:sz w:val="24"/>
          <w:szCs w:val="24"/>
          <w:lang w:val="es-MX" w:eastAsia="ja-JP"/>
        </w:rPr>
        <w:t>incurrió</w:t>
      </w:r>
      <w:r w:rsidR="00471300">
        <w:rPr>
          <w:sz w:val="24"/>
          <w:szCs w:val="24"/>
          <w:lang w:val="es-MX" w:eastAsia="ja-JP"/>
        </w:rPr>
        <w:t xml:space="preserve"> en </w:t>
      </w:r>
      <w:r w:rsidR="00BA110E" w:rsidRPr="00703DAC">
        <w:rPr>
          <w:sz w:val="24"/>
          <w:szCs w:val="24"/>
          <w:lang w:val="es-MX" w:eastAsia="ja-JP"/>
        </w:rPr>
        <w:t>defectos sus</w:t>
      </w:r>
      <w:r w:rsidR="00817D85" w:rsidRPr="00703DAC">
        <w:rPr>
          <w:sz w:val="24"/>
          <w:szCs w:val="24"/>
          <w:lang w:val="es-MX" w:eastAsia="ja-JP"/>
        </w:rPr>
        <w:t xml:space="preserve">tantivo </w:t>
      </w:r>
      <w:r w:rsidR="00586281" w:rsidRPr="00703DAC">
        <w:rPr>
          <w:sz w:val="24"/>
          <w:szCs w:val="24"/>
          <w:lang w:val="es-MX" w:eastAsia="ja-JP"/>
        </w:rPr>
        <w:t xml:space="preserve">y </w:t>
      </w:r>
      <w:r w:rsidR="00BA110E" w:rsidRPr="00703DAC">
        <w:rPr>
          <w:sz w:val="24"/>
          <w:szCs w:val="24"/>
          <w:lang w:val="es-MX" w:eastAsia="ja-JP"/>
        </w:rPr>
        <w:t>de falta de motivación</w:t>
      </w:r>
      <w:r w:rsidR="00586281" w:rsidRPr="00703DAC">
        <w:rPr>
          <w:sz w:val="24"/>
          <w:szCs w:val="24"/>
          <w:lang w:val="es-MX" w:eastAsia="ja-JP"/>
        </w:rPr>
        <w:t xml:space="preserve">. </w:t>
      </w:r>
      <w:r w:rsidR="004D43F5">
        <w:rPr>
          <w:sz w:val="24"/>
          <w:szCs w:val="24"/>
          <w:lang w:val="es-MX" w:eastAsia="ja-JP"/>
        </w:rPr>
        <w:t xml:space="preserve">Considera que hubo en la sentencia </w:t>
      </w:r>
      <w:r w:rsidR="00432814" w:rsidRPr="00703DAC">
        <w:rPr>
          <w:sz w:val="24"/>
          <w:szCs w:val="24"/>
          <w:lang w:val="es-MX" w:eastAsia="ja-JP"/>
        </w:rPr>
        <w:t xml:space="preserve">vulneración </w:t>
      </w:r>
      <w:r w:rsidR="00432814" w:rsidRPr="00703DAC">
        <w:rPr>
          <w:sz w:val="24"/>
          <w:szCs w:val="24"/>
          <w:u w:val="single"/>
          <w:lang w:val="es-MX" w:eastAsia="ja-JP"/>
        </w:rPr>
        <w:t>del principio de congruencia</w:t>
      </w:r>
      <w:r w:rsidR="00432814" w:rsidRPr="00703DAC">
        <w:rPr>
          <w:sz w:val="24"/>
          <w:szCs w:val="24"/>
          <w:lang w:val="es-MX" w:eastAsia="ja-JP"/>
        </w:rPr>
        <w:t xml:space="preserve">, puesto que </w:t>
      </w:r>
      <w:r w:rsidR="004D43F5">
        <w:rPr>
          <w:sz w:val="24"/>
          <w:szCs w:val="24"/>
          <w:lang w:val="es-MX" w:eastAsia="ja-JP"/>
        </w:rPr>
        <w:t xml:space="preserve">el </w:t>
      </w:r>
      <w:r w:rsidR="004D43F5" w:rsidRPr="00C53C69">
        <w:rPr>
          <w:sz w:val="24"/>
          <w:szCs w:val="24"/>
          <w:lang w:val="es-MX" w:eastAsia="ja-JP"/>
        </w:rPr>
        <w:t>Tribunal</w:t>
      </w:r>
      <w:r w:rsidR="004D43F5">
        <w:rPr>
          <w:sz w:val="24"/>
          <w:szCs w:val="24"/>
          <w:lang w:val="es-MX" w:eastAsia="ja-JP"/>
        </w:rPr>
        <w:t xml:space="preserve"> </w:t>
      </w:r>
      <w:r w:rsidR="00432814" w:rsidRPr="00703DAC">
        <w:rPr>
          <w:sz w:val="24"/>
          <w:szCs w:val="24"/>
          <w:lang w:val="es-MX" w:eastAsia="ja-JP"/>
        </w:rPr>
        <w:t xml:space="preserve">se pronunció en relación con </w:t>
      </w:r>
      <w:r w:rsidR="00AB0E06" w:rsidRPr="00703DAC">
        <w:rPr>
          <w:sz w:val="24"/>
          <w:szCs w:val="24"/>
          <w:lang w:val="es-MX" w:eastAsia="ja-JP"/>
        </w:rPr>
        <w:t xml:space="preserve">su condición de compañera permanente del </w:t>
      </w:r>
      <w:r w:rsidR="00E63C2D" w:rsidRPr="00703DAC">
        <w:rPr>
          <w:sz w:val="24"/>
          <w:szCs w:val="24"/>
          <w:lang w:val="es-MX" w:eastAsia="ja-JP"/>
        </w:rPr>
        <w:t>señor Orobio</w:t>
      </w:r>
      <w:r w:rsidR="00B552F3" w:rsidRPr="00703DAC">
        <w:rPr>
          <w:sz w:val="24"/>
          <w:szCs w:val="24"/>
          <w:lang w:val="es-MX" w:eastAsia="ja-JP"/>
        </w:rPr>
        <w:t xml:space="preserve">, </w:t>
      </w:r>
      <w:r w:rsidR="00AB0E06" w:rsidRPr="00703DAC">
        <w:rPr>
          <w:sz w:val="24"/>
          <w:szCs w:val="24"/>
          <w:lang w:val="es-MX" w:eastAsia="ja-JP"/>
        </w:rPr>
        <w:t>situación</w:t>
      </w:r>
      <w:r w:rsidR="004D43F5">
        <w:rPr>
          <w:sz w:val="24"/>
          <w:szCs w:val="24"/>
          <w:lang w:val="es-MX" w:eastAsia="ja-JP"/>
        </w:rPr>
        <w:t xml:space="preserve"> que</w:t>
      </w:r>
      <w:r w:rsidR="00AB0E06" w:rsidRPr="00703DAC">
        <w:rPr>
          <w:sz w:val="24"/>
          <w:szCs w:val="24"/>
          <w:lang w:val="es-MX" w:eastAsia="ja-JP"/>
        </w:rPr>
        <w:t xml:space="preserve"> </w:t>
      </w:r>
      <w:r w:rsidR="00B552F3" w:rsidRPr="00703DAC">
        <w:rPr>
          <w:sz w:val="24"/>
          <w:szCs w:val="24"/>
          <w:lang w:val="es-MX" w:eastAsia="ja-JP"/>
        </w:rPr>
        <w:t>no había sido</w:t>
      </w:r>
      <w:r w:rsidR="00432814" w:rsidRPr="00703DAC">
        <w:rPr>
          <w:sz w:val="24"/>
          <w:szCs w:val="24"/>
          <w:lang w:val="es-MX" w:eastAsia="ja-JP"/>
        </w:rPr>
        <w:t xml:space="preserve"> objeto de reproche en el recurso de apelación</w:t>
      </w:r>
      <w:r w:rsidR="00AB0E06" w:rsidRPr="00703DAC">
        <w:rPr>
          <w:sz w:val="24"/>
          <w:szCs w:val="24"/>
          <w:lang w:val="es-MX" w:eastAsia="ja-JP"/>
        </w:rPr>
        <w:t xml:space="preserve">. </w:t>
      </w:r>
      <w:r w:rsidR="00471300">
        <w:rPr>
          <w:sz w:val="24"/>
          <w:szCs w:val="24"/>
          <w:lang w:val="es-MX" w:eastAsia="ja-JP"/>
        </w:rPr>
        <w:t>Denotó la accionante que en primera instancia no hubo reparo algun</w:t>
      </w:r>
      <w:r w:rsidR="00C47342">
        <w:rPr>
          <w:sz w:val="24"/>
          <w:szCs w:val="24"/>
          <w:lang w:val="es-MX" w:eastAsia="ja-JP"/>
        </w:rPr>
        <w:t>o</w:t>
      </w:r>
      <w:r w:rsidR="00471300">
        <w:rPr>
          <w:sz w:val="24"/>
          <w:szCs w:val="24"/>
          <w:lang w:val="es-MX" w:eastAsia="ja-JP"/>
        </w:rPr>
        <w:t xml:space="preserve"> a la prueba de la existencia de l</w:t>
      </w:r>
      <w:r w:rsidR="00DA6643" w:rsidRPr="00703DAC">
        <w:rPr>
          <w:sz w:val="24"/>
          <w:szCs w:val="24"/>
          <w:lang w:val="es-MX" w:eastAsia="ja-JP"/>
        </w:rPr>
        <w:t>a unión marital de hecho</w:t>
      </w:r>
      <w:r w:rsidR="00471300">
        <w:rPr>
          <w:sz w:val="24"/>
          <w:szCs w:val="24"/>
          <w:lang w:val="es-MX" w:eastAsia="ja-JP"/>
        </w:rPr>
        <w:t>,</w:t>
      </w:r>
      <w:r w:rsidR="00DA6643" w:rsidRPr="00703DAC">
        <w:rPr>
          <w:sz w:val="24"/>
          <w:szCs w:val="24"/>
          <w:lang w:val="es-MX" w:eastAsia="ja-JP"/>
        </w:rPr>
        <w:t xml:space="preserve"> y </w:t>
      </w:r>
      <w:r w:rsidR="00471300">
        <w:rPr>
          <w:sz w:val="24"/>
          <w:szCs w:val="24"/>
          <w:lang w:val="es-MX" w:eastAsia="ja-JP"/>
        </w:rPr>
        <w:t xml:space="preserve">que la </w:t>
      </w:r>
      <w:r w:rsidR="00586281" w:rsidRPr="00703DAC">
        <w:rPr>
          <w:sz w:val="24"/>
          <w:szCs w:val="24"/>
          <w:lang w:val="es-MX" w:eastAsia="ja-JP"/>
        </w:rPr>
        <w:t>neg</w:t>
      </w:r>
      <w:r w:rsidR="00471300">
        <w:rPr>
          <w:sz w:val="24"/>
          <w:szCs w:val="24"/>
          <w:lang w:val="es-MX" w:eastAsia="ja-JP"/>
        </w:rPr>
        <w:t>ación de las pretensiones tuvo fundamento</w:t>
      </w:r>
      <w:r w:rsidR="008A0F13">
        <w:rPr>
          <w:sz w:val="24"/>
          <w:szCs w:val="24"/>
          <w:lang w:val="es-MX" w:eastAsia="ja-JP"/>
        </w:rPr>
        <w:t xml:space="preserve"> e</w:t>
      </w:r>
      <w:r w:rsidR="00471300">
        <w:rPr>
          <w:sz w:val="24"/>
          <w:szCs w:val="24"/>
          <w:lang w:val="es-MX" w:eastAsia="ja-JP"/>
        </w:rPr>
        <w:t xml:space="preserve">xclusivo en la consideración de </w:t>
      </w:r>
      <w:r w:rsidR="004D43F5">
        <w:rPr>
          <w:sz w:val="24"/>
          <w:szCs w:val="24"/>
          <w:lang w:val="es-MX" w:eastAsia="ja-JP"/>
        </w:rPr>
        <w:t xml:space="preserve">la </w:t>
      </w:r>
      <w:r w:rsidR="00471300">
        <w:rPr>
          <w:sz w:val="24"/>
          <w:szCs w:val="24"/>
          <w:lang w:val="es-MX" w:eastAsia="ja-JP"/>
        </w:rPr>
        <w:t xml:space="preserve">ausencia de prueba suficiente en relación con </w:t>
      </w:r>
      <w:r w:rsidR="00586281" w:rsidRPr="00703DAC">
        <w:rPr>
          <w:sz w:val="24"/>
          <w:szCs w:val="24"/>
          <w:lang w:val="es-MX" w:eastAsia="ja-JP"/>
        </w:rPr>
        <w:t xml:space="preserve">el requisito </w:t>
      </w:r>
      <w:r w:rsidR="00817D85" w:rsidRPr="00703DAC">
        <w:rPr>
          <w:sz w:val="24"/>
          <w:szCs w:val="24"/>
          <w:lang w:val="es-MX" w:eastAsia="ja-JP"/>
        </w:rPr>
        <w:t>d</w:t>
      </w:r>
      <w:r w:rsidR="00586281" w:rsidRPr="00703DAC">
        <w:rPr>
          <w:sz w:val="24"/>
          <w:szCs w:val="24"/>
          <w:lang w:val="es-MX" w:eastAsia="ja-JP"/>
        </w:rPr>
        <w:t xml:space="preserve">el tiempo de </w:t>
      </w:r>
      <w:r w:rsidR="00817D85" w:rsidRPr="00703DAC">
        <w:rPr>
          <w:sz w:val="24"/>
          <w:szCs w:val="24"/>
          <w:lang w:val="es-MX" w:eastAsia="ja-JP"/>
        </w:rPr>
        <w:t>servicio</w:t>
      </w:r>
      <w:r w:rsidR="00471300">
        <w:rPr>
          <w:sz w:val="24"/>
          <w:szCs w:val="24"/>
          <w:lang w:val="es-MX" w:eastAsia="ja-JP"/>
        </w:rPr>
        <w:t>s</w:t>
      </w:r>
      <w:r w:rsidR="00DA6643" w:rsidRPr="00703DAC">
        <w:rPr>
          <w:sz w:val="24"/>
          <w:szCs w:val="24"/>
          <w:lang w:val="es-MX" w:eastAsia="ja-JP"/>
        </w:rPr>
        <w:t xml:space="preserve"> </w:t>
      </w:r>
      <w:r w:rsidR="00471300">
        <w:rPr>
          <w:sz w:val="24"/>
          <w:szCs w:val="24"/>
          <w:lang w:val="es-MX" w:eastAsia="ja-JP"/>
        </w:rPr>
        <w:t xml:space="preserve">al Estado, de </w:t>
      </w:r>
      <w:r w:rsidR="00471300" w:rsidRPr="00AF2259">
        <w:rPr>
          <w:sz w:val="24"/>
          <w:szCs w:val="24"/>
          <w:lang w:val="es-MX" w:eastAsia="ja-JP"/>
        </w:rPr>
        <w:t>Otoniel Orobio Tenorio</w:t>
      </w:r>
      <w:r w:rsidR="00471300">
        <w:rPr>
          <w:sz w:val="24"/>
          <w:szCs w:val="24"/>
          <w:lang w:val="es-MX" w:eastAsia="ja-JP"/>
        </w:rPr>
        <w:t xml:space="preserve">.  </w:t>
      </w:r>
    </w:p>
    <w:p w14:paraId="12D2A9FE" w14:textId="77777777" w:rsidR="00C55060" w:rsidRPr="00703DAC" w:rsidRDefault="00C55060" w:rsidP="00C55060">
      <w:pPr>
        <w:autoSpaceDE w:val="0"/>
        <w:autoSpaceDN w:val="0"/>
        <w:adjustRightInd w:val="0"/>
        <w:rPr>
          <w:sz w:val="24"/>
          <w:szCs w:val="24"/>
          <w:lang w:val="es-MX" w:eastAsia="ja-JP"/>
        </w:rPr>
      </w:pPr>
    </w:p>
    <w:p w14:paraId="324F9D37" w14:textId="07777045" w:rsidR="004D43F5" w:rsidRDefault="000640FF" w:rsidP="00817D85">
      <w:pPr>
        <w:rPr>
          <w:rFonts w:eastAsia="Times New Roman"/>
          <w:bCs/>
          <w:sz w:val="24"/>
          <w:szCs w:val="24"/>
          <w:lang w:val="es-ES_tradnl" w:eastAsia="es-ES"/>
        </w:rPr>
      </w:pPr>
      <w:r>
        <w:rPr>
          <w:rFonts w:eastAsia="Times New Roman"/>
          <w:bCs/>
          <w:sz w:val="24"/>
          <w:szCs w:val="24"/>
          <w:lang w:val="es-ES_tradnl" w:eastAsia="es-ES"/>
        </w:rPr>
        <w:t xml:space="preserve">En relación con este reproche, la Sala pone de presente que él no satisface </w:t>
      </w:r>
      <w:r w:rsidRPr="000640FF">
        <w:rPr>
          <w:rFonts w:eastAsia="Times New Roman"/>
          <w:bCs/>
          <w:sz w:val="24"/>
          <w:szCs w:val="24"/>
          <w:lang w:val="es-ES_tradnl" w:eastAsia="es-ES"/>
        </w:rPr>
        <w:t>el requisito de subsidiariedad</w:t>
      </w:r>
      <w:r>
        <w:rPr>
          <w:rFonts w:eastAsia="Times New Roman"/>
          <w:bCs/>
          <w:sz w:val="24"/>
          <w:szCs w:val="24"/>
          <w:lang w:val="es-ES_tradnl" w:eastAsia="es-ES"/>
        </w:rPr>
        <w:t xml:space="preserve"> conforme al cual, quien considera que dentro de un proceso</w:t>
      </w:r>
      <w:r w:rsidR="004D43F5">
        <w:rPr>
          <w:rFonts w:eastAsia="Times New Roman"/>
          <w:bCs/>
          <w:sz w:val="24"/>
          <w:szCs w:val="24"/>
          <w:lang w:val="es-ES_tradnl" w:eastAsia="es-ES"/>
        </w:rPr>
        <w:t xml:space="preserve"> cursado ante el juez natural </w:t>
      </w:r>
      <w:r>
        <w:rPr>
          <w:rFonts w:eastAsia="Times New Roman"/>
          <w:bCs/>
          <w:sz w:val="24"/>
          <w:szCs w:val="24"/>
          <w:lang w:val="es-ES_tradnl" w:eastAsia="es-ES"/>
        </w:rPr>
        <w:t xml:space="preserve">se ha vulnerado su derecho al debido proceso, debe acudir a </w:t>
      </w:r>
      <w:r w:rsidRPr="000640FF">
        <w:rPr>
          <w:rFonts w:eastAsia="Times New Roman"/>
          <w:bCs/>
          <w:sz w:val="24"/>
          <w:szCs w:val="24"/>
          <w:lang w:val="es-ES_tradnl" w:eastAsia="es-ES"/>
        </w:rPr>
        <w:t>los mecanismos y recursos dispuestos por el legislador</w:t>
      </w:r>
      <w:r>
        <w:rPr>
          <w:rFonts w:eastAsia="Times New Roman"/>
          <w:bCs/>
          <w:sz w:val="24"/>
          <w:szCs w:val="24"/>
          <w:lang w:val="es-ES_tradnl" w:eastAsia="es-ES"/>
        </w:rPr>
        <w:t xml:space="preserve"> dentro de dicho procedimiento para la </w:t>
      </w:r>
      <w:r w:rsidRPr="000640FF">
        <w:rPr>
          <w:rFonts w:eastAsia="Times New Roman"/>
          <w:bCs/>
          <w:sz w:val="24"/>
          <w:szCs w:val="24"/>
          <w:lang w:val="es-ES_tradnl" w:eastAsia="es-ES"/>
        </w:rPr>
        <w:t xml:space="preserve">protección de </w:t>
      </w:r>
      <w:r>
        <w:rPr>
          <w:rFonts w:eastAsia="Times New Roman"/>
          <w:bCs/>
          <w:sz w:val="24"/>
          <w:szCs w:val="24"/>
          <w:lang w:val="es-ES_tradnl" w:eastAsia="es-ES"/>
        </w:rPr>
        <w:t xml:space="preserve">los </w:t>
      </w:r>
      <w:r w:rsidRPr="000640FF">
        <w:rPr>
          <w:rFonts w:eastAsia="Times New Roman"/>
          <w:bCs/>
          <w:sz w:val="24"/>
          <w:szCs w:val="24"/>
          <w:lang w:val="es-ES_tradnl" w:eastAsia="es-ES"/>
        </w:rPr>
        <w:t>derechos fundamentales</w:t>
      </w:r>
      <w:r>
        <w:rPr>
          <w:rFonts w:eastAsia="Times New Roman"/>
          <w:bCs/>
          <w:sz w:val="24"/>
          <w:szCs w:val="24"/>
          <w:lang w:val="es-ES_tradnl" w:eastAsia="es-ES"/>
        </w:rPr>
        <w:t xml:space="preserve"> de las partes e intervinientes en él.</w:t>
      </w:r>
      <w:r w:rsidRPr="000640FF">
        <w:rPr>
          <w:rFonts w:eastAsia="Times New Roman"/>
          <w:bCs/>
          <w:sz w:val="24"/>
          <w:szCs w:val="24"/>
          <w:lang w:val="es-ES_tradnl" w:eastAsia="es-ES"/>
        </w:rPr>
        <w:t xml:space="preserve"> </w:t>
      </w:r>
      <w:r>
        <w:rPr>
          <w:rFonts w:eastAsia="Times New Roman"/>
          <w:bCs/>
          <w:sz w:val="24"/>
          <w:szCs w:val="24"/>
          <w:lang w:val="es-ES_tradnl" w:eastAsia="es-ES"/>
        </w:rPr>
        <w:t xml:space="preserve"> </w:t>
      </w:r>
    </w:p>
    <w:p w14:paraId="7C54D959" w14:textId="77777777" w:rsidR="004D43F5" w:rsidRDefault="004D43F5" w:rsidP="00817D85">
      <w:pPr>
        <w:rPr>
          <w:rFonts w:eastAsia="Times New Roman"/>
          <w:bCs/>
          <w:sz w:val="24"/>
          <w:szCs w:val="24"/>
          <w:lang w:val="es-ES_tradnl" w:eastAsia="es-ES"/>
        </w:rPr>
      </w:pPr>
    </w:p>
    <w:p w14:paraId="121F4EF6" w14:textId="0C1AAF9B" w:rsidR="00817D85" w:rsidRPr="00703DAC" w:rsidRDefault="004D43F5" w:rsidP="00817D85">
      <w:pPr>
        <w:rPr>
          <w:rFonts w:eastAsia="Times New Roman"/>
          <w:bCs/>
          <w:sz w:val="24"/>
          <w:szCs w:val="24"/>
          <w:lang w:val="es-ES_tradnl" w:eastAsia="es-ES"/>
        </w:rPr>
      </w:pPr>
      <w:r>
        <w:rPr>
          <w:rFonts w:eastAsia="Times New Roman"/>
          <w:bCs/>
          <w:sz w:val="24"/>
          <w:szCs w:val="24"/>
          <w:lang w:val="es-ES_tradnl" w:eastAsia="es-ES"/>
        </w:rPr>
        <w:t xml:space="preserve">Pues bien, no se satisface con este cargo el principio de subsidiariedad </w:t>
      </w:r>
      <w:r w:rsidR="000640FF">
        <w:rPr>
          <w:rFonts w:eastAsia="Times New Roman"/>
          <w:bCs/>
          <w:sz w:val="24"/>
          <w:szCs w:val="24"/>
          <w:lang w:val="es-ES_tradnl" w:eastAsia="es-ES"/>
        </w:rPr>
        <w:t xml:space="preserve">por cuanto, por un lado, la vulneración del </w:t>
      </w:r>
      <w:r w:rsidR="00817D85" w:rsidRPr="00703DAC">
        <w:rPr>
          <w:rFonts w:eastAsia="Times New Roman"/>
          <w:bCs/>
          <w:sz w:val="24"/>
          <w:szCs w:val="24"/>
          <w:lang w:val="es-ES_tradnl" w:eastAsia="es-ES"/>
        </w:rPr>
        <w:t>principio de congruencia</w:t>
      </w:r>
      <w:r w:rsidR="000640FF">
        <w:rPr>
          <w:rFonts w:eastAsia="Times New Roman"/>
          <w:bCs/>
          <w:sz w:val="24"/>
          <w:szCs w:val="24"/>
          <w:lang w:val="es-ES_tradnl" w:eastAsia="es-ES"/>
        </w:rPr>
        <w:t xml:space="preserve"> </w:t>
      </w:r>
      <w:r w:rsidR="00817D85" w:rsidRPr="00703DAC">
        <w:rPr>
          <w:rFonts w:eastAsia="Times New Roman"/>
          <w:bCs/>
          <w:sz w:val="24"/>
          <w:szCs w:val="24"/>
          <w:lang w:val="es-ES_tradnl" w:eastAsia="es-ES"/>
        </w:rPr>
        <w:t>ha sido considerada como una causal de nulidad originada en la sentencia</w:t>
      </w:r>
      <w:r w:rsidR="00817D85" w:rsidRPr="00703DAC">
        <w:rPr>
          <w:rStyle w:val="Refdenotaalpie"/>
          <w:sz w:val="24"/>
          <w:szCs w:val="24"/>
        </w:rPr>
        <w:footnoteReference w:id="22"/>
      </w:r>
      <w:r w:rsidR="000640FF">
        <w:rPr>
          <w:rFonts w:eastAsia="Times New Roman"/>
          <w:bCs/>
          <w:sz w:val="24"/>
          <w:szCs w:val="24"/>
          <w:lang w:val="es-ES_tradnl" w:eastAsia="es-ES"/>
        </w:rPr>
        <w:t xml:space="preserve">, y por otro, </w:t>
      </w:r>
      <w:r w:rsidR="00817D85" w:rsidRPr="00703DAC">
        <w:rPr>
          <w:rFonts w:eastAsia="Times New Roman"/>
          <w:bCs/>
          <w:sz w:val="24"/>
          <w:szCs w:val="24"/>
          <w:lang w:val="es-ES_tradnl" w:eastAsia="es-ES"/>
        </w:rPr>
        <w:t xml:space="preserve">el numeral 5 del artículo 250 del CPACA, </w:t>
      </w:r>
      <w:r w:rsidR="000640FF">
        <w:rPr>
          <w:rFonts w:eastAsia="Times New Roman"/>
          <w:bCs/>
          <w:sz w:val="24"/>
          <w:szCs w:val="24"/>
          <w:lang w:val="es-ES_tradnl" w:eastAsia="es-ES"/>
        </w:rPr>
        <w:t>prescribe, como</w:t>
      </w:r>
      <w:r w:rsidR="00817D85" w:rsidRPr="00703DAC">
        <w:rPr>
          <w:rFonts w:eastAsia="Times New Roman"/>
          <w:bCs/>
          <w:sz w:val="24"/>
          <w:szCs w:val="24"/>
          <w:lang w:val="es-ES_tradnl" w:eastAsia="es-ES"/>
        </w:rPr>
        <w:t xml:space="preserve"> causal para presentar recurso extraordinario de revisión</w:t>
      </w:r>
      <w:r w:rsidR="000640FF">
        <w:rPr>
          <w:rFonts w:eastAsia="Times New Roman"/>
          <w:bCs/>
          <w:sz w:val="24"/>
          <w:szCs w:val="24"/>
          <w:lang w:val="es-ES_tradnl" w:eastAsia="es-ES"/>
        </w:rPr>
        <w:t>, la existencia de “</w:t>
      </w:r>
      <w:r w:rsidR="00817D85" w:rsidRPr="00703DAC">
        <w:rPr>
          <w:rFonts w:eastAsia="Times New Roman"/>
          <w:bCs/>
          <w:sz w:val="24"/>
          <w:szCs w:val="24"/>
          <w:lang w:val="es-ES_tradnl" w:eastAsia="es-ES"/>
        </w:rPr>
        <w:t>nulidad originada en la sentencia que puso fin al proceso y contra la que no procede recurso de apelación”.</w:t>
      </w:r>
    </w:p>
    <w:p w14:paraId="5624FB13" w14:textId="77777777" w:rsidR="00817D85" w:rsidRPr="00703DAC" w:rsidRDefault="00817D85" w:rsidP="00817D85">
      <w:pPr>
        <w:contextualSpacing/>
        <w:rPr>
          <w:rFonts w:eastAsia="Times New Roman"/>
          <w:bCs/>
          <w:sz w:val="24"/>
          <w:szCs w:val="24"/>
          <w:lang w:val="es-ES_tradnl" w:eastAsia="es-ES"/>
        </w:rPr>
      </w:pPr>
    </w:p>
    <w:p w14:paraId="7F767866" w14:textId="2A1C1BF3" w:rsidR="00817D85" w:rsidRPr="00703DAC" w:rsidRDefault="000640FF" w:rsidP="00817D85">
      <w:pPr>
        <w:contextualSpacing/>
        <w:rPr>
          <w:rFonts w:eastAsia="Times New Roman"/>
          <w:bCs/>
          <w:sz w:val="24"/>
          <w:szCs w:val="24"/>
          <w:lang w:val="es-ES_tradnl" w:eastAsia="es-ES"/>
        </w:rPr>
      </w:pPr>
      <w:r>
        <w:rPr>
          <w:rFonts w:eastAsia="Times New Roman"/>
          <w:bCs/>
          <w:sz w:val="24"/>
          <w:szCs w:val="24"/>
          <w:lang w:val="es-ES_tradnl" w:eastAsia="es-ES"/>
        </w:rPr>
        <w:t xml:space="preserve">Por tanto, como </w:t>
      </w:r>
      <w:r w:rsidR="00FE7AE7" w:rsidRPr="00703DAC">
        <w:rPr>
          <w:rFonts w:eastAsia="Times New Roman"/>
          <w:bCs/>
          <w:sz w:val="24"/>
          <w:szCs w:val="24"/>
          <w:lang w:val="es-ES_tradnl" w:eastAsia="es-ES"/>
        </w:rPr>
        <w:t xml:space="preserve">los argumentos </w:t>
      </w:r>
      <w:r>
        <w:rPr>
          <w:rFonts w:eastAsia="Times New Roman"/>
          <w:bCs/>
          <w:sz w:val="24"/>
          <w:szCs w:val="24"/>
          <w:lang w:val="es-ES_tradnl" w:eastAsia="es-ES"/>
        </w:rPr>
        <w:t>expuestos por la parte accionante</w:t>
      </w:r>
      <w:r w:rsidR="00FE7AE7" w:rsidRPr="00703DAC">
        <w:rPr>
          <w:rFonts w:eastAsia="Times New Roman"/>
          <w:bCs/>
          <w:sz w:val="24"/>
          <w:szCs w:val="24"/>
          <w:lang w:val="es-ES_tradnl" w:eastAsia="es-ES"/>
        </w:rPr>
        <w:t xml:space="preserve"> están dirigidos a </w:t>
      </w:r>
      <w:r w:rsidR="00593F37" w:rsidRPr="00703DAC">
        <w:rPr>
          <w:rFonts w:eastAsia="Times New Roman"/>
          <w:bCs/>
          <w:sz w:val="24"/>
          <w:szCs w:val="24"/>
          <w:lang w:val="es-ES_tradnl" w:eastAsia="es-ES"/>
        </w:rPr>
        <w:t>exponer</w:t>
      </w:r>
      <w:r w:rsidR="00FE7AE7" w:rsidRPr="00703DAC">
        <w:rPr>
          <w:rFonts w:eastAsia="Times New Roman"/>
          <w:bCs/>
          <w:sz w:val="24"/>
          <w:szCs w:val="24"/>
          <w:lang w:val="es-ES_tradnl" w:eastAsia="es-ES"/>
        </w:rPr>
        <w:t xml:space="preserve"> </w:t>
      </w:r>
      <w:r>
        <w:rPr>
          <w:rFonts w:eastAsia="Times New Roman"/>
          <w:bCs/>
          <w:sz w:val="24"/>
          <w:szCs w:val="24"/>
          <w:lang w:val="es-ES_tradnl" w:eastAsia="es-ES"/>
        </w:rPr>
        <w:t>y sustentar el acaecimiento de una</w:t>
      </w:r>
      <w:r w:rsidR="00FE7AE7" w:rsidRPr="00703DAC">
        <w:rPr>
          <w:rFonts w:eastAsia="Times New Roman"/>
          <w:bCs/>
          <w:sz w:val="24"/>
          <w:szCs w:val="24"/>
          <w:lang w:val="es-ES_tradnl" w:eastAsia="es-ES"/>
        </w:rPr>
        <w:t xml:space="preserve"> vulneración del principio de congruencia en la providencia del 9 de octubre de 2019, </w:t>
      </w:r>
      <w:r>
        <w:rPr>
          <w:rFonts w:eastAsia="Times New Roman"/>
          <w:bCs/>
          <w:sz w:val="24"/>
          <w:szCs w:val="24"/>
          <w:lang w:val="es-ES_tradnl" w:eastAsia="es-ES"/>
        </w:rPr>
        <w:t xml:space="preserve">y tal vicio configura causal de </w:t>
      </w:r>
      <w:r w:rsidR="00FE7AE7" w:rsidRPr="00703DAC">
        <w:rPr>
          <w:rFonts w:eastAsia="Times New Roman"/>
          <w:bCs/>
          <w:sz w:val="24"/>
          <w:szCs w:val="24"/>
          <w:lang w:val="es-ES_tradnl" w:eastAsia="es-ES"/>
        </w:rPr>
        <w:t xml:space="preserve">nulidad </w:t>
      </w:r>
      <w:r w:rsidR="00DA6643" w:rsidRPr="00703DAC">
        <w:rPr>
          <w:rFonts w:eastAsia="Times New Roman"/>
          <w:bCs/>
          <w:sz w:val="24"/>
          <w:szCs w:val="24"/>
          <w:lang w:val="es-ES_tradnl" w:eastAsia="es-ES"/>
        </w:rPr>
        <w:t xml:space="preserve">originada </w:t>
      </w:r>
      <w:r w:rsidR="00FE7AE7" w:rsidRPr="00703DAC">
        <w:rPr>
          <w:rFonts w:eastAsia="Times New Roman"/>
          <w:bCs/>
          <w:sz w:val="24"/>
          <w:szCs w:val="24"/>
          <w:lang w:val="es-ES_tradnl" w:eastAsia="es-ES"/>
        </w:rPr>
        <w:t xml:space="preserve">en la sentencia, </w:t>
      </w:r>
      <w:r w:rsidR="00B552F3" w:rsidRPr="00703DAC">
        <w:rPr>
          <w:rFonts w:eastAsia="Times New Roman"/>
          <w:bCs/>
          <w:sz w:val="24"/>
          <w:szCs w:val="24"/>
          <w:lang w:val="es-ES_tradnl" w:eastAsia="es-ES"/>
        </w:rPr>
        <w:t>la Sala advierte</w:t>
      </w:r>
      <w:r w:rsidR="00817D85" w:rsidRPr="00703DAC">
        <w:rPr>
          <w:rFonts w:eastAsia="Times New Roman"/>
          <w:bCs/>
          <w:sz w:val="24"/>
          <w:szCs w:val="24"/>
          <w:lang w:val="es-ES_tradnl" w:eastAsia="es-ES"/>
        </w:rPr>
        <w:t xml:space="preserve"> que la accionante </w:t>
      </w:r>
      <w:r w:rsidR="00B552F3" w:rsidRPr="00703DAC">
        <w:rPr>
          <w:rFonts w:eastAsia="Times New Roman"/>
          <w:bCs/>
          <w:sz w:val="24"/>
          <w:szCs w:val="24"/>
          <w:lang w:val="es-ES_tradnl" w:eastAsia="es-ES"/>
        </w:rPr>
        <w:t>actualmente dispone</w:t>
      </w:r>
      <w:r w:rsidR="00FE7AE7" w:rsidRPr="00703DAC">
        <w:rPr>
          <w:rFonts w:eastAsia="Times New Roman"/>
          <w:bCs/>
          <w:sz w:val="24"/>
          <w:szCs w:val="24"/>
          <w:lang w:val="es-ES_tradnl" w:eastAsia="es-ES"/>
        </w:rPr>
        <w:t xml:space="preserve"> para </w:t>
      </w:r>
      <w:r w:rsidR="00DA6643" w:rsidRPr="00703DAC">
        <w:rPr>
          <w:rFonts w:eastAsia="Times New Roman"/>
          <w:bCs/>
          <w:sz w:val="24"/>
          <w:szCs w:val="24"/>
          <w:lang w:val="es-ES_tradnl" w:eastAsia="es-ES"/>
        </w:rPr>
        <w:t xml:space="preserve">debatir sus inconformidades </w:t>
      </w:r>
      <w:r w:rsidR="00817D85" w:rsidRPr="00703DAC">
        <w:rPr>
          <w:rFonts w:eastAsia="Times New Roman"/>
          <w:bCs/>
          <w:sz w:val="24"/>
          <w:szCs w:val="24"/>
          <w:lang w:val="es-ES_tradnl" w:eastAsia="es-ES"/>
        </w:rPr>
        <w:t>el recurso extraordinario de revisión</w:t>
      </w:r>
      <w:r w:rsidR="00FE7AE7" w:rsidRPr="00703DAC">
        <w:rPr>
          <w:rFonts w:eastAsia="Times New Roman"/>
          <w:bCs/>
          <w:sz w:val="24"/>
          <w:szCs w:val="24"/>
          <w:lang w:val="es-ES_tradnl" w:eastAsia="es-ES"/>
        </w:rPr>
        <w:t xml:space="preserve"> de que trata el artículo 250 del CPACA</w:t>
      </w:r>
      <w:r w:rsidR="0086059B">
        <w:rPr>
          <w:rFonts w:eastAsia="Times New Roman"/>
          <w:bCs/>
          <w:sz w:val="24"/>
          <w:szCs w:val="24"/>
          <w:lang w:val="es-ES_tradnl" w:eastAsia="es-ES"/>
        </w:rPr>
        <w:t xml:space="preserve">, circunstancia que </w:t>
      </w:r>
      <w:bookmarkStart w:id="3" w:name="_Hlk49762556"/>
      <w:r w:rsidR="00FE7AE7" w:rsidRPr="00703DAC">
        <w:rPr>
          <w:rFonts w:eastAsia="Times New Roman"/>
          <w:bCs/>
          <w:sz w:val="24"/>
          <w:szCs w:val="24"/>
          <w:lang w:val="es-ES_tradnl" w:eastAsia="es-ES"/>
        </w:rPr>
        <w:t>determina la improcedencia de la acción</w:t>
      </w:r>
      <w:r w:rsidR="0086059B">
        <w:rPr>
          <w:rFonts w:eastAsia="Times New Roman"/>
          <w:bCs/>
          <w:sz w:val="24"/>
          <w:szCs w:val="24"/>
          <w:lang w:val="es-ES_tradnl" w:eastAsia="es-ES"/>
        </w:rPr>
        <w:t xml:space="preserve"> de tutela</w:t>
      </w:r>
      <w:r w:rsidR="00FE7AE7" w:rsidRPr="00703DAC">
        <w:rPr>
          <w:rFonts w:eastAsia="Times New Roman"/>
          <w:bCs/>
          <w:sz w:val="24"/>
          <w:szCs w:val="24"/>
          <w:lang w:val="es-ES_tradnl" w:eastAsia="es-ES"/>
        </w:rPr>
        <w:t>.</w:t>
      </w:r>
    </w:p>
    <w:p w14:paraId="36D02E12" w14:textId="374CC6C3" w:rsidR="00C55060" w:rsidRPr="00703DAC" w:rsidRDefault="00C55060" w:rsidP="00C55060">
      <w:pPr>
        <w:autoSpaceDE w:val="0"/>
        <w:autoSpaceDN w:val="0"/>
        <w:adjustRightInd w:val="0"/>
        <w:rPr>
          <w:rFonts w:eastAsia="Times New Roman"/>
          <w:bCs/>
          <w:sz w:val="24"/>
          <w:szCs w:val="24"/>
          <w:lang w:val="es-ES_tradnl" w:eastAsia="es-ES"/>
        </w:rPr>
      </w:pPr>
    </w:p>
    <w:bookmarkEnd w:id="3"/>
    <w:p w14:paraId="3DAC908E" w14:textId="7A5B6CDC" w:rsidR="00E63C2D" w:rsidRPr="00703DAC" w:rsidRDefault="001B60B5" w:rsidP="00C55060">
      <w:pPr>
        <w:autoSpaceDE w:val="0"/>
        <w:autoSpaceDN w:val="0"/>
        <w:adjustRightInd w:val="0"/>
        <w:rPr>
          <w:sz w:val="24"/>
          <w:szCs w:val="24"/>
          <w:lang w:val="es-MX" w:eastAsia="ja-JP"/>
        </w:rPr>
      </w:pPr>
      <w:r w:rsidRPr="00703DAC">
        <w:rPr>
          <w:rFonts w:eastAsia="Times New Roman"/>
          <w:b/>
          <w:bCs/>
          <w:sz w:val="24"/>
          <w:szCs w:val="24"/>
          <w:lang w:val="es-ES_tradnl" w:eastAsia="es-ES"/>
        </w:rPr>
        <w:t xml:space="preserve">2.3.2. </w:t>
      </w:r>
      <w:r w:rsidR="00175282" w:rsidRPr="00703DAC">
        <w:rPr>
          <w:rFonts w:eastAsia="Times New Roman"/>
          <w:bCs/>
          <w:sz w:val="24"/>
          <w:szCs w:val="24"/>
          <w:lang w:val="es-ES_tradnl" w:eastAsia="es-ES"/>
        </w:rPr>
        <w:t xml:space="preserve">Ahora bien, </w:t>
      </w:r>
      <w:r w:rsidR="008B7429" w:rsidRPr="00703DAC">
        <w:rPr>
          <w:rFonts w:eastAsia="Times New Roman"/>
          <w:bCs/>
          <w:sz w:val="24"/>
          <w:szCs w:val="24"/>
          <w:lang w:val="es-ES_tradnl" w:eastAsia="es-ES"/>
        </w:rPr>
        <w:t xml:space="preserve">en cuanto </w:t>
      </w:r>
      <w:r w:rsidR="0086059B">
        <w:rPr>
          <w:rFonts w:eastAsia="Times New Roman"/>
          <w:bCs/>
          <w:sz w:val="24"/>
          <w:szCs w:val="24"/>
          <w:lang w:val="es-ES_tradnl" w:eastAsia="es-ES"/>
        </w:rPr>
        <w:t xml:space="preserve">hace relación </w:t>
      </w:r>
      <w:r w:rsidR="008B7429" w:rsidRPr="00703DAC">
        <w:rPr>
          <w:rFonts w:eastAsia="Times New Roman"/>
          <w:bCs/>
          <w:sz w:val="24"/>
          <w:szCs w:val="24"/>
          <w:lang w:val="es-ES_tradnl" w:eastAsia="es-ES"/>
        </w:rPr>
        <w:t xml:space="preserve">al </w:t>
      </w:r>
      <w:r w:rsidR="00175282" w:rsidRPr="00703DAC">
        <w:rPr>
          <w:rFonts w:eastAsia="Times New Roman"/>
          <w:bCs/>
          <w:sz w:val="24"/>
          <w:szCs w:val="24"/>
          <w:lang w:val="es-ES_tradnl" w:eastAsia="es-ES"/>
        </w:rPr>
        <w:t>defecto fáctico</w:t>
      </w:r>
      <w:r w:rsidR="008B7429" w:rsidRPr="00703DAC">
        <w:rPr>
          <w:rFonts w:eastAsia="Times New Roman"/>
          <w:bCs/>
          <w:sz w:val="24"/>
          <w:szCs w:val="24"/>
          <w:lang w:val="es-ES_tradnl" w:eastAsia="es-ES"/>
        </w:rPr>
        <w:t xml:space="preserve">, </w:t>
      </w:r>
      <w:r w:rsidR="0086059B">
        <w:rPr>
          <w:rFonts w:eastAsia="Times New Roman"/>
          <w:bCs/>
          <w:sz w:val="24"/>
          <w:szCs w:val="24"/>
          <w:lang w:val="es-ES_tradnl" w:eastAsia="es-ES"/>
        </w:rPr>
        <w:t xml:space="preserve">la </w:t>
      </w:r>
      <w:r w:rsidR="00E63C2D" w:rsidRPr="00703DAC">
        <w:rPr>
          <w:sz w:val="24"/>
          <w:szCs w:val="24"/>
          <w:lang w:val="es-MX" w:eastAsia="ja-JP"/>
        </w:rPr>
        <w:t xml:space="preserve">Sala </w:t>
      </w:r>
      <w:r w:rsidR="0086059B">
        <w:rPr>
          <w:sz w:val="24"/>
          <w:szCs w:val="24"/>
          <w:lang w:val="es-MX" w:eastAsia="ja-JP"/>
        </w:rPr>
        <w:t xml:space="preserve">procede al análisis de su procedencia, así: </w:t>
      </w:r>
    </w:p>
    <w:p w14:paraId="6D58B610" w14:textId="77777777" w:rsidR="00E63C2D" w:rsidRPr="00703DAC" w:rsidRDefault="00E63C2D" w:rsidP="00C55060">
      <w:pPr>
        <w:autoSpaceDE w:val="0"/>
        <w:autoSpaceDN w:val="0"/>
        <w:adjustRightInd w:val="0"/>
        <w:rPr>
          <w:sz w:val="24"/>
          <w:szCs w:val="24"/>
          <w:lang w:val="es-MX" w:eastAsia="ja-JP"/>
        </w:rPr>
      </w:pPr>
    </w:p>
    <w:p w14:paraId="51BA8D7B" w14:textId="1A5C932E" w:rsidR="00714E71" w:rsidRPr="00703DAC" w:rsidRDefault="00E63C2D" w:rsidP="00714E71">
      <w:pPr>
        <w:autoSpaceDE w:val="0"/>
        <w:autoSpaceDN w:val="0"/>
        <w:adjustRightInd w:val="0"/>
        <w:rPr>
          <w:sz w:val="24"/>
          <w:szCs w:val="24"/>
          <w:lang w:val="es-MX" w:eastAsia="ja-JP"/>
        </w:rPr>
      </w:pPr>
      <w:r w:rsidRPr="00703DAC">
        <w:rPr>
          <w:sz w:val="24"/>
          <w:szCs w:val="24"/>
          <w:lang w:val="es-MX" w:eastAsia="ja-JP"/>
        </w:rPr>
        <w:t>En la sen</w:t>
      </w:r>
      <w:r w:rsidR="004D55D4" w:rsidRPr="00703DAC">
        <w:rPr>
          <w:sz w:val="24"/>
          <w:szCs w:val="24"/>
          <w:lang w:val="es-MX" w:eastAsia="ja-JP"/>
        </w:rPr>
        <w:t xml:space="preserve">tencia del 9 de octubre de 2019, el tribunal </w:t>
      </w:r>
      <w:r w:rsidR="00BC016F" w:rsidRPr="00703DAC">
        <w:rPr>
          <w:sz w:val="24"/>
          <w:szCs w:val="24"/>
          <w:lang w:val="es-MX" w:eastAsia="ja-JP"/>
        </w:rPr>
        <w:t>fundamentó</w:t>
      </w:r>
      <w:r w:rsidR="0008675F" w:rsidRPr="00703DAC">
        <w:rPr>
          <w:sz w:val="24"/>
          <w:szCs w:val="24"/>
          <w:lang w:val="es-MX" w:eastAsia="ja-JP"/>
        </w:rPr>
        <w:t xml:space="preserve"> su decisión en </w:t>
      </w:r>
      <w:r w:rsidR="0086059B">
        <w:rPr>
          <w:sz w:val="24"/>
          <w:szCs w:val="24"/>
          <w:lang w:val="es-MX" w:eastAsia="ja-JP"/>
        </w:rPr>
        <w:t xml:space="preserve">dos motivos: </w:t>
      </w:r>
      <w:r w:rsidR="00CC4EAF" w:rsidRPr="00703DAC">
        <w:rPr>
          <w:sz w:val="24"/>
          <w:szCs w:val="24"/>
          <w:lang w:val="es-MX" w:eastAsia="ja-JP"/>
        </w:rPr>
        <w:t xml:space="preserve">por un lado, </w:t>
      </w:r>
      <w:r w:rsidR="0086059B">
        <w:rPr>
          <w:sz w:val="24"/>
          <w:szCs w:val="24"/>
          <w:lang w:val="es-MX" w:eastAsia="ja-JP"/>
        </w:rPr>
        <w:t xml:space="preserve">que </w:t>
      </w:r>
      <w:r w:rsidR="00F44240" w:rsidRPr="00703DAC">
        <w:rPr>
          <w:sz w:val="24"/>
          <w:szCs w:val="24"/>
          <w:lang w:val="es-MX" w:eastAsia="ja-JP"/>
        </w:rPr>
        <w:t xml:space="preserve">los señores </w:t>
      </w:r>
      <w:r w:rsidR="00781869" w:rsidRPr="00703DAC">
        <w:rPr>
          <w:sz w:val="24"/>
          <w:szCs w:val="24"/>
          <w:lang w:val="es-MX" w:eastAsia="ja-JP"/>
        </w:rPr>
        <w:t>Segundo Andrés Pedraza y Gilberto Angulo</w:t>
      </w:r>
      <w:r w:rsidR="004D55D4" w:rsidRPr="00703DAC">
        <w:rPr>
          <w:sz w:val="24"/>
          <w:szCs w:val="24"/>
          <w:lang w:val="es-MX" w:eastAsia="ja-JP"/>
        </w:rPr>
        <w:t xml:space="preserve"> </w:t>
      </w:r>
      <w:r w:rsidR="0086059B">
        <w:rPr>
          <w:sz w:val="24"/>
          <w:szCs w:val="24"/>
          <w:lang w:val="es-MX" w:eastAsia="ja-JP"/>
        </w:rPr>
        <w:t xml:space="preserve">habían manifestado en sus testimonios </w:t>
      </w:r>
      <w:r w:rsidR="00781869" w:rsidRPr="00703DAC">
        <w:rPr>
          <w:sz w:val="24"/>
          <w:szCs w:val="24"/>
          <w:lang w:val="es-MX" w:eastAsia="ja-JP"/>
        </w:rPr>
        <w:t xml:space="preserve">que </w:t>
      </w:r>
      <w:r w:rsidR="0086059B">
        <w:rPr>
          <w:sz w:val="24"/>
          <w:szCs w:val="24"/>
          <w:lang w:val="es-MX" w:eastAsia="ja-JP"/>
        </w:rPr>
        <w:t xml:space="preserve">les constaba que </w:t>
      </w:r>
      <w:r w:rsidR="00781869" w:rsidRPr="00703DAC">
        <w:rPr>
          <w:sz w:val="24"/>
          <w:szCs w:val="24"/>
          <w:lang w:val="es-MX" w:eastAsia="ja-JP"/>
        </w:rPr>
        <w:t xml:space="preserve">la señora Margarita </w:t>
      </w:r>
      <w:r w:rsidR="0086059B">
        <w:rPr>
          <w:sz w:val="24"/>
          <w:szCs w:val="24"/>
          <w:lang w:val="es-MX" w:eastAsia="ja-JP"/>
        </w:rPr>
        <w:lastRenderedPageBreak/>
        <w:t>Angulo había fungido como</w:t>
      </w:r>
      <w:r w:rsidR="00781869" w:rsidRPr="00703DAC">
        <w:rPr>
          <w:sz w:val="24"/>
          <w:szCs w:val="24"/>
          <w:lang w:val="es-MX" w:eastAsia="ja-JP"/>
        </w:rPr>
        <w:t xml:space="preserve"> compañera permanente de Otoniel Orobio Tenorio por más</w:t>
      </w:r>
      <w:r w:rsidR="00CC4EAF" w:rsidRPr="00703DAC">
        <w:rPr>
          <w:sz w:val="24"/>
          <w:szCs w:val="24"/>
          <w:lang w:val="es-MX" w:eastAsia="ja-JP"/>
        </w:rPr>
        <w:t xml:space="preserve"> de 20 años y </w:t>
      </w:r>
      <w:r w:rsidR="0086059B">
        <w:rPr>
          <w:sz w:val="24"/>
          <w:szCs w:val="24"/>
          <w:lang w:val="es-MX" w:eastAsia="ja-JP"/>
        </w:rPr>
        <w:t xml:space="preserve">había convivido con él </w:t>
      </w:r>
      <w:r w:rsidR="00781869" w:rsidRPr="00703DAC">
        <w:rPr>
          <w:sz w:val="24"/>
          <w:szCs w:val="24"/>
          <w:lang w:val="es-MX" w:eastAsia="ja-JP"/>
        </w:rPr>
        <w:t>hasta la fecha de</w:t>
      </w:r>
      <w:r w:rsidR="0086059B">
        <w:rPr>
          <w:sz w:val="24"/>
          <w:szCs w:val="24"/>
          <w:lang w:val="es-MX" w:eastAsia="ja-JP"/>
        </w:rPr>
        <w:t xml:space="preserve"> su</w:t>
      </w:r>
      <w:r w:rsidR="00781869" w:rsidRPr="00703DAC">
        <w:rPr>
          <w:sz w:val="24"/>
          <w:szCs w:val="24"/>
          <w:lang w:val="es-MX" w:eastAsia="ja-JP"/>
        </w:rPr>
        <w:t xml:space="preserve"> fallecimiento</w:t>
      </w:r>
      <w:r w:rsidR="00CC4EAF" w:rsidRPr="00703DAC">
        <w:rPr>
          <w:sz w:val="24"/>
          <w:szCs w:val="24"/>
          <w:lang w:val="es-MX" w:eastAsia="ja-JP"/>
        </w:rPr>
        <w:t>;</w:t>
      </w:r>
      <w:r w:rsidR="00781869" w:rsidRPr="00703DAC">
        <w:rPr>
          <w:sz w:val="24"/>
          <w:szCs w:val="24"/>
          <w:lang w:val="es-MX" w:eastAsia="ja-JP"/>
        </w:rPr>
        <w:t xml:space="preserve"> </w:t>
      </w:r>
      <w:r w:rsidR="0008675F" w:rsidRPr="00703DAC">
        <w:rPr>
          <w:sz w:val="24"/>
          <w:szCs w:val="24"/>
          <w:lang w:val="es-MX" w:eastAsia="ja-JP"/>
        </w:rPr>
        <w:t xml:space="preserve">y, </w:t>
      </w:r>
      <w:r w:rsidR="00CC4EAF" w:rsidRPr="00703DAC">
        <w:rPr>
          <w:sz w:val="24"/>
          <w:szCs w:val="24"/>
          <w:lang w:val="es-MX" w:eastAsia="ja-JP"/>
        </w:rPr>
        <w:t>por otro lado,</w:t>
      </w:r>
      <w:r w:rsidR="0086059B">
        <w:rPr>
          <w:sz w:val="24"/>
          <w:szCs w:val="24"/>
          <w:lang w:val="es-MX" w:eastAsia="ja-JP"/>
        </w:rPr>
        <w:t xml:space="preserve"> </w:t>
      </w:r>
      <w:r w:rsidR="00781869" w:rsidRPr="00703DAC">
        <w:rPr>
          <w:sz w:val="24"/>
          <w:szCs w:val="24"/>
          <w:lang w:val="es-MX" w:eastAsia="ja-JP"/>
        </w:rPr>
        <w:t xml:space="preserve">que </w:t>
      </w:r>
      <w:r w:rsidR="0086059B">
        <w:rPr>
          <w:sz w:val="24"/>
          <w:szCs w:val="24"/>
          <w:lang w:val="es-MX" w:eastAsia="ja-JP"/>
        </w:rPr>
        <w:t xml:space="preserve">encontraba probado que </w:t>
      </w:r>
      <w:r w:rsidR="00781869" w:rsidRPr="00703DAC">
        <w:rPr>
          <w:sz w:val="24"/>
          <w:szCs w:val="24"/>
          <w:lang w:val="es-MX" w:eastAsia="ja-JP"/>
        </w:rPr>
        <w:t xml:space="preserve">la UGPP </w:t>
      </w:r>
      <w:r w:rsidR="0086059B">
        <w:rPr>
          <w:sz w:val="24"/>
          <w:szCs w:val="24"/>
          <w:lang w:val="es-MX" w:eastAsia="ja-JP"/>
        </w:rPr>
        <w:t xml:space="preserve">le había </w:t>
      </w:r>
      <w:r w:rsidR="00741C24">
        <w:rPr>
          <w:sz w:val="24"/>
          <w:szCs w:val="24"/>
          <w:lang w:val="es-MX" w:eastAsia="ja-JP"/>
        </w:rPr>
        <w:t xml:space="preserve">reconocido a </w:t>
      </w:r>
      <w:r w:rsidR="0086059B">
        <w:rPr>
          <w:sz w:val="24"/>
          <w:szCs w:val="24"/>
          <w:lang w:val="es-MX" w:eastAsia="ja-JP"/>
        </w:rPr>
        <w:t xml:space="preserve">Margarita Angulo </w:t>
      </w:r>
      <w:r w:rsidR="00741C24">
        <w:rPr>
          <w:sz w:val="24"/>
          <w:szCs w:val="24"/>
          <w:lang w:val="es-MX" w:eastAsia="ja-JP"/>
        </w:rPr>
        <w:t>un seguro por la muerte de Otoniel Orobio.</w:t>
      </w:r>
      <w:r w:rsidR="00416A7B">
        <w:rPr>
          <w:sz w:val="24"/>
          <w:szCs w:val="24"/>
          <w:lang w:val="es-MX" w:eastAsia="ja-JP"/>
        </w:rPr>
        <w:t xml:space="preserve"> Estas circunstancias restaban, a juicio del Tribunal, </w:t>
      </w:r>
      <w:r w:rsidR="004D55D4" w:rsidRPr="00703DAC">
        <w:rPr>
          <w:sz w:val="24"/>
          <w:szCs w:val="24"/>
          <w:lang w:val="es-MX" w:eastAsia="ja-JP"/>
        </w:rPr>
        <w:t xml:space="preserve">certeza </w:t>
      </w:r>
      <w:r w:rsidR="00416A7B">
        <w:rPr>
          <w:sz w:val="24"/>
          <w:szCs w:val="24"/>
          <w:lang w:val="es-MX" w:eastAsia="ja-JP"/>
        </w:rPr>
        <w:t xml:space="preserve">sobre </w:t>
      </w:r>
      <w:r w:rsidR="004D55D4" w:rsidRPr="00703DAC">
        <w:rPr>
          <w:sz w:val="24"/>
          <w:szCs w:val="24"/>
          <w:lang w:val="es-MX" w:eastAsia="ja-JP"/>
        </w:rPr>
        <w:t>el t</w:t>
      </w:r>
      <w:r w:rsidR="00416A7B">
        <w:rPr>
          <w:sz w:val="24"/>
          <w:szCs w:val="24"/>
          <w:lang w:val="es-MX" w:eastAsia="ja-JP"/>
        </w:rPr>
        <w:t>iempo</w:t>
      </w:r>
      <w:r w:rsidR="004D55D4" w:rsidRPr="00703DAC">
        <w:rPr>
          <w:sz w:val="24"/>
          <w:szCs w:val="24"/>
          <w:lang w:val="es-MX" w:eastAsia="ja-JP"/>
        </w:rPr>
        <w:t xml:space="preserve"> de </w:t>
      </w:r>
      <w:r w:rsidR="00F44240" w:rsidRPr="00703DAC">
        <w:rPr>
          <w:sz w:val="24"/>
          <w:szCs w:val="24"/>
          <w:lang w:val="es-MX" w:eastAsia="ja-JP"/>
        </w:rPr>
        <w:t>cohabitación</w:t>
      </w:r>
      <w:r w:rsidR="004D55D4" w:rsidRPr="00703DAC">
        <w:rPr>
          <w:sz w:val="24"/>
          <w:szCs w:val="24"/>
          <w:lang w:val="es-MX" w:eastAsia="ja-JP"/>
        </w:rPr>
        <w:t xml:space="preserve"> y </w:t>
      </w:r>
      <w:r w:rsidR="00F44240" w:rsidRPr="00703DAC">
        <w:rPr>
          <w:sz w:val="24"/>
          <w:szCs w:val="24"/>
          <w:lang w:val="es-MX" w:eastAsia="ja-JP"/>
        </w:rPr>
        <w:t>de</w:t>
      </w:r>
      <w:r w:rsidR="004D55D4" w:rsidRPr="00703DAC">
        <w:rPr>
          <w:sz w:val="24"/>
          <w:szCs w:val="24"/>
          <w:lang w:val="es-MX" w:eastAsia="ja-JP"/>
        </w:rPr>
        <w:t xml:space="preserve"> vida marital </w:t>
      </w:r>
      <w:r w:rsidR="00416A7B">
        <w:rPr>
          <w:sz w:val="24"/>
          <w:szCs w:val="24"/>
          <w:lang w:val="es-MX" w:eastAsia="ja-JP"/>
        </w:rPr>
        <w:t xml:space="preserve">entre </w:t>
      </w:r>
      <w:r w:rsidR="004D55D4" w:rsidRPr="00703DAC">
        <w:rPr>
          <w:sz w:val="24"/>
          <w:szCs w:val="24"/>
          <w:lang w:val="es-MX" w:eastAsia="ja-JP"/>
        </w:rPr>
        <w:t xml:space="preserve">la demandante y </w:t>
      </w:r>
      <w:r w:rsidR="00416A7B">
        <w:rPr>
          <w:sz w:val="24"/>
          <w:szCs w:val="24"/>
          <w:lang w:val="es-MX" w:eastAsia="ja-JP"/>
        </w:rPr>
        <w:t>aquel</w:t>
      </w:r>
      <w:r w:rsidR="004D43F5">
        <w:rPr>
          <w:sz w:val="24"/>
          <w:szCs w:val="24"/>
          <w:lang w:val="es-MX" w:eastAsia="ja-JP"/>
        </w:rPr>
        <w:t xml:space="preserve">, y que contradecían lo dicho por los testigos </w:t>
      </w:r>
      <w:r w:rsidR="0064439B" w:rsidRPr="00703DAC">
        <w:rPr>
          <w:sz w:val="24"/>
          <w:szCs w:val="24"/>
          <w:lang w:val="es-MX" w:eastAsia="ja-JP"/>
        </w:rPr>
        <w:t>Emiliana Tena, Zoila Olanda Márquez Guerrero, Guillermo González Arboleda y Paulino Ruiz Quiñones</w:t>
      </w:r>
      <w:r w:rsidR="0064439B">
        <w:rPr>
          <w:sz w:val="24"/>
          <w:szCs w:val="24"/>
          <w:lang w:val="es-MX" w:eastAsia="ja-JP"/>
        </w:rPr>
        <w:t xml:space="preserve">, </w:t>
      </w:r>
      <w:r w:rsidR="004D43F5">
        <w:rPr>
          <w:sz w:val="24"/>
          <w:szCs w:val="24"/>
          <w:lang w:val="es-MX" w:eastAsia="ja-JP"/>
        </w:rPr>
        <w:t xml:space="preserve">testigos que no por falta de tacha </w:t>
      </w:r>
      <w:r w:rsidR="0064439B">
        <w:rPr>
          <w:sz w:val="24"/>
          <w:szCs w:val="24"/>
          <w:lang w:val="es-MX" w:eastAsia="ja-JP"/>
        </w:rPr>
        <w:t xml:space="preserve">gozaban de eficacia per se. </w:t>
      </w:r>
    </w:p>
    <w:p w14:paraId="31EB0CEC" w14:textId="77777777" w:rsidR="00714E71" w:rsidRPr="00703DAC" w:rsidRDefault="00714E71" w:rsidP="00714E71">
      <w:pPr>
        <w:autoSpaceDE w:val="0"/>
        <w:autoSpaceDN w:val="0"/>
        <w:adjustRightInd w:val="0"/>
        <w:rPr>
          <w:sz w:val="24"/>
          <w:szCs w:val="24"/>
          <w:lang w:val="es-MX" w:eastAsia="ja-JP"/>
        </w:rPr>
      </w:pPr>
    </w:p>
    <w:p w14:paraId="49CB7566" w14:textId="6C86FD3C" w:rsidR="00714E71" w:rsidRPr="00703DAC" w:rsidRDefault="004D43F5" w:rsidP="00CC4EAF">
      <w:pPr>
        <w:autoSpaceDE w:val="0"/>
        <w:autoSpaceDN w:val="0"/>
        <w:adjustRightInd w:val="0"/>
        <w:rPr>
          <w:sz w:val="24"/>
          <w:szCs w:val="24"/>
          <w:lang w:val="es-MX" w:eastAsia="ja-JP"/>
        </w:rPr>
      </w:pPr>
      <w:r>
        <w:rPr>
          <w:sz w:val="24"/>
          <w:szCs w:val="24"/>
          <w:lang w:val="es-MX" w:eastAsia="ja-JP"/>
        </w:rPr>
        <w:t xml:space="preserve">Observa la Sala que la impugnante insiste en reclamar la validez y eficacia de tales testimonios, circunstancia que </w:t>
      </w:r>
      <w:r w:rsidR="00475103">
        <w:rPr>
          <w:sz w:val="24"/>
          <w:szCs w:val="24"/>
          <w:lang w:val="es-MX" w:eastAsia="ja-JP"/>
        </w:rPr>
        <w:t xml:space="preserve">viene insuficiente para controvertir los argumentos que expuso el Tribunal para dar sustento a su decisión. En tales condiciones, </w:t>
      </w:r>
      <w:r w:rsidR="00CC4EAF" w:rsidRPr="00703DAC">
        <w:rPr>
          <w:sz w:val="24"/>
          <w:szCs w:val="24"/>
          <w:lang w:val="es-MX" w:eastAsia="ja-JP"/>
        </w:rPr>
        <w:t>lejos de demostrar la vulneració</w:t>
      </w:r>
      <w:r w:rsidR="00AB5365" w:rsidRPr="00703DAC">
        <w:rPr>
          <w:sz w:val="24"/>
          <w:szCs w:val="24"/>
          <w:lang w:val="es-MX" w:eastAsia="ja-JP"/>
        </w:rPr>
        <w:t>n de derechos fundamentales</w:t>
      </w:r>
      <w:r w:rsidR="00475103">
        <w:rPr>
          <w:sz w:val="24"/>
          <w:szCs w:val="24"/>
          <w:lang w:val="es-MX" w:eastAsia="ja-JP"/>
        </w:rPr>
        <w:t xml:space="preserve"> por defecto fáctico de la sentencia</w:t>
      </w:r>
      <w:r w:rsidR="00AB5365" w:rsidRPr="00703DAC">
        <w:rPr>
          <w:sz w:val="24"/>
          <w:szCs w:val="24"/>
          <w:lang w:val="es-MX" w:eastAsia="ja-JP"/>
        </w:rPr>
        <w:t>, la accionante planteó</w:t>
      </w:r>
      <w:r w:rsidR="00CC4EAF" w:rsidRPr="00703DAC">
        <w:rPr>
          <w:sz w:val="24"/>
          <w:szCs w:val="24"/>
          <w:lang w:val="es-MX" w:eastAsia="ja-JP"/>
        </w:rPr>
        <w:t xml:space="preserve"> al juez constitucional sus inconformidades</w:t>
      </w:r>
      <w:r w:rsidR="00475103">
        <w:rPr>
          <w:sz w:val="24"/>
          <w:szCs w:val="24"/>
          <w:lang w:val="es-MX" w:eastAsia="ja-JP"/>
        </w:rPr>
        <w:t xml:space="preserve"> frente a ella</w:t>
      </w:r>
      <w:r w:rsidR="00CC4EAF" w:rsidRPr="00703DAC">
        <w:rPr>
          <w:sz w:val="24"/>
          <w:szCs w:val="24"/>
          <w:lang w:val="es-MX" w:eastAsia="ja-JP"/>
        </w:rPr>
        <w:t>, como si la acción de tutela se tratara de una tercera instancia judicial</w:t>
      </w:r>
      <w:r w:rsidR="00475103">
        <w:rPr>
          <w:sz w:val="24"/>
          <w:szCs w:val="24"/>
          <w:lang w:val="es-MX" w:eastAsia="ja-JP"/>
        </w:rPr>
        <w:t>.</w:t>
      </w:r>
    </w:p>
    <w:p w14:paraId="05D1A8FC" w14:textId="77777777" w:rsidR="00781869" w:rsidRPr="00703DAC" w:rsidRDefault="00781869" w:rsidP="00C55060">
      <w:pPr>
        <w:autoSpaceDE w:val="0"/>
        <w:autoSpaceDN w:val="0"/>
        <w:adjustRightInd w:val="0"/>
        <w:rPr>
          <w:sz w:val="24"/>
          <w:szCs w:val="24"/>
          <w:lang w:val="es-MX" w:eastAsia="ja-JP"/>
        </w:rPr>
      </w:pPr>
    </w:p>
    <w:p w14:paraId="3080EF7F" w14:textId="6039D9A7" w:rsidR="00475103" w:rsidRDefault="001B60B5" w:rsidP="00C55060">
      <w:pPr>
        <w:autoSpaceDE w:val="0"/>
        <w:autoSpaceDN w:val="0"/>
        <w:adjustRightInd w:val="0"/>
        <w:rPr>
          <w:sz w:val="24"/>
          <w:szCs w:val="24"/>
          <w:lang w:val="es-MX" w:eastAsia="ja-JP"/>
        </w:rPr>
      </w:pPr>
      <w:r w:rsidRPr="00703DAC">
        <w:rPr>
          <w:b/>
          <w:sz w:val="24"/>
          <w:szCs w:val="24"/>
          <w:lang w:val="es-MX" w:eastAsia="ja-JP"/>
        </w:rPr>
        <w:t xml:space="preserve">2.3.3. </w:t>
      </w:r>
      <w:r w:rsidR="00826D5A" w:rsidRPr="00703DAC">
        <w:rPr>
          <w:sz w:val="24"/>
          <w:szCs w:val="24"/>
          <w:lang w:val="es-MX" w:eastAsia="ja-JP"/>
        </w:rPr>
        <w:t>De otra parte</w:t>
      </w:r>
      <w:r w:rsidR="00695217" w:rsidRPr="00703DAC">
        <w:rPr>
          <w:sz w:val="24"/>
          <w:szCs w:val="24"/>
          <w:lang w:val="es-MX" w:eastAsia="ja-JP"/>
        </w:rPr>
        <w:t xml:space="preserve">, la tutelante </w:t>
      </w:r>
      <w:r w:rsidR="00475103">
        <w:rPr>
          <w:sz w:val="24"/>
          <w:szCs w:val="24"/>
          <w:lang w:val="es-MX" w:eastAsia="ja-JP"/>
        </w:rPr>
        <w:t>protest</w:t>
      </w:r>
      <w:r w:rsidR="00695217" w:rsidRPr="00703DAC">
        <w:rPr>
          <w:sz w:val="24"/>
          <w:szCs w:val="24"/>
          <w:lang w:val="es-MX" w:eastAsia="ja-JP"/>
        </w:rPr>
        <w:t xml:space="preserve">ó la configuración de un defecto sustantivo </w:t>
      </w:r>
      <w:r w:rsidR="00475103">
        <w:rPr>
          <w:sz w:val="24"/>
          <w:szCs w:val="24"/>
          <w:lang w:val="es-MX" w:eastAsia="ja-JP"/>
        </w:rPr>
        <w:t xml:space="preserve">en la sentencia del Tribunal, </w:t>
      </w:r>
      <w:r w:rsidR="00695217" w:rsidRPr="00703DAC">
        <w:rPr>
          <w:sz w:val="24"/>
          <w:szCs w:val="24"/>
          <w:lang w:val="es-MX" w:eastAsia="ja-JP"/>
        </w:rPr>
        <w:t xml:space="preserve">por </w:t>
      </w:r>
      <w:r w:rsidR="00826D5A" w:rsidRPr="00703DAC">
        <w:rPr>
          <w:sz w:val="24"/>
          <w:szCs w:val="24"/>
          <w:lang w:val="es-MX" w:eastAsia="ja-JP"/>
        </w:rPr>
        <w:t xml:space="preserve">desconocimiento del precedente, </w:t>
      </w:r>
      <w:r w:rsidR="00475103">
        <w:rPr>
          <w:sz w:val="24"/>
          <w:szCs w:val="24"/>
          <w:lang w:val="es-MX" w:eastAsia="ja-JP"/>
        </w:rPr>
        <w:t xml:space="preserve">pues a su juicio, </w:t>
      </w:r>
      <w:r w:rsidR="00A558CB" w:rsidRPr="00703DAC">
        <w:rPr>
          <w:sz w:val="24"/>
          <w:szCs w:val="24"/>
          <w:lang w:val="es-MX" w:eastAsia="ja-JP"/>
        </w:rPr>
        <w:t xml:space="preserve">la norma que rige </w:t>
      </w:r>
      <w:r w:rsidR="00826D5A" w:rsidRPr="00703DAC">
        <w:rPr>
          <w:sz w:val="24"/>
          <w:szCs w:val="24"/>
          <w:lang w:val="es-MX" w:eastAsia="ja-JP"/>
        </w:rPr>
        <w:t xml:space="preserve">la sustitución pensional </w:t>
      </w:r>
      <w:r w:rsidR="00475103">
        <w:rPr>
          <w:sz w:val="24"/>
          <w:szCs w:val="24"/>
          <w:lang w:val="es-MX" w:eastAsia="ja-JP"/>
        </w:rPr>
        <w:t>prescribe,</w:t>
      </w:r>
      <w:r w:rsidR="00826D5A" w:rsidRPr="00703DAC">
        <w:rPr>
          <w:sz w:val="24"/>
          <w:szCs w:val="24"/>
          <w:lang w:val="es-MX" w:eastAsia="ja-JP"/>
        </w:rPr>
        <w:t xml:space="preserve"> como requisito principal </w:t>
      </w:r>
      <w:r w:rsidR="00475103">
        <w:rPr>
          <w:sz w:val="24"/>
          <w:szCs w:val="24"/>
          <w:lang w:val="es-MX" w:eastAsia="ja-JP"/>
        </w:rPr>
        <w:t xml:space="preserve">para que esta proceda, </w:t>
      </w:r>
      <w:r w:rsidR="00826D5A" w:rsidRPr="00703DAC">
        <w:rPr>
          <w:sz w:val="24"/>
          <w:szCs w:val="24"/>
          <w:lang w:val="es-MX" w:eastAsia="ja-JP"/>
        </w:rPr>
        <w:t xml:space="preserve">que el causante </w:t>
      </w:r>
      <w:r w:rsidR="00475103">
        <w:rPr>
          <w:sz w:val="24"/>
          <w:szCs w:val="24"/>
          <w:lang w:val="es-MX" w:eastAsia="ja-JP"/>
        </w:rPr>
        <w:t>haya trabajado un determinado tiempo al servicio del Estado, requisitos que ella encuentra plenamente satisfecho</w:t>
      </w:r>
      <w:r w:rsidR="00C53C69">
        <w:rPr>
          <w:sz w:val="24"/>
          <w:szCs w:val="24"/>
          <w:lang w:val="es-MX" w:eastAsia="ja-JP"/>
        </w:rPr>
        <w:t>s</w:t>
      </w:r>
      <w:r w:rsidR="00475103">
        <w:rPr>
          <w:sz w:val="24"/>
          <w:szCs w:val="24"/>
          <w:lang w:val="es-MX" w:eastAsia="ja-JP"/>
        </w:rPr>
        <w:t xml:space="preserve"> </w:t>
      </w:r>
      <w:r w:rsidR="006F52FC" w:rsidRPr="00703DAC">
        <w:rPr>
          <w:sz w:val="24"/>
          <w:szCs w:val="24"/>
          <w:lang w:val="es-MX" w:eastAsia="ja-JP"/>
        </w:rPr>
        <w:t xml:space="preserve">en el </w:t>
      </w:r>
      <w:r w:rsidR="006F52FC" w:rsidRPr="00703DAC">
        <w:rPr>
          <w:i/>
          <w:sz w:val="24"/>
          <w:szCs w:val="24"/>
          <w:lang w:val="es-MX" w:eastAsia="ja-JP"/>
        </w:rPr>
        <w:t>sub lite</w:t>
      </w:r>
      <w:r w:rsidR="00826D5A" w:rsidRPr="00703DAC">
        <w:rPr>
          <w:sz w:val="24"/>
          <w:szCs w:val="24"/>
          <w:lang w:val="es-MX" w:eastAsia="ja-JP"/>
        </w:rPr>
        <w:t>.</w:t>
      </w:r>
      <w:r w:rsidR="004D6555" w:rsidRPr="00703DAC">
        <w:rPr>
          <w:sz w:val="24"/>
          <w:szCs w:val="24"/>
          <w:lang w:val="es-MX" w:eastAsia="ja-JP"/>
        </w:rPr>
        <w:t xml:space="preserve"> </w:t>
      </w:r>
    </w:p>
    <w:p w14:paraId="39513EF7" w14:textId="77777777" w:rsidR="00475103" w:rsidRDefault="00475103" w:rsidP="00C55060">
      <w:pPr>
        <w:autoSpaceDE w:val="0"/>
        <w:autoSpaceDN w:val="0"/>
        <w:adjustRightInd w:val="0"/>
        <w:rPr>
          <w:sz w:val="24"/>
          <w:szCs w:val="24"/>
          <w:lang w:val="es-MX" w:eastAsia="ja-JP"/>
        </w:rPr>
      </w:pPr>
    </w:p>
    <w:p w14:paraId="084023F5" w14:textId="57E29867" w:rsidR="00171E2D" w:rsidRPr="00703DAC" w:rsidRDefault="00475103" w:rsidP="00C55060">
      <w:pPr>
        <w:autoSpaceDE w:val="0"/>
        <w:autoSpaceDN w:val="0"/>
        <w:adjustRightInd w:val="0"/>
        <w:rPr>
          <w:sz w:val="24"/>
          <w:szCs w:val="24"/>
          <w:lang w:val="es-MX" w:eastAsia="ja-JP"/>
        </w:rPr>
      </w:pPr>
      <w:r>
        <w:rPr>
          <w:sz w:val="24"/>
          <w:szCs w:val="24"/>
          <w:lang w:val="es-MX" w:eastAsia="ja-JP"/>
        </w:rPr>
        <w:t xml:space="preserve">Así expuesto su </w:t>
      </w:r>
      <w:r w:rsidR="00826D5A" w:rsidRPr="00703DAC">
        <w:rPr>
          <w:sz w:val="24"/>
          <w:szCs w:val="24"/>
          <w:lang w:val="es-MX" w:eastAsia="ja-JP"/>
        </w:rPr>
        <w:t>reproche</w:t>
      </w:r>
      <w:r>
        <w:rPr>
          <w:sz w:val="24"/>
          <w:szCs w:val="24"/>
          <w:lang w:val="es-MX" w:eastAsia="ja-JP"/>
        </w:rPr>
        <w:t xml:space="preserve"> por este motivo, la Sala debe denotar su insuficiencia en orden a la satisfacción del </w:t>
      </w:r>
      <w:r w:rsidR="00826D5A" w:rsidRPr="00703DAC">
        <w:rPr>
          <w:sz w:val="24"/>
          <w:szCs w:val="24"/>
          <w:lang w:val="es-MX" w:eastAsia="ja-JP"/>
        </w:rPr>
        <w:t xml:space="preserve">requisito general de relevancia </w:t>
      </w:r>
      <w:r w:rsidR="00826D5A" w:rsidRPr="008A0F13">
        <w:rPr>
          <w:sz w:val="24"/>
          <w:szCs w:val="24"/>
          <w:lang w:val="es-MX" w:eastAsia="ja-JP"/>
        </w:rPr>
        <w:t>constitucional</w:t>
      </w:r>
      <w:r w:rsidR="00023E74" w:rsidRPr="00703DAC">
        <w:rPr>
          <w:rStyle w:val="Refdenotaalpie"/>
          <w:sz w:val="24"/>
          <w:szCs w:val="24"/>
        </w:rPr>
        <w:footnoteReference w:id="23"/>
      </w:r>
      <w:r w:rsidR="00826D5A" w:rsidRPr="00703DAC">
        <w:rPr>
          <w:sz w:val="24"/>
          <w:szCs w:val="24"/>
          <w:lang w:val="es-MX" w:eastAsia="ja-JP"/>
        </w:rPr>
        <w:t xml:space="preserve">, en la medida en que la interesada </w:t>
      </w:r>
      <w:r w:rsidR="004D6555" w:rsidRPr="00703DAC">
        <w:rPr>
          <w:sz w:val="24"/>
          <w:szCs w:val="24"/>
          <w:lang w:val="es-MX" w:eastAsia="ja-JP"/>
        </w:rPr>
        <w:t xml:space="preserve">no expuso </w:t>
      </w:r>
      <w:r w:rsidR="00171E2D" w:rsidRPr="00703DAC">
        <w:rPr>
          <w:sz w:val="24"/>
          <w:szCs w:val="24"/>
          <w:lang w:val="es-MX" w:eastAsia="ja-JP"/>
        </w:rPr>
        <w:t xml:space="preserve">una regla jurisprudencial </w:t>
      </w:r>
      <w:r w:rsidR="00023E74" w:rsidRPr="00703DAC">
        <w:rPr>
          <w:sz w:val="24"/>
          <w:szCs w:val="24"/>
          <w:lang w:val="es-MX" w:eastAsia="ja-JP"/>
        </w:rPr>
        <w:t>o</w:t>
      </w:r>
      <w:r w:rsidR="00A558CB" w:rsidRPr="00703DAC">
        <w:rPr>
          <w:sz w:val="24"/>
          <w:szCs w:val="24"/>
          <w:lang w:val="es-MX" w:eastAsia="ja-JP"/>
        </w:rPr>
        <w:t xml:space="preserve"> </w:t>
      </w:r>
      <w:r w:rsidR="00171E2D" w:rsidRPr="00703DAC">
        <w:rPr>
          <w:sz w:val="24"/>
          <w:szCs w:val="24"/>
          <w:lang w:val="es-MX" w:eastAsia="ja-JP"/>
        </w:rPr>
        <w:t xml:space="preserve">alguna </w:t>
      </w:r>
      <w:r w:rsidR="00A558CB" w:rsidRPr="00703DAC">
        <w:rPr>
          <w:sz w:val="24"/>
          <w:szCs w:val="24"/>
          <w:lang w:val="es-MX" w:eastAsia="ja-JP"/>
        </w:rPr>
        <w:t>providencia judicial en concreto</w:t>
      </w:r>
      <w:r w:rsidR="00023E74" w:rsidRPr="00703DAC">
        <w:rPr>
          <w:sz w:val="24"/>
          <w:szCs w:val="24"/>
          <w:lang w:val="es-MX" w:eastAsia="ja-JP"/>
        </w:rPr>
        <w:t xml:space="preserve"> que hubiera sido desconocida, </w:t>
      </w:r>
      <w:r>
        <w:rPr>
          <w:sz w:val="24"/>
          <w:szCs w:val="24"/>
          <w:lang w:val="es-MX" w:eastAsia="ja-JP"/>
        </w:rPr>
        <w:t xml:space="preserve">y en su lugar, se limitó a presentar </w:t>
      </w:r>
      <w:r w:rsidR="00023E74" w:rsidRPr="00703DAC">
        <w:rPr>
          <w:sz w:val="24"/>
          <w:szCs w:val="24"/>
          <w:lang w:val="es-MX" w:eastAsia="ja-JP"/>
        </w:rPr>
        <w:t>argumentos de legalidad que no le compete resolver al juez</w:t>
      </w:r>
      <w:r w:rsidR="008A0F13">
        <w:rPr>
          <w:sz w:val="24"/>
          <w:szCs w:val="24"/>
          <w:lang w:val="es-MX" w:eastAsia="ja-JP"/>
        </w:rPr>
        <w:t xml:space="preserve"> de tutela</w:t>
      </w:r>
      <w:r w:rsidR="00023E74" w:rsidRPr="00703DAC">
        <w:rPr>
          <w:sz w:val="24"/>
          <w:szCs w:val="24"/>
          <w:lang w:val="es-MX" w:eastAsia="ja-JP"/>
        </w:rPr>
        <w:t>.</w:t>
      </w:r>
    </w:p>
    <w:p w14:paraId="7E5DC8DA" w14:textId="77777777" w:rsidR="00433E19" w:rsidRPr="00703DAC" w:rsidRDefault="00433E19" w:rsidP="00C55060">
      <w:pPr>
        <w:autoSpaceDE w:val="0"/>
        <w:autoSpaceDN w:val="0"/>
        <w:adjustRightInd w:val="0"/>
        <w:rPr>
          <w:sz w:val="24"/>
          <w:szCs w:val="24"/>
          <w:lang w:val="es-MX" w:eastAsia="ja-JP"/>
        </w:rPr>
      </w:pPr>
    </w:p>
    <w:p w14:paraId="3721B186" w14:textId="23F8F591" w:rsidR="00826D5A" w:rsidRPr="00703DAC" w:rsidRDefault="001B60B5" w:rsidP="00C55060">
      <w:pPr>
        <w:autoSpaceDE w:val="0"/>
        <w:autoSpaceDN w:val="0"/>
        <w:adjustRightInd w:val="0"/>
        <w:rPr>
          <w:sz w:val="24"/>
          <w:szCs w:val="24"/>
          <w:lang w:val="es-MX" w:eastAsia="ja-JP"/>
        </w:rPr>
      </w:pPr>
      <w:r w:rsidRPr="00703DAC">
        <w:rPr>
          <w:b/>
          <w:sz w:val="24"/>
          <w:szCs w:val="24"/>
          <w:lang w:val="es-MX" w:eastAsia="ja-JP"/>
        </w:rPr>
        <w:t xml:space="preserve">2.3.4. </w:t>
      </w:r>
      <w:r w:rsidR="00826D5A" w:rsidRPr="00703DAC">
        <w:rPr>
          <w:sz w:val="24"/>
          <w:szCs w:val="24"/>
          <w:lang w:val="es-MX" w:eastAsia="ja-JP"/>
        </w:rPr>
        <w:t xml:space="preserve">Por último, a pesar de que la señora Cortés </w:t>
      </w:r>
      <w:r w:rsidR="009F2E2B" w:rsidRPr="00703DAC">
        <w:rPr>
          <w:sz w:val="24"/>
          <w:szCs w:val="24"/>
          <w:lang w:val="es-MX" w:eastAsia="ja-JP"/>
        </w:rPr>
        <w:t>manifestó</w:t>
      </w:r>
      <w:r w:rsidR="00826D5A" w:rsidRPr="00703DAC">
        <w:rPr>
          <w:sz w:val="24"/>
          <w:szCs w:val="24"/>
          <w:lang w:val="es-MX" w:eastAsia="ja-JP"/>
        </w:rPr>
        <w:t xml:space="preserve"> la configuración de un perjuicio irremediable, la Sala no encontró elementos materiales probatorios que pudieran</w:t>
      </w:r>
      <w:r w:rsidR="009F2E2B" w:rsidRPr="00703DAC">
        <w:rPr>
          <w:sz w:val="24"/>
          <w:szCs w:val="24"/>
          <w:lang w:val="es-MX" w:eastAsia="ja-JP"/>
        </w:rPr>
        <w:t xml:space="preserve"> dar certeza de </w:t>
      </w:r>
      <w:r w:rsidR="00826D5A" w:rsidRPr="00703DAC">
        <w:rPr>
          <w:sz w:val="24"/>
          <w:szCs w:val="24"/>
          <w:lang w:val="es-MX" w:eastAsia="ja-JP"/>
        </w:rPr>
        <w:t xml:space="preserve">ello. </w:t>
      </w:r>
    </w:p>
    <w:p w14:paraId="5C6752C5" w14:textId="77777777" w:rsidR="008A0F13" w:rsidRDefault="008A0F13" w:rsidP="00012249">
      <w:pPr>
        <w:overflowPunct w:val="0"/>
        <w:autoSpaceDE w:val="0"/>
        <w:autoSpaceDN w:val="0"/>
        <w:adjustRightInd w:val="0"/>
        <w:contextualSpacing/>
        <w:rPr>
          <w:b/>
          <w:sz w:val="24"/>
          <w:szCs w:val="24"/>
          <w:lang w:val="es-ES_tradnl" w:eastAsia="es-ES"/>
        </w:rPr>
      </w:pPr>
    </w:p>
    <w:p w14:paraId="4163FCF7" w14:textId="20F179DE" w:rsidR="00012249" w:rsidRPr="00703DAC" w:rsidRDefault="001B60B5" w:rsidP="00012249">
      <w:pPr>
        <w:overflowPunct w:val="0"/>
        <w:autoSpaceDE w:val="0"/>
        <w:autoSpaceDN w:val="0"/>
        <w:adjustRightInd w:val="0"/>
        <w:contextualSpacing/>
        <w:rPr>
          <w:sz w:val="24"/>
          <w:szCs w:val="24"/>
          <w:lang w:val="es-ES_tradnl" w:eastAsia="es-ES"/>
        </w:rPr>
      </w:pPr>
      <w:r w:rsidRPr="00703DAC">
        <w:rPr>
          <w:b/>
          <w:sz w:val="24"/>
          <w:szCs w:val="24"/>
          <w:lang w:val="es-ES_tradnl" w:eastAsia="es-ES"/>
        </w:rPr>
        <w:t xml:space="preserve">2.4. </w:t>
      </w:r>
      <w:r w:rsidR="00826D5A" w:rsidRPr="00703DAC">
        <w:rPr>
          <w:sz w:val="24"/>
          <w:szCs w:val="24"/>
          <w:lang w:val="es-ES_tradnl" w:eastAsia="es-ES"/>
        </w:rPr>
        <w:t xml:space="preserve">En conclusión, </w:t>
      </w:r>
      <w:r w:rsidR="00012249" w:rsidRPr="00703DAC">
        <w:rPr>
          <w:sz w:val="24"/>
          <w:szCs w:val="24"/>
          <w:lang w:val="es-ES_tradnl" w:eastAsia="es-ES"/>
        </w:rPr>
        <w:t xml:space="preserve">la Sala declarará la improcedencia de la acción de tutela interpuesta por </w:t>
      </w:r>
      <w:r w:rsidR="00826D5A" w:rsidRPr="00703DAC">
        <w:rPr>
          <w:sz w:val="24"/>
          <w:szCs w:val="24"/>
          <w:lang w:val="es-ES_tradnl" w:eastAsia="es-ES"/>
        </w:rPr>
        <w:t xml:space="preserve">Purificación Cortés Cortés </w:t>
      </w:r>
      <w:r w:rsidR="00012249" w:rsidRPr="00703DAC">
        <w:rPr>
          <w:sz w:val="24"/>
          <w:szCs w:val="24"/>
          <w:lang w:val="es-ES_tradnl" w:eastAsia="es-ES"/>
        </w:rPr>
        <w:t xml:space="preserve">en contra </w:t>
      </w:r>
      <w:r w:rsidR="00826D5A" w:rsidRPr="00703DAC">
        <w:rPr>
          <w:sz w:val="24"/>
          <w:szCs w:val="24"/>
          <w:lang w:val="es-ES_tradnl" w:eastAsia="es-ES"/>
        </w:rPr>
        <w:t xml:space="preserve">del </w:t>
      </w:r>
      <w:r w:rsidR="00012249" w:rsidRPr="00703DAC">
        <w:rPr>
          <w:sz w:val="24"/>
          <w:szCs w:val="24"/>
          <w:lang w:val="es-ES_tradnl" w:eastAsia="es-ES"/>
        </w:rPr>
        <w:t>Tri</w:t>
      </w:r>
      <w:r w:rsidR="006F52FC" w:rsidRPr="00703DAC">
        <w:rPr>
          <w:sz w:val="24"/>
          <w:szCs w:val="24"/>
          <w:lang w:val="es-ES_tradnl" w:eastAsia="es-ES"/>
        </w:rPr>
        <w:t>bunal Administrativo de Nariño</w:t>
      </w:r>
      <w:r w:rsidR="00DA6643" w:rsidRPr="00703DAC">
        <w:rPr>
          <w:sz w:val="24"/>
          <w:szCs w:val="24"/>
          <w:lang w:val="es-ES_tradnl" w:eastAsia="es-ES"/>
        </w:rPr>
        <w:t>, por las razones expuestas en esta providencia.</w:t>
      </w:r>
    </w:p>
    <w:p w14:paraId="6EEF47EE" w14:textId="77777777" w:rsidR="00433E19" w:rsidRPr="00703DAC" w:rsidRDefault="00433E19" w:rsidP="00012249">
      <w:pPr>
        <w:overflowPunct w:val="0"/>
        <w:autoSpaceDE w:val="0"/>
        <w:autoSpaceDN w:val="0"/>
        <w:adjustRightInd w:val="0"/>
        <w:contextualSpacing/>
        <w:rPr>
          <w:sz w:val="24"/>
          <w:szCs w:val="24"/>
          <w:lang w:val="es-ES_tradnl" w:eastAsia="es-ES"/>
        </w:rPr>
      </w:pPr>
    </w:p>
    <w:p w14:paraId="0F3BFBFB" w14:textId="77777777" w:rsidR="00012249" w:rsidRPr="00703DAC" w:rsidRDefault="00012249" w:rsidP="00012249">
      <w:pPr>
        <w:rPr>
          <w:sz w:val="24"/>
          <w:szCs w:val="24"/>
          <w:lang w:eastAsia="es-CO"/>
        </w:rPr>
      </w:pPr>
      <w:r w:rsidRPr="00703DAC">
        <w:rPr>
          <w:sz w:val="24"/>
          <w:szCs w:val="24"/>
          <w:lang w:eastAsia="es-CO"/>
        </w:rPr>
        <w:t>En mérito de lo expuesto, el Consejo de Estado en Sala de lo Contencioso Administrativo, Sección Tercera, Subsección C administrando justicia en nombre de la República y por autoridad de la ley,</w:t>
      </w:r>
    </w:p>
    <w:p w14:paraId="0B3E941E" w14:textId="77777777" w:rsidR="00012249" w:rsidRPr="00703DAC" w:rsidRDefault="00012249" w:rsidP="00012249">
      <w:pPr>
        <w:tabs>
          <w:tab w:val="left" w:pos="5169"/>
        </w:tabs>
        <w:rPr>
          <w:rFonts w:eastAsia="Verdana"/>
          <w:sz w:val="24"/>
          <w:szCs w:val="24"/>
        </w:rPr>
      </w:pPr>
    </w:p>
    <w:p w14:paraId="7AC504C2" w14:textId="77777777" w:rsidR="00012249" w:rsidRPr="00703DAC" w:rsidRDefault="00012249" w:rsidP="00012249">
      <w:pPr>
        <w:tabs>
          <w:tab w:val="left" w:pos="851"/>
        </w:tabs>
        <w:jc w:val="center"/>
        <w:rPr>
          <w:rFonts w:eastAsia="Verdana"/>
          <w:sz w:val="24"/>
          <w:szCs w:val="24"/>
        </w:rPr>
      </w:pPr>
      <w:r w:rsidRPr="00703DAC">
        <w:rPr>
          <w:rFonts w:eastAsia="Verdana"/>
          <w:b/>
          <w:sz w:val="24"/>
          <w:szCs w:val="24"/>
        </w:rPr>
        <w:t>FALLA</w:t>
      </w:r>
    </w:p>
    <w:p w14:paraId="735479B7" w14:textId="77777777" w:rsidR="00012249" w:rsidRPr="00703DAC" w:rsidRDefault="00012249" w:rsidP="00012249">
      <w:pPr>
        <w:tabs>
          <w:tab w:val="left" w:pos="709"/>
          <w:tab w:val="left" w:pos="9000"/>
        </w:tabs>
        <w:outlineLvl w:val="6"/>
        <w:rPr>
          <w:sz w:val="24"/>
          <w:szCs w:val="24"/>
        </w:rPr>
      </w:pPr>
    </w:p>
    <w:p w14:paraId="0ACE4969" w14:textId="2EB81E49" w:rsidR="00012249" w:rsidRPr="00703DAC" w:rsidRDefault="00012249" w:rsidP="00012249">
      <w:pPr>
        <w:tabs>
          <w:tab w:val="left" w:pos="851"/>
        </w:tabs>
        <w:rPr>
          <w:rFonts w:eastAsia="Verdana"/>
          <w:sz w:val="24"/>
          <w:szCs w:val="24"/>
        </w:rPr>
      </w:pPr>
      <w:r w:rsidRPr="00703DAC">
        <w:rPr>
          <w:rFonts w:eastAsia="Verdana"/>
          <w:b/>
          <w:sz w:val="24"/>
          <w:szCs w:val="24"/>
        </w:rPr>
        <w:lastRenderedPageBreak/>
        <w:t xml:space="preserve">PRIMERO: DECLARAR IMPROCEDENTE </w:t>
      </w:r>
      <w:r w:rsidRPr="00703DAC">
        <w:rPr>
          <w:rFonts w:eastAsia="Verdana"/>
          <w:sz w:val="24"/>
          <w:szCs w:val="24"/>
        </w:rPr>
        <w:t xml:space="preserve">la acción de tutela </w:t>
      </w:r>
      <w:r w:rsidRPr="00703DAC">
        <w:rPr>
          <w:sz w:val="24"/>
          <w:szCs w:val="24"/>
          <w:lang w:val="es-ES_tradnl" w:eastAsia="es-ES"/>
        </w:rPr>
        <w:t xml:space="preserve">interpuesta por </w:t>
      </w:r>
      <w:r w:rsidR="006F52FC" w:rsidRPr="00703DAC">
        <w:rPr>
          <w:sz w:val="24"/>
          <w:szCs w:val="24"/>
          <w:lang w:val="es-ES_tradnl" w:eastAsia="es-ES"/>
        </w:rPr>
        <w:t xml:space="preserve">Purificación Cortés Cortés </w:t>
      </w:r>
      <w:r w:rsidRPr="00703DAC">
        <w:rPr>
          <w:sz w:val="24"/>
          <w:szCs w:val="24"/>
          <w:lang w:val="es-ES_tradnl" w:eastAsia="es-ES"/>
        </w:rPr>
        <w:t xml:space="preserve">en contra del </w:t>
      </w:r>
      <w:r w:rsidR="006F52FC" w:rsidRPr="00703DAC">
        <w:rPr>
          <w:sz w:val="24"/>
          <w:szCs w:val="24"/>
          <w:lang w:val="es-ES_tradnl" w:eastAsia="es-ES"/>
        </w:rPr>
        <w:t>Tribunal Administrativo de Nariño, por las razones expuestas en esta providencia</w:t>
      </w:r>
      <w:r w:rsidRPr="00703DAC">
        <w:rPr>
          <w:sz w:val="24"/>
          <w:szCs w:val="24"/>
          <w:lang w:val="es-ES_tradnl" w:eastAsia="es-ES"/>
        </w:rPr>
        <w:t>.</w:t>
      </w:r>
    </w:p>
    <w:p w14:paraId="26E2F239" w14:textId="77777777" w:rsidR="00012249" w:rsidRPr="00703DAC" w:rsidRDefault="00012249" w:rsidP="00012249">
      <w:pPr>
        <w:tabs>
          <w:tab w:val="left" w:pos="851"/>
        </w:tabs>
        <w:rPr>
          <w:rFonts w:eastAsia="Verdana"/>
          <w:sz w:val="24"/>
          <w:szCs w:val="24"/>
        </w:rPr>
      </w:pPr>
    </w:p>
    <w:p w14:paraId="6B734D92" w14:textId="18097494" w:rsidR="00012249" w:rsidRDefault="00012249" w:rsidP="00012249">
      <w:pPr>
        <w:tabs>
          <w:tab w:val="left" w:pos="851"/>
        </w:tabs>
        <w:rPr>
          <w:rFonts w:eastAsia="Verdana"/>
          <w:sz w:val="24"/>
          <w:szCs w:val="24"/>
        </w:rPr>
      </w:pPr>
      <w:r w:rsidRPr="00703DAC">
        <w:rPr>
          <w:rFonts w:eastAsia="Verdana"/>
          <w:b/>
          <w:sz w:val="24"/>
          <w:szCs w:val="24"/>
        </w:rPr>
        <w:t>SEGUNDO: NOTIFICAR</w:t>
      </w:r>
      <w:r w:rsidRPr="00703DAC">
        <w:rPr>
          <w:rFonts w:eastAsia="Verdana"/>
          <w:sz w:val="24"/>
          <w:szCs w:val="24"/>
        </w:rPr>
        <w:t xml:space="preserve"> a las partes e intervinientes en la forma prevista en el artículo 30 del Decreto Ley 2591 de 1991.</w:t>
      </w:r>
    </w:p>
    <w:p w14:paraId="3DCA1D38" w14:textId="77777777" w:rsidR="00475103" w:rsidRPr="00703DAC" w:rsidRDefault="00475103" w:rsidP="00012249">
      <w:pPr>
        <w:tabs>
          <w:tab w:val="left" w:pos="851"/>
        </w:tabs>
        <w:rPr>
          <w:rFonts w:eastAsia="Verdana"/>
          <w:sz w:val="24"/>
          <w:szCs w:val="24"/>
        </w:rPr>
      </w:pPr>
    </w:p>
    <w:p w14:paraId="113B344C" w14:textId="77777777" w:rsidR="00012249" w:rsidRPr="00703DAC" w:rsidRDefault="00012249" w:rsidP="00012249">
      <w:pPr>
        <w:tabs>
          <w:tab w:val="left" w:pos="851"/>
        </w:tabs>
        <w:rPr>
          <w:rFonts w:eastAsia="Verdana"/>
          <w:sz w:val="24"/>
          <w:szCs w:val="24"/>
        </w:rPr>
      </w:pPr>
      <w:r w:rsidRPr="00703DAC">
        <w:rPr>
          <w:rFonts w:eastAsia="Verdana"/>
          <w:b/>
          <w:sz w:val="24"/>
          <w:szCs w:val="24"/>
        </w:rPr>
        <w:t>TERCERO: REMITIR</w:t>
      </w:r>
      <w:r w:rsidRPr="00703DAC">
        <w:rPr>
          <w:rFonts w:eastAsia="Verdana"/>
          <w:sz w:val="24"/>
          <w:szCs w:val="24"/>
        </w:rPr>
        <w:t xml:space="preserve"> la presente providencia, si no fuere impugnada, a la Corte Constitucional para su eventual revisión.</w:t>
      </w:r>
      <w:r w:rsidRPr="00703DAC">
        <w:rPr>
          <w:rFonts w:eastAsia="Verdana"/>
          <w:b/>
          <w:sz w:val="24"/>
          <w:szCs w:val="24"/>
        </w:rPr>
        <w:t xml:space="preserve"> </w:t>
      </w:r>
    </w:p>
    <w:p w14:paraId="2751F192" w14:textId="77777777" w:rsidR="00012249" w:rsidRPr="00703DAC" w:rsidRDefault="00012249" w:rsidP="00012249">
      <w:pPr>
        <w:tabs>
          <w:tab w:val="left" w:pos="709"/>
          <w:tab w:val="left" w:pos="9000"/>
        </w:tabs>
        <w:outlineLvl w:val="6"/>
        <w:rPr>
          <w:rFonts w:eastAsia="Verdana"/>
          <w:sz w:val="24"/>
          <w:szCs w:val="24"/>
        </w:rPr>
      </w:pPr>
    </w:p>
    <w:p w14:paraId="0DAD3D18" w14:textId="77777777" w:rsidR="00012249" w:rsidRPr="00703DAC" w:rsidRDefault="00012249" w:rsidP="00012249">
      <w:pPr>
        <w:tabs>
          <w:tab w:val="left" w:pos="709"/>
          <w:tab w:val="left" w:pos="9000"/>
        </w:tabs>
        <w:outlineLvl w:val="6"/>
        <w:rPr>
          <w:rFonts w:eastAsia="Verdana"/>
          <w:b/>
          <w:sz w:val="24"/>
          <w:szCs w:val="24"/>
        </w:rPr>
      </w:pPr>
      <w:r w:rsidRPr="00703DAC">
        <w:rPr>
          <w:rFonts w:eastAsia="Verdana"/>
          <w:b/>
          <w:sz w:val="24"/>
          <w:szCs w:val="24"/>
        </w:rPr>
        <w:t>Notifíquese y cúmplase</w:t>
      </w:r>
    </w:p>
    <w:p w14:paraId="4A0D6708" w14:textId="77777777" w:rsidR="00012249" w:rsidRPr="00703DAC" w:rsidRDefault="00012249" w:rsidP="00012249">
      <w:pPr>
        <w:overflowPunct w:val="0"/>
        <w:autoSpaceDE w:val="0"/>
        <w:autoSpaceDN w:val="0"/>
        <w:adjustRightInd w:val="0"/>
        <w:jc w:val="center"/>
        <w:rPr>
          <w:sz w:val="24"/>
          <w:szCs w:val="24"/>
        </w:rPr>
      </w:pPr>
      <w:bookmarkStart w:id="4" w:name="_GoBack"/>
      <w:bookmarkEnd w:id="4"/>
    </w:p>
    <w:p w14:paraId="7F368946" w14:textId="77777777" w:rsidR="00012249" w:rsidRPr="00703DAC" w:rsidRDefault="00012249" w:rsidP="00012249">
      <w:pPr>
        <w:overflowPunct w:val="0"/>
        <w:autoSpaceDE w:val="0"/>
        <w:autoSpaceDN w:val="0"/>
        <w:adjustRightInd w:val="0"/>
        <w:jc w:val="center"/>
        <w:rPr>
          <w:sz w:val="24"/>
          <w:szCs w:val="24"/>
        </w:rPr>
      </w:pPr>
    </w:p>
    <w:p w14:paraId="6A3D4DCB" w14:textId="77777777" w:rsidR="00012249" w:rsidRPr="00703DAC" w:rsidRDefault="00012249" w:rsidP="00012249">
      <w:pPr>
        <w:overflowPunct w:val="0"/>
        <w:autoSpaceDE w:val="0"/>
        <w:autoSpaceDN w:val="0"/>
        <w:adjustRightInd w:val="0"/>
        <w:jc w:val="center"/>
        <w:rPr>
          <w:sz w:val="24"/>
          <w:szCs w:val="24"/>
        </w:rPr>
      </w:pPr>
    </w:p>
    <w:p w14:paraId="4CDE5F41" w14:textId="77777777" w:rsidR="00012249" w:rsidRPr="00703DAC" w:rsidRDefault="00012249" w:rsidP="00012249">
      <w:pPr>
        <w:overflowPunct w:val="0"/>
        <w:autoSpaceDE w:val="0"/>
        <w:autoSpaceDN w:val="0"/>
        <w:adjustRightInd w:val="0"/>
        <w:jc w:val="center"/>
        <w:rPr>
          <w:sz w:val="24"/>
          <w:szCs w:val="24"/>
        </w:rPr>
      </w:pPr>
    </w:p>
    <w:p w14:paraId="09F919C8" w14:textId="77777777" w:rsidR="00012249" w:rsidRPr="00703DAC" w:rsidRDefault="00012249" w:rsidP="00012249">
      <w:pPr>
        <w:overflowPunct w:val="0"/>
        <w:autoSpaceDE w:val="0"/>
        <w:autoSpaceDN w:val="0"/>
        <w:adjustRightInd w:val="0"/>
        <w:jc w:val="center"/>
        <w:rPr>
          <w:sz w:val="24"/>
          <w:szCs w:val="24"/>
        </w:rPr>
      </w:pPr>
    </w:p>
    <w:p w14:paraId="345EC6FA"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r w:rsidRPr="00703DAC">
        <w:rPr>
          <w:rFonts w:cs="Arial"/>
          <w:b/>
          <w:szCs w:val="24"/>
        </w:rPr>
        <w:t>GUILLERMO SÁNCHEZ LUQUE</w:t>
      </w:r>
    </w:p>
    <w:p w14:paraId="33043CF0" w14:textId="77777777" w:rsidR="00012249" w:rsidRDefault="00012249" w:rsidP="00012249">
      <w:pPr>
        <w:pStyle w:val="Textodecuerpo31"/>
        <w:widowControl w:val="0"/>
        <w:tabs>
          <w:tab w:val="left" w:pos="708"/>
        </w:tabs>
        <w:spacing w:line="240" w:lineRule="auto"/>
        <w:ind w:right="51"/>
        <w:jc w:val="center"/>
        <w:rPr>
          <w:rFonts w:cs="Arial"/>
          <w:b/>
          <w:szCs w:val="24"/>
        </w:rPr>
      </w:pPr>
      <w:r w:rsidRPr="00703DAC">
        <w:rPr>
          <w:rFonts w:cs="Arial"/>
          <w:b/>
          <w:szCs w:val="24"/>
        </w:rPr>
        <w:t>Presidente de Sala</w:t>
      </w:r>
    </w:p>
    <w:p w14:paraId="458F349A" w14:textId="5B8D8E0C" w:rsidR="008A0F13" w:rsidRPr="00703DAC" w:rsidRDefault="008A0F13" w:rsidP="00012249">
      <w:pPr>
        <w:pStyle w:val="Textodecuerpo31"/>
        <w:widowControl w:val="0"/>
        <w:tabs>
          <w:tab w:val="left" w:pos="708"/>
        </w:tabs>
        <w:spacing w:line="240" w:lineRule="auto"/>
        <w:ind w:right="51"/>
        <w:jc w:val="center"/>
        <w:rPr>
          <w:rFonts w:cs="Arial"/>
          <w:b/>
          <w:szCs w:val="24"/>
        </w:rPr>
      </w:pPr>
      <w:r w:rsidRPr="008A0F13">
        <w:rPr>
          <w:rFonts w:cs="Arial"/>
          <w:b/>
          <w:szCs w:val="24"/>
        </w:rPr>
        <w:t>Aclaración de voto Cfr. Rad. 11001-03-15-000-2019-01299-</w:t>
      </w:r>
      <w:r w:rsidRPr="008A0F13">
        <w:rPr>
          <w:rFonts w:cs="Arial"/>
          <w:b/>
          <w:szCs w:val="24"/>
        </w:rPr>
        <w:t>00</w:t>
      </w:r>
    </w:p>
    <w:p w14:paraId="44A28E0A"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p>
    <w:p w14:paraId="2B300115"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p>
    <w:p w14:paraId="6BA6483C"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p>
    <w:p w14:paraId="34FC109D"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p>
    <w:p w14:paraId="6940941D" w14:textId="77777777" w:rsidR="00EA44B2" w:rsidRPr="00703DAC" w:rsidRDefault="00EA44B2" w:rsidP="00012249">
      <w:pPr>
        <w:pStyle w:val="Textodecuerpo31"/>
        <w:widowControl w:val="0"/>
        <w:tabs>
          <w:tab w:val="left" w:pos="708"/>
        </w:tabs>
        <w:spacing w:line="240" w:lineRule="auto"/>
        <w:ind w:right="51"/>
        <w:jc w:val="center"/>
        <w:rPr>
          <w:rFonts w:cs="Arial"/>
          <w:b/>
          <w:szCs w:val="24"/>
        </w:rPr>
      </w:pPr>
    </w:p>
    <w:p w14:paraId="45163332"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r w:rsidRPr="00703DAC">
        <w:rPr>
          <w:rFonts w:cs="Arial"/>
          <w:b/>
          <w:szCs w:val="24"/>
        </w:rPr>
        <w:t>JAIME ENRIQUE RODRÍGUEZ NAVAS</w:t>
      </w:r>
    </w:p>
    <w:p w14:paraId="7FB6EF09"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r w:rsidRPr="00703DAC">
        <w:rPr>
          <w:rFonts w:cs="Arial"/>
          <w:b/>
          <w:szCs w:val="24"/>
        </w:rPr>
        <w:t>Magistrado</w:t>
      </w:r>
    </w:p>
    <w:p w14:paraId="34A8E643"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p>
    <w:p w14:paraId="4E966A03"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p>
    <w:p w14:paraId="7B6DCE7A"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p>
    <w:p w14:paraId="3E9712E9"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p>
    <w:p w14:paraId="6D7F0B47" w14:textId="77777777" w:rsidR="00EA44B2" w:rsidRPr="00703DAC" w:rsidRDefault="00EA44B2" w:rsidP="00012249">
      <w:pPr>
        <w:pStyle w:val="Textodecuerpo31"/>
        <w:widowControl w:val="0"/>
        <w:tabs>
          <w:tab w:val="left" w:pos="708"/>
        </w:tabs>
        <w:spacing w:line="240" w:lineRule="auto"/>
        <w:ind w:right="51"/>
        <w:jc w:val="center"/>
        <w:rPr>
          <w:rFonts w:cs="Arial"/>
          <w:b/>
          <w:szCs w:val="24"/>
        </w:rPr>
      </w:pPr>
    </w:p>
    <w:p w14:paraId="44BD4066" w14:textId="77777777" w:rsidR="00012249" w:rsidRPr="00703DAC" w:rsidRDefault="00012249" w:rsidP="00012249">
      <w:pPr>
        <w:pStyle w:val="Textodecuerpo31"/>
        <w:widowControl w:val="0"/>
        <w:tabs>
          <w:tab w:val="left" w:pos="708"/>
        </w:tabs>
        <w:spacing w:line="240" w:lineRule="auto"/>
        <w:ind w:right="51"/>
        <w:jc w:val="center"/>
        <w:rPr>
          <w:rFonts w:cs="Arial"/>
          <w:b/>
          <w:szCs w:val="24"/>
        </w:rPr>
      </w:pPr>
      <w:r w:rsidRPr="00703DAC">
        <w:rPr>
          <w:rFonts w:cs="Arial"/>
          <w:b/>
          <w:szCs w:val="24"/>
        </w:rPr>
        <w:t>NICOLÁS YEPES CORRALES</w:t>
      </w:r>
    </w:p>
    <w:p w14:paraId="684ADDBE" w14:textId="47933609" w:rsidR="00146828" w:rsidRPr="00703DAC" w:rsidRDefault="00012249" w:rsidP="006F52FC">
      <w:pPr>
        <w:pStyle w:val="Textodecuerpo31"/>
        <w:widowControl w:val="0"/>
        <w:tabs>
          <w:tab w:val="left" w:pos="708"/>
        </w:tabs>
        <w:spacing w:line="240" w:lineRule="auto"/>
        <w:ind w:right="51"/>
        <w:jc w:val="center"/>
        <w:rPr>
          <w:rFonts w:cs="Arial"/>
          <w:b/>
          <w:szCs w:val="24"/>
        </w:rPr>
      </w:pPr>
      <w:r w:rsidRPr="00703DAC">
        <w:rPr>
          <w:rFonts w:cs="Arial"/>
          <w:b/>
          <w:szCs w:val="24"/>
        </w:rPr>
        <w:t>Magistrado</w:t>
      </w:r>
    </w:p>
    <w:p w14:paraId="09B59E21" w14:textId="77777777" w:rsidR="00703DAC" w:rsidRPr="00703DAC" w:rsidRDefault="00703DAC">
      <w:pPr>
        <w:pStyle w:val="Textodecuerpo31"/>
        <w:widowControl w:val="0"/>
        <w:tabs>
          <w:tab w:val="left" w:pos="708"/>
        </w:tabs>
        <w:spacing w:line="240" w:lineRule="auto"/>
        <w:ind w:right="51"/>
        <w:jc w:val="center"/>
        <w:rPr>
          <w:rFonts w:cs="Arial"/>
          <w:b/>
          <w:szCs w:val="24"/>
        </w:rPr>
      </w:pPr>
    </w:p>
    <w:sectPr w:rsidR="00703DAC" w:rsidRPr="00703DAC"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97DF" w16cex:dateUtc="2020-09-03T21:27:00Z"/>
  <w16cex:commentExtensible w16cex:durableId="22FB989B" w16cex:dateUtc="2020-09-03T21:30:00Z"/>
  <w16cex:commentExtensible w16cex:durableId="22FB9AF1" w16cex:dateUtc="2020-09-03T21:40:00Z"/>
  <w16cex:commentExtensible w16cex:durableId="22FB9B40" w16cex:dateUtc="2020-09-03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B6FA01" w16cid:durableId="22FB97DF"/>
  <w16cid:commentId w16cid:paraId="46C15FC5" w16cid:durableId="22FB989B"/>
  <w16cid:commentId w16cid:paraId="00EA0CA8" w16cid:durableId="22FB9AF1"/>
  <w16cid:commentId w16cid:paraId="4B26C9EE" w16cid:durableId="22FB9B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D3E36" w14:textId="77777777" w:rsidR="00072695" w:rsidRDefault="00072695" w:rsidP="00117091">
      <w:r>
        <w:separator/>
      </w:r>
    </w:p>
  </w:endnote>
  <w:endnote w:type="continuationSeparator" w:id="0">
    <w:p w14:paraId="532689A0" w14:textId="77777777" w:rsidR="00072695" w:rsidRDefault="00072695"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E63C2D" w14:paraId="4830A873" w14:textId="77777777" w:rsidTr="00B6429B">
      <w:trPr>
        <w:jc w:val="right"/>
      </w:trPr>
      <w:tc>
        <w:tcPr>
          <w:tcW w:w="4795" w:type="dxa"/>
          <w:vAlign w:val="center"/>
        </w:tcPr>
        <w:p w14:paraId="0C43E376" w14:textId="77777777" w:rsidR="00E63C2D" w:rsidRDefault="00E63C2D"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E63C2D" w:rsidRPr="00A21194" w:rsidRDefault="00E63C2D"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E63C2D" w:rsidRPr="00B6429B" w:rsidRDefault="00E63C2D" w:rsidP="00B6429B">
          <w:pPr>
            <w:pStyle w:val="Piedepgina"/>
            <w:jc w:val="center"/>
          </w:pPr>
          <w:r w:rsidRPr="00B6429B">
            <w:fldChar w:fldCharType="begin"/>
          </w:r>
          <w:r w:rsidRPr="00B6429B">
            <w:instrText>PAGE   \* MERGEFORMAT</w:instrText>
          </w:r>
          <w:r w:rsidRPr="00B6429B">
            <w:fldChar w:fldCharType="separate"/>
          </w:r>
          <w:r w:rsidR="008A0F13" w:rsidRPr="008A0F13">
            <w:rPr>
              <w:noProof/>
              <w:lang w:val="es-ES"/>
            </w:rPr>
            <w:t>8</w:t>
          </w:r>
          <w:r w:rsidRPr="00B6429B">
            <w:fldChar w:fldCharType="end"/>
          </w:r>
        </w:p>
      </w:tc>
    </w:tr>
  </w:tbl>
  <w:p w14:paraId="17AD93B2" w14:textId="77777777" w:rsidR="00E63C2D" w:rsidRPr="008C0DBE" w:rsidRDefault="00E63C2D"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E63C2D" w14:paraId="7BC39794" w14:textId="77777777" w:rsidTr="00B6429B">
      <w:trPr>
        <w:jc w:val="right"/>
      </w:trPr>
      <w:tc>
        <w:tcPr>
          <w:tcW w:w="4795" w:type="dxa"/>
          <w:vAlign w:val="center"/>
        </w:tcPr>
        <w:p w14:paraId="60E1FF49" w14:textId="77777777" w:rsidR="00E63C2D" w:rsidRDefault="00E63C2D"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E63C2D" w:rsidRPr="00A21194" w:rsidRDefault="00E63C2D"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E63C2D" w:rsidRPr="00B6429B" w:rsidRDefault="00E63C2D">
          <w:pPr>
            <w:pStyle w:val="Piedepgina"/>
            <w:jc w:val="center"/>
          </w:pPr>
          <w:r w:rsidRPr="00B6429B">
            <w:fldChar w:fldCharType="begin"/>
          </w:r>
          <w:r w:rsidRPr="00B6429B">
            <w:instrText>PAGE   \* MERGEFORMAT</w:instrText>
          </w:r>
          <w:r w:rsidRPr="00B6429B">
            <w:fldChar w:fldCharType="separate"/>
          </w:r>
          <w:r w:rsidR="008A0F13" w:rsidRPr="008A0F13">
            <w:rPr>
              <w:noProof/>
              <w:lang w:val="es-ES"/>
            </w:rPr>
            <w:t>1</w:t>
          </w:r>
          <w:r w:rsidRPr="00B6429B">
            <w:fldChar w:fldCharType="end"/>
          </w:r>
        </w:p>
      </w:tc>
    </w:tr>
  </w:tbl>
  <w:p w14:paraId="5630AD66" w14:textId="77777777" w:rsidR="00E63C2D" w:rsidRDefault="00E63C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A42DC" w14:textId="77777777" w:rsidR="00072695" w:rsidRDefault="00072695" w:rsidP="00117091">
      <w:r>
        <w:separator/>
      </w:r>
    </w:p>
  </w:footnote>
  <w:footnote w:type="continuationSeparator" w:id="0">
    <w:p w14:paraId="0429E9A5" w14:textId="77777777" w:rsidR="00072695" w:rsidRDefault="00072695" w:rsidP="00117091">
      <w:r>
        <w:continuationSeparator/>
      </w:r>
    </w:p>
  </w:footnote>
  <w:footnote w:id="1">
    <w:p w14:paraId="6A26847F" w14:textId="767F7193" w:rsidR="009E3ECE" w:rsidRPr="008A0F13" w:rsidRDefault="009E3ECE">
      <w:pPr>
        <w:pStyle w:val="Textonotapie"/>
        <w:rPr>
          <w:sz w:val="18"/>
          <w:szCs w:val="18"/>
        </w:rPr>
      </w:pPr>
      <w:r w:rsidRPr="008A0F13">
        <w:rPr>
          <w:rStyle w:val="Refdenotaalpie"/>
          <w:sz w:val="18"/>
          <w:szCs w:val="18"/>
        </w:rPr>
        <w:footnoteRef/>
      </w:r>
      <w:r w:rsidRPr="008A0F13">
        <w:rPr>
          <w:sz w:val="18"/>
          <w:szCs w:val="18"/>
        </w:rPr>
        <w:t xml:space="preserve"> Los hechos fueron tomados de la sentencia del 9 de octubre de 2019 proferida por el Tribunal Administrativo de Nariño.</w:t>
      </w:r>
    </w:p>
  </w:footnote>
  <w:footnote w:id="2">
    <w:p w14:paraId="20D2D6FE" w14:textId="0265B44D" w:rsidR="009E3ECE" w:rsidRPr="008A0F13" w:rsidRDefault="009E3ECE">
      <w:pPr>
        <w:pStyle w:val="Textonotapie"/>
        <w:rPr>
          <w:sz w:val="18"/>
          <w:szCs w:val="18"/>
        </w:rPr>
      </w:pPr>
      <w:r w:rsidRPr="008A0F13">
        <w:rPr>
          <w:rStyle w:val="Refdenotaalpie"/>
          <w:sz w:val="18"/>
          <w:szCs w:val="18"/>
        </w:rPr>
        <w:footnoteRef/>
      </w:r>
      <w:r w:rsidRPr="008A0F13">
        <w:rPr>
          <w:sz w:val="18"/>
          <w:szCs w:val="18"/>
        </w:rPr>
        <w:t xml:space="preserve"> Documento visible en el expediente digital de tutela, con certificado 2679AACB1A4F1ABF D41E16F06E93D4C8 9059C7670EC8DFD0 552709798EAE5D69.</w:t>
      </w:r>
    </w:p>
  </w:footnote>
  <w:footnote w:id="3">
    <w:p w14:paraId="17114AC1" w14:textId="11E66E72" w:rsidR="009E3ECE" w:rsidRPr="008A0F13" w:rsidRDefault="009E3ECE">
      <w:pPr>
        <w:pStyle w:val="Textonotapie"/>
        <w:rPr>
          <w:sz w:val="18"/>
          <w:szCs w:val="18"/>
        </w:rPr>
      </w:pPr>
      <w:r w:rsidRPr="008A0F13">
        <w:rPr>
          <w:rStyle w:val="Refdenotaalpie"/>
          <w:sz w:val="18"/>
          <w:szCs w:val="18"/>
        </w:rPr>
        <w:footnoteRef/>
      </w:r>
      <w:r w:rsidRPr="008A0F13">
        <w:rPr>
          <w:sz w:val="18"/>
          <w:szCs w:val="18"/>
        </w:rPr>
        <w:t xml:space="preserve"> Documento visible en el expediente digital de tutela, con certificado 2390F1F860F40F6A 8E201FDD83F16339 9B59813D63161308 DA4541E764C6E550. </w:t>
      </w:r>
    </w:p>
  </w:footnote>
  <w:footnote w:id="4">
    <w:p w14:paraId="150CC95B" w14:textId="5DBAB6A1" w:rsidR="009E3ECE" w:rsidRPr="008A0F13" w:rsidRDefault="009E3ECE" w:rsidP="009E3ECE">
      <w:pPr>
        <w:pStyle w:val="Textonotapie"/>
        <w:rPr>
          <w:sz w:val="18"/>
          <w:szCs w:val="18"/>
        </w:rPr>
      </w:pPr>
      <w:r w:rsidRPr="008A0F13">
        <w:rPr>
          <w:rStyle w:val="Refdenotaalpie"/>
          <w:sz w:val="18"/>
          <w:szCs w:val="18"/>
        </w:rPr>
        <w:footnoteRef/>
      </w:r>
      <w:r w:rsidRPr="008A0F13">
        <w:rPr>
          <w:sz w:val="18"/>
          <w:szCs w:val="18"/>
        </w:rPr>
        <w:t xml:space="preserve"> Folios 37 y 38 del documento visible en el expediente digital de tutela, con certificado 2390F1F860F40F6A 8E201FDD83F16339 9B59813D63161308 DA4541E764C6E550. </w:t>
      </w:r>
    </w:p>
  </w:footnote>
  <w:footnote w:id="5">
    <w:p w14:paraId="5150B816" w14:textId="088BD956" w:rsidR="009E3ECE" w:rsidRPr="008A0F13" w:rsidRDefault="009E3ECE">
      <w:pPr>
        <w:pStyle w:val="Textonotapie"/>
        <w:rPr>
          <w:sz w:val="18"/>
          <w:szCs w:val="18"/>
        </w:rPr>
      </w:pPr>
      <w:r w:rsidRPr="008A0F13">
        <w:rPr>
          <w:rStyle w:val="Refdenotaalpie"/>
          <w:sz w:val="18"/>
          <w:szCs w:val="18"/>
        </w:rPr>
        <w:footnoteRef/>
      </w:r>
      <w:r w:rsidRPr="008A0F13">
        <w:rPr>
          <w:sz w:val="18"/>
          <w:szCs w:val="18"/>
        </w:rPr>
        <w:t xml:space="preserve"> Documento visible en el expediente digital de tutela, con certificado 9CB2F9330135E9E0 FD3F58B1BCBE814B 7343EB0538427F3B 881087F081A4CEAB.</w:t>
      </w:r>
    </w:p>
  </w:footnote>
  <w:footnote w:id="6">
    <w:p w14:paraId="5C1ACB0C" w14:textId="2E20E273" w:rsidR="00CB4C21" w:rsidRPr="008A0F13" w:rsidRDefault="00CB4C21">
      <w:pPr>
        <w:pStyle w:val="Textonotapie"/>
        <w:rPr>
          <w:sz w:val="18"/>
          <w:szCs w:val="18"/>
        </w:rPr>
      </w:pPr>
      <w:r w:rsidRPr="008A0F13">
        <w:rPr>
          <w:rStyle w:val="Refdenotaalpie"/>
          <w:sz w:val="18"/>
          <w:szCs w:val="18"/>
        </w:rPr>
        <w:footnoteRef/>
      </w:r>
      <w:r w:rsidRPr="008A0F13">
        <w:rPr>
          <w:sz w:val="18"/>
          <w:szCs w:val="18"/>
        </w:rPr>
        <w:t xml:space="preserve"> Documento visible en el expediente digital de tutela, con certificado 03D6DF62C196CFAC 2B7BC13BBA95470C 3A27630A023798D5 5F1557348A12DB09. </w:t>
      </w:r>
    </w:p>
  </w:footnote>
  <w:footnote w:id="7">
    <w:p w14:paraId="1F36A057" w14:textId="0B29FC19" w:rsidR="00AA70ED" w:rsidRPr="008A0F13" w:rsidRDefault="00AA70ED">
      <w:pPr>
        <w:pStyle w:val="Textonotapie"/>
        <w:rPr>
          <w:sz w:val="18"/>
          <w:szCs w:val="18"/>
        </w:rPr>
      </w:pPr>
      <w:r w:rsidRPr="008A0F13">
        <w:rPr>
          <w:rStyle w:val="Refdenotaalpie"/>
          <w:sz w:val="18"/>
          <w:szCs w:val="18"/>
        </w:rPr>
        <w:footnoteRef/>
      </w:r>
      <w:r w:rsidRPr="008A0F13">
        <w:rPr>
          <w:sz w:val="18"/>
          <w:szCs w:val="18"/>
        </w:rPr>
        <w:t xml:space="preserve"> Documento visible en el expediente digital de tutela, con certificado E14C16D9DB2D067B 79D98A0D1F9082BE D48D2087DDB3DEBF 130E3C437DD84268.</w:t>
      </w:r>
    </w:p>
  </w:footnote>
  <w:footnote w:id="8">
    <w:p w14:paraId="4094C9CB" w14:textId="29A47D7A" w:rsidR="00AA70ED" w:rsidRPr="008A0F13" w:rsidRDefault="00AA70ED">
      <w:pPr>
        <w:pStyle w:val="Textonotapie"/>
        <w:rPr>
          <w:sz w:val="18"/>
          <w:szCs w:val="18"/>
        </w:rPr>
      </w:pPr>
      <w:r w:rsidRPr="008A0F13">
        <w:rPr>
          <w:rStyle w:val="Refdenotaalpie"/>
          <w:sz w:val="18"/>
          <w:szCs w:val="18"/>
        </w:rPr>
        <w:footnoteRef/>
      </w:r>
      <w:r w:rsidRPr="008A0F13">
        <w:rPr>
          <w:sz w:val="18"/>
          <w:szCs w:val="18"/>
        </w:rPr>
        <w:t xml:space="preserve"> Documento visible en el expediente digital de tutela, con certificado 1FF1F63821E162DB 6E0428D609553146 CFC540D0533A5B73 555553A6AC0AE286.</w:t>
      </w:r>
    </w:p>
  </w:footnote>
  <w:footnote w:id="9">
    <w:p w14:paraId="7AEB1168" w14:textId="659C011F" w:rsidR="001B60B5" w:rsidRPr="008A0F13" w:rsidRDefault="001B60B5">
      <w:pPr>
        <w:pStyle w:val="Textonotapie"/>
        <w:rPr>
          <w:sz w:val="18"/>
          <w:szCs w:val="18"/>
        </w:rPr>
      </w:pPr>
      <w:r w:rsidRPr="008A0F13">
        <w:rPr>
          <w:rStyle w:val="Refdenotaalpie"/>
          <w:sz w:val="18"/>
          <w:szCs w:val="18"/>
        </w:rPr>
        <w:footnoteRef/>
      </w:r>
      <w:r w:rsidRPr="008A0F13">
        <w:rPr>
          <w:sz w:val="18"/>
          <w:szCs w:val="18"/>
        </w:rPr>
        <w:t xml:space="preserve"> Documento visible en el expediente digital de tutela, con certificado DE72D7365A9F2E96 80C57FFF12F579AE F1EB8991D48B4FD6 D07B0FF4EB0839E6</w:t>
      </w:r>
      <w:r w:rsidRPr="008A0F13">
        <w:rPr>
          <w:sz w:val="18"/>
          <w:szCs w:val="18"/>
        </w:rPr>
        <w:tab/>
      </w:r>
    </w:p>
  </w:footnote>
  <w:footnote w:id="10">
    <w:p w14:paraId="40020749" w14:textId="77777777" w:rsidR="00E63C2D" w:rsidRPr="008A0F13" w:rsidRDefault="00E63C2D" w:rsidP="00D51DED">
      <w:pPr>
        <w:pStyle w:val="Textonotapie"/>
        <w:rPr>
          <w:sz w:val="18"/>
          <w:szCs w:val="18"/>
        </w:rPr>
      </w:pPr>
      <w:r w:rsidRPr="008A0F13">
        <w:rPr>
          <w:rStyle w:val="Refdenotaalpie"/>
          <w:sz w:val="18"/>
          <w:szCs w:val="18"/>
        </w:rPr>
        <w:footnoteRef/>
      </w:r>
      <w:r w:rsidRPr="008A0F13">
        <w:rPr>
          <w:sz w:val="18"/>
          <w:szCs w:val="18"/>
        </w:rPr>
        <w:t xml:space="preserve"> Publicado en el diario oficial 50.913 del 1 de abril de 2019.</w:t>
      </w:r>
    </w:p>
  </w:footnote>
  <w:footnote w:id="11">
    <w:p w14:paraId="5174E950" w14:textId="77777777" w:rsidR="00E63C2D" w:rsidRPr="008A0F13" w:rsidRDefault="00E63C2D" w:rsidP="00D51DED">
      <w:pPr>
        <w:pStyle w:val="Textonotapie"/>
        <w:rPr>
          <w:sz w:val="18"/>
          <w:szCs w:val="18"/>
        </w:rPr>
      </w:pPr>
      <w:r w:rsidRPr="008A0F13">
        <w:rPr>
          <w:rStyle w:val="Refdenotaalpie"/>
          <w:sz w:val="18"/>
          <w:szCs w:val="18"/>
        </w:rPr>
        <w:footnoteRef/>
      </w:r>
      <w:r w:rsidRPr="008A0F13">
        <w:rPr>
          <w:sz w:val="18"/>
          <w:szCs w:val="18"/>
        </w:rPr>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2">
    <w:p w14:paraId="56797AE4" w14:textId="77777777" w:rsidR="00E63C2D" w:rsidRPr="008A0F13" w:rsidRDefault="00E63C2D" w:rsidP="001117E0">
      <w:pPr>
        <w:pStyle w:val="Textonotapie"/>
        <w:rPr>
          <w:sz w:val="18"/>
          <w:szCs w:val="18"/>
        </w:rPr>
      </w:pPr>
      <w:r w:rsidRPr="008A0F13">
        <w:rPr>
          <w:rStyle w:val="Refdenotaalpie"/>
          <w:sz w:val="18"/>
          <w:szCs w:val="18"/>
        </w:rPr>
        <w:footnoteRef/>
      </w:r>
      <w:r w:rsidRPr="008A0F13">
        <w:rPr>
          <w:sz w:val="18"/>
          <w:szCs w:val="18"/>
        </w:rPr>
        <w:t xml:space="preserve"> Corte Constitucional, sentencia C-590 de 8 de junio de 2005. </w:t>
      </w:r>
    </w:p>
  </w:footnote>
  <w:footnote w:id="13">
    <w:p w14:paraId="0D6C5386" w14:textId="77777777" w:rsidR="00E63C2D" w:rsidRPr="008A0F13" w:rsidRDefault="00E63C2D" w:rsidP="001117E0">
      <w:pPr>
        <w:pStyle w:val="Textonotapie"/>
        <w:rPr>
          <w:sz w:val="18"/>
          <w:szCs w:val="18"/>
        </w:rPr>
      </w:pPr>
      <w:r w:rsidRPr="008A0F13">
        <w:rPr>
          <w:rStyle w:val="Refdenotaalpie"/>
          <w:sz w:val="18"/>
          <w:szCs w:val="18"/>
        </w:rPr>
        <w:footnoteRef/>
      </w:r>
      <w:r w:rsidRPr="008A0F13">
        <w:rPr>
          <w:sz w:val="18"/>
          <w:szCs w:val="18"/>
        </w:rPr>
        <w:t xml:space="preserve"> Corte Constitucional, sentencia SU-439 de 13 de julio de 2017 y T-458 de 29 de agosto de 2016.</w:t>
      </w:r>
    </w:p>
  </w:footnote>
  <w:footnote w:id="14">
    <w:p w14:paraId="20C44D63" w14:textId="77777777" w:rsidR="00E63C2D" w:rsidRPr="008A0F13" w:rsidRDefault="00E63C2D" w:rsidP="00965004">
      <w:pPr>
        <w:pStyle w:val="Textonotapie"/>
        <w:rPr>
          <w:sz w:val="18"/>
          <w:szCs w:val="18"/>
        </w:rPr>
      </w:pPr>
      <w:r w:rsidRPr="008A0F13">
        <w:rPr>
          <w:rStyle w:val="Refdenotaalpie"/>
          <w:sz w:val="18"/>
          <w:szCs w:val="18"/>
        </w:rPr>
        <w:footnoteRef/>
      </w:r>
      <w:r w:rsidRPr="008A0F13">
        <w:rPr>
          <w:sz w:val="18"/>
          <w:szCs w:val="18"/>
        </w:rPr>
        <w:t xml:space="preserve"> </w:t>
      </w:r>
      <w:r w:rsidRPr="008A0F13">
        <w:rPr>
          <w:sz w:val="18"/>
          <w:szCs w:val="18"/>
          <w:bdr w:val="none" w:sz="0" w:space="0" w:color="auto" w:frame="1"/>
          <w:shd w:val="clear" w:color="auto" w:fill="FFFFFF"/>
        </w:rPr>
        <w:t> Con relación a este aspecto, se indica en la sentencia hito en la materia (C-590 de 2005), lo siguiente: </w:t>
      </w:r>
      <w:r w:rsidRPr="008A0F13">
        <w:rPr>
          <w:sz w:val="18"/>
          <w:szCs w:val="18"/>
          <w:bdr w:val="none" w:sz="0" w:space="0" w:color="auto" w:frame="1"/>
        </w:rPr>
        <w:t>“En este sentido es muy importante reiterar que la acción de tutela no puede ser un mecanismo que sirva para que el juez constitucional pueda desplazar al juez ordinario en la decisión de la respectiva causa. En efecto, por esta vía no puede el juez de tutela convertirse en el máximo intérprete del derecho legislado ni suplantar al juez natural en su función esencial como juez de instancia. Lo que sin embargo sí habilita la tutela es la vigilancia de la aplicación judicial al caso concreto de los derechos fundamentales pertinentes y, en especial, del derecho al debido proceso y de acceso a la administración de justicia”</w:t>
      </w:r>
      <w:r w:rsidRPr="008A0F13">
        <w:rPr>
          <w:sz w:val="18"/>
          <w:szCs w:val="18"/>
          <w:bdr w:val="none" w:sz="0" w:space="0" w:color="auto" w:frame="1"/>
          <w:shd w:val="clear" w:color="auto" w:fill="FFFFFF"/>
        </w:rPr>
        <w:t>.</w:t>
      </w:r>
    </w:p>
  </w:footnote>
  <w:footnote w:id="15">
    <w:p w14:paraId="25D98849" w14:textId="77777777" w:rsidR="00E63C2D" w:rsidRPr="008A0F13" w:rsidRDefault="00E63C2D" w:rsidP="00965004">
      <w:pPr>
        <w:pStyle w:val="Textonotapie"/>
        <w:rPr>
          <w:sz w:val="18"/>
          <w:szCs w:val="18"/>
        </w:rPr>
      </w:pPr>
      <w:r w:rsidRPr="008A0F13">
        <w:rPr>
          <w:rStyle w:val="Refdenotaalpie"/>
          <w:sz w:val="18"/>
          <w:szCs w:val="18"/>
        </w:rPr>
        <w:footnoteRef/>
      </w:r>
      <w:r w:rsidRPr="008A0F13">
        <w:rPr>
          <w:sz w:val="18"/>
          <w:szCs w:val="18"/>
        </w:rPr>
        <w:t xml:space="preserve"> </w:t>
      </w:r>
      <w:r w:rsidRPr="008A0F13">
        <w:rPr>
          <w:sz w:val="18"/>
          <w:szCs w:val="18"/>
          <w:shd w:val="clear" w:color="auto" w:fill="FFFFFF"/>
        </w:rPr>
        <w:t>Estos son de competencia exclusiva de los jueces que integran las demás jurisdicciones distintas a la constitucional; por tanto, la competencia del juez de tutela se limita a aquellos casos en que existan afectaciones o vulneraciones de derechos fundamentales. Tal como se ha reiterado en la jurisprudencia constitucional, </w:t>
      </w:r>
      <w:r w:rsidRPr="008A0F13">
        <w:rPr>
          <w:iCs/>
          <w:sz w:val="18"/>
          <w:szCs w:val="18"/>
          <w:bdr w:val="none" w:sz="0" w:space="0" w:color="auto" w:frame="1"/>
          <w:shd w:val="clear" w:color="auto" w:fill="FFFFFF"/>
        </w:rPr>
        <w:t>“la definición de asuntos meramente legales o reglamentarios que no tengan una relación directa con los derechos fundamentales de las partes o que no revistan un interés constitucional claro, no puede ser planteada ante la jurisdicción constitucional”</w:t>
      </w:r>
      <w:r w:rsidRPr="008A0F13">
        <w:rPr>
          <w:sz w:val="18"/>
          <w:szCs w:val="18"/>
          <w:shd w:val="clear" w:color="auto" w:fill="FFFFFF"/>
        </w:rPr>
        <w:t> (en igual sentido, las sentencias T-335 de 2000, T-1044 de 2007, T-658 de 2008, T-505 de 2009, T-610 de 2009, T-896 de 2010, T-040 de 2011, T-338 de 2012, T-512 de 2012, T-543 de 2012, T-1061 de 2012, T-931 de 2013, T-182 de 2014 y T-406 de 2014).</w:t>
      </w:r>
    </w:p>
  </w:footnote>
  <w:footnote w:id="16">
    <w:p w14:paraId="254E30A3" w14:textId="77777777" w:rsidR="00E63C2D" w:rsidRPr="008A0F13" w:rsidRDefault="00E63C2D" w:rsidP="00965004">
      <w:pPr>
        <w:pStyle w:val="Textonotapie"/>
        <w:rPr>
          <w:sz w:val="18"/>
          <w:szCs w:val="18"/>
        </w:rPr>
      </w:pPr>
      <w:r w:rsidRPr="008A0F13">
        <w:rPr>
          <w:rStyle w:val="Refdenotaalpie"/>
          <w:sz w:val="18"/>
          <w:szCs w:val="18"/>
        </w:rPr>
        <w:footnoteRef/>
      </w:r>
      <w:r w:rsidRPr="008A0F13">
        <w:rPr>
          <w:sz w:val="18"/>
          <w:szCs w:val="18"/>
        </w:rPr>
        <w:t xml:space="preserve"> </w:t>
      </w:r>
      <w:r w:rsidRPr="008A0F13">
        <w:rPr>
          <w:sz w:val="18"/>
          <w:szCs w:val="18"/>
          <w:bdr w:val="none" w:sz="0" w:space="0" w:color="auto" w:frame="1"/>
          <w:shd w:val="clear" w:color="auto" w:fill="FFFFFF"/>
        </w:rPr>
        <w:t>Tal como lo consideró la Sala Plena, en la sentencia hito en la materia (C-590 de 2005), </w:t>
      </w:r>
      <w:r w:rsidRPr="008A0F13">
        <w:rPr>
          <w:sz w:val="18"/>
          <w:szCs w:val="18"/>
          <w:bdr w:val="none" w:sz="0" w:space="0" w:color="auto" w:frame="1"/>
        </w:rPr>
        <w:t xml:space="preserve">“los fundamentos de una decisión de tutela contra una sentencia judicial deben aclarar con transparencia la relevancia </w:t>
      </w:r>
      <w:r w:rsidRPr="008A0F13">
        <w:rPr>
          <w:i/>
          <w:sz w:val="18"/>
          <w:szCs w:val="18"/>
          <w:bdr w:val="none" w:sz="0" w:space="0" w:color="auto" w:frame="1"/>
        </w:rPr>
        <w:t>iusfundamental</w:t>
      </w:r>
      <w:r w:rsidRPr="008A0F13">
        <w:rPr>
          <w:sz w:val="18"/>
          <w:szCs w:val="18"/>
          <w:bdr w:val="none" w:sz="0" w:space="0" w:color="auto" w:frame="1"/>
        </w:rPr>
        <w:t xml:space="preserve"> del punto que se discute y el juez debe contraerse a estudiar esta cuestión y ninguna otra. No se trata entonces de un mecanismo que permita al juez constitucional ordenar la anulación de decisiones que no comparte o suplantar al juez ordinario en su tarea de interpretar el derecho legislado y evaluar las pruebas del caso. De lo que se trata es de un mecanismo excepcional, subsidiario y residual para proteger los derechos fundamentales de quien luego de haber pasado por un proceso judicial se encuentra en condición de indefensión y que permite la aplicación uniforme y coherente  -es decir segura y en condiciones de igualdad-  de los derechos fundamentales a los distintos ámbitos del derecho”.</w:t>
      </w:r>
    </w:p>
  </w:footnote>
  <w:footnote w:id="17">
    <w:p w14:paraId="43ACA811" w14:textId="77777777" w:rsidR="00E63C2D" w:rsidRPr="008A0F13" w:rsidRDefault="00E63C2D" w:rsidP="00965004">
      <w:pPr>
        <w:pStyle w:val="Textonotapie"/>
        <w:rPr>
          <w:sz w:val="18"/>
          <w:szCs w:val="18"/>
        </w:rPr>
      </w:pPr>
      <w:r w:rsidRPr="008A0F13">
        <w:rPr>
          <w:rStyle w:val="Refdenotaalpie"/>
          <w:sz w:val="18"/>
          <w:szCs w:val="18"/>
        </w:rPr>
        <w:footnoteRef/>
      </w:r>
      <w:r w:rsidRPr="008A0F13">
        <w:rPr>
          <w:sz w:val="18"/>
          <w:szCs w:val="18"/>
        </w:rPr>
        <w:t xml:space="preserve"> </w:t>
      </w:r>
      <w:r w:rsidRPr="008A0F13">
        <w:rPr>
          <w:sz w:val="18"/>
          <w:szCs w:val="18"/>
          <w:shd w:val="clear" w:color="auto" w:fill="FFFFFF"/>
        </w:rPr>
        <w:t>En este sentido, la Corte ha exigido que, “</w:t>
      </w:r>
      <w:r w:rsidRPr="008A0F13">
        <w:rPr>
          <w:sz w:val="18"/>
          <w:szCs w:val="18"/>
          <w:bdr w:val="none" w:sz="0" w:space="0" w:color="auto" w:frame="1"/>
          <w:shd w:val="clear" w:color="auto" w:fill="FFFFFF"/>
        </w:rPr>
        <w:t>teniendo en cuenta que la tutela contra providencias judiciales no da lugar a una tercera instancia, ni puede reemplazar los recursos ordinarios, es necesario que la causa que origina la presentación de la acción suponga el desconocimiento de un derecho fundamental</w:t>
      </w:r>
      <w:r w:rsidRPr="008A0F13">
        <w:rPr>
          <w:sz w:val="18"/>
          <w:szCs w:val="18"/>
          <w:shd w:val="clear" w:color="auto" w:fill="FFFFFF"/>
        </w:rPr>
        <w:t>” (sentencia T-102 de 2006).</w:t>
      </w:r>
    </w:p>
  </w:footnote>
  <w:footnote w:id="18">
    <w:p w14:paraId="51B87F9F" w14:textId="77777777" w:rsidR="00E63C2D" w:rsidRPr="008A0F13" w:rsidRDefault="00E63C2D" w:rsidP="00965004">
      <w:pPr>
        <w:pStyle w:val="Textonotapie"/>
        <w:rPr>
          <w:sz w:val="18"/>
          <w:szCs w:val="18"/>
        </w:rPr>
      </w:pPr>
      <w:r w:rsidRPr="008A0F13">
        <w:rPr>
          <w:rStyle w:val="Refdenotaalpie"/>
          <w:sz w:val="18"/>
          <w:szCs w:val="18"/>
        </w:rPr>
        <w:footnoteRef/>
      </w:r>
      <w:r w:rsidRPr="008A0F13">
        <w:rPr>
          <w:sz w:val="18"/>
          <w:szCs w:val="18"/>
        </w:rPr>
        <w:t xml:space="preserve"> Corte Constitucional, sentencia T-422 del 16 de octubre de 2018.</w:t>
      </w:r>
    </w:p>
  </w:footnote>
  <w:footnote w:id="19">
    <w:p w14:paraId="69142154" w14:textId="77777777" w:rsidR="00E63C2D" w:rsidRPr="008A0F13" w:rsidRDefault="00E63C2D" w:rsidP="00965004">
      <w:pPr>
        <w:pStyle w:val="Textonotapie"/>
        <w:rPr>
          <w:sz w:val="18"/>
          <w:szCs w:val="18"/>
        </w:rPr>
      </w:pPr>
      <w:r w:rsidRPr="008A0F13">
        <w:rPr>
          <w:rStyle w:val="Refdenotaalpie"/>
          <w:sz w:val="18"/>
          <w:szCs w:val="18"/>
        </w:rPr>
        <w:footnoteRef/>
      </w:r>
      <w:r w:rsidRPr="008A0F13">
        <w:rPr>
          <w:sz w:val="18"/>
          <w:szCs w:val="18"/>
        </w:rPr>
        <w:t xml:space="preserve"> Sentencia de la Corte Constitucional T066 de 2019, que, a su vez reitera la T-336 de 2004.</w:t>
      </w:r>
    </w:p>
  </w:footnote>
  <w:footnote w:id="20">
    <w:p w14:paraId="4FD20995" w14:textId="77777777" w:rsidR="00E63C2D" w:rsidRPr="008A0F13" w:rsidRDefault="00E63C2D" w:rsidP="00086B66">
      <w:pPr>
        <w:pStyle w:val="Textonotapie"/>
        <w:rPr>
          <w:sz w:val="18"/>
          <w:szCs w:val="18"/>
        </w:rPr>
      </w:pPr>
      <w:r w:rsidRPr="008A0F13">
        <w:rPr>
          <w:rStyle w:val="Refdenotaalpie"/>
          <w:sz w:val="18"/>
          <w:szCs w:val="18"/>
        </w:rPr>
        <w:footnoteRef/>
      </w:r>
      <w:r w:rsidRPr="008A0F13">
        <w:rPr>
          <w:sz w:val="18"/>
          <w:szCs w:val="18"/>
        </w:rPr>
        <w:t xml:space="preserve"> “Artículo 6. La acción de tutela no procederá:</w:t>
      </w:r>
    </w:p>
    <w:p w14:paraId="47C67F1B" w14:textId="77777777" w:rsidR="00E63C2D" w:rsidRPr="008A0F13" w:rsidRDefault="00E63C2D" w:rsidP="00086B66">
      <w:pPr>
        <w:pStyle w:val="Textonotapie"/>
        <w:rPr>
          <w:sz w:val="18"/>
          <w:szCs w:val="18"/>
        </w:rPr>
      </w:pPr>
      <w:r w:rsidRPr="008A0F13">
        <w:rPr>
          <w:sz w:val="18"/>
          <w:szCs w:val="18"/>
        </w:rPr>
        <w:t>1. Cuando existan otros recursos o medios de defensa judiciales, salvo que aquélla se utilice como mecanismo transitorio para evitar un perjuicio irremediable. La existencia de dichos medios será apreciada en concreto, en cuanto a su eficacia, atendiendo las circunstancias en que se encuentra el solicitante.</w:t>
      </w:r>
    </w:p>
    <w:p w14:paraId="250710D1" w14:textId="265FBB34" w:rsidR="00E63C2D" w:rsidRPr="008A0F13" w:rsidRDefault="00E63C2D" w:rsidP="00086B66">
      <w:pPr>
        <w:pStyle w:val="Textonotapie"/>
        <w:rPr>
          <w:sz w:val="18"/>
          <w:szCs w:val="18"/>
        </w:rPr>
      </w:pPr>
      <w:r w:rsidRPr="008A0F13">
        <w:rPr>
          <w:sz w:val="18"/>
          <w:szCs w:val="18"/>
        </w:rPr>
        <w:t>2. (…)”</w:t>
      </w:r>
      <w:r w:rsidR="00C53C69" w:rsidRPr="008A0F13">
        <w:rPr>
          <w:sz w:val="18"/>
          <w:szCs w:val="18"/>
        </w:rPr>
        <w:t>.</w:t>
      </w:r>
    </w:p>
  </w:footnote>
  <w:footnote w:id="21">
    <w:p w14:paraId="1B1CEBE2" w14:textId="77777777" w:rsidR="00E63C2D" w:rsidRPr="008A0F13" w:rsidRDefault="00E63C2D" w:rsidP="00086B66">
      <w:pPr>
        <w:pStyle w:val="Textonotapie"/>
        <w:rPr>
          <w:sz w:val="18"/>
          <w:szCs w:val="18"/>
        </w:rPr>
      </w:pPr>
      <w:r w:rsidRPr="008A0F13">
        <w:rPr>
          <w:rStyle w:val="Refdenotaalpie"/>
          <w:sz w:val="18"/>
          <w:szCs w:val="18"/>
        </w:rPr>
        <w:footnoteRef/>
      </w:r>
      <w:r w:rsidRPr="008A0F13">
        <w:rPr>
          <w:sz w:val="18"/>
          <w:szCs w:val="18"/>
        </w:rPr>
        <w:t xml:space="preserve"> T-017 de 2012. M.P. María Victoria Calle Correa.</w:t>
      </w:r>
    </w:p>
  </w:footnote>
  <w:footnote w:id="22">
    <w:p w14:paraId="556156F5" w14:textId="49D77BBA" w:rsidR="00E63C2D" w:rsidRPr="008A0F13" w:rsidRDefault="00E63C2D" w:rsidP="00817D85">
      <w:pPr>
        <w:pStyle w:val="Cuadrculamedia21"/>
        <w:jc w:val="both"/>
        <w:rPr>
          <w:rFonts w:ascii="Arial" w:hAnsi="Arial" w:cs="Arial"/>
          <w:sz w:val="18"/>
          <w:szCs w:val="18"/>
        </w:rPr>
      </w:pPr>
      <w:r w:rsidRPr="008A0F13">
        <w:rPr>
          <w:rStyle w:val="Refdenotaalpie"/>
          <w:rFonts w:ascii="Arial" w:hAnsi="Arial" w:cs="Arial"/>
          <w:sz w:val="18"/>
          <w:szCs w:val="18"/>
        </w:rPr>
        <w:footnoteRef/>
      </w:r>
      <w:r w:rsidRPr="008A0F13">
        <w:rPr>
          <w:rFonts w:ascii="Arial" w:hAnsi="Arial" w:cs="Arial"/>
          <w:sz w:val="18"/>
          <w:szCs w:val="18"/>
        </w:rPr>
        <w:t xml:space="preserve"> Consejo de Estado, Sala Veintidós Especial de Decisión, sentencia del 2 de febrero de 2016, radicado No. 11001031500020150234200: </w:t>
      </w:r>
      <w:r w:rsidRPr="008A0F13">
        <w:rPr>
          <w:rFonts w:ascii="Arial" w:hAnsi="Arial" w:cs="Arial"/>
          <w:i/>
          <w:iCs/>
          <w:sz w:val="18"/>
          <w:szCs w:val="18"/>
        </w:rPr>
        <w:t>“(…) la causal de revisión contenida en el numeral 5º del artículo 250 del CPACA –antes 6 del artículo 188 del C.C.A.-, es decir, nulidad originada en la sentencia, se puede configurar cuando el fallo objeto de revisión ha desatendido la congruencia interna y/o la externa, pues, en uno y otro caso, el fallador incurre en una clara violación del debido proceso, artículo 29 constitucional, dado que la providencia proferida en esos términos resulta contraria a las formas propias de cada juicio…”</w:t>
      </w:r>
      <w:r w:rsidRPr="008A0F13">
        <w:rPr>
          <w:rFonts w:ascii="Arial" w:hAnsi="Arial" w:cs="Arial"/>
          <w:sz w:val="18"/>
          <w:szCs w:val="18"/>
        </w:rPr>
        <w:t>. Posición reiterada recientemente por esta Subsección en la sentencia del 2 de abril de 2020, proferida dentro del expediente con radicado No</w:t>
      </w:r>
      <w:r w:rsidR="008A0F13" w:rsidRPr="008A0F13">
        <w:rPr>
          <w:rFonts w:ascii="Arial" w:hAnsi="Arial" w:cs="Arial"/>
          <w:sz w:val="18"/>
          <w:szCs w:val="18"/>
        </w:rPr>
        <w:t xml:space="preserve">. 11001-03-15-000-2019-05184-01. </w:t>
      </w:r>
      <w:r w:rsidR="00C53C69" w:rsidRPr="008A0F13">
        <w:rPr>
          <w:rFonts w:ascii="Arial" w:hAnsi="Arial" w:cs="Arial"/>
          <w:sz w:val="18"/>
          <w:szCs w:val="18"/>
        </w:rPr>
        <w:t xml:space="preserve"> </w:t>
      </w:r>
    </w:p>
  </w:footnote>
  <w:footnote w:id="23">
    <w:p w14:paraId="798523CC" w14:textId="77777777" w:rsidR="00023E74" w:rsidRPr="008A0F13" w:rsidRDefault="00023E74" w:rsidP="00023E74">
      <w:pPr>
        <w:pStyle w:val="Textonotapie"/>
        <w:rPr>
          <w:sz w:val="18"/>
          <w:szCs w:val="18"/>
          <w:lang w:val="es-ES"/>
        </w:rPr>
      </w:pPr>
      <w:r w:rsidRPr="008A0F13">
        <w:rPr>
          <w:rStyle w:val="Refdenotaalpie"/>
          <w:sz w:val="18"/>
          <w:szCs w:val="18"/>
        </w:rPr>
        <w:footnoteRef/>
      </w:r>
      <w:r w:rsidRPr="008A0F13">
        <w:rPr>
          <w:sz w:val="18"/>
          <w:szCs w:val="18"/>
        </w:rPr>
        <w:t xml:space="preserve"> Según la sentencia SU 354 de 2017, “</w:t>
      </w:r>
      <w:r w:rsidRPr="008A0F13">
        <w:rPr>
          <w:sz w:val="18"/>
          <w:szCs w:val="18"/>
          <w:lang w:val="es-ES"/>
        </w:rPr>
        <w:t>La Corte Constitucional ha establecido que una providencia judicial adolece de un defecto sustantivo cuando la autoridad jurisdiccional (i) aplica una disposición en el caso que perdió vigencia por cualquiera de las razones previstas por la normatividad; (ii) aplica un precepto manifiestamente inaplicable al caso; (iii) a pesar del amplio margen hermenéutico que la Constitución le reconoce a las autoridades judiciales, realice una interpretación contraevidente o claramente irrazonable o desproporcionada; (iv) se aparta del precedente judicial -horizontal o vertical- sin justificación suficiente;</w:t>
      </w:r>
      <w:r w:rsidRPr="008A0F13">
        <w:rPr>
          <w:bCs/>
          <w:sz w:val="18"/>
          <w:szCs w:val="18"/>
          <w:lang w:val="es-ES"/>
        </w:rPr>
        <w:t xml:space="preserve"> </w:t>
      </w:r>
      <w:r w:rsidRPr="008A0F13">
        <w:rPr>
          <w:sz w:val="18"/>
          <w:szCs w:val="18"/>
          <w:lang w:val="es-ES"/>
        </w:rPr>
        <w:t>o (v) se abstiene de aplicar la excepción de inconstitucionalidad ante una violación manifiesta de la Constitución, siempre que su declaración haya sido solicitada por alguna de las partes en el proceso” (resaltado agregado).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E63C2D" w:rsidRPr="00A15ACE" w:rsidRDefault="00E63C2D">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E63C2D" w:rsidRPr="00A15ACE" w:rsidRDefault="00E63C2D">
    <w:pPr>
      <w:pStyle w:val="Encabezado"/>
    </w:pPr>
  </w:p>
  <w:p w14:paraId="4B90DC7A" w14:textId="77777777" w:rsidR="00E63C2D" w:rsidRPr="00A15ACE" w:rsidRDefault="00E63C2D">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6C1B61B0" w:rsidR="00E63C2D" w:rsidRPr="00F532EA" w:rsidRDefault="00E63C2D" w:rsidP="0054069D">
    <w:pPr>
      <w:pStyle w:val="Encabezado"/>
      <w:jc w:val="right"/>
      <w:rPr>
        <w:color w:val="767171"/>
        <w:sz w:val="20"/>
        <w:szCs w:val="20"/>
      </w:rPr>
    </w:pPr>
    <w:r w:rsidRPr="00F532EA">
      <w:rPr>
        <w:color w:val="767171"/>
        <w:sz w:val="20"/>
        <w:szCs w:val="20"/>
      </w:rPr>
      <w:t xml:space="preserve">Radicado: </w:t>
    </w:r>
    <w:r>
      <w:rPr>
        <w:color w:val="767171"/>
        <w:sz w:val="20"/>
        <w:szCs w:val="20"/>
      </w:rPr>
      <w:t>11001-03-15-000-2020-03468-00</w:t>
    </w:r>
  </w:p>
  <w:p w14:paraId="07B33FD0" w14:textId="1FFC6F85" w:rsidR="00E63C2D" w:rsidRPr="00F532EA" w:rsidRDefault="00E63C2D"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Pr>
        <w:color w:val="767171"/>
        <w:sz w:val="20"/>
        <w:szCs w:val="20"/>
      </w:rPr>
      <w:t>: Purificación Cortés Cortés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E63C2D" w:rsidRPr="00A15ACE" w:rsidRDefault="00E63C2D"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E63C2D" w:rsidRPr="00A15ACE" w:rsidRDefault="00E63C2D" w:rsidP="00F1441F">
    <w:pPr>
      <w:pStyle w:val="Encabezado"/>
      <w:rPr>
        <w:color w:val="767171"/>
      </w:rPr>
    </w:pPr>
  </w:p>
  <w:p w14:paraId="3F3B7A5B" w14:textId="77777777" w:rsidR="00E63C2D" w:rsidRPr="007F276C" w:rsidRDefault="00E63C2D" w:rsidP="007F276C">
    <w:pPr>
      <w:pStyle w:val="Sinespaciado"/>
    </w:pPr>
    <w:r w:rsidRPr="007F276C">
      <w:t>CONSEJO DE ESTADO</w:t>
    </w:r>
  </w:p>
  <w:p w14:paraId="6EF027A0" w14:textId="77777777" w:rsidR="00E63C2D" w:rsidRPr="007F276C" w:rsidRDefault="00E63C2D" w:rsidP="007F276C">
    <w:pPr>
      <w:pStyle w:val="Sinespaciado"/>
    </w:pPr>
    <w:r w:rsidRPr="007F276C">
      <w:t>SALA DE LO CONTENCIOSO ADMINISTRATIVO</w:t>
    </w:r>
  </w:p>
  <w:p w14:paraId="2FC4305D" w14:textId="77777777" w:rsidR="00E63C2D" w:rsidRPr="007F276C" w:rsidRDefault="00E63C2D" w:rsidP="007F276C">
    <w:pPr>
      <w:pStyle w:val="Sinespaciado"/>
    </w:pPr>
    <w:r w:rsidRPr="007F276C">
      <w:t>SECCIÓN TERCERA – SUBSECCIÓN C</w:t>
    </w:r>
  </w:p>
  <w:p w14:paraId="2BA226A1" w14:textId="77777777" w:rsidR="00E63C2D" w:rsidRDefault="00E63C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4379"/>
    <w:rsid w:val="00004405"/>
    <w:rsid w:val="00004D80"/>
    <w:rsid w:val="00005B2C"/>
    <w:rsid w:val="00006D3C"/>
    <w:rsid w:val="00012249"/>
    <w:rsid w:val="00017CB3"/>
    <w:rsid w:val="00023E74"/>
    <w:rsid w:val="00031008"/>
    <w:rsid w:val="00045A3D"/>
    <w:rsid w:val="000558C9"/>
    <w:rsid w:val="0005595B"/>
    <w:rsid w:val="000572CE"/>
    <w:rsid w:val="000578BC"/>
    <w:rsid w:val="00061B93"/>
    <w:rsid w:val="000640FF"/>
    <w:rsid w:val="00071F03"/>
    <w:rsid w:val="00072695"/>
    <w:rsid w:val="000728E0"/>
    <w:rsid w:val="00073800"/>
    <w:rsid w:val="00073869"/>
    <w:rsid w:val="00076747"/>
    <w:rsid w:val="00083B8F"/>
    <w:rsid w:val="00084ACD"/>
    <w:rsid w:val="0008675F"/>
    <w:rsid w:val="00086B66"/>
    <w:rsid w:val="00094E7B"/>
    <w:rsid w:val="00094EAB"/>
    <w:rsid w:val="00095EDE"/>
    <w:rsid w:val="000A3CA1"/>
    <w:rsid w:val="000A428A"/>
    <w:rsid w:val="000C18BD"/>
    <w:rsid w:val="000C2B43"/>
    <w:rsid w:val="000C341D"/>
    <w:rsid w:val="000C5DB7"/>
    <w:rsid w:val="000C7B4F"/>
    <w:rsid w:val="000D0E41"/>
    <w:rsid w:val="000D12BC"/>
    <w:rsid w:val="000D38FD"/>
    <w:rsid w:val="000D5563"/>
    <w:rsid w:val="000D7042"/>
    <w:rsid w:val="000E121D"/>
    <w:rsid w:val="000E2D62"/>
    <w:rsid w:val="000F189F"/>
    <w:rsid w:val="00100DE6"/>
    <w:rsid w:val="00101D3B"/>
    <w:rsid w:val="00102722"/>
    <w:rsid w:val="00106D53"/>
    <w:rsid w:val="001117E0"/>
    <w:rsid w:val="00111F8A"/>
    <w:rsid w:val="00114418"/>
    <w:rsid w:val="00114E48"/>
    <w:rsid w:val="00117091"/>
    <w:rsid w:val="0012059B"/>
    <w:rsid w:val="001264E9"/>
    <w:rsid w:val="001314F6"/>
    <w:rsid w:val="00133F91"/>
    <w:rsid w:val="00137D2F"/>
    <w:rsid w:val="00143CD4"/>
    <w:rsid w:val="00146828"/>
    <w:rsid w:val="0015444A"/>
    <w:rsid w:val="00155E78"/>
    <w:rsid w:val="0016439C"/>
    <w:rsid w:val="001658C9"/>
    <w:rsid w:val="00165C5B"/>
    <w:rsid w:val="00166AF6"/>
    <w:rsid w:val="00170FE3"/>
    <w:rsid w:val="00171E2D"/>
    <w:rsid w:val="00175282"/>
    <w:rsid w:val="001838C6"/>
    <w:rsid w:val="00190924"/>
    <w:rsid w:val="001909A8"/>
    <w:rsid w:val="001915E1"/>
    <w:rsid w:val="00194CD0"/>
    <w:rsid w:val="001A12BB"/>
    <w:rsid w:val="001A44C6"/>
    <w:rsid w:val="001B35D8"/>
    <w:rsid w:val="001B60B5"/>
    <w:rsid w:val="001C3C1F"/>
    <w:rsid w:val="001C4808"/>
    <w:rsid w:val="001D4888"/>
    <w:rsid w:val="001D4E62"/>
    <w:rsid w:val="001D5BEE"/>
    <w:rsid w:val="001D60C0"/>
    <w:rsid w:val="001F0E32"/>
    <w:rsid w:val="001F4B0A"/>
    <w:rsid w:val="001F6D2F"/>
    <w:rsid w:val="00201EC3"/>
    <w:rsid w:val="002035BF"/>
    <w:rsid w:val="00214D23"/>
    <w:rsid w:val="002230E3"/>
    <w:rsid w:val="00223E8F"/>
    <w:rsid w:val="002253B6"/>
    <w:rsid w:val="0023161F"/>
    <w:rsid w:val="00243E3F"/>
    <w:rsid w:val="00245202"/>
    <w:rsid w:val="00246239"/>
    <w:rsid w:val="002468A7"/>
    <w:rsid w:val="0025021D"/>
    <w:rsid w:val="00254098"/>
    <w:rsid w:val="0026613C"/>
    <w:rsid w:val="00273406"/>
    <w:rsid w:val="002753A1"/>
    <w:rsid w:val="00277551"/>
    <w:rsid w:val="00281874"/>
    <w:rsid w:val="0028665C"/>
    <w:rsid w:val="0029390A"/>
    <w:rsid w:val="002A39C7"/>
    <w:rsid w:val="002A3BCF"/>
    <w:rsid w:val="002A5310"/>
    <w:rsid w:val="002A6BED"/>
    <w:rsid w:val="002C12BC"/>
    <w:rsid w:val="002C4C34"/>
    <w:rsid w:val="002D2B80"/>
    <w:rsid w:val="002D480B"/>
    <w:rsid w:val="002E1978"/>
    <w:rsid w:val="002F42B8"/>
    <w:rsid w:val="002F6F94"/>
    <w:rsid w:val="002F7E24"/>
    <w:rsid w:val="003007E6"/>
    <w:rsid w:val="00301EAE"/>
    <w:rsid w:val="00301FD7"/>
    <w:rsid w:val="0030212E"/>
    <w:rsid w:val="003026EB"/>
    <w:rsid w:val="00302CF5"/>
    <w:rsid w:val="003049C7"/>
    <w:rsid w:val="0031514A"/>
    <w:rsid w:val="0031562F"/>
    <w:rsid w:val="00320783"/>
    <w:rsid w:val="00322AE9"/>
    <w:rsid w:val="003260C7"/>
    <w:rsid w:val="003353F5"/>
    <w:rsid w:val="00340AC8"/>
    <w:rsid w:val="00345E1C"/>
    <w:rsid w:val="0035542D"/>
    <w:rsid w:val="00357E22"/>
    <w:rsid w:val="00360658"/>
    <w:rsid w:val="00361478"/>
    <w:rsid w:val="003707A2"/>
    <w:rsid w:val="003736AC"/>
    <w:rsid w:val="00374674"/>
    <w:rsid w:val="00377E1B"/>
    <w:rsid w:val="00380082"/>
    <w:rsid w:val="00382293"/>
    <w:rsid w:val="00383156"/>
    <w:rsid w:val="00383425"/>
    <w:rsid w:val="00384507"/>
    <w:rsid w:val="00386152"/>
    <w:rsid w:val="00386B09"/>
    <w:rsid w:val="00387BBC"/>
    <w:rsid w:val="00387CA1"/>
    <w:rsid w:val="00393843"/>
    <w:rsid w:val="00394A69"/>
    <w:rsid w:val="0039548C"/>
    <w:rsid w:val="003A12C4"/>
    <w:rsid w:val="003A1C83"/>
    <w:rsid w:val="003A3FC4"/>
    <w:rsid w:val="003B4515"/>
    <w:rsid w:val="003C24DE"/>
    <w:rsid w:val="003C78FA"/>
    <w:rsid w:val="003D0F7C"/>
    <w:rsid w:val="003D1B94"/>
    <w:rsid w:val="003D6548"/>
    <w:rsid w:val="003E25FB"/>
    <w:rsid w:val="003E4253"/>
    <w:rsid w:val="003E62BC"/>
    <w:rsid w:val="003E7A58"/>
    <w:rsid w:val="003F2236"/>
    <w:rsid w:val="003F2BA3"/>
    <w:rsid w:val="003F31BD"/>
    <w:rsid w:val="003F4EE1"/>
    <w:rsid w:val="003F7144"/>
    <w:rsid w:val="003F7FF5"/>
    <w:rsid w:val="0040213E"/>
    <w:rsid w:val="00402998"/>
    <w:rsid w:val="00403849"/>
    <w:rsid w:val="00406772"/>
    <w:rsid w:val="004150BA"/>
    <w:rsid w:val="004168CB"/>
    <w:rsid w:val="00416A7B"/>
    <w:rsid w:val="004211FA"/>
    <w:rsid w:val="0042227D"/>
    <w:rsid w:val="004224E1"/>
    <w:rsid w:val="00424723"/>
    <w:rsid w:val="00425815"/>
    <w:rsid w:val="004269E2"/>
    <w:rsid w:val="004270A8"/>
    <w:rsid w:val="00430389"/>
    <w:rsid w:val="00430D89"/>
    <w:rsid w:val="00432814"/>
    <w:rsid w:val="00432FAE"/>
    <w:rsid w:val="00433C67"/>
    <w:rsid w:val="00433E19"/>
    <w:rsid w:val="00440DE3"/>
    <w:rsid w:val="00447745"/>
    <w:rsid w:val="00447956"/>
    <w:rsid w:val="00450F08"/>
    <w:rsid w:val="00455545"/>
    <w:rsid w:val="004579FB"/>
    <w:rsid w:val="00467F77"/>
    <w:rsid w:val="00471300"/>
    <w:rsid w:val="0047256F"/>
    <w:rsid w:val="00475103"/>
    <w:rsid w:val="00477A81"/>
    <w:rsid w:val="00477CD1"/>
    <w:rsid w:val="00480BDB"/>
    <w:rsid w:val="00483A7E"/>
    <w:rsid w:val="004849BB"/>
    <w:rsid w:val="004857F6"/>
    <w:rsid w:val="00490268"/>
    <w:rsid w:val="00491910"/>
    <w:rsid w:val="00491D4D"/>
    <w:rsid w:val="00496046"/>
    <w:rsid w:val="00497536"/>
    <w:rsid w:val="00497572"/>
    <w:rsid w:val="00497735"/>
    <w:rsid w:val="004A1D38"/>
    <w:rsid w:val="004A59E5"/>
    <w:rsid w:val="004A7C12"/>
    <w:rsid w:val="004B1658"/>
    <w:rsid w:val="004B773D"/>
    <w:rsid w:val="004C09AA"/>
    <w:rsid w:val="004C4E69"/>
    <w:rsid w:val="004D43F5"/>
    <w:rsid w:val="004D55D4"/>
    <w:rsid w:val="004D5983"/>
    <w:rsid w:val="004D63F2"/>
    <w:rsid w:val="004D6555"/>
    <w:rsid w:val="004D6896"/>
    <w:rsid w:val="004E3D73"/>
    <w:rsid w:val="004E7976"/>
    <w:rsid w:val="004F2163"/>
    <w:rsid w:val="004F3056"/>
    <w:rsid w:val="004F7002"/>
    <w:rsid w:val="00500786"/>
    <w:rsid w:val="00505263"/>
    <w:rsid w:val="005127CB"/>
    <w:rsid w:val="00522073"/>
    <w:rsid w:val="005229CC"/>
    <w:rsid w:val="00522B4B"/>
    <w:rsid w:val="00530CAD"/>
    <w:rsid w:val="0054069D"/>
    <w:rsid w:val="00540E31"/>
    <w:rsid w:val="00540F5C"/>
    <w:rsid w:val="00542050"/>
    <w:rsid w:val="00543FA4"/>
    <w:rsid w:val="00545CA7"/>
    <w:rsid w:val="0055229B"/>
    <w:rsid w:val="0055391D"/>
    <w:rsid w:val="00566726"/>
    <w:rsid w:val="0057157A"/>
    <w:rsid w:val="00577059"/>
    <w:rsid w:val="00585CA2"/>
    <w:rsid w:val="00586281"/>
    <w:rsid w:val="0059201B"/>
    <w:rsid w:val="00593F37"/>
    <w:rsid w:val="00595248"/>
    <w:rsid w:val="005A236C"/>
    <w:rsid w:val="005A358C"/>
    <w:rsid w:val="005A510D"/>
    <w:rsid w:val="005A6124"/>
    <w:rsid w:val="005B3AF1"/>
    <w:rsid w:val="005C3057"/>
    <w:rsid w:val="005C4D54"/>
    <w:rsid w:val="005D1160"/>
    <w:rsid w:val="005D1791"/>
    <w:rsid w:val="005D6D4F"/>
    <w:rsid w:val="005D7E03"/>
    <w:rsid w:val="005F0AEA"/>
    <w:rsid w:val="005F4B65"/>
    <w:rsid w:val="006045FD"/>
    <w:rsid w:val="00611CF0"/>
    <w:rsid w:val="006146CC"/>
    <w:rsid w:val="00617301"/>
    <w:rsid w:val="00620DE7"/>
    <w:rsid w:val="00621F3E"/>
    <w:rsid w:val="00624631"/>
    <w:rsid w:val="00632DBD"/>
    <w:rsid w:val="00634B10"/>
    <w:rsid w:val="006371BF"/>
    <w:rsid w:val="0064439B"/>
    <w:rsid w:val="00644990"/>
    <w:rsid w:val="00651F05"/>
    <w:rsid w:val="006549D9"/>
    <w:rsid w:val="006613D9"/>
    <w:rsid w:val="006615F2"/>
    <w:rsid w:val="00661E21"/>
    <w:rsid w:val="00663267"/>
    <w:rsid w:val="00664A8F"/>
    <w:rsid w:val="00664B82"/>
    <w:rsid w:val="00670737"/>
    <w:rsid w:val="00673AF4"/>
    <w:rsid w:val="00675394"/>
    <w:rsid w:val="00685672"/>
    <w:rsid w:val="00687E32"/>
    <w:rsid w:val="00687E3A"/>
    <w:rsid w:val="00694B53"/>
    <w:rsid w:val="00695217"/>
    <w:rsid w:val="00697934"/>
    <w:rsid w:val="006B082C"/>
    <w:rsid w:val="006B6837"/>
    <w:rsid w:val="006C5B42"/>
    <w:rsid w:val="006D4799"/>
    <w:rsid w:val="006E5E5C"/>
    <w:rsid w:val="006E742C"/>
    <w:rsid w:val="006F52FC"/>
    <w:rsid w:val="006F5AF7"/>
    <w:rsid w:val="006F6047"/>
    <w:rsid w:val="0070023E"/>
    <w:rsid w:val="00700DB7"/>
    <w:rsid w:val="0070124D"/>
    <w:rsid w:val="00701255"/>
    <w:rsid w:val="00703DAC"/>
    <w:rsid w:val="00710146"/>
    <w:rsid w:val="007102FC"/>
    <w:rsid w:val="00711880"/>
    <w:rsid w:val="00711E02"/>
    <w:rsid w:val="007122E0"/>
    <w:rsid w:val="00714E71"/>
    <w:rsid w:val="007152BF"/>
    <w:rsid w:val="0072475A"/>
    <w:rsid w:val="00724EAF"/>
    <w:rsid w:val="007277C6"/>
    <w:rsid w:val="007306AA"/>
    <w:rsid w:val="00737644"/>
    <w:rsid w:val="00741C24"/>
    <w:rsid w:val="0074235D"/>
    <w:rsid w:val="00742806"/>
    <w:rsid w:val="00745D63"/>
    <w:rsid w:val="00746E9B"/>
    <w:rsid w:val="00750DB0"/>
    <w:rsid w:val="00751493"/>
    <w:rsid w:val="00754FBF"/>
    <w:rsid w:val="007601C6"/>
    <w:rsid w:val="00760DAF"/>
    <w:rsid w:val="007706B2"/>
    <w:rsid w:val="00772E54"/>
    <w:rsid w:val="00773A85"/>
    <w:rsid w:val="00780216"/>
    <w:rsid w:val="0078120E"/>
    <w:rsid w:val="00781869"/>
    <w:rsid w:val="00782894"/>
    <w:rsid w:val="00787DF9"/>
    <w:rsid w:val="00795009"/>
    <w:rsid w:val="007957B1"/>
    <w:rsid w:val="007A35CB"/>
    <w:rsid w:val="007A39E5"/>
    <w:rsid w:val="007A430E"/>
    <w:rsid w:val="007A5AE1"/>
    <w:rsid w:val="007B1CC6"/>
    <w:rsid w:val="007B420C"/>
    <w:rsid w:val="007B7D21"/>
    <w:rsid w:val="007C13BD"/>
    <w:rsid w:val="007C4AC9"/>
    <w:rsid w:val="007C56F8"/>
    <w:rsid w:val="007D0457"/>
    <w:rsid w:val="007D1DEB"/>
    <w:rsid w:val="007D4A96"/>
    <w:rsid w:val="007E3C96"/>
    <w:rsid w:val="007F276C"/>
    <w:rsid w:val="007F3540"/>
    <w:rsid w:val="007F5A5F"/>
    <w:rsid w:val="00802867"/>
    <w:rsid w:val="0080392B"/>
    <w:rsid w:val="00806C81"/>
    <w:rsid w:val="00810A16"/>
    <w:rsid w:val="008162D1"/>
    <w:rsid w:val="00817A38"/>
    <w:rsid w:val="00817D85"/>
    <w:rsid w:val="00822EDC"/>
    <w:rsid w:val="00823E1F"/>
    <w:rsid w:val="00826D5A"/>
    <w:rsid w:val="0083034A"/>
    <w:rsid w:val="008310CF"/>
    <w:rsid w:val="00835345"/>
    <w:rsid w:val="008360AD"/>
    <w:rsid w:val="00837D7D"/>
    <w:rsid w:val="0084199E"/>
    <w:rsid w:val="0084204C"/>
    <w:rsid w:val="008567E3"/>
    <w:rsid w:val="0086059B"/>
    <w:rsid w:val="00862920"/>
    <w:rsid w:val="00871943"/>
    <w:rsid w:val="00873E35"/>
    <w:rsid w:val="008800C1"/>
    <w:rsid w:val="00880936"/>
    <w:rsid w:val="00880C45"/>
    <w:rsid w:val="008879C5"/>
    <w:rsid w:val="00897F89"/>
    <w:rsid w:val="008A0F13"/>
    <w:rsid w:val="008A6D52"/>
    <w:rsid w:val="008B1C62"/>
    <w:rsid w:val="008B46E5"/>
    <w:rsid w:val="008B7429"/>
    <w:rsid w:val="008C0DBE"/>
    <w:rsid w:val="008C3C3D"/>
    <w:rsid w:val="008C4606"/>
    <w:rsid w:val="008C5C9B"/>
    <w:rsid w:val="008C64B2"/>
    <w:rsid w:val="008D0387"/>
    <w:rsid w:val="008D4DF3"/>
    <w:rsid w:val="008D566D"/>
    <w:rsid w:val="008D6969"/>
    <w:rsid w:val="008D7532"/>
    <w:rsid w:val="008F026B"/>
    <w:rsid w:val="008F0E54"/>
    <w:rsid w:val="008F1B52"/>
    <w:rsid w:val="008F1C30"/>
    <w:rsid w:val="008F24EE"/>
    <w:rsid w:val="008F2652"/>
    <w:rsid w:val="008F2BA7"/>
    <w:rsid w:val="008F4493"/>
    <w:rsid w:val="00900BD2"/>
    <w:rsid w:val="00901557"/>
    <w:rsid w:val="00901676"/>
    <w:rsid w:val="00901E6A"/>
    <w:rsid w:val="00902E76"/>
    <w:rsid w:val="00911C03"/>
    <w:rsid w:val="00911C2B"/>
    <w:rsid w:val="0091212B"/>
    <w:rsid w:val="009210E8"/>
    <w:rsid w:val="009214E2"/>
    <w:rsid w:val="00924665"/>
    <w:rsid w:val="00933F80"/>
    <w:rsid w:val="0093434A"/>
    <w:rsid w:val="00940813"/>
    <w:rsid w:val="00941766"/>
    <w:rsid w:val="00942223"/>
    <w:rsid w:val="00956DA2"/>
    <w:rsid w:val="00961F9A"/>
    <w:rsid w:val="00965004"/>
    <w:rsid w:val="00967439"/>
    <w:rsid w:val="009705EE"/>
    <w:rsid w:val="009730CE"/>
    <w:rsid w:val="0097486A"/>
    <w:rsid w:val="00980220"/>
    <w:rsid w:val="00981205"/>
    <w:rsid w:val="0098395F"/>
    <w:rsid w:val="009842D4"/>
    <w:rsid w:val="00986FEF"/>
    <w:rsid w:val="00996286"/>
    <w:rsid w:val="009A4799"/>
    <w:rsid w:val="009A5798"/>
    <w:rsid w:val="009B7F6D"/>
    <w:rsid w:val="009D3549"/>
    <w:rsid w:val="009E29A6"/>
    <w:rsid w:val="009E3ECE"/>
    <w:rsid w:val="009F0CAE"/>
    <w:rsid w:val="009F2E2B"/>
    <w:rsid w:val="009F3060"/>
    <w:rsid w:val="009F5813"/>
    <w:rsid w:val="00A034E5"/>
    <w:rsid w:val="00A0511A"/>
    <w:rsid w:val="00A0768B"/>
    <w:rsid w:val="00A147F6"/>
    <w:rsid w:val="00A15ACE"/>
    <w:rsid w:val="00A21194"/>
    <w:rsid w:val="00A24C22"/>
    <w:rsid w:val="00A25C52"/>
    <w:rsid w:val="00A26DB6"/>
    <w:rsid w:val="00A26DEE"/>
    <w:rsid w:val="00A2765D"/>
    <w:rsid w:val="00A37038"/>
    <w:rsid w:val="00A378E5"/>
    <w:rsid w:val="00A400E0"/>
    <w:rsid w:val="00A4379F"/>
    <w:rsid w:val="00A45ECE"/>
    <w:rsid w:val="00A467BD"/>
    <w:rsid w:val="00A53225"/>
    <w:rsid w:val="00A558CB"/>
    <w:rsid w:val="00A64CA8"/>
    <w:rsid w:val="00A64DC6"/>
    <w:rsid w:val="00A6558B"/>
    <w:rsid w:val="00A7365C"/>
    <w:rsid w:val="00A73868"/>
    <w:rsid w:val="00A8589E"/>
    <w:rsid w:val="00A8702B"/>
    <w:rsid w:val="00AA70ED"/>
    <w:rsid w:val="00AB0E06"/>
    <w:rsid w:val="00AB33F4"/>
    <w:rsid w:val="00AB5365"/>
    <w:rsid w:val="00AB7C4A"/>
    <w:rsid w:val="00AB7EEB"/>
    <w:rsid w:val="00AC5598"/>
    <w:rsid w:val="00AC5837"/>
    <w:rsid w:val="00AD24EF"/>
    <w:rsid w:val="00AD3B2F"/>
    <w:rsid w:val="00AE5822"/>
    <w:rsid w:val="00AE616C"/>
    <w:rsid w:val="00AF2259"/>
    <w:rsid w:val="00AF3280"/>
    <w:rsid w:val="00AF634C"/>
    <w:rsid w:val="00B00068"/>
    <w:rsid w:val="00B04EDB"/>
    <w:rsid w:val="00B05045"/>
    <w:rsid w:val="00B06A24"/>
    <w:rsid w:val="00B14389"/>
    <w:rsid w:val="00B144A3"/>
    <w:rsid w:val="00B14A51"/>
    <w:rsid w:val="00B251D5"/>
    <w:rsid w:val="00B32D00"/>
    <w:rsid w:val="00B339C2"/>
    <w:rsid w:val="00B36950"/>
    <w:rsid w:val="00B40CD2"/>
    <w:rsid w:val="00B4406B"/>
    <w:rsid w:val="00B552F3"/>
    <w:rsid w:val="00B6429B"/>
    <w:rsid w:val="00B741DB"/>
    <w:rsid w:val="00B866C5"/>
    <w:rsid w:val="00B9314A"/>
    <w:rsid w:val="00B96299"/>
    <w:rsid w:val="00B96E71"/>
    <w:rsid w:val="00B97262"/>
    <w:rsid w:val="00B975F7"/>
    <w:rsid w:val="00B97E8B"/>
    <w:rsid w:val="00BA110E"/>
    <w:rsid w:val="00BB0DD6"/>
    <w:rsid w:val="00BB15D7"/>
    <w:rsid w:val="00BB4668"/>
    <w:rsid w:val="00BB4CB6"/>
    <w:rsid w:val="00BB5C27"/>
    <w:rsid w:val="00BB7430"/>
    <w:rsid w:val="00BB79AE"/>
    <w:rsid w:val="00BC016F"/>
    <w:rsid w:val="00BC02E8"/>
    <w:rsid w:val="00BC124A"/>
    <w:rsid w:val="00BC5AD6"/>
    <w:rsid w:val="00BC7EE6"/>
    <w:rsid w:val="00BD13FF"/>
    <w:rsid w:val="00BD6202"/>
    <w:rsid w:val="00BD67B1"/>
    <w:rsid w:val="00BF2ACB"/>
    <w:rsid w:val="00BF4D00"/>
    <w:rsid w:val="00BF6472"/>
    <w:rsid w:val="00BF7C11"/>
    <w:rsid w:val="00C018AC"/>
    <w:rsid w:val="00C052A9"/>
    <w:rsid w:val="00C078E8"/>
    <w:rsid w:val="00C12D0B"/>
    <w:rsid w:val="00C2251F"/>
    <w:rsid w:val="00C30BFB"/>
    <w:rsid w:val="00C31604"/>
    <w:rsid w:val="00C41B92"/>
    <w:rsid w:val="00C43CA0"/>
    <w:rsid w:val="00C47342"/>
    <w:rsid w:val="00C52D83"/>
    <w:rsid w:val="00C53355"/>
    <w:rsid w:val="00C53C69"/>
    <w:rsid w:val="00C53EE6"/>
    <w:rsid w:val="00C54A33"/>
    <w:rsid w:val="00C55060"/>
    <w:rsid w:val="00C57607"/>
    <w:rsid w:val="00C57FA2"/>
    <w:rsid w:val="00C70BC8"/>
    <w:rsid w:val="00C728C6"/>
    <w:rsid w:val="00C7549A"/>
    <w:rsid w:val="00C77684"/>
    <w:rsid w:val="00C859EC"/>
    <w:rsid w:val="00C87516"/>
    <w:rsid w:val="00C91CDA"/>
    <w:rsid w:val="00C97812"/>
    <w:rsid w:val="00CB2314"/>
    <w:rsid w:val="00CB3811"/>
    <w:rsid w:val="00CB4C21"/>
    <w:rsid w:val="00CC0071"/>
    <w:rsid w:val="00CC041A"/>
    <w:rsid w:val="00CC4EAF"/>
    <w:rsid w:val="00CC6CB4"/>
    <w:rsid w:val="00CD239A"/>
    <w:rsid w:val="00CD3696"/>
    <w:rsid w:val="00CE1432"/>
    <w:rsid w:val="00CE2C4C"/>
    <w:rsid w:val="00CF1FB5"/>
    <w:rsid w:val="00CF69DF"/>
    <w:rsid w:val="00CF6F38"/>
    <w:rsid w:val="00D069C9"/>
    <w:rsid w:val="00D163C7"/>
    <w:rsid w:val="00D16C4B"/>
    <w:rsid w:val="00D249DC"/>
    <w:rsid w:val="00D2756B"/>
    <w:rsid w:val="00D30A57"/>
    <w:rsid w:val="00D31837"/>
    <w:rsid w:val="00D346D7"/>
    <w:rsid w:val="00D5033E"/>
    <w:rsid w:val="00D5086A"/>
    <w:rsid w:val="00D51DED"/>
    <w:rsid w:val="00D53A8F"/>
    <w:rsid w:val="00D56AAD"/>
    <w:rsid w:val="00D60586"/>
    <w:rsid w:val="00D64E8B"/>
    <w:rsid w:val="00D67E46"/>
    <w:rsid w:val="00D705F9"/>
    <w:rsid w:val="00D729A8"/>
    <w:rsid w:val="00D72EB2"/>
    <w:rsid w:val="00D84355"/>
    <w:rsid w:val="00D862E7"/>
    <w:rsid w:val="00D87AA3"/>
    <w:rsid w:val="00D93A30"/>
    <w:rsid w:val="00D965A8"/>
    <w:rsid w:val="00DA38A4"/>
    <w:rsid w:val="00DA6643"/>
    <w:rsid w:val="00DB0BFB"/>
    <w:rsid w:val="00DB4688"/>
    <w:rsid w:val="00DB576B"/>
    <w:rsid w:val="00DB5835"/>
    <w:rsid w:val="00DB7A08"/>
    <w:rsid w:val="00DD17AA"/>
    <w:rsid w:val="00DD5C43"/>
    <w:rsid w:val="00DE1BF0"/>
    <w:rsid w:val="00DE38A8"/>
    <w:rsid w:val="00DE6CFA"/>
    <w:rsid w:val="00DE7123"/>
    <w:rsid w:val="00DE73D1"/>
    <w:rsid w:val="00E009D9"/>
    <w:rsid w:val="00E07B91"/>
    <w:rsid w:val="00E12334"/>
    <w:rsid w:val="00E128B9"/>
    <w:rsid w:val="00E12E28"/>
    <w:rsid w:val="00E14D9D"/>
    <w:rsid w:val="00E23440"/>
    <w:rsid w:val="00E250CD"/>
    <w:rsid w:val="00E35C4F"/>
    <w:rsid w:val="00E36222"/>
    <w:rsid w:val="00E420BC"/>
    <w:rsid w:val="00E4328A"/>
    <w:rsid w:val="00E45687"/>
    <w:rsid w:val="00E47EAF"/>
    <w:rsid w:val="00E52B9D"/>
    <w:rsid w:val="00E560B5"/>
    <w:rsid w:val="00E63C2D"/>
    <w:rsid w:val="00E64BA9"/>
    <w:rsid w:val="00E66097"/>
    <w:rsid w:val="00E70863"/>
    <w:rsid w:val="00E716B5"/>
    <w:rsid w:val="00E734AF"/>
    <w:rsid w:val="00E7453C"/>
    <w:rsid w:val="00E800E8"/>
    <w:rsid w:val="00E82D51"/>
    <w:rsid w:val="00E8601B"/>
    <w:rsid w:val="00E87355"/>
    <w:rsid w:val="00E91F8D"/>
    <w:rsid w:val="00E958D7"/>
    <w:rsid w:val="00EA44B2"/>
    <w:rsid w:val="00EA4C94"/>
    <w:rsid w:val="00EA58FA"/>
    <w:rsid w:val="00EA69A6"/>
    <w:rsid w:val="00EB39C8"/>
    <w:rsid w:val="00EB57EA"/>
    <w:rsid w:val="00EC0424"/>
    <w:rsid w:val="00EC38ED"/>
    <w:rsid w:val="00EC3E24"/>
    <w:rsid w:val="00EC40F6"/>
    <w:rsid w:val="00ED5B39"/>
    <w:rsid w:val="00ED72BB"/>
    <w:rsid w:val="00EE50B9"/>
    <w:rsid w:val="00EF3DBD"/>
    <w:rsid w:val="00EF55F9"/>
    <w:rsid w:val="00EF7FBA"/>
    <w:rsid w:val="00F01167"/>
    <w:rsid w:val="00F0772F"/>
    <w:rsid w:val="00F1441F"/>
    <w:rsid w:val="00F16FD3"/>
    <w:rsid w:val="00F21FEF"/>
    <w:rsid w:val="00F2260D"/>
    <w:rsid w:val="00F24877"/>
    <w:rsid w:val="00F260CE"/>
    <w:rsid w:val="00F34FD4"/>
    <w:rsid w:val="00F41540"/>
    <w:rsid w:val="00F43CFC"/>
    <w:rsid w:val="00F44240"/>
    <w:rsid w:val="00F44535"/>
    <w:rsid w:val="00F449DD"/>
    <w:rsid w:val="00F476AA"/>
    <w:rsid w:val="00F52B69"/>
    <w:rsid w:val="00F532EA"/>
    <w:rsid w:val="00F53A99"/>
    <w:rsid w:val="00F57B57"/>
    <w:rsid w:val="00F6085F"/>
    <w:rsid w:val="00F713AF"/>
    <w:rsid w:val="00F71BFD"/>
    <w:rsid w:val="00F758C9"/>
    <w:rsid w:val="00F825E8"/>
    <w:rsid w:val="00F85EFA"/>
    <w:rsid w:val="00F875F6"/>
    <w:rsid w:val="00F87ACB"/>
    <w:rsid w:val="00F91B32"/>
    <w:rsid w:val="00F949FF"/>
    <w:rsid w:val="00F97733"/>
    <w:rsid w:val="00FA5BD0"/>
    <w:rsid w:val="00FB17C2"/>
    <w:rsid w:val="00FB2AB1"/>
    <w:rsid w:val="00FB3B87"/>
    <w:rsid w:val="00FB5480"/>
    <w:rsid w:val="00FC67B2"/>
    <w:rsid w:val="00FC74CA"/>
    <w:rsid w:val="00FC7C84"/>
    <w:rsid w:val="00FD0B2C"/>
    <w:rsid w:val="00FD3474"/>
    <w:rsid w:val="00FD7CE1"/>
    <w:rsid w:val="00FE09DF"/>
    <w:rsid w:val="00FE2726"/>
    <w:rsid w:val="00FE2A0F"/>
    <w:rsid w:val="00FE3D08"/>
    <w:rsid w:val="00FE7AE7"/>
    <w:rsid w:val="00FF016C"/>
    <w:rsid w:val="00FF0BD7"/>
    <w:rsid w:val="00FF190B"/>
    <w:rsid w:val="00FF3A06"/>
    <w:rsid w:val="00FF54F4"/>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F91B32"/>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F91B32"/>
    <w:rPr>
      <w:sz w:val="16"/>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572B-2F5A-4A2E-8A5F-60A8BF776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AC5D1D-216D-4F58-AAA7-BB8B488C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3365</Words>
  <Characters>18510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Windows User</cp:lastModifiedBy>
  <cp:revision>9</cp:revision>
  <dcterms:created xsi:type="dcterms:W3CDTF">2020-09-04T13:10:00Z</dcterms:created>
  <dcterms:modified xsi:type="dcterms:W3CDTF">2020-09-15T17:11:00Z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