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9BBE7" w14:textId="6C31E738" w:rsidR="001A40E4" w:rsidRPr="004B22E0" w:rsidRDefault="0042378A" w:rsidP="006E0C45">
      <w:pPr>
        <w:tabs>
          <w:tab w:val="left" w:pos="1995"/>
        </w:tabs>
        <w:spacing w:after="0" w:line="360" w:lineRule="auto"/>
        <w:jc w:val="center"/>
        <w:rPr>
          <w:rFonts w:ascii="Arial" w:hAnsi="Arial" w:cs="Arial"/>
          <w:b/>
          <w:sz w:val="24"/>
          <w:szCs w:val="24"/>
        </w:rPr>
      </w:pPr>
      <w:r w:rsidRPr="004B22E0">
        <w:rPr>
          <w:rFonts w:ascii="Arial" w:hAnsi="Arial" w:cs="Arial"/>
          <w:b/>
          <w:sz w:val="24"/>
          <w:szCs w:val="24"/>
        </w:rPr>
        <w:t xml:space="preserve">            </w:t>
      </w:r>
      <w:r w:rsidR="005C5077" w:rsidRPr="004B22E0">
        <w:rPr>
          <w:rFonts w:ascii="Arial" w:hAnsi="Arial" w:cs="Arial"/>
          <w:b/>
          <w:sz w:val="24"/>
          <w:szCs w:val="24"/>
        </w:rPr>
        <w:t>Consejero Ponente: NICOLÁS YEPES CORRALES</w:t>
      </w:r>
    </w:p>
    <w:p w14:paraId="306873F8" w14:textId="4BD09C13" w:rsidR="00C167E1" w:rsidRPr="004B22E0" w:rsidRDefault="00C167E1" w:rsidP="006E0C45">
      <w:pPr>
        <w:pStyle w:val="Sangradetextonormal"/>
        <w:tabs>
          <w:tab w:val="left" w:pos="3810"/>
        </w:tabs>
        <w:spacing w:after="0" w:line="360" w:lineRule="auto"/>
        <w:ind w:left="0"/>
        <w:jc w:val="center"/>
        <w:rPr>
          <w:rFonts w:ascii="Arial" w:hAnsi="Arial" w:cs="Arial"/>
          <w:b/>
          <w:lang w:val="es-CO"/>
        </w:rPr>
      </w:pPr>
    </w:p>
    <w:p w14:paraId="33A3E0A9" w14:textId="2463BD09" w:rsidR="004B22E0" w:rsidRPr="004B22E0" w:rsidRDefault="00741161" w:rsidP="006E0C45">
      <w:pPr>
        <w:pStyle w:val="Textoindependiente"/>
        <w:spacing w:after="0" w:line="360" w:lineRule="auto"/>
        <w:ind w:left="119"/>
        <w:rPr>
          <w:rFonts w:ascii="Arial" w:hAnsi="Arial" w:cs="Arial"/>
          <w:sz w:val="24"/>
          <w:szCs w:val="24"/>
        </w:rPr>
      </w:pPr>
      <w:r>
        <w:rPr>
          <w:rFonts w:ascii="Arial" w:hAnsi="Arial" w:cs="Arial"/>
          <w:sz w:val="24"/>
          <w:szCs w:val="24"/>
        </w:rPr>
        <w:t>Bogotá D.C., veinti</w:t>
      </w:r>
      <w:r w:rsidR="00CD1BCE">
        <w:rPr>
          <w:rFonts w:ascii="Arial" w:hAnsi="Arial" w:cs="Arial"/>
          <w:sz w:val="24"/>
          <w:szCs w:val="24"/>
        </w:rPr>
        <w:t>ocho</w:t>
      </w:r>
      <w:r>
        <w:rPr>
          <w:rFonts w:ascii="Arial" w:hAnsi="Arial" w:cs="Arial"/>
          <w:sz w:val="24"/>
          <w:szCs w:val="24"/>
        </w:rPr>
        <w:t xml:space="preserve"> (2</w:t>
      </w:r>
      <w:r w:rsidR="00CD1BCE">
        <w:rPr>
          <w:rFonts w:ascii="Arial" w:hAnsi="Arial" w:cs="Arial"/>
          <w:sz w:val="24"/>
          <w:szCs w:val="24"/>
        </w:rPr>
        <w:t>8</w:t>
      </w:r>
      <w:r w:rsidR="004B22E0" w:rsidRPr="004B22E0">
        <w:rPr>
          <w:rFonts w:ascii="Arial" w:hAnsi="Arial" w:cs="Arial"/>
          <w:sz w:val="24"/>
          <w:szCs w:val="24"/>
        </w:rPr>
        <w:t xml:space="preserve">) de </w:t>
      </w:r>
      <w:r>
        <w:rPr>
          <w:rFonts w:ascii="Arial" w:hAnsi="Arial" w:cs="Arial"/>
          <w:sz w:val="24"/>
          <w:szCs w:val="24"/>
        </w:rPr>
        <w:t>septiembre</w:t>
      </w:r>
      <w:r w:rsidR="004B22E0" w:rsidRPr="004B22E0">
        <w:rPr>
          <w:rFonts w:ascii="Arial" w:hAnsi="Arial" w:cs="Arial"/>
          <w:sz w:val="24"/>
          <w:szCs w:val="24"/>
        </w:rPr>
        <w:t xml:space="preserve"> de dos mil veinte (2020)</w:t>
      </w:r>
    </w:p>
    <w:p w14:paraId="48C45E74" w14:textId="77777777" w:rsidR="004B22E0" w:rsidRPr="004B22E0" w:rsidRDefault="004B22E0" w:rsidP="006E0C45">
      <w:pPr>
        <w:pStyle w:val="Textoindependiente"/>
        <w:spacing w:after="0" w:line="360" w:lineRule="auto"/>
        <w:rPr>
          <w:rFonts w:ascii="Arial" w:hAnsi="Arial" w:cs="Arial"/>
          <w:sz w:val="24"/>
          <w:szCs w:val="24"/>
        </w:rPr>
      </w:pPr>
    </w:p>
    <w:p w14:paraId="30686B92" w14:textId="05BD12EE" w:rsidR="004B22E0" w:rsidRPr="00307850" w:rsidRDefault="004B22E0" w:rsidP="006E0C45">
      <w:pPr>
        <w:spacing w:after="0" w:line="240" w:lineRule="auto"/>
        <w:ind w:left="119"/>
        <w:jc w:val="both"/>
        <w:rPr>
          <w:rFonts w:ascii="Arial" w:hAnsi="Arial" w:cs="Arial"/>
          <w:sz w:val="24"/>
          <w:szCs w:val="24"/>
        </w:rPr>
      </w:pPr>
      <w:r w:rsidRPr="00307850">
        <w:rPr>
          <w:rFonts w:ascii="Arial" w:hAnsi="Arial" w:cs="Arial"/>
          <w:b/>
          <w:sz w:val="24"/>
          <w:szCs w:val="24"/>
        </w:rPr>
        <w:t xml:space="preserve">Radicación: </w:t>
      </w:r>
      <w:r w:rsidR="00741161">
        <w:rPr>
          <w:rFonts w:ascii="Arial" w:hAnsi="Arial" w:cs="Arial"/>
          <w:sz w:val="24"/>
          <w:szCs w:val="24"/>
        </w:rPr>
        <w:t>11001-03-15-000-2020-04128</w:t>
      </w:r>
      <w:r w:rsidR="00411F47" w:rsidRPr="00307850">
        <w:rPr>
          <w:rFonts w:ascii="Arial" w:hAnsi="Arial" w:cs="Arial"/>
          <w:sz w:val="24"/>
          <w:szCs w:val="24"/>
        </w:rPr>
        <w:t>-00</w:t>
      </w:r>
    </w:p>
    <w:p w14:paraId="30F39B4E" w14:textId="0410258F" w:rsidR="004B22E0" w:rsidRPr="00307850" w:rsidRDefault="004B22E0" w:rsidP="006E0C45">
      <w:pPr>
        <w:spacing w:after="0" w:line="240" w:lineRule="auto"/>
        <w:ind w:left="119"/>
        <w:jc w:val="both"/>
        <w:rPr>
          <w:rFonts w:ascii="Arial" w:hAnsi="Arial" w:cs="Arial"/>
          <w:sz w:val="24"/>
          <w:szCs w:val="24"/>
        </w:rPr>
      </w:pPr>
      <w:r w:rsidRPr="00307850">
        <w:rPr>
          <w:rFonts w:ascii="Arial" w:hAnsi="Arial" w:cs="Arial"/>
          <w:b/>
          <w:sz w:val="24"/>
          <w:szCs w:val="24"/>
        </w:rPr>
        <w:t xml:space="preserve">Actor: </w:t>
      </w:r>
      <w:r w:rsidR="00741161">
        <w:rPr>
          <w:rFonts w:ascii="Arial" w:hAnsi="Arial" w:cs="Arial"/>
          <w:sz w:val="24"/>
          <w:szCs w:val="24"/>
        </w:rPr>
        <w:t>Alfonso Bernate Díaz</w:t>
      </w:r>
    </w:p>
    <w:p w14:paraId="0C99BBF5" w14:textId="7CEFFC9D" w:rsidR="004B22E0" w:rsidRPr="00307850" w:rsidRDefault="00741161" w:rsidP="006E0C45">
      <w:pPr>
        <w:spacing w:after="0" w:line="240" w:lineRule="auto"/>
        <w:ind w:left="119"/>
        <w:jc w:val="both"/>
        <w:rPr>
          <w:rFonts w:ascii="Arial" w:hAnsi="Arial" w:cs="Arial"/>
          <w:sz w:val="24"/>
          <w:szCs w:val="24"/>
        </w:rPr>
      </w:pPr>
      <w:r>
        <w:rPr>
          <w:rFonts w:ascii="Arial" w:hAnsi="Arial" w:cs="Arial"/>
          <w:b/>
          <w:sz w:val="24"/>
          <w:szCs w:val="24"/>
        </w:rPr>
        <w:t>Accionados</w:t>
      </w:r>
      <w:r w:rsidR="006A6655" w:rsidRPr="00307850">
        <w:rPr>
          <w:rFonts w:ascii="Arial" w:hAnsi="Arial" w:cs="Arial"/>
          <w:b/>
          <w:sz w:val="24"/>
          <w:szCs w:val="24"/>
        </w:rPr>
        <w:t xml:space="preserve">: </w:t>
      </w:r>
      <w:r w:rsidR="00B326AB">
        <w:rPr>
          <w:rFonts w:ascii="Arial" w:hAnsi="Arial" w:cs="Arial"/>
          <w:sz w:val="24"/>
          <w:szCs w:val="24"/>
        </w:rPr>
        <w:t>Tribunal Administrativo del Tolima y</w:t>
      </w:r>
      <w:r w:rsidR="00B326AB" w:rsidRPr="00D56278">
        <w:rPr>
          <w:rFonts w:ascii="Arial" w:hAnsi="Arial" w:cs="Arial"/>
          <w:sz w:val="24"/>
          <w:szCs w:val="24"/>
        </w:rPr>
        <w:t xml:space="preserve"> </w:t>
      </w:r>
      <w:r w:rsidR="00B326AB" w:rsidRPr="00307850">
        <w:rPr>
          <w:rFonts w:ascii="Arial" w:hAnsi="Arial" w:cs="Arial"/>
          <w:sz w:val="24"/>
          <w:szCs w:val="24"/>
        </w:rPr>
        <w:t xml:space="preserve">Sección </w:t>
      </w:r>
      <w:r w:rsidR="00B326AB">
        <w:rPr>
          <w:rFonts w:ascii="Arial" w:hAnsi="Arial" w:cs="Arial"/>
          <w:sz w:val="24"/>
          <w:szCs w:val="24"/>
        </w:rPr>
        <w:t>Cuarta de la Sala de lo Contencioso Administrativo del Consejo de Estado</w:t>
      </w:r>
    </w:p>
    <w:p w14:paraId="00CC5776" w14:textId="77777777" w:rsidR="004B22E0" w:rsidRPr="00307850" w:rsidRDefault="004B22E0" w:rsidP="006E0C45">
      <w:pPr>
        <w:pStyle w:val="Textoindependiente"/>
        <w:spacing w:after="0" w:line="240" w:lineRule="auto"/>
        <w:ind w:left="119"/>
        <w:jc w:val="both"/>
        <w:rPr>
          <w:rFonts w:ascii="Arial" w:hAnsi="Arial" w:cs="Arial"/>
          <w:sz w:val="24"/>
          <w:szCs w:val="24"/>
        </w:rPr>
      </w:pPr>
      <w:r w:rsidRPr="00307850">
        <w:rPr>
          <w:rFonts w:ascii="Arial" w:hAnsi="Arial" w:cs="Arial"/>
          <w:b/>
          <w:sz w:val="24"/>
          <w:szCs w:val="24"/>
        </w:rPr>
        <w:t xml:space="preserve">Asunto: </w:t>
      </w:r>
      <w:r w:rsidRPr="00307850">
        <w:rPr>
          <w:rFonts w:ascii="Arial" w:hAnsi="Arial" w:cs="Arial"/>
          <w:sz w:val="24"/>
          <w:szCs w:val="24"/>
        </w:rPr>
        <w:t>Acción de tutela – Auto admisorio</w:t>
      </w:r>
    </w:p>
    <w:p w14:paraId="3A43F8D9" w14:textId="77777777" w:rsidR="004B22E0" w:rsidRPr="004B22E0" w:rsidRDefault="004B22E0" w:rsidP="006E0C45">
      <w:pPr>
        <w:pStyle w:val="Textoindependiente"/>
        <w:spacing w:after="0" w:line="360" w:lineRule="auto"/>
        <w:rPr>
          <w:rFonts w:ascii="Arial" w:hAnsi="Arial" w:cs="Arial"/>
          <w:sz w:val="24"/>
          <w:szCs w:val="24"/>
        </w:rPr>
      </w:pPr>
    </w:p>
    <w:p w14:paraId="2B67A8FE" w14:textId="77777777" w:rsidR="004B22E0" w:rsidRPr="004B22E0" w:rsidRDefault="004B22E0" w:rsidP="006E0C45">
      <w:pPr>
        <w:pStyle w:val="Ttulo1"/>
        <w:numPr>
          <w:ilvl w:val="0"/>
          <w:numId w:val="1"/>
        </w:numPr>
        <w:tabs>
          <w:tab w:val="left" w:pos="3659"/>
        </w:tabs>
        <w:spacing w:line="360" w:lineRule="auto"/>
        <w:ind w:right="0"/>
        <w:jc w:val="left"/>
      </w:pPr>
      <w:r w:rsidRPr="004B22E0">
        <w:t>ANTECEDENTES</w:t>
      </w:r>
    </w:p>
    <w:p w14:paraId="46CE601C" w14:textId="77777777" w:rsidR="004B22E0" w:rsidRPr="004B22E0" w:rsidRDefault="004B22E0" w:rsidP="006E0C45">
      <w:pPr>
        <w:pStyle w:val="Textoindependiente"/>
        <w:spacing w:after="0" w:line="360" w:lineRule="auto"/>
        <w:rPr>
          <w:rFonts w:ascii="Arial" w:hAnsi="Arial" w:cs="Arial"/>
          <w:b/>
          <w:sz w:val="24"/>
          <w:szCs w:val="24"/>
        </w:rPr>
      </w:pPr>
    </w:p>
    <w:p w14:paraId="7649F41A" w14:textId="073E3EF4" w:rsidR="004B22E0" w:rsidRPr="004B22E0" w:rsidRDefault="004B22E0" w:rsidP="006E0C45">
      <w:pPr>
        <w:pStyle w:val="Textoindependiente"/>
        <w:spacing w:after="0" w:line="360" w:lineRule="auto"/>
        <w:ind w:right="119"/>
        <w:jc w:val="both"/>
        <w:rPr>
          <w:rFonts w:ascii="Arial" w:hAnsi="Arial" w:cs="Arial"/>
          <w:sz w:val="24"/>
          <w:szCs w:val="24"/>
        </w:rPr>
      </w:pPr>
      <w:r w:rsidRPr="004B22E0">
        <w:rPr>
          <w:rFonts w:ascii="Arial" w:hAnsi="Arial" w:cs="Arial"/>
          <w:sz w:val="24"/>
          <w:szCs w:val="24"/>
        </w:rPr>
        <w:t xml:space="preserve">1.1.- El suscrito Consejero Ponente decide sobre la admisión de la acción de tutela presentada por </w:t>
      </w:r>
      <w:r w:rsidR="00741161">
        <w:rPr>
          <w:rFonts w:ascii="Arial" w:hAnsi="Arial" w:cs="Arial"/>
          <w:sz w:val="24"/>
          <w:szCs w:val="24"/>
        </w:rPr>
        <w:t>Alfonso Bernate Díaz</w:t>
      </w:r>
      <w:r w:rsidRPr="004B22E0">
        <w:rPr>
          <w:rStyle w:val="Refdenotaalpie"/>
          <w:rFonts w:ascii="Arial" w:hAnsi="Arial" w:cs="Arial"/>
          <w:sz w:val="24"/>
          <w:szCs w:val="24"/>
        </w:rPr>
        <w:footnoteReference w:id="1"/>
      </w:r>
      <w:r w:rsidRPr="004B22E0">
        <w:rPr>
          <w:rFonts w:ascii="Arial" w:hAnsi="Arial" w:cs="Arial"/>
          <w:sz w:val="24"/>
          <w:szCs w:val="24"/>
        </w:rPr>
        <w:t xml:space="preserve">, en procura de </w:t>
      </w:r>
      <w:r w:rsidR="00225C97">
        <w:rPr>
          <w:rFonts w:ascii="Arial" w:hAnsi="Arial" w:cs="Arial"/>
          <w:sz w:val="24"/>
          <w:szCs w:val="24"/>
        </w:rPr>
        <w:t>la protección de su</w:t>
      </w:r>
      <w:r w:rsidR="00741161">
        <w:rPr>
          <w:rFonts w:ascii="Arial" w:hAnsi="Arial" w:cs="Arial"/>
          <w:sz w:val="24"/>
          <w:szCs w:val="24"/>
        </w:rPr>
        <w:t>s</w:t>
      </w:r>
      <w:r w:rsidR="00225C97">
        <w:rPr>
          <w:rFonts w:ascii="Arial" w:hAnsi="Arial" w:cs="Arial"/>
          <w:sz w:val="24"/>
          <w:szCs w:val="24"/>
        </w:rPr>
        <w:t xml:space="preserve"> derecho</w:t>
      </w:r>
      <w:r w:rsidR="00741161">
        <w:rPr>
          <w:rFonts w:ascii="Arial" w:hAnsi="Arial" w:cs="Arial"/>
          <w:sz w:val="24"/>
          <w:szCs w:val="24"/>
        </w:rPr>
        <w:t>s</w:t>
      </w:r>
      <w:r w:rsidRPr="004B22E0">
        <w:rPr>
          <w:rFonts w:ascii="Arial" w:hAnsi="Arial" w:cs="Arial"/>
          <w:sz w:val="24"/>
          <w:szCs w:val="24"/>
        </w:rPr>
        <w:t xml:space="preserve"> </w:t>
      </w:r>
      <w:r w:rsidR="00225C97">
        <w:rPr>
          <w:rFonts w:ascii="Arial" w:hAnsi="Arial" w:cs="Arial"/>
          <w:sz w:val="24"/>
          <w:szCs w:val="24"/>
        </w:rPr>
        <w:t>fundamental</w:t>
      </w:r>
      <w:r w:rsidR="00741161">
        <w:rPr>
          <w:rFonts w:ascii="Arial" w:hAnsi="Arial" w:cs="Arial"/>
          <w:sz w:val="24"/>
          <w:szCs w:val="24"/>
        </w:rPr>
        <w:t>es</w:t>
      </w:r>
      <w:r w:rsidR="00225C97">
        <w:rPr>
          <w:rFonts w:ascii="Arial" w:hAnsi="Arial" w:cs="Arial"/>
          <w:sz w:val="24"/>
          <w:szCs w:val="24"/>
        </w:rPr>
        <w:t xml:space="preserve"> </w:t>
      </w:r>
      <w:r w:rsidR="00741161">
        <w:rPr>
          <w:rFonts w:ascii="Arial" w:hAnsi="Arial" w:cs="Arial"/>
          <w:sz w:val="24"/>
          <w:szCs w:val="24"/>
        </w:rPr>
        <w:t xml:space="preserve">al debido proceso, a la igualdad y </w:t>
      </w:r>
      <w:r w:rsidR="00225C97">
        <w:rPr>
          <w:rFonts w:ascii="Arial" w:hAnsi="Arial" w:cs="Arial"/>
          <w:sz w:val="24"/>
          <w:szCs w:val="24"/>
        </w:rPr>
        <w:t>de acceso a la administración de justicia.</w:t>
      </w:r>
    </w:p>
    <w:p w14:paraId="03F037E1" w14:textId="77777777" w:rsidR="004B22E0" w:rsidRDefault="004B22E0" w:rsidP="006E0C45">
      <w:pPr>
        <w:pStyle w:val="Textoindependiente"/>
        <w:spacing w:after="0" w:line="360" w:lineRule="auto"/>
        <w:ind w:left="119" w:right="120"/>
        <w:jc w:val="both"/>
        <w:rPr>
          <w:rFonts w:ascii="Arial" w:hAnsi="Arial" w:cs="Arial"/>
          <w:sz w:val="24"/>
          <w:szCs w:val="24"/>
        </w:rPr>
      </w:pPr>
    </w:p>
    <w:p w14:paraId="740EBE91" w14:textId="037B327B" w:rsidR="004B22E0" w:rsidRPr="003A123B" w:rsidRDefault="004B22E0" w:rsidP="006E0C45">
      <w:pPr>
        <w:pStyle w:val="Textoindependiente"/>
        <w:spacing w:after="0" w:line="360" w:lineRule="auto"/>
        <w:ind w:right="120"/>
        <w:jc w:val="both"/>
        <w:rPr>
          <w:rFonts w:ascii="Arial" w:hAnsi="Arial" w:cs="Arial"/>
          <w:sz w:val="24"/>
          <w:szCs w:val="24"/>
        </w:rPr>
      </w:pPr>
      <w:r w:rsidRPr="004B22E0">
        <w:rPr>
          <w:rFonts w:ascii="Arial" w:hAnsi="Arial" w:cs="Arial"/>
          <w:sz w:val="24"/>
          <w:szCs w:val="24"/>
        </w:rPr>
        <w:t>1.2</w:t>
      </w:r>
      <w:r w:rsidRPr="003A123B">
        <w:rPr>
          <w:rFonts w:ascii="Arial" w:hAnsi="Arial" w:cs="Arial"/>
          <w:sz w:val="24"/>
          <w:szCs w:val="24"/>
        </w:rPr>
        <w:t>.- El accionante estima que</w:t>
      </w:r>
      <w:r w:rsidR="0078124F">
        <w:rPr>
          <w:rFonts w:ascii="Arial" w:hAnsi="Arial" w:cs="Arial"/>
          <w:sz w:val="24"/>
          <w:szCs w:val="24"/>
        </w:rPr>
        <w:t xml:space="preserve"> </w:t>
      </w:r>
      <w:r w:rsidR="00225C97">
        <w:rPr>
          <w:rFonts w:ascii="Arial" w:hAnsi="Arial" w:cs="Arial"/>
          <w:sz w:val="24"/>
          <w:szCs w:val="24"/>
        </w:rPr>
        <w:t xml:space="preserve">el Tribunal </w:t>
      </w:r>
      <w:r w:rsidR="00741161">
        <w:rPr>
          <w:rFonts w:ascii="Arial" w:hAnsi="Arial" w:cs="Arial"/>
          <w:sz w:val="24"/>
          <w:szCs w:val="24"/>
        </w:rPr>
        <w:t>Administrativo del Tolima</w:t>
      </w:r>
      <w:r w:rsidR="00D56278">
        <w:rPr>
          <w:rFonts w:ascii="Arial" w:hAnsi="Arial" w:cs="Arial"/>
          <w:sz w:val="24"/>
          <w:szCs w:val="24"/>
        </w:rPr>
        <w:t xml:space="preserve"> y</w:t>
      </w:r>
      <w:r w:rsidR="00D56278" w:rsidRPr="00D56278">
        <w:rPr>
          <w:rFonts w:ascii="Arial" w:hAnsi="Arial" w:cs="Arial"/>
          <w:sz w:val="24"/>
          <w:szCs w:val="24"/>
        </w:rPr>
        <w:t xml:space="preserve"> </w:t>
      </w:r>
      <w:r w:rsidR="00D56278">
        <w:rPr>
          <w:rFonts w:ascii="Arial" w:hAnsi="Arial" w:cs="Arial"/>
          <w:sz w:val="24"/>
          <w:szCs w:val="24"/>
        </w:rPr>
        <w:t xml:space="preserve">la </w:t>
      </w:r>
      <w:r w:rsidR="00D56278" w:rsidRPr="00307850">
        <w:rPr>
          <w:rFonts w:ascii="Arial" w:hAnsi="Arial" w:cs="Arial"/>
          <w:sz w:val="24"/>
          <w:szCs w:val="24"/>
        </w:rPr>
        <w:t xml:space="preserve">Sección </w:t>
      </w:r>
      <w:r w:rsidR="00D56278">
        <w:rPr>
          <w:rFonts w:ascii="Arial" w:hAnsi="Arial" w:cs="Arial"/>
          <w:sz w:val="24"/>
          <w:szCs w:val="24"/>
        </w:rPr>
        <w:t>Cuarta de la Sala de lo Contencioso Administrativo del Consejo de Estado</w:t>
      </w:r>
      <w:r w:rsidR="004C2C91">
        <w:rPr>
          <w:rFonts w:ascii="Arial" w:hAnsi="Arial" w:cs="Arial"/>
          <w:sz w:val="24"/>
          <w:szCs w:val="24"/>
        </w:rPr>
        <w:t>, al haber declarado la caducidad mediante providencia del 29 de octubre de 2019, y confirmado tal decisión el 5 de marzo de 2020, respectivamente</w:t>
      </w:r>
      <w:r w:rsidR="00F40E2A">
        <w:rPr>
          <w:rFonts w:ascii="Arial" w:hAnsi="Arial" w:cs="Arial"/>
          <w:sz w:val="24"/>
          <w:szCs w:val="24"/>
        </w:rPr>
        <w:t>,</w:t>
      </w:r>
      <w:r w:rsidR="004C2C91">
        <w:rPr>
          <w:rFonts w:ascii="Arial" w:hAnsi="Arial" w:cs="Arial"/>
          <w:sz w:val="24"/>
          <w:szCs w:val="24"/>
        </w:rPr>
        <w:t xml:space="preserve"> </w:t>
      </w:r>
      <w:r w:rsidRPr="003A123B">
        <w:rPr>
          <w:rFonts w:ascii="Arial" w:hAnsi="Arial" w:cs="Arial"/>
          <w:sz w:val="24"/>
          <w:szCs w:val="24"/>
        </w:rPr>
        <w:t>al interior del proce</w:t>
      </w:r>
      <w:r w:rsidR="00225C97">
        <w:rPr>
          <w:rFonts w:ascii="Arial" w:hAnsi="Arial" w:cs="Arial"/>
          <w:sz w:val="24"/>
          <w:szCs w:val="24"/>
        </w:rPr>
        <w:t xml:space="preserve">so de </w:t>
      </w:r>
      <w:r w:rsidR="00741161">
        <w:rPr>
          <w:rFonts w:ascii="Arial" w:hAnsi="Arial" w:cs="Arial"/>
          <w:sz w:val="24"/>
          <w:szCs w:val="24"/>
        </w:rPr>
        <w:t>nulidad y restablecimiento del derecho</w:t>
      </w:r>
      <w:r w:rsidRPr="003A123B">
        <w:rPr>
          <w:rFonts w:ascii="Arial" w:hAnsi="Arial" w:cs="Arial"/>
          <w:sz w:val="24"/>
          <w:szCs w:val="24"/>
        </w:rPr>
        <w:t xml:space="preserve"> radicado bajo el No. </w:t>
      </w:r>
      <w:r w:rsidR="00741161">
        <w:rPr>
          <w:rFonts w:ascii="Arial" w:hAnsi="Arial" w:cs="Arial"/>
          <w:sz w:val="24"/>
          <w:szCs w:val="24"/>
        </w:rPr>
        <w:t>73001-23-33-000-2019-00150-00</w:t>
      </w:r>
      <w:r w:rsidRPr="003A123B">
        <w:rPr>
          <w:rFonts w:ascii="Arial" w:hAnsi="Arial" w:cs="Arial"/>
          <w:sz w:val="24"/>
          <w:szCs w:val="24"/>
        </w:rPr>
        <w:t xml:space="preserve">, adelantado en contra de la </w:t>
      </w:r>
      <w:r w:rsidR="002E0DDC">
        <w:rPr>
          <w:rFonts w:ascii="Arial" w:hAnsi="Arial" w:cs="Arial"/>
          <w:sz w:val="24"/>
          <w:szCs w:val="24"/>
        </w:rPr>
        <w:t xml:space="preserve">Unidad Administrativa Especial de Gestión Pensional y Contribuciones Parafiscales de la Protección Social </w:t>
      </w:r>
      <w:r w:rsidR="004C2C91">
        <w:rPr>
          <w:rFonts w:ascii="Arial" w:hAnsi="Arial" w:cs="Arial"/>
          <w:sz w:val="24"/>
          <w:szCs w:val="24"/>
        </w:rPr>
        <w:t>-</w:t>
      </w:r>
      <w:r w:rsidR="002E0DDC">
        <w:rPr>
          <w:rFonts w:ascii="Arial" w:hAnsi="Arial" w:cs="Arial"/>
          <w:sz w:val="24"/>
          <w:szCs w:val="24"/>
        </w:rPr>
        <w:t>UGP</w:t>
      </w:r>
      <w:r w:rsidR="004C2C91">
        <w:rPr>
          <w:rFonts w:ascii="Arial" w:hAnsi="Arial" w:cs="Arial"/>
          <w:sz w:val="24"/>
          <w:szCs w:val="24"/>
        </w:rPr>
        <w:t>P-</w:t>
      </w:r>
      <w:r w:rsidR="00F40E2A">
        <w:rPr>
          <w:rFonts w:ascii="Arial" w:hAnsi="Arial" w:cs="Arial"/>
          <w:sz w:val="24"/>
          <w:szCs w:val="24"/>
        </w:rPr>
        <w:t>;</w:t>
      </w:r>
      <w:r w:rsidR="00A10631">
        <w:rPr>
          <w:rFonts w:ascii="Arial" w:hAnsi="Arial" w:cs="Arial"/>
          <w:sz w:val="24"/>
          <w:szCs w:val="24"/>
        </w:rPr>
        <w:t xml:space="preserve"> </w:t>
      </w:r>
      <w:r w:rsidR="004C2C91">
        <w:rPr>
          <w:rFonts w:ascii="Arial" w:hAnsi="Arial" w:cs="Arial"/>
          <w:sz w:val="24"/>
          <w:szCs w:val="24"/>
        </w:rPr>
        <w:t xml:space="preserve">vulneraron sus derechos fundamentales. </w:t>
      </w:r>
    </w:p>
    <w:p w14:paraId="1B7210CE" w14:textId="77777777" w:rsidR="002F77E0" w:rsidRPr="004B22E0" w:rsidRDefault="002F77E0" w:rsidP="006E0C45">
      <w:pPr>
        <w:pStyle w:val="Textoindependiente"/>
        <w:spacing w:after="0" w:line="360" w:lineRule="auto"/>
        <w:ind w:left="119" w:right="120"/>
        <w:jc w:val="both"/>
        <w:rPr>
          <w:rFonts w:ascii="Arial" w:hAnsi="Arial" w:cs="Arial"/>
          <w:sz w:val="24"/>
          <w:szCs w:val="24"/>
        </w:rPr>
      </w:pPr>
    </w:p>
    <w:p w14:paraId="67EA41E6" w14:textId="77777777" w:rsidR="004B22E0" w:rsidRPr="004B22E0" w:rsidRDefault="004B22E0" w:rsidP="006E0C45">
      <w:pPr>
        <w:pStyle w:val="Ttulo1"/>
        <w:numPr>
          <w:ilvl w:val="0"/>
          <w:numId w:val="1"/>
        </w:numPr>
        <w:tabs>
          <w:tab w:val="left" w:pos="3492"/>
        </w:tabs>
        <w:spacing w:line="360" w:lineRule="auto"/>
        <w:ind w:left="3491" w:right="0" w:hanging="268"/>
        <w:jc w:val="left"/>
      </w:pPr>
      <w:r w:rsidRPr="004B22E0">
        <w:t>CONSIDERACIONES</w:t>
      </w:r>
    </w:p>
    <w:p w14:paraId="0A9DFA76" w14:textId="77777777" w:rsidR="004B22E0" w:rsidRPr="004B22E0" w:rsidRDefault="004B22E0" w:rsidP="006E0C45">
      <w:pPr>
        <w:pStyle w:val="Textoindependiente"/>
        <w:spacing w:after="0" w:line="360" w:lineRule="auto"/>
        <w:rPr>
          <w:rFonts w:ascii="Arial" w:hAnsi="Arial" w:cs="Arial"/>
          <w:b/>
          <w:sz w:val="24"/>
          <w:szCs w:val="24"/>
        </w:rPr>
      </w:pPr>
    </w:p>
    <w:p w14:paraId="699E2BB9" w14:textId="77777777" w:rsidR="004B22E0" w:rsidRPr="004B22E0" w:rsidRDefault="004B22E0" w:rsidP="006E0C45">
      <w:pPr>
        <w:pStyle w:val="Textoindependiente"/>
        <w:spacing w:after="0" w:line="360" w:lineRule="auto"/>
        <w:ind w:left="119" w:right="119"/>
        <w:jc w:val="both"/>
        <w:rPr>
          <w:rFonts w:ascii="Arial" w:hAnsi="Arial" w:cs="Arial"/>
          <w:sz w:val="24"/>
          <w:szCs w:val="24"/>
        </w:rPr>
      </w:pPr>
      <w:r w:rsidRPr="004B22E0">
        <w:rPr>
          <w:rFonts w:ascii="Arial" w:hAnsi="Arial" w:cs="Arial"/>
          <w:sz w:val="24"/>
          <w:szCs w:val="24"/>
        </w:rPr>
        <w:t>2.1.- Esta Subsección es competente para conocer y fallar la presente solicitud de amparo, de conformidad con lo establecido en los artículos 86</w:t>
      </w:r>
      <w:r w:rsidRPr="004B22E0">
        <w:rPr>
          <w:rStyle w:val="Refdenotaalpie"/>
          <w:rFonts w:ascii="Arial" w:hAnsi="Arial" w:cs="Arial"/>
          <w:sz w:val="24"/>
          <w:szCs w:val="24"/>
        </w:rPr>
        <w:footnoteReference w:id="2"/>
      </w:r>
      <w:r w:rsidRPr="004B22E0">
        <w:rPr>
          <w:rFonts w:ascii="Arial" w:hAnsi="Arial" w:cs="Arial"/>
          <w:position w:val="8"/>
          <w:sz w:val="24"/>
          <w:szCs w:val="24"/>
        </w:rPr>
        <w:t xml:space="preserve"> </w:t>
      </w:r>
      <w:r w:rsidRPr="004B22E0">
        <w:rPr>
          <w:rFonts w:ascii="Arial" w:hAnsi="Arial" w:cs="Arial"/>
          <w:sz w:val="24"/>
          <w:szCs w:val="24"/>
        </w:rPr>
        <w:t xml:space="preserve">de la </w:t>
      </w:r>
      <w:r w:rsidRPr="004B22E0">
        <w:rPr>
          <w:rFonts w:ascii="Arial" w:hAnsi="Arial" w:cs="Arial"/>
          <w:sz w:val="24"/>
          <w:szCs w:val="24"/>
        </w:rPr>
        <w:lastRenderedPageBreak/>
        <w:t>Constitución Política, 37</w:t>
      </w:r>
      <w:r w:rsidRPr="004B22E0">
        <w:rPr>
          <w:rStyle w:val="Refdenotaalpie"/>
          <w:rFonts w:ascii="Arial" w:hAnsi="Arial" w:cs="Arial"/>
          <w:sz w:val="24"/>
          <w:szCs w:val="24"/>
        </w:rPr>
        <w:footnoteReference w:id="3"/>
      </w:r>
      <w:r w:rsidRPr="004B22E0">
        <w:rPr>
          <w:rFonts w:ascii="Arial" w:hAnsi="Arial" w:cs="Arial"/>
          <w:position w:val="8"/>
          <w:sz w:val="24"/>
          <w:szCs w:val="24"/>
        </w:rPr>
        <w:t xml:space="preserve"> </w:t>
      </w:r>
      <w:r w:rsidRPr="004B22E0">
        <w:rPr>
          <w:rFonts w:ascii="Arial" w:hAnsi="Arial" w:cs="Arial"/>
          <w:sz w:val="24"/>
          <w:szCs w:val="24"/>
        </w:rPr>
        <w:t>del Decreto Ley 2591 de 1991 y 13</w:t>
      </w:r>
      <w:r w:rsidRPr="004B22E0">
        <w:rPr>
          <w:rStyle w:val="Refdenotaalpie"/>
          <w:rFonts w:ascii="Arial" w:hAnsi="Arial" w:cs="Arial"/>
          <w:sz w:val="24"/>
          <w:szCs w:val="24"/>
        </w:rPr>
        <w:footnoteReference w:id="4"/>
      </w:r>
      <w:r w:rsidRPr="004B22E0">
        <w:rPr>
          <w:rFonts w:ascii="Arial" w:hAnsi="Arial" w:cs="Arial"/>
          <w:position w:val="8"/>
          <w:sz w:val="24"/>
          <w:szCs w:val="24"/>
        </w:rPr>
        <w:t xml:space="preserve"> </w:t>
      </w:r>
      <w:r w:rsidRPr="004B22E0">
        <w:rPr>
          <w:rFonts w:ascii="Arial" w:hAnsi="Arial" w:cs="Arial"/>
          <w:sz w:val="24"/>
          <w:szCs w:val="24"/>
        </w:rPr>
        <w:t>del Acuerdo 080 de 2019 de la Sala Plena del Consejo de Estado.</w:t>
      </w:r>
    </w:p>
    <w:p w14:paraId="74005483" w14:textId="77777777" w:rsidR="004B22E0" w:rsidRPr="004B22E0" w:rsidRDefault="004B22E0" w:rsidP="006E0C45">
      <w:pPr>
        <w:pStyle w:val="Textoindependiente"/>
        <w:spacing w:after="0" w:line="360" w:lineRule="auto"/>
        <w:jc w:val="both"/>
        <w:rPr>
          <w:rFonts w:ascii="Arial" w:hAnsi="Arial" w:cs="Arial"/>
          <w:sz w:val="24"/>
          <w:szCs w:val="24"/>
        </w:rPr>
      </w:pPr>
    </w:p>
    <w:p w14:paraId="4868FA27" w14:textId="724ABADE" w:rsidR="004B22E0" w:rsidRDefault="004B22E0" w:rsidP="006E0C45">
      <w:pPr>
        <w:pStyle w:val="Textoindependiente"/>
        <w:spacing w:after="0" w:line="360" w:lineRule="auto"/>
        <w:ind w:left="119" w:right="120"/>
        <w:jc w:val="both"/>
        <w:rPr>
          <w:rFonts w:ascii="Arial" w:hAnsi="Arial" w:cs="Arial"/>
          <w:sz w:val="24"/>
          <w:szCs w:val="24"/>
        </w:rPr>
      </w:pPr>
      <w:r w:rsidRPr="003A123B">
        <w:rPr>
          <w:rFonts w:ascii="Arial" w:hAnsi="Arial" w:cs="Arial"/>
          <w:sz w:val="24"/>
          <w:szCs w:val="24"/>
        </w:rPr>
        <w:t xml:space="preserve">2.2.- Así mismo, el Despacho encuentra que se reúnen los requisitos de forma exigidos en el artículo 14 del Decreto Ley 2591 de 1991 y procede a admitir la acción de tutela interpuesta por </w:t>
      </w:r>
      <w:r w:rsidR="007F1876">
        <w:rPr>
          <w:rFonts w:ascii="Arial" w:hAnsi="Arial" w:cs="Arial"/>
          <w:sz w:val="24"/>
          <w:szCs w:val="24"/>
        </w:rPr>
        <w:t>Alfonso Bernate Díaz</w:t>
      </w:r>
      <w:r w:rsidR="007F1876" w:rsidRPr="003A123B">
        <w:rPr>
          <w:rFonts w:ascii="Arial" w:hAnsi="Arial" w:cs="Arial"/>
          <w:sz w:val="24"/>
          <w:szCs w:val="24"/>
        </w:rPr>
        <w:t xml:space="preserve"> </w:t>
      </w:r>
      <w:r w:rsidR="00B326AB" w:rsidRPr="003A123B">
        <w:rPr>
          <w:rFonts w:ascii="Arial" w:hAnsi="Arial" w:cs="Arial"/>
          <w:sz w:val="24"/>
          <w:szCs w:val="24"/>
        </w:rPr>
        <w:t xml:space="preserve">en contra </w:t>
      </w:r>
      <w:r w:rsidR="00B326AB">
        <w:rPr>
          <w:rFonts w:ascii="Arial" w:hAnsi="Arial" w:cs="Arial"/>
          <w:sz w:val="24"/>
          <w:szCs w:val="24"/>
        </w:rPr>
        <w:t xml:space="preserve">del Tribunal Administrativo </w:t>
      </w:r>
      <w:r w:rsidR="00E427FE">
        <w:rPr>
          <w:rFonts w:ascii="Arial" w:hAnsi="Arial" w:cs="Arial"/>
          <w:sz w:val="24"/>
          <w:szCs w:val="24"/>
        </w:rPr>
        <w:t xml:space="preserve">del Tolima </w:t>
      </w:r>
      <w:r w:rsidR="00B326AB">
        <w:rPr>
          <w:rFonts w:ascii="Arial" w:hAnsi="Arial" w:cs="Arial"/>
          <w:sz w:val="24"/>
          <w:szCs w:val="24"/>
        </w:rPr>
        <w:t>y</w:t>
      </w:r>
      <w:r w:rsidR="00B326AB" w:rsidRPr="00D56278">
        <w:rPr>
          <w:rFonts w:ascii="Arial" w:hAnsi="Arial" w:cs="Arial"/>
          <w:sz w:val="24"/>
          <w:szCs w:val="24"/>
        </w:rPr>
        <w:t xml:space="preserve"> </w:t>
      </w:r>
      <w:r w:rsidR="00B326AB">
        <w:rPr>
          <w:rFonts w:ascii="Arial" w:hAnsi="Arial" w:cs="Arial"/>
          <w:sz w:val="24"/>
          <w:szCs w:val="24"/>
        </w:rPr>
        <w:t xml:space="preserve">de la </w:t>
      </w:r>
      <w:r w:rsidR="00B326AB" w:rsidRPr="00307850">
        <w:rPr>
          <w:rFonts w:ascii="Arial" w:hAnsi="Arial" w:cs="Arial"/>
          <w:sz w:val="24"/>
          <w:szCs w:val="24"/>
        </w:rPr>
        <w:t xml:space="preserve">Sección </w:t>
      </w:r>
      <w:r w:rsidR="00B326AB">
        <w:rPr>
          <w:rFonts w:ascii="Arial" w:hAnsi="Arial" w:cs="Arial"/>
          <w:sz w:val="24"/>
          <w:szCs w:val="24"/>
        </w:rPr>
        <w:t>Cuarta de la Sala de lo Contencioso Administrativo del Consejo de Estado.</w:t>
      </w:r>
    </w:p>
    <w:p w14:paraId="58FCDC90" w14:textId="77777777" w:rsidR="00391087" w:rsidRPr="004B22E0" w:rsidRDefault="00391087" w:rsidP="006E0C45">
      <w:pPr>
        <w:pStyle w:val="Textoindependiente"/>
        <w:spacing w:after="0" w:line="360" w:lineRule="auto"/>
        <w:ind w:right="119"/>
        <w:jc w:val="both"/>
        <w:rPr>
          <w:rFonts w:ascii="Arial" w:hAnsi="Arial" w:cs="Arial"/>
          <w:sz w:val="24"/>
          <w:szCs w:val="24"/>
        </w:rPr>
      </w:pPr>
    </w:p>
    <w:p w14:paraId="37B27994" w14:textId="1DBB1796" w:rsidR="00391087" w:rsidRDefault="004B22E0" w:rsidP="006E0C45">
      <w:pPr>
        <w:pStyle w:val="Textoindependiente"/>
        <w:spacing w:after="0" w:line="360" w:lineRule="auto"/>
        <w:ind w:left="119"/>
        <w:jc w:val="both"/>
        <w:rPr>
          <w:rFonts w:ascii="Arial" w:hAnsi="Arial" w:cs="Arial"/>
          <w:sz w:val="24"/>
          <w:szCs w:val="24"/>
        </w:rPr>
      </w:pPr>
      <w:r w:rsidRPr="004B22E0">
        <w:rPr>
          <w:rFonts w:ascii="Arial" w:hAnsi="Arial" w:cs="Arial"/>
          <w:sz w:val="24"/>
          <w:szCs w:val="24"/>
        </w:rPr>
        <w:t>En consecuencia se,</w:t>
      </w:r>
    </w:p>
    <w:p w14:paraId="2D849568" w14:textId="77777777" w:rsidR="00B326AB" w:rsidRPr="00391087" w:rsidRDefault="00B326AB" w:rsidP="006E0C45">
      <w:pPr>
        <w:pStyle w:val="Textoindependiente"/>
        <w:spacing w:after="0" w:line="360" w:lineRule="auto"/>
        <w:ind w:left="119"/>
        <w:jc w:val="both"/>
        <w:rPr>
          <w:rFonts w:ascii="Arial" w:hAnsi="Arial" w:cs="Arial"/>
          <w:sz w:val="24"/>
          <w:szCs w:val="24"/>
        </w:rPr>
      </w:pPr>
    </w:p>
    <w:p w14:paraId="2E2FE920" w14:textId="77777777" w:rsidR="004B22E0" w:rsidRPr="004B22E0" w:rsidRDefault="004B22E0" w:rsidP="006E0C45">
      <w:pPr>
        <w:pStyle w:val="Ttulo1"/>
        <w:numPr>
          <w:ilvl w:val="0"/>
          <w:numId w:val="1"/>
        </w:numPr>
        <w:tabs>
          <w:tab w:val="left" w:pos="4059"/>
        </w:tabs>
        <w:spacing w:line="360" w:lineRule="auto"/>
        <w:ind w:left="4058" w:right="0" w:hanging="335"/>
        <w:jc w:val="left"/>
      </w:pPr>
      <w:r w:rsidRPr="004B22E0">
        <w:t>RESUELVE</w:t>
      </w:r>
    </w:p>
    <w:p w14:paraId="77A66011" w14:textId="77777777" w:rsidR="00391087" w:rsidRDefault="00391087" w:rsidP="006E0C45">
      <w:pPr>
        <w:pStyle w:val="Textoindependiente"/>
        <w:spacing w:after="0" w:line="360" w:lineRule="auto"/>
        <w:ind w:left="119" w:right="120"/>
        <w:jc w:val="both"/>
        <w:rPr>
          <w:rFonts w:ascii="Arial" w:hAnsi="Arial" w:cs="Arial"/>
          <w:b/>
          <w:sz w:val="24"/>
          <w:szCs w:val="24"/>
        </w:rPr>
      </w:pPr>
    </w:p>
    <w:p w14:paraId="17BA0F01" w14:textId="37EFDCFF" w:rsidR="004B22E0" w:rsidRDefault="004B22E0" w:rsidP="006E0C45">
      <w:pPr>
        <w:pStyle w:val="Textoindependiente"/>
        <w:spacing w:after="0" w:line="360" w:lineRule="auto"/>
        <w:ind w:left="119" w:right="120"/>
        <w:jc w:val="both"/>
        <w:rPr>
          <w:rFonts w:ascii="Arial" w:hAnsi="Arial" w:cs="Arial"/>
          <w:sz w:val="24"/>
          <w:szCs w:val="24"/>
        </w:rPr>
      </w:pPr>
      <w:r w:rsidRPr="004B22E0">
        <w:rPr>
          <w:rFonts w:ascii="Arial" w:hAnsi="Arial" w:cs="Arial"/>
          <w:b/>
          <w:sz w:val="24"/>
          <w:szCs w:val="24"/>
        </w:rPr>
        <w:t xml:space="preserve">PRIMERO: ADMITIR </w:t>
      </w:r>
      <w:r w:rsidRPr="003A123B">
        <w:rPr>
          <w:rFonts w:ascii="Arial" w:hAnsi="Arial" w:cs="Arial"/>
          <w:sz w:val="24"/>
          <w:szCs w:val="24"/>
        </w:rPr>
        <w:t xml:space="preserve">la acción de tutela interpuesta por </w:t>
      </w:r>
      <w:r w:rsidR="007F1876">
        <w:rPr>
          <w:rFonts w:ascii="Arial" w:hAnsi="Arial" w:cs="Arial"/>
          <w:sz w:val="24"/>
          <w:szCs w:val="24"/>
        </w:rPr>
        <w:t>Alfonso Bernate Díaz</w:t>
      </w:r>
      <w:r w:rsidRPr="003A123B">
        <w:rPr>
          <w:rFonts w:ascii="Arial" w:hAnsi="Arial" w:cs="Arial"/>
          <w:sz w:val="24"/>
          <w:szCs w:val="24"/>
        </w:rPr>
        <w:t xml:space="preserve"> en contra </w:t>
      </w:r>
      <w:r w:rsidR="007F1876">
        <w:rPr>
          <w:rFonts w:ascii="Arial" w:hAnsi="Arial" w:cs="Arial"/>
          <w:sz w:val="24"/>
          <w:szCs w:val="24"/>
        </w:rPr>
        <w:t xml:space="preserve">del </w:t>
      </w:r>
      <w:r w:rsidR="00B326AB">
        <w:rPr>
          <w:rFonts w:ascii="Arial" w:hAnsi="Arial" w:cs="Arial"/>
          <w:sz w:val="24"/>
          <w:szCs w:val="24"/>
        </w:rPr>
        <w:t>Tribunal Administrativo</w:t>
      </w:r>
      <w:r w:rsidR="00E427FE">
        <w:rPr>
          <w:rFonts w:ascii="Arial" w:hAnsi="Arial" w:cs="Arial"/>
          <w:sz w:val="24"/>
          <w:szCs w:val="24"/>
        </w:rPr>
        <w:t xml:space="preserve"> del Tolima</w:t>
      </w:r>
      <w:r w:rsidR="00B326AB">
        <w:rPr>
          <w:rFonts w:ascii="Arial" w:hAnsi="Arial" w:cs="Arial"/>
          <w:sz w:val="24"/>
          <w:szCs w:val="24"/>
        </w:rPr>
        <w:t xml:space="preserve"> y</w:t>
      </w:r>
      <w:r w:rsidR="00B326AB" w:rsidRPr="00D56278">
        <w:rPr>
          <w:rFonts w:ascii="Arial" w:hAnsi="Arial" w:cs="Arial"/>
          <w:sz w:val="24"/>
          <w:szCs w:val="24"/>
        </w:rPr>
        <w:t xml:space="preserve"> </w:t>
      </w:r>
      <w:r w:rsidR="00B326AB">
        <w:rPr>
          <w:rFonts w:ascii="Arial" w:hAnsi="Arial" w:cs="Arial"/>
          <w:sz w:val="24"/>
          <w:szCs w:val="24"/>
        </w:rPr>
        <w:t xml:space="preserve">de la </w:t>
      </w:r>
      <w:r w:rsidR="00B326AB" w:rsidRPr="00307850">
        <w:rPr>
          <w:rFonts w:ascii="Arial" w:hAnsi="Arial" w:cs="Arial"/>
          <w:sz w:val="24"/>
          <w:szCs w:val="24"/>
        </w:rPr>
        <w:t xml:space="preserve">Sección </w:t>
      </w:r>
      <w:r w:rsidR="00B326AB">
        <w:rPr>
          <w:rFonts w:ascii="Arial" w:hAnsi="Arial" w:cs="Arial"/>
          <w:sz w:val="24"/>
          <w:szCs w:val="24"/>
        </w:rPr>
        <w:t>Cuarta de la Sala de lo Contencioso Administrativo del Consejo de Estado.</w:t>
      </w:r>
    </w:p>
    <w:p w14:paraId="2E46FCD5" w14:textId="77777777" w:rsidR="0085116A" w:rsidRPr="004B22E0" w:rsidRDefault="0085116A" w:rsidP="006E0C45">
      <w:pPr>
        <w:pStyle w:val="Textoindependiente"/>
        <w:spacing w:after="0" w:line="360" w:lineRule="auto"/>
        <w:ind w:left="119" w:right="120"/>
        <w:jc w:val="both"/>
        <w:rPr>
          <w:rFonts w:ascii="Arial" w:hAnsi="Arial" w:cs="Arial"/>
          <w:sz w:val="24"/>
          <w:szCs w:val="24"/>
        </w:rPr>
      </w:pPr>
    </w:p>
    <w:p w14:paraId="57DE5F45" w14:textId="5075EE2D" w:rsidR="004B22E0" w:rsidRPr="004B22E0" w:rsidRDefault="004B22E0" w:rsidP="006E0C45">
      <w:pPr>
        <w:pStyle w:val="Textoindependiente"/>
        <w:spacing w:after="0" w:line="360" w:lineRule="auto"/>
        <w:ind w:left="119" w:right="120"/>
        <w:jc w:val="both"/>
        <w:rPr>
          <w:rFonts w:ascii="Arial" w:hAnsi="Arial" w:cs="Arial"/>
          <w:sz w:val="24"/>
          <w:szCs w:val="24"/>
        </w:rPr>
      </w:pPr>
      <w:r w:rsidRPr="004B22E0">
        <w:rPr>
          <w:rFonts w:ascii="Arial" w:hAnsi="Arial" w:cs="Arial"/>
          <w:b/>
          <w:sz w:val="24"/>
          <w:szCs w:val="24"/>
        </w:rPr>
        <w:t xml:space="preserve">SEGUNDO: NOTIFICAR </w:t>
      </w:r>
      <w:r w:rsidR="0085116A">
        <w:rPr>
          <w:rFonts w:ascii="Arial" w:hAnsi="Arial" w:cs="Arial"/>
          <w:sz w:val="24"/>
          <w:szCs w:val="24"/>
        </w:rPr>
        <w:t>mediante oficio</w:t>
      </w:r>
      <w:r w:rsidR="003E1043">
        <w:rPr>
          <w:rFonts w:ascii="Arial" w:hAnsi="Arial" w:cs="Arial"/>
          <w:sz w:val="24"/>
          <w:szCs w:val="24"/>
        </w:rPr>
        <w:t xml:space="preserve"> </w:t>
      </w:r>
      <w:r w:rsidR="00E427FE">
        <w:rPr>
          <w:rFonts w:ascii="Arial" w:hAnsi="Arial" w:cs="Arial"/>
          <w:sz w:val="24"/>
          <w:szCs w:val="24"/>
        </w:rPr>
        <w:t>al Tribunal Administrativo del Tolima y</w:t>
      </w:r>
      <w:r w:rsidR="00E427FE" w:rsidRPr="00D56278">
        <w:rPr>
          <w:rFonts w:ascii="Arial" w:hAnsi="Arial" w:cs="Arial"/>
          <w:sz w:val="24"/>
          <w:szCs w:val="24"/>
        </w:rPr>
        <w:t xml:space="preserve"> </w:t>
      </w:r>
      <w:r w:rsidR="00E427FE">
        <w:rPr>
          <w:rFonts w:ascii="Arial" w:hAnsi="Arial" w:cs="Arial"/>
          <w:sz w:val="24"/>
          <w:szCs w:val="24"/>
        </w:rPr>
        <w:t xml:space="preserve">a la </w:t>
      </w:r>
      <w:r w:rsidR="00E427FE" w:rsidRPr="00307850">
        <w:rPr>
          <w:rFonts w:ascii="Arial" w:hAnsi="Arial" w:cs="Arial"/>
          <w:sz w:val="24"/>
          <w:szCs w:val="24"/>
        </w:rPr>
        <w:t xml:space="preserve">Sección </w:t>
      </w:r>
      <w:r w:rsidR="00E427FE">
        <w:rPr>
          <w:rFonts w:ascii="Arial" w:hAnsi="Arial" w:cs="Arial"/>
          <w:sz w:val="24"/>
          <w:szCs w:val="24"/>
        </w:rPr>
        <w:t>Cuarta de la Sala de lo Contencioso Administrativo del Consejo de Estado</w:t>
      </w:r>
      <w:r w:rsidR="003E1043">
        <w:rPr>
          <w:rFonts w:ascii="Arial" w:hAnsi="Arial" w:cs="Arial"/>
          <w:sz w:val="24"/>
          <w:szCs w:val="24"/>
        </w:rPr>
        <w:t xml:space="preserve"> </w:t>
      </w:r>
      <w:r w:rsidRPr="004B22E0">
        <w:rPr>
          <w:rFonts w:ascii="Arial" w:hAnsi="Arial" w:cs="Arial"/>
          <w:sz w:val="24"/>
          <w:szCs w:val="24"/>
        </w:rPr>
        <w:t>para que, dentro del término de dos (2) días contados a partir de su recibo, e</w:t>
      </w:r>
      <w:r w:rsidR="003A123B">
        <w:rPr>
          <w:rFonts w:ascii="Arial" w:hAnsi="Arial" w:cs="Arial"/>
          <w:sz w:val="24"/>
          <w:szCs w:val="24"/>
        </w:rPr>
        <w:t>jerza</w:t>
      </w:r>
      <w:r w:rsidR="0085116A">
        <w:rPr>
          <w:rFonts w:ascii="Arial" w:hAnsi="Arial" w:cs="Arial"/>
          <w:sz w:val="24"/>
          <w:szCs w:val="24"/>
        </w:rPr>
        <w:t>n</w:t>
      </w:r>
      <w:r w:rsidRPr="004B22E0">
        <w:rPr>
          <w:rFonts w:ascii="Arial" w:hAnsi="Arial" w:cs="Arial"/>
          <w:sz w:val="24"/>
          <w:szCs w:val="24"/>
        </w:rPr>
        <w:t xml:space="preserve"> su derecho a la defensa.</w:t>
      </w:r>
    </w:p>
    <w:p w14:paraId="08F9C5F8" w14:textId="77777777" w:rsidR="004B22E0" w:rsidRPr="004B22E0" w:rsidRDefault="004B22E0" w:rsidP="006E0C45">
      <w:pPr>
        <w:pStyle w:val="Textoindependiente"/>
        <w:spacing w:after="0" w:line="360" w:lineRule="auto"/>
        <w:jc w:val="both"/>
        <w:rPr>
          <w:rFonts w:ascii="Arial" w:hAnsi="Arial" w:cs="Arial"/>
          <w:sz w:val="24"/>
          <w:szCs w:val="24"/>
        </w:rPr>
      </w:pPr>
    </w:p>
    <w:p w14:paraId="712C5DC8" w14:textId="43817DD8" w:rsidR="004B22E0" w:rsidRPr="004B22E0" w:rsidRDefault="004B22E0" w:rsidP="006E0C45">
      <w:pPr>
        <w:pStyle w:val="Textoindependiente"/>
        <w:spacing w:after="0" w:line="360" w:lineRule="auto"/>
        <w:ind w:left="119" w:right="120"/>
        <w:jc w:val="both"/>
        <w:rPr>
          <w:rFonts w:ascii="Arial" w:hAnsi="Arial" w:cs="Arial"/>
          <w:sz w:val="24"/>
          <w:szCs w:val="24"/>
        </w:rPr>
      </w:pPr>
      <w:r w:rsidRPr="004B22E0">
        <w:rPr>
          <w:rFonts w:ascii="Arial" w:hAnsi="Arial" w:cs="Arial"/>
          <w:b/>
          <w:sz w:val="24"/>
          <w:szCs w:val="24"/>
        </w:rPr>
        <w:t>TERCERO: VINCULAR</w:t>
      </w:r>
      <w:r w:rsidR="002A6A03">
        <w:rPr>
          <w:rFonts w:ascii="Arial" w:hAnsi="Arial" w:cs="Arial"/>
          <w:bCs/>
          <w:sz w:val="24"/>
          <w:szCs w:val="24"/>
        </w:rPr>
        <w:t>,</w:t>
      </w:r>
      <w:r w:rsidRPr="004B22E0">
        <w:rPr>
          <w:rFonts w:ascii="Arial" w:hAnsi="Arial" w:cs="Arial"/>
          <w:b/>
          <w:sz w:val="24"/>
          <w:szCs w:val="24"/>
        </w:rPr>
        <w:t xml:space="preserve"> </w:t>
      </w:r>
      <w:r w:rsidRPr="004B22E0">
        <w:rPr>
          <w:rFonts w:ascii="Arial" w:hAnsi="Arial" w:cs="Arial"/>
          <w:sz w:val="24"/>
          <w:szCs w:val="24"/>
        </w:rPr>
        <w:t xml:space="preserve">conforme a lo dispuesto en el artículo 13 del Decreto Ley 2591 de 1991, a la </w:t>
      </w:r>
      <w:r w:rsidR="007F1876">
        <w:rPr>
          <w:rFonts w:ascii="Arial" w:hAnsi="Arial" w:cs="Arial"/>
          <w:sz w:val="24"/>
          <w:szCs w:val="24"/>
        </w:rPr>
        <w:t>UGPP</w:t>
      </w:r>
      <w:r w:rsidRPr="004B22E0">
        <w:rPr>
          <w:rFonts w:ascii="Arial" w:hAnsi="Arial" w:cs="Arial"/>
          <w:sz w:val="24"/>
          <w:szCs w:val="24"/>
        </w:rPr>
        <w:t xml:space="preserve">, entidad accionada dentro del asunto ordinario ya referido, para </w:t>
      </w:r>
      <w:r w:rsidRPr="004B22E0">
        <w:rPr>
          <w:rFonts w:ascii="Arial" w:hAnsi="Arial" w:cs="Arial"/>
          <w:spacing w:val="-5"/>
          <w:sz w:val="24"/>
          <w:szCs w:val="24"/>
        </w:rPr>
        <w:t xml:space="preserve">que </w:t>
      </w:r>
      <w:r w:rsidRPr="004B22E0">
        <w:rPr>
          <w:rFonts w:ascii="Arial" w:hAnsi="Arial" w:cs="Arial"/>
          <w:sz w:val="24"/>
          <w:szCs w:val="24"/>
        </w:rPr>
        <w:t>dentro del término de dos (2) días contados a partir de su recibo, se pronuncie sobre el contenido de la acción de amparo impetrada.</w:t>
      </w:r>
    </w:p>
    <w:p w14:paraId="4E16C5AE" w14:textId="77777777" w:rsidR="004B22E0" w:rsidRPr="004B22E0" w:rsidRDefault="004B22E0" w:rsidP="006E0C45">
      <w:pPr>
        <w:pStyle w:val="Textoindependiente"/>
        <w:spacing w:after="0" w:line="360" w:lineRule="auto"/>
        <w:jc w:val="both"/>
        <w:rPr>
          <w:rFonts w:ascii="Arial" w:hAnsi="Arial" w:cs="Arial"/>
          <w:sz w:val="24"/>
          <w:szCs w:val="24"/>
        </w:rPr>
      </w:pPr>
    </w:p>
    <w:p w14:paraId="5AAA8026" w14:textId="3A32B1C3" w:rsidR="004B22E0" w:rsidRPr="004B22E0" w:rsidRDefault="0085116A" w:rsidP="006E0C45">
      <w:pPr>
        <w:pStyle w:val="Textoindependiente"/>
        <w:spacing w:after="0" w:line="360" w:lineRule="auto"/>
        <w:ind w:left="119" w:right="120"/>
        <w:jc w:val="both"/>
        <w:rPr>
          <w:rFonts w:ascii="Arial" w:hAnsi="Arial" w:cs="Arial"/>
          <w:sz w:val="24"/>
          <w:szCs w:val="24"/>
        </w:rPr>
      </w:pPr>
      <w:r>
        <w:rPr>
          <w:rFonts w:ascii="Arial" w:hAnsi="Arial" w:cs="Arial"/>
          <w:b/>
          <w:sz w:val="24"/>
          <w:szCs w:val="24"/>
        </w:rPr>
        <w:t>CUARTO: ORDENAR</w:t>
      </w:r>
      <w:r w:rsidR="004B22E0" w:rsidRPr="004B22E0">
        <w:rPr>
          <w:rFonts w:ascii="Arial" w:hAnsi="Arial" w:cs="Arial"/>
          <w:sz w:val="24"/>
          <w:szCs w:val="24"/>
        </w:rPr>
        <w:t xml:space="preserve"> </w:t>
      </w:r>
      <w:r>
        <w:rPr>
          <w:rFonts w:ascii="Arial" w:hAnsi="Arial" w:cs="Arial"/>
          <w:sz w:val="24"/>
          <w:szCs w:val="24"/>
        </w:rPr>
        <w:t>a</w:t>
      </w:r>
      <w:r w:rsidR="0076245B">
        <w:rPr>
          <w:rFonts w:ascii="Arial" w:hAnsi="Arial" w:cs="Arial"/>
          <w:sz w:val="24"/>
          <w:szCs w:val="24"/>
        </w:rPr>
        <w:t>l</w:t>
      </w:r>
      <w:r>
        <w:rPr>
          <w:rFonts w:ascii="Arial" w:hAnsi="Arial" w:cs="Arial"/>
          <w:sz w:val="24"/>
          <w:szCs w:val="24"/>
        </w:rPr>
        <w:t xml:space="preserve"> </w:t>
      </w:r>
      <w:r w:rsidR="0076245B">
        <w:rPr>
          <w:rFonts w:ascii="Arial" w:hAnsi="Arial" w:cs="Arial"/>
          <w:sz w:val="24"/>
          <w:szCs w:val="24"/>
        </w:rPr>
        <w:t>Tribunal Administrativo del Tolima</w:t>
      </w:r>
      <w:r w:rsidR="0076245B" w:rsidRPr="004B22E0">
        <w:rPr>
          <w:rFonts w:ascii="Arial" w:hAnsi="Arial" w:cs="Arial"/>
          <w:sz w:val="24"/>
          <w:szCs w:val="24"/>
        </w:rPr>
        <w:t xml:space="preserve"> </w:t>
      </w:r>
      <w:r w:rsidR="004B22E0" w:rsidRPr="004B22E0">
        <w:rPr>
          <w:rFonts w:ascii="Arial" w:hAnsi="Arial" w:cs="Arial"/>
          <w:sz w:val="24"/>
          <w:szCs w:val="24"/>
        </w:rPr>
        <w:t xml:space="preserve">que en el término más expedito remita a esta oficina judicial, en medio digital, el proceso de nulidad y restablecimiento del derecho bajo el radicado No. </w:t>
      </w:r>
      <w:r w:rsidR="007F1876">
        <w:rPr>
          <w:rFonts w:ascii="Arial" w:hAnsi="Arial" w:cs="Arial"/>
          <w:sz w:val="24"/>
          <w:szCs w:val="24"/>
        </w:rPr>
        <w:t>73001-23-33-00</w:t>
      </w:r>
      <w:r w:rsidR="00D93180">
        <w:rPr>
          <w:rFonts w:ascii="Arial" w:hAnsi="Arial" w:cs="Arial"/>
          <w:sz w:val="24"/>
          <w:szCs w:val="24"/>
        </w:rPr>
        <w:t>0</w:t>
      </w:r>
      <w:r w:rsidR="007F1876">
        <w:rPr>
          <w:rFonts w:ascii="Arial" w:hAnsi="Arial" w:cs="Arial"/>
          <w:sz w:val="24"/>
          <w:szCs w:val="24"/>
        </w:rPr>
        <w:t>-2019-00150-00</w:t>
      </w:r>
      <w:r w:rsidR="004B22E0" w:rsidRPr="004B22E0">
        <w:rPr>
          <w:rFonts w:ascii="Arial" w:hAnsi="Arial" w:cs="Arial"/>
          <w:sz w:val="24"/>
          <w:szCs w:val="24"/>
        </w:rPr>
        <w:t>.</w:t>
      </w:r>
    </w:p>
    <w:p w14:paraId="77F400A4" w14:textId="58A30D14" w:rsidR="004B22E0" w:rsidRPr="004B22E0" w:rsidRDefault="004B22E0" w:rsidP="006E0C45">
      <w:pPr>
        <w:pStyle w:val="Textoindependiente"/>
        <w:spacing w:after="0" w:line="360" w:lineRule="auto"/>
        <w:jc w:val="both"/>
        <w:rPr>
          <w:rFonts w:ascii="Arial" w:hAnsi="Arial" w:cs="Arial"/>
          <w:sz w:val="24"/>
          <w:szCs w:val="24"/>
        </w:rPr>
      </w:pPr>
      <w:r>
        <w:rPr>
          <w:rFonts w:ascii="Arial" w:hAnsi="Arial" w:cs="Arial"/>
          <w:b/>
          <w:sz w:val="24"/>
          <w:szCs w:val="24"/>
        </w:rPr>
        <w:lastRenderedPageBreak/>
        <w:t>QUINTO</w:t>
      </w:r>
      <w:r w:rsidRPr="004B22E0">
        <w:rPr>
          <w:rFonts w:ascii="Arial" w:hAnsi="Arial" w:cs="Arial"/>
          <w:b/>
          <w:sz w:val="24"/>
          <w:szCs w:val="24"/>
        </w:rPr>
        <w:t xml:space="preserve">: PUBLICAR </w:t>
      </w:r>
      <w:r w:rsidRPr="004B22E0">
        <w:rPr>
          <w:rFonts w:ascii="Arial" w:hAnsi="Arial" w:cs="Arial"/>
          <w:sz w:val="24"/>
          <w:szCs w:val="24"/>
        </w:rPr>
        <w:t>la presente providencia en las páginas web de esta Corporación</w:t>
      </w:r>
      <w:r w:rsidR="00F40E2A">
        <w:rPr>
          <w:rFonts w:ascii="Arial" w:hAnsi="Arial" w:cs="Arial"/>
          <w:sz w:val="24"/>
          <w:szCs w:val="24"/>
        </w:rPr>
        <w:t xml:space="preserve"> y</w:t>
      </w:r>
      <w:r w:rsidRPr="004B22E0">
        <w:rPr>
          <w:rFonts w:ascii="Arial" w:hAnsi="Arial" w:cs="Arial"/>
          <w:sz w:val="24"/>
          <w:szCs w:val="24"/>
        </w:rPr>
        <w:t xml:space="preserve"> de la Rama Judicial</w:t>
      </w:r>
      <w:r w:rsidR="00F40E2A">
        <w:rPr>
          <w:rFonts w:ascii="Arial" w:hAnsi="Arial" w:cs="Arial"/>
          <w:sz w:val="24"/>
          <w:szCs w:val="24"/>
        </w:rPr>
        <w:t>.</w:t>
      </w:r>
    </w:p>
    <w:p w14:paraId="66C9846B" w14:textId="77777777" w:rsidR="004B22E0" w:rsidRPr="004B22E0" w:rsidRDefault="004B22E0" w:rsidP="006E0C45">
      <w:pPr>
        <w:pStyle w:val="Textoindependiente"/>
        <w:spacing w:after="0" w:line="360" w:lineRule="auto"/>
        <w:jc w:val="both"/>
        <w:rPr>
          <w:rFonts w:ascii="Arial" w:hAnsi="Arial" w:cs="Arial"/>
          <w:sz w:val="24"/>
          <w:szCs w:val="24"/>
        </w:rPr>
      </w:pPr>
    </w:p>
    <w:p w14:paraId="5BE9EBFD" w14:textId="2EBDBAF7" w:rsidR="004B22E0" w:rsidRPr="004B22E0" w:rsidRDefault="004B22E0" w:rsidP="006E0C45">
      <w:pPr>
        <w:pStyle w:val="Textoindependiente"/>
        <w:spacing w:after="0" w:line="360" w:lineRule="auto"/>
        <w:ind w:right="159"/>
        <w:jc w:val="both"/>
        <w:rPr>
          <w:rFonts w:ascii="Arial" w:hAnsi="Arial" w:cs="Arial"/>
          <w:sz w:val="24"/>
          <w:szCs w:val="24"/>
        </w:rPr>
      </w:pPr>
      <w:r>
        <w:rPr>
          <w:rFonts w:ascii="Arial" w:hAnsi="Arial" w:cs="Arial"/>
          <w:b/>
          <w:sz w:val="24"/>
          <w:szCs w:val="24"/>
        </w:rPr>
        <w:t>SEXTO</w:t>
      </w:r>
      <w:r w:rsidRPr="004B22E0">
        <w:rPr>
          <w:rFonts w:ascii="Arial" w:hAnsi="Arial" w:cs="Arial"/>
          <w:b/>
          <w:sz w:val="24"/>
          <w:szCs w:val="24"/>
        </w:rPr>
        <w:t xml:space="preserve">: SUSPENDER </w:t>
      </w:r>
      <w:r w:rsidRPr="004B22E0">
        <w:rPr>
          <w:rFonts w:ascii="Arial" w:hAnsi="Arial" w:cs="Arial"/>
          <w:sz w:val="24"/>
          <w:szCs w:val="24"/>
        </w:rPr>
        <w:t>los términos</w:t>
      </w:r>
      <w:r w:rsidR="00732A89">
        <w:rPr>
          <w:rFonts w:ascii="Arial" w:hAnsi="Arial" w:cs="Arial"/>
          <w:sz w:val="24"/>
          <w:szCs w:val="24"/>
        </w:rPr>
        <w:t xml:space="preserve"> del presente asunto desde el </w:t>
      </w:r>
      <w:r w:rsidR="00830E08">
        <w:rPr>
          <w:rFonts w:ascii="Arial" w:hAnsi="Arial" w:cs="Arial"/>
          <w:sz w:val="24"/>
          <w:szCs w:val="24"/>
        </w:rPr>
        <w:t>23</w:t>
      </w:r>
      <w:r w:rsidRPr="004B22E0">
        <w:rPr>
          <w:rFonts w:ascii="Arial" w:hAnsi="Arial" w:cs="Arial"/>
          <w:sz w:val="24"/>
          <w:szCs w:val="24"/>
        </w:rPr>
        <w:t xml:space="preserve"> de </w:t>
      </w:r>
      <w:r w:rsidR="00830E08">
        <w:rPr>
          <w:rFonts w:ascii="Arial" w:hAnsi="Arial" w:cs="Arial"/>
          <w:sz w:val="24"/>
          <w:szCs w:val="24"/>
        </w:rPr>
        <w:t>septiembre</w:t>
      </w:r>
      <w:r w:rsidRPr="004B22E0">
        <w:rPr>
          <w:rFonts w:ascii="Arial" w:hAnsi="Arial" w:cs="Arial"/>
          <w:sz w:val="24"/>
          <w:szCs w:val="24"/>
        </w:rPr>
        <w:t xml:space="preserve"> de 2020, inclusive, hasta que reingrese el expediente al</w:t>
      </w:r>
      <w:r w:rsidRPr="004B22E0">
        <w:rPr>
          <w:rFonts w:ascii="Arial" w:hAnsi="Arial" w:cs="Arial"/>
          <w:spacing w:val="-3"/>
          <w:sz w:val="24"/>
          <w:szCs w:val="24"/>
        </w:rPr>
        <w:t xml:space="preserve"> </w:t>
      </w:r>
      <w:r w:rsidRPr="004B22E0">
        <w:rPr>
          <w:rFonts w:ascii="Arial" w:hAnsi="Arial" w:cs="Arial"/>
          <w:sz w:val="24"/>
          <w:szCs w:val="24"/>
        </w:rPr>
        <w:t>Despacho.</w:t>
      </w:r>
    </w:p>
    <w:p w14:paraId="7A2796BD" w14:textId="77777777" w:rsidR="004B22E0" w:rsidRDefault="004B22E0" w:rsidP="006E0C45">
      <w:pPr>
        <w:pStyle w:val="Textoindependiente"/>
        <w:spacing w:after="0" w:line="360" w:lineRule="auto"/>
        <w:jc w:val="both"/>
        <w:rPr>
          <w:rFonts w:ascii="Arial" w:hAnsi="Arial" w:cs="Arial"/>
          <w:sz w:val="24"/>
          <w:szCs w:val="24"/>
        </w:rPr>
      </w:pPr>
    </w:p>
    <w:p w14:paraId="39213BB5" w14:textId="77777777" w:rsidR="004B22E0" w:rsidRPr="004B22E0" w:rsidRDefault="004B22E0" w:rsidP="006E0C45">
      <w:pPr>
        <w:pStyle w:val="Textoindependiente"/>
        <w:spacing w:after="0" w:line="360" w:lineRule="auto"/>
        <w:jc w:val="center"/>
        <w:rPr>
          <w:rFonts w:ascii="Arial" w:hAnsi="Arial" w:cs="Arial"/>
          <w:sz w:val="24"/>
          <w:szCs w:val="24"/>
        </w:rPr>
      </w:pPr>
    </w:p>
    <w:p w14:paraId="5BCEC014" w14:textId="77777777" w:rsidR="004B22E0" w:rsidRPr="004B22E0" w:rsidRDefault="004B22E0" w:rsidP="006E0C45">
      <w:pPr>
        <w:pStyle w:val="Ttulo1"/>
        <w:spacing w:line="360" w:lineRule="auto"/>
      </w:pPr>
      <w:r w:rsidRPr="004B22E0">
        <w:t>NOTIFÍQUESE Y CÚMPLASE</w:t>
      </w:r>
    </w:p>
    <w:p w14:paraId="36F357AD" w14:textId="02A326AD" w:rsidR="004B22E0" w:rsidRPr="004B22E0" w:rsidRDefault="004B22E0" w:rsidP="006E0C45">
      <w:pPr>
        <w:pStyle w:val="Textoindependiente"/>
        <w:spacing w:after="0" w:line="360" w:lineRule="auto"/>
        <w:jc w:val="center"/>
        <w:rPr>
          <w:rFonts w:ascii="Arial" w:hAnsi="Arial" w:cs="Arial"/>
          <w:b/>
          <w:sz w:val="24"/>
          <w:szCs w:val="24"/>
        </w:rPr>
      </w:pPr>
    </w:p>
    <w:p w14:paraId="6B117AF7" w14:textId="77777777" w:rsidR="004B22E0" w:rsidRPr="004B22E0" w:rsidRDefault="004B22E0" w:rsidP="006E0C45">
      <w:pPr>
        <w:spacing w:after="0" w:line="360" w:lineRule="auto"/>
        <w:ind w:left="1672" w:right="1673"/>
        <w:jc w:val="center"/>
        <w:rPr>
          <w:rFonts w:ascii="Arial" w:hAnsi="Arial" w:cs="Arial"/>
          <w:b/>
          <w:sz w:val="24"/>
          <w:szCs w:val="24"/>
        </w:rPr>
      </w:pPr>
      <w:r w:rsidRPr="004B22E0">
        <w:rPr>
          <w:rFonts w:ascii="Arial" w:hAnsi="Arial" w:cs="Arial"/>
          <w:b/>
          <w:sz w:val="24"/>
          <w:szCs w:val="24"/>
        </w:rPr>
        <w:t>NICOLÁS YEPES CORRALES</w:t>
      </w:r>
    </w:p>
    <w:p w14:paraId="1D006809" w14:textId="709CA99F" w:rsidR="004B22E0" w:rsidRPr="004B22E0" w:rsidRDefault="004B22E0" w:rsidP="006E0C45">
      <w:pPr>
        <w:spacing w:after="0" w:line="360" w:lineRule="auto"/>
        <w:ind w:left="1672" w:right="1673"/>
        <w:jc w:val="center"/>
        <w:rPr>
          <w:rFonts w:ascii="Arial" w:hAnsi="Arial" w:cs="Arial"/>
          <w:b/>
        </w:rPr>
      </w:pPr>
      <w:r w:rsidRPr="004B22E0">
        <w:rPr>
          <w:rFonts w:ascii="Arial" w:hAnsi="Arial" w:cs="Arial"/>
          <w:b/>
          <w:sz w:val="24"/>
          <w:szCs w:val="24"/>
        </w:rPr>
        <w:t>Consejero Ponente</w:t>
      </w:r>
    </w:p>
    <w:sectPr w:rsidR="004B22E0" w:rsidRPr="004B22E0" w:rsidSect="00E70CB9">
      <w:headerReference w:type="default" r:id="rId8"/>
      <w:headerReference w:type="first" r:id="rId9"/>
      <w:pgSz w:w="12242" w:h="18722" w:code="5"/>
      <w:pgMar w:top="1418" w:right="1701" w:bottom="1418" w:left="1701"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823EA" w14:textId="77777777" w:rsidR="00FE0A2D" w:rsidRDefault="00FE0A2D" w:rsidP="005C5077">
      <w:pPr>
        <w:spacing w:after="0" w:line="240" w:lineRule="auto"/>
      </w:pPr>
      <w:r>
        <w:separator/>
      </w:r>
    </w:p>
  </w:endnote>
  <w:endnote w:type="continuationSeparator" w:id="0">
    <w:p w14:paraId="4F730862" w14:textId="77777777" w:rsidR="00FE0A2D" w:rsidRDefault="00FE0A2D" w:rsidP="005C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B09E1" w14:textId="77777777" w:rsidR="00FE0A2D" w:rsidRDefault="00FE0A2D" w:rsidP="005C5077">
      <w:pPr>
        <w:spacing w:after="0" w:line="240" w:lineRule="auto"/>
      </w:pPr>
      <w:r>
        <w:separator/>
      </w:r>
    </w:p>
  </w:footnote>
  <w:footnote w:type="continuationSeparator" w:id="0">
    <w:p w14:paraId="02E9233F" w14:textId="77777777" w:rsidR="00FE0A2D" w:rsidRDefault="00FE0A2D" w:rsidP="005C5077">
      <w:pPr>
        <w:spacing w:after="0" w:line="240" w:lineRule="auto"/>
      </w:pPr>
      <w:r>
        <w:continuationSeparator/>
      </w:r>
    </w:p>
  </w:footnote>
  <w:footnote w:id="1">
    <w:p w14:paraId="65A42EA3" w14:textId="7BC69E9E" w:rsidR="004B22E0" w:rsidRPr="006E0C45" w:rsidRDefault="004B22E0" w:rsidP="000A0AAE">
      <w:pPr>
        <w:pStyle w:val="Textonotapie"/>
        <w:ind w:right="51"/>
        <w:jc w:val="both"/>
        <w:rPr>
          <w:rFonts w:ascii="Arial" w:hAnsi="Arial" w:cs="Arial"/>
        </w:rPr>
      </w:pPr>
      <w:r w:rsidRPr="006E0C45">
        <w:rPr>
          <w:rStyle w:val="Refdenotaalpie"/>
          <w:rFonts w:ascii="Arial" w:hAnsi="Arial" w:cs="Arial"/>
        </w:rPr>
        <w:footnoteRef/>
      </w:r>
      <w:r w:rsidR="00741161" w:rsidRPr="006E0C45">
        <w:rPr>
          <w:rFonts w:ascii="Arial" w:hAnsi="Arial" w:cs="Arial"/>
        </w:rPr>
        <w:t xml:space="preserve"> Obra solicitud de amparo en 15</w:t>
      </w:r>
      <w:r w:rsidRPr="006E0C45">
        <w:rPr>
          <w:rFonts w:ascii="Arial" w:hAnsi="Arial" w:cs="Arial"/>
        </w:rPr>
        <w:t xml:space="preserve"> folios dentro del expediente de tutela que está en medio digital, plataforma </w:t>
      </w:r>
      <w:r w:rsidR="003A123B" w:rsidRPr="006E0C45">
        <w:rPr>
          <w:rFonts w:ascii="Arial" w:hAnsi="Arial" w:cs="Arial"/>
        </w:rPr>
        <w:t>“</w:t>
      </w:r>
      <w:r w:rsidRPr="006E0C45">
        <w:rPr>
          <w:rFonts w:ascii="Arial" w:hAnsi="Arial" w:cs="Arial"/>
        </w:rPr>
        <w:t xml:space="preserve">SAMAI” en el archivo con certificado No. </w:t>
      </w:r>
      <w:r w:rsidR="00741161" w:rsidRPr="006E0C45">
        <w:rPr>
          <w:rFonts w:ascii="Arial" w:hAnsi="Arial" w:cs="Arial"/>
        </w:rPr>
        <w:t>E16E83970878CC8A 7EABD30DBE581C47 533FDDE6F9766243 EAEEF356034D2B08</w:t>
      </w:r>
      <w:r w:rsidRPr="006E0C45">
        <w:rPr>
          <w:rFonts w:ascii="Arial" w:hAnsi="Arial" w:cs="Arial"/>
        </w:rPr>
        <w:t>.</w:t>
      </w:r>
    </w:p>
  </w:footnote>
  <w:footnote w:id="2">
    <w:p w14:paraId="0515BDDD" w14:textId="56B6E7E9" w:rsidR="004B22E0" w:rsidRPr="006E0C45" w:rsidRDefault="004B22E0" w:rsidP="000A0AAE">
      <w:pPr>
        <w:spacing w:after="0" w:line="240" w:lineRule="auto"/>
        <w:ind w:right="51"/>
        <w:jc w:val="both"/>
        <w:rPr>
          <w:rFonts w:ascii="Arial" w:hAnsi="Arial" w:cs="Arial"/>
          <w:sz w:val="20"/>
          <w:szCs w:val="20"/>
        </w:rPr>
      </w:pPr>
      <w:r w:rsidRPr="006E0C45">
        <w:rPr>
          <w:rStyle w:val="Refdenotaalpie"/>
          <w:rFonts w:ascii="Arial" w:hAnsi="Arial" w:cs="Arial"/>
          <w:sz w:val="20"/>
          <w:szCs w:val="20"/>
        </w:rPr>
        <w:footnoteRef/>
      </w:r>
      <w:r w:rsidRPr="006E0C45">
        <w:rPr>
          <w:rFonts w:ascii="Arial" w:hAnsi="Arial" w:cs="Arial"/>
          <w:position w:val="8"/>
          <w:sz w:val="20"/>
          <w:szCs w:val="20"/>
        </w:rPr>
        <w:t xml:space="preserve"> </w:t>
      </w:r>
      <w:r w:rsidRPr="006E0C45">
        <w:rPr>
          <w:rFonts w:ascii="Arial" w:hAnsi="Arial" w:cs="Arial"/>
          <w:sz w:val="20"/>
          <w:szCs w:val="20"/>
        </w:rPr>
        <w:t>“Artículo 86. 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 (…)”.</w:t>
      </w:r>
      <w:r w:rsidR="00391087" w:rsidRPr="006E0C45">
        <w:rPr>
          <w:rFonts w:ascii="Arial" w:hAnsi="Arial" w:cs="Arial"/>
          <w:sz w:val="20"/>
          <w:szCs w:val="20"/>
        </w:rPr>
        <w:t xml:space="preserve"> </w:t>
      </w:r>
    </w:p>
  </w:footnote>
  <w:footnote w:id="3">
    <w:p w14:paraId="2E217EF5" w14:textId="77777777" w:rsidR="004B22E0" w:rsidRPr="006E0C45" w:rsidRDefault="004B22E0" w:rsidP="000A0AAE">
      <w:pPr>
        <w:pStyle w:val="Textonotapie"/>
        <w:ind w:right="51"/>
        <w:jc w:val="both"/>
        <w:rPr>
          <w:rFonts w:ascii="Arial" w:hAnsi="Arial" w:cs="Arial"/>
        </w:rPr>
      </w:pPr>
      <w:r w:rsidRPr="006E0C45">
        <w:rPr>
          <w:rStyle w:val="Refdenotaalpie"/>
          <w:rFonts w:ascii="Arial" w:hAnsi="Arial" w:cs="Arial"/>
        </w:rPr>
        <w:footnoteRef/>
      </w:r>
      <w:r w:rsidRPr="006E0C45">
        <w:rPr>
          <w:rFonts w:ascii="Arial" w:hAnsi="Arial" w:cs="Arial"/>
        </w:rPr>
        <w:t xml:space="preserve"> “Artículo 37. Primera instancia. Son competentes para conocer de la acción de tutela, a prevención, los jueces o tribunales con jurisdicción en el lugar donde ocurriere la violación o la amenaza que motivaren la presentación de la solicitud”.</w:t>
      </w:r>
    </w:p>
  </w:footnote>
  <w:footnote w:id="4">
    <w:p w14:paraId="56105545" w14:textId="77777777" w:rsidR="004B22E0" w:rsidRPr="006E0C45" w:rsidRDefault="004B22E0" w:rsidP="000A0AAE">
      <w:pPr>
        <w:pStyle w:val="Textonotapie"/>
        <w:ind w:right="51"/>
        <w:jc w:val="both"/>
      </w:pPr>
      <w:r w:rsidRPr="006E0C45">
        <w:rPr>
          <w:rStyle w:val="Refdenotaalpie"/>
          <w:rFonts w:ascii="Arial" w:hAnsi="Arial" w:cs="Arial"/>
        </w:rPr>
        <w:footnoteRef/>
      </w:r>
      <w:r w:rsidRPr="006E0C45">
        <w:rPr>
          <w:rFonts w:ascii="Arial" w:hAnsi="Arial" w:cs="Arial"/>
        </w:rPr>
        <w:t xml:space="preserve"> “Artículo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244497652"/>
      <w:docPartObj>
        <w:docPartGallery w:val="Page Numbers (Top of Page)"/>
        <w:docPartUnique/>
      </w:docPartObj>
    </w:sdtPr>
    <w:sdtEndPr/>
    <w:sdtContent>
      <w:p w14:paraId="1B7FBA65" w14:textId="77777777" w:rsidR="00CC5CF4" w:rsidRPr="00B326AB" w:rsidRDefault="00CC5CF4">
        <w:pPr>
          <w:pStyle w:val="Encabezado"/>
          <w:jc w:val="center"/>
          <w:rPr>
            <w:rFonts w:ascii="Arial" w:hAnsi="Arial" w:cs="Arial"/>
            <w:sz w:val="18"/>
            <w:szCs w:val="18"/>
          </w:rPr>
        </w:pPr>
        <w:r w:rsidRPr="00B326AB">
          <w:rPr>
            <w:rFonts w:ascii="Arial" w:hAnsi="Arial" w:cs="Arial"/>
            <w:sz w:val="18"/>
            <w:szCs w:val="18"/>
          </w:rPr>
          <w:fldChar w:fldCharType="begin"/>
        </w:r>
        <w:r w:rsidRPr="00B326AB">
          <w:rPr>
            <w:rFonts w:ascii="Arial" w:hAnsi="Arial" w:cs="Arial"/>
            <w:sz w:val="18"/>
            <w:szCs w:val="18"/>
          </w:rPr>
          <w:instrText>PAGE   \* MERGEFORMAT</w:instrText>
        </w:r>
        <w:r w:rsidRPr="00B326AB">
          <w:rPr>
            <w:rFonts w:ascii="Arial" w:hAnsi="Arial" w:cs="Arial"/>
            <w:sz w:val="18"/>
            <w:szCs w:val="18"/>
          </w:rPr>
          <w:fldChar w:fldCharType="separate"/>
        </w:r>
        <w:r w:rsidR="002F77E0" w:rsidRPr="00B326AB">
          <w:rPr>
            <w:rFonts w:ascii="Arial" w:hAnsi="Arial" w:cs="Arial"/>
            <w:noProof/>
            <w:sz w:val="18"/>
            <w:szCs w:val="18"/>
            <w:lang w:val="es-ES"/>
          </w:rPr>
          <w:t>2</w:t>
        </w:r>
        <w:r w:rsidRPr="00B326AB">
          <w:rPr>
            <w:rFonts w:ascii="Arial" w:hAnsi="Arial" w:cs="Arial"/>
            <w:sz w:val="18"/>
            <w:szCs w:val="18"/>
          </w:rPr>
          <w:fldChar w:fldCharType="end"/>
        </w:r>
      </w:p>
    </w:sdtContent>
  </w:sdt>
  <w:p w14:paraId="21100953" w14:textId="77777777" w:rsidR="00B326AB" w:rsidRDefault="00B326AB" w:rsidP="000D7EA7">
    <w:pPr>
      <w:tabs>
        <w:tab w:val="left" w:pos="1995"/>
      </w:tabs>
      <w:spacing w:after="0" w:line="240" w:lineRule="auto"/>
      <w:jc w:val="right"/>
      <w:rPr>
        <w:rFonts w:ascii="Arial" w:hAnsi="Arial" w:cs="Arial"/>
        <w:i/>
        <w:sz w:val="18"/>
        <w:szCs w:val="18"/>
      </w:rPr>
    </w:pPr>
  </w:p>
  <w:p w14:paraId="0E1E792E" w14:textId="50D89D1C" w:rsidR="00CC5CF4" w:rsidRPr="00B326AB" w:rsidRDefault="00CC5CF4" w:rsidP="000D7EA7">
    <w:pPr>
      <w:tabs>
        <w:tab w:val="left" w:pos="1995"/>
      </w:tabs>
      <w:spacing w:after="0" w:line="240" w:lineRule="auto"/>
      <w:jc w:val="right"/>
      <w:rPr>
        <w:rFonts w:ascii="Arial" w:hAnsi="Arial" w:cs="Arial"/>
        <w:i/>
        <w:sz w:val="18"/>
        <w:szCs w:val="18"/>
      </w:rPr>
    </w:pPr>
    <w:r w:rsidRPr="00B326AB">
      <w:rPr>
        <w:rFonts w:ascii="Arial" w:hAnsi="Arial" w:cs="Arial"/>
        <w:i/>
        <w:sz w:val="18"/>
        <w:szCs w:val="18"/>
      </w:rPr>
      <w:t xml:space="preserve">Admisión de la acción de tutela </w:t>
    </w:r>
  </w:p>
  <w:p w14:paraId="421B8DF0" w14:textId="702A6247" w:rsidR="00CC5CF4" w:rsidRPr="00B326AB" w:rsidRDefault="00CC5CF4" w:rsidP="000D7EA7">
    <w:pPr>
      <w:tabs>
        <w:tab w:val="left" w:pos="1995"/>
      </w:tabs>
      <w:spacing w:after="0" w:line="240" w:lineRule="auto"/>
      <w:jc w:val="right"/>
      <w:rPr>
        <w:rFonts w:ascii="Arial" w:hAnsi="Arial" w:cs="Arial"/>
        <w:i/>
        <w:sz w:val="18"/>
        <w:szCs w:val="18"/>
      </w:rPr>
    </w:pPr>
    <w:r w:rsidRPr="00B326AB">
      <w:rPr>
        <w:rFonts w:ascii="Arial" w:hAnsi="Arial" w:cs="Arial"/>
        <w:i/>
        <w:sz w:val="18"/>
        <w:szCs w:val="18"/>
      </w:rPr>
      <w:t>Radicació</w:t>
    </w:r>
    <w:r w:rsidR="009A65EE" w:rsidRPr="00B326AB">
      <w:rPr>
        <w:rFonts w:ascii="Arial" w:hAnsi="Arial" w:cs="Arial"/>
        <w:i/>
        <w:sz w:val="18"/>
        <w:szCs w:val="18"/>
      </w:rPr>
      <w:t xml:space="preserve">n: </w:t>
    </w:r>
    <w:r w:rsidR="00DD79A0" w:rsidRPr="00B326AB">
      <w:rPr>
        <w:rFonts w:ascii="Arial" w:hAnsi="Arial" w:cs="Arial"/>
        <w:i/>
        <w:sz w:val="18"/>
        <w:szCs w:val="18"/>
      </w:rPr>
      <w:t>11001-03-15-000-2020-04128</w:t>
    </w:r>
    <w:r w:rsidR="00844A62" w:rsidRPr="00B326AB">
      <w:rPr>
        <w:rFonts w:ascii="Arial" w:hAnsi="Arial" w:cs="Arial"/>
        <w:i/>
        <w:sz w:val="18"/>
        <w:szCs w:val="18"/>
      </w:rPr>
      <w:t>-00</w:t>
    </w:r>
  </w:p>
  <w:p w14:paraId="0E91BD52" w14:textId="52D43A6A" w:rsidR="00844A62" w:rsidRPr="00B326AB" w:rsidRDefault="00CC5CF4" w:rsidP="000D7EA7">
    <w:pPr>
      <w:tabs>
        <w:tab w:val="left" w:pos="1995"/>
      </w:tabs>
      <w:spacing w:after="0" w:line="240" w:lineRule="auto"/>
      <w:jc w:val="right"/>
      <w:rPr>
        <w:rFonts w:ascii="Arial" w:hAnsi="Arial" w:cs="Arial"/>
        <w:i/>
        <w:sz w:val="18"/>
        <w:szCs w:val="18"/>
      </w:rPr>
    </w:pPr>
    <w:r w:rsidRPr="00B326AB">
      <w:rPr>
        <w:rFonts w:ascii="Arial" w:hAnsi="Arial" w:cs="Arial"/>
        <w:i/>
        <w:sz w:val="18"/>
        <w:szCs w:val="18"/>
      </w:rPr>
      <w:t>Accionante</w:t>
    </w:r>
    <w:r w:rsidR="004B22E0" w:rsidRPr="00B326AB">
      <w:rPr>
        <w:rFonts w:ascii="Arial" w:hAnsi="Arial" w:cs="Arial"/>
        <w:i/>
        <w:sz w:val="18"/>
        <w:szCs w:val="18"/>
      </w:rPr>
      <w:t xml:space="preserve">: </w:t>
    </w:r>
    <w:r w:rsidR="00DD79A0" w:rsidRPr="00B326AB">
      <w:rPr>
        <w:rFonts w:ascii="Arial" w:hAnsi="Arial" w:cs="Arial"/>
        <w:i/>
        <w:sz w:val="18"/>
        <w:szCs w:val="18"/>
      </w:rPr>
      <w:t>Alfonso Bernate Díaz</w:t>
    </w:r>
    <w:r w:rsidR="00844A62" w:rsidRPr="00B326AB">
      <w:rPr>
        <w:rFonts w:ascii="Arial" w:hAnsi="Arial" w:cs="Arial"/>
        <w:i/>
        <w:sz w:val="18"/>
        <w:szCs w:val="18"/>
      </w:rPr>
      <w:t xml:space="preserve"> </w:t>
    </w:r>
  </w:p>
  <w:p w14:paraId="5374E06A" w14:textId="78354E58" w:rsidR="000D7EA7" w:rsidRPr="00B326AB" w:rsidRDefault="00CC5CF4" w:rsidP="000D7EA7">
    <w:pPr>
      <w:spacing w:before="3" w:after="0" w:line="240" w:lineRule="auto"/>
      <w:ind w:left="119"/>
      <w:jc w:val="right"/>
      <w:rPr>
        <w:rFonts w:ascii="Arial" w:hAnsi="Arial" w:cs="Arial"/>
        <w:i/>
        <w:sz w:val="18"/>
        <w:szCs w:val="18"/>
      </w:rPr>
    </w:pPr>
    <w:r w:rsidRPr="00B326AB">
      <w:rPr>
        <w:rFonts w:ascii="Arial" w:hAnsi="Arial" w:cs="Arial"/>
        <w:i/>
        <w:sz w:val="18"/>
        <w:szCs w:val="18"/>
      </w:rPr>
      <w:t>Accionado</w:t>
    </w:r>
    <w:r w:rsidR="000D7EA7" w:rsidRPr="00B326AB">
      <w:rPr>
        <w:rFonts w:ascii="Arial" w:hAnsi="Arial" w:cs="Arial"/>
        <w:i/>
        <w:sz w:val="18"/>
        <w:szCs w:val="18"/>
      </w:rPr>
      <w:t>s</w:t>
    </w:r>
    <w:r w:rsidRPr="00B326AB">
      <w:rPr>
        <w:rFonts w:ascii="Arial" w:hAnsi="Arial" w:cs="Arial"/>
        <w:i/>
        <w:sz w:val="18"/>
        <w:szCs w:val="18"/>
      </w:rPr>
      <w:t xml:space="preserve">: </w:t>
    </w:r>
    <w:r w:rsidR="00B326AB" w:rsidRPr="00B326AB">
      <w:rPr>
        <w:rFonts w:ascii="Arial" w:hAnsi="Arial" w:cs="Arial"/>
        <w:i/>
        <w:sz w:val="18"/>
        <w:szCs w:val="18"/>
      </w:rPr>
      <w:t xml:space="preserve">Tribunal Administrativo del Tolima </w:t>
    </w:r>
    <w:r w:rsidR="000D7EA7" w:rsidRPr="00B326AB">
      <w:rPr>
        <w:rFonts w:ascii="Arial" w:hAnsi="Arial" w:cs="Arial"/>
        <w:i/>
        <w:sz w:val="18"/>
        <w:szCs w:val="18"/>
      </w:rPr>
      <w:t>y Otro</w:t>
    </w:r>
  </w:p>
  <w:p w14:paraId="2A42FA78" w14:textId="36A0D76A" w:rsidR="00CC5CF4" w:rsidRPr="00B326AB" w:rsidRDefault="00CC5CF4" w:rsidP="00844A62">
    <w:pPr>
      <w:tabs>
        <w:tab w:val="left" w:pos="1995"/>
      </w:tabs>
      <w:spacing w:after="0" w:line="240" w:lineRule="auto"/>
      <w:jc w:val="right"/>
      <w:rPr>
        <w:rFonts w:ascii="Arial" w:hAnsi="Arial" w:cs="Arial"/>
        <w:bCs/>
        <w:i/>
        <w:sz w:val="18"/>
        <w:szCs w:val="18"/>
      </w:rPr>
    </w:pPr>
  </w:p>
  <w:p w14:paraId="668F9F90" w14:textId="77777777" w:rsidR="00CC5CF4" w:rsidRPr="00B326AB" w:rsidRDefault="00CC5CF4">
    <w:pPr>
      <w:pStyle w:val="Encabezado"/>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B8782" w14:textId="77777777" w:rsidR="005C5077" w:rsidRPr="005C5077" w:rsidRDefault="005C5077" w:rsidP="005C5077">
    <w:pPr>
      <w:pStyle w:val="Encabezado"/>
      <w:rPr>
        <w:sz w:val="24"/>
        <w:szCs w:val="24"/>
      </w:rPr>
    </w:pPr>
    <w:r w:rsidRPr="005C5077">
      <w:rPr>
        <w:noProof/>
        <w:sz w:val="24"/>
        <w:szCs w:val="24"/>
        <w:lang w:eastAsia="es-CO"/>
      </w:rPr>
      <w:drawing>
        <wp:anchor distT="0" distB="0" distL="114300" distR="114300" simplePos="0" relativeHeight="251659264" behindDoc="1" locked="0" layoutInCell="1" allowOverlap="1" wp14:anchorId="0FC32FE7" wp14:editId="4E117C4C">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A537A" w14:textId="77777777" w:rsidR="005C5077" w:rsidRPr="005C5077" w:rsidRDefault="005C5077" w:rsidP="005C5077">
    <w:pPr>
      <w:spacing w:after="0"/>
      <w:jc w:val="center"/>
      <w:rPr>
        <w:rFonts w:ascii="Arial" w:eastAsia="Times New Roman" w:hAnsi="Arial" w:cs="Arial"/>
        <w:b/>
        <w:bCs/>
        <w:sz w:val="24"/>
        <w:szCs w:val="24"/>
        <w:lang w:eastAsia="es-ES"/>
      </w:rPr>
    </w:pPr>
    <w:r w:rsidRPr="005C5077">
      <w:rPr>
        <w:rFonts w:ascii="Arial" w:eastAsia="Times New Roman" w:hAnsi="Arial" w:cs="Arial"/>
        <w:b/>
        <w:bCs/>
        <w:sz w:val="24"/>
        <w:szCs w:val="24"/>
        <w:lang w:eastAsia="es-ES"/>
      </w:rPr>
      <w:t>CONSEJO DE ESTADO</w:t>
    </w:r>
  </w:p>
  <w:p w14:paraId="7D615392" w14:textId="77777777" w:rsidR="005C5077" w:rsidRPr="005C5077" w:rsidRDefault="005C5077" w:rsidP="005C5077">
    <w:pPr>
      <w:spacing w:after="0"/>
      <w:jc w:val="center"/>
      <w:rPr>
        <w:rFonts w:ascii="Arial" w:eastAsia="Times New Roman" w:hAnsi="Arial" w:cs="Arial"/>
        <w:b/>
        <w:bCs/>
        <w:color w:val="000000"/>
        <w:sz w:val="24"/>
        <w:szCs w:val="24"/>
        <w:lang w:eastAsia="es-ES"/>
      </w:rPr>
    </w:pPr>
    <w:r w:rsidRPr="005C5077">
      <w:rPr>
        <w:rFonts w:ascii="Arial" w:eastAsia="Times New Roman" w:hAnsi="Arial" w:cs="Arial"/>
        <w:b/>
        <w:bCs/>
        <w:color w:val="000000"/>
        <w:sz w:val="24"/>
        <w:szCs w:val="24"/>
        <w:lang w:eastAsia="es-ES"/>
      </w:rPr>
      <w:t>SALA DE LO CONTENCIOSO ADMINISTRATIVO</w:t>
    </w:r>
  </w:p>
  <w:p w14:paraId="19D009BE" w14:textId="77777777" w:rsidR="005C5077" w:rsidRPr="005C5077" w:rsidRDefault="005C5077" w:rsidP="005C5077">
    <w:pPr>
      <w:spacing w:after="0"/>
      <w:jc w:val="center"/>
      <w:rPr>
        <w:rFonts w:ascii="Arial" w:eastAsia="Times New Roman" w:hAnsi="Arial" w:cs="Arial"/>
        <w:b/>
        <w:bCs/>
        <w:color w:val="000000"/>
        <w:sz w:val="24"/>
        <w:szCs w:val="24"/>
        <w:lang w:eastAsia="es-ES"/>
      </w:rPr>
    </w:pPr>
    <w:r w:rsidRPr="005C5077">
      <w:rPr>
        <w:rFonts w:ascii="Arial" w:eastAsia="Times New Roman" w:hAnsi="Arial" w:cs="Arial"/>
        <w:b/>
        <w:bCs/>
        <w:color w:val="000000"/>
        <w:sz w:val="24"/>
        <w:szCs w:val="24"/>
        <w:lang w:eastAsia="es-ES"/>
      </w:rPr>
      <w:t>SECCIÓN TERCERA</w:t>
    </w:r>
  </w:p>
  <w:p w14:paraId="5D1281AF" w14:textId="2ABC3E1A" w:rsidR="005C5077" w:rsidRPr="005C5077" w:rsidRDefault="003C5ABC" w:rsidP="005C5077">
    <w:pPr>
      <w:spacing w:after="0"/>
      <w:jc w:val="center"/>
      <w:rPr>
        <w:rFonts w:ascii="Arial" w:eastAsia="Times New Roman" w:hAnsi="Arial" w:cs="Arial"/>
        <w:b/>
        <w:bCs/>
        <w:color w:val="000000"/>
        <w:sz w:val="24"/>
        <w:szCs w:val="24"/>
        <w:lang w:eastAsia="es-ES"/>
      </w:rPr>
    </w:pPr>
    <w:r>
      <w:rPr>
        <w:rFonts w:ascii="Arial" w:eastAsia="Times New Roman" w:hAnsi="Arial" w:cs="Arial"/>
        <w:b/>
        <w:bCs/>
        <w:color w:val="000000"/>
        <w:sz w:val="24"/>
        <w:szCs w:val="24"/>
        <w:lang w:eastAsia="es-ES"/>
      </w:rPr>
      <w:t xml:space="preserve"> </w:t>
    </w:r>
    <w:r w:rsidR="005C5077" w:rsidRPr="005C5077">
      <w:rPr>
        <w:rFonts w:ascii="Arial" w:eastAsia="Times New Roman" w:hAnsi="Arial" w:cs="Arial"/>
        <w:b/>
        <w:bCs/>
        <w:color w:val="000000"/>
        <w:sz w:val="24"/>
        <w:szCs w:val="24"/>
        <w:lang w:eastAsia="es-ES"/>
      </w:rPr>
      <w:t>SUBSECCIÓN C</w:t>
    </w:r>
    <w:r w:rsidR="005C5077">
      <w:rPr>
        <w:rFonts w:ascii="Arial" w:eastAsia="Times New Roman" w:hAnsi="Arial" w:cs="Arial"/>
        <w:b/>
        <w:bCs/>
        <w:color w:val="000000"/>
        <w:sz w:val="24"/>
        <w:szCs w:val="24"/>
        <w:lang w:eastAsia="es-ES"/>
      </w:rPr>
      <w:t xml:space="preserve">                </w:t>
    </w:r>
    <w:r>
      <w:rPr>
        <w:rFonts w:ascii="Arial" w:eastAsia="Times New Roman" w:hAnsi="Arial" w:cs="Arial"/>
        <w:b/>
        <w:bCs/>
        <w:color w:val="000000"/>
        <w:sz w:val="24"/>
        <w:szCs w:val="24"/>
        <w:lang w:eastAsia="es-ES"/>
      </w:rPr>
      <w:t xml:space="preserve">                              </w:t>
    </w:r>
  </w:p>
  <w:p w14:paraId="2A05F13D" w14:textId="77777777" w:rsidR="005C5077" w:rsidRDefault="005C5077" w:rsidP="005C50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E820E5"/>
    <w:multiLevelType w:val="hybridMultilevel"/>
    <w:tmpl w:val="6C56B20A"/>
    <w:lvl w:ilvl="0" w:tplc="C310E1AE">
      <w:start w:val="1"/>
      <w:numFmt w:val="upperRoman"/>
      <w:lvlText w:val="%1."/>
      <w:lvlJc w:val="left"/>
      <w:pPr>
        <w:ind w:left="3658" w:hanging="201"/>
        <w:jc w:val="right"/>
      </w:pPr>
      <w:rPr>
        <w:rFonts w:ascii="Arial" w:eastAsia="Arial" w:hAnsi="Arial" w:cs="Arial" w:hint="default"/>
        <w:b/>
        <w:bCs/>
        <w:w w:val="100"/>
        <w:sz w:val="24"/>
        <w:szCs w:val="24"/>
        <w:lang w:val="es-ES" w:eastAsia="es-ES" w:bidi="es-ES"/>
      </w:rPr>
    </w:lvl>
    <w:lvl w:ilvl="1" w:tplc="74E8551C">
      <w:numFmt w:val="bullet"/>
      <w:lvlText w:val="•"/>
      <w:lvlJc w:val="left"/>
      <w:pPr>
        <w:ind w:left="4202" w:hanging="201"/>
      </w:pPr>
      <w:rPr>
        <w:rFonts w:hint="default"/>
        <w:lang w:val="es-ES" w:eastAsia="es-ES" w:bidi="es-ES"/>
      </w:rPr>
    </w:lvl>
    <w:lvl w:ilvl="2" w:tplc="74C62F3C">
      <w:numFmt w:val="bullet"/>
      <w:lvlText w:val="•"/>
      <w:lvlJc w:val="left"/>
      <w:pPr>
        <w:ind w:left="4744" w:hanging="201"/>
      </w:pPr>
      <w:rPr>
        <w:rFonts w:hint="default"/>
        <w:lang w:val="es-ES" w:eastAsia="es-ES" w:bidi="es-ES"/>
      </w:rPr>
    </w:lvl>
    <w:lvl w:ilvl="3" w:tplc="6AE0A204">
      <w:numFmt w:val="bullet"/>
      <w:lvlText w:val="•"/>
      <w:lvlJc w:val="left"/>
      <w:pPr>
        <w:ind w:left="5286" w:hanging="201"/>
      </w:pPr>
      <w:rPr>
        <w:rFonts w:hint="default"/>
        <w:lang w:val="es-ES" w:eastAsia="es-ES" w:bidi="es-ES"/>
      </w:rPr>
    </w:lvl>
    <w:lvl w:ilvl="4" w:tplc="0C56A9F2">
      <w:numFmt w:val="bullet"/>
      <w:lvlText w:val="•"/>
      <w:lvlJc w:val="left"/>
      <w:pPr>
        <w:ind w:left="5828" w:hanging="201"/>
      </w:pPr>
      <w:rPr>
        <w:rFonts w:hint="default"/>
        <w:lang w:val="es-ES" w:eastAsia="es-ES" w:bidi="es-ES"/>
      </w:rPr>
    </w:lvl>
    <w:lvl w:ilvl="5" w:tplc="5770C23E">
      <w:numFmt w:val="bullet"/>
      <w:lvlText w:val="•"/>
      <w:lvlJc w:val="left"/>
      <w:pPr>
        <w:ind w:left="6370" w:hanging="201"/>
      </w:pPr>
      <w:rPr>
        <w:rFonts w:hint="default"/>
        <w:lang w:val="es-ES" w:eastAsia="es-ES" w:bidi="es-ES"/>
      </w:rPr>
    </w:lvl>
    <w:lvl w:ilvl="6" w:tplc="744ACAE6">
      <w:numFmt w:val="bullet"/>
      <w:lvlText w:val="•"/>
      <w:lvlJc w:val="left"/>
      <w:pPr>
        <w:ind w:left="6912" w:hanging="201"/>
      </w:pPr>
      <w:rPr>
        <w:rFonts w:hint="default"/>
        <w:lang w:val="es-ES" w:eastAsia="es-ES" w:bidi="es-ES"/>
      </w:rPr>
    </w:lvl>
    <w:lvl w:ilvl="7" w:tplc="98FA482A">
      <w:numFmt w:val="bullet"/>
      <w:lvlText w:val="•"/>
      <w:lvlJc w:val="left"/>
      <w:pPr>
        <w:ind w:left="7454" w:hanging="201"/>
      </w:pPr>
      <w:rPr>
        <w:rFonts w:hint="default"/>
        <w:lang w:val="es-ES" w:eastAsia="es-ES" w:bidi="es-ES"/>
      </w:rPr>
    </w:lvl>
    <w:lvl w:ilvl="8" w:tplc="CAC6BA5E">
      <w:numFmt w:val="bullet"/>
      <w:lvlText w:val="•"/>
      <w:lvlJc w:val="left"/>
      <w:pPr>
        <w:ind w:left="7996" w:hanging="201"/>
      </w:pPr>
      <w:rPr>
        <w:rFonts w:hint="default"/>
        <w:lang w:val="es-ES" w:eastAsia="es-ES" w:bidi="es-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77"/>
    <w:rsid w:val="000A0AAE"/>
    <w:rsid w:val="000B7F92"/>
    <w:rsid w:val="000C0255"/>
    <w:rsid w:val="000D7EA7"/>
    <w:rsid w:val="0010006F"/>
    <w:rsid w:val="00161C67"/>
    <w:rsid w:val="001A40E4"/>
    <w:rsid w:val="001E436B"/>
    <w:rsid w:val="00214E32"/>
    <w:rsid w:val="00225C97"/>
    <w:rsid w:val="00267D51"/>
    <w:rsid w:val="002A6A03"/>
    <w:rsid w:val="002C148A"/>
    <w:rsid w:val="002C6D44"/>
    <w:rsid w:val="002E0DDC"/>
    <w:rsid w:val="002F77E0"/>
    <w:rsid w:val="00307850"/>
    <w:rsid w:val="0038632C"/>
    <w:rsid w:val="00391087"/>
    <w:rsid w:val="003A123B"/>
    <w:rsid w:val="003A2BDF"/>
    <w:rsid w:val="003C5ABC"/>
    <w:rsid w:val="003E1043"/>
    <w:rsid w:val="00411F47"/>
    <w:rsid w:val="0042378A"/>
    <w:rsid w:val="004B22E0"/>
    <w:rsid w:val="004C2C91"/>
    <w:rsid w:val="004D19F2"/>
    <w:rsid w:val="004D7238"/>
    <w:rsid w:val="005205CE"/>
    <w:rsid w:val="00565B56"/>
    <w:rsid w:val="005717A9"/>
    <w:rsid w:val="005C5077"/>
    <w:rsid w:val="00616292"/>
    <w:rsid w:val="00646A8F"/>
    <w:rsid w:val="006A6655"/>
    <w:rsid w:val="006A736F"/>
    <w:rsid w:val="006B2A79"/>
    <w:rsid w:val="006E0C45"/>
    <w:rsid w:val="006E253E"/>
    <w:rsid w:val="00732A89"/>
    <w:rsid w:val="00741161"/>
    <w:rsid w:val="00741772"/>
    <w:rsid w:val="0076245B"/>
    <w:rsid w:val="00762A26"/>
    <w:rsid w:val="00772659"/>
    <w:rsid w:val="0078124F"/>
    <w:rsid w:val="007F1876"/>
    <w:rsid w:val="00830E08"/>
    <w:rsid w:val="00844A62"/>
    <w:rsid w:val="0085116A"/>
    <w:rsid w:val="008746B9"/>
    <w:rsid w:val="008B1CB7"/>
    <w:rsid w:val="00985036"/>
    <w:rsid w:val="009A00C2"/>
    <w:rsid w:val="009A65EE"/>
    <w:rsid w:val="00A10631"/>
    <w:rsid w:val="00A17415"/>
    <w:rsid w:val="00AA451D"/>
    <w:rsid w:val="00AC3AA5"/>
    <w:rsid w:val="00AF3C0B"/>
    <w:rsid w:val="00AF6015"/>
    <w:rsid w:val="00B326AB"/>
    <w:rsid w:val="00B74DAC"/>
    <w:rsid w:val="00BB7C1B"/>
    <w:rsid w:val="00C167E1"/>
    <w:rsid w:val="00C25253"/>
    <w:rsid w:val="00C269A4"/>
    <w:rsid w:val="00C57CF6"/>
    <w:rsid w:val="00C6408A"/>
    <w:rsid w:val="00C73BB1"/>
    <w:rsid w:val="00CC5CF4"/>
    <w:rsid w:val="00CC7303"/>
    <w:rsid w:val="00CD1BCE"/>
    <w:rsid w:val="00D00BE5"/>
    <w:rsid w:val="00D458FB"/>
    <w:rsid w:val="00D56278"/>
    <w:rsid w:val="00D93180"/>
    <w:rsid w:val="00DD79A0"/>
    <w:rsid w:val="00E335FA"/>
    <w:rsid w:val="00E427FE"/>
    <w:rsid w:val="00E53B38"/>
    <w:rsid w:val="00E70CB9"/>
    <w:rsid w:val="00F40E2A"/>
    <w:rsid w:val="00F41BE2"/>
    <w:rsid w:val="00F83147"/>
    <w:rsid w:val="00F97400"/>
    <w:rsid w:val="00FB0704"/>
    <w:rsid w:val="00FE0A2D"/>
    <w:rsid w:val="00FE1A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36A5"/>
  <w15:docId w15:val="{7766DCF0-43AE-354E-93F7-091F1E86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4B22E0"/>
    <w:pPr>
      <w:widowControl w:val="0"/>
      <w:autoSpaceDE w:val="0"/>
      <w:autoSpaceDN w:val="0"/>
      <w:spacing w:after="0" w:line="240" w:lineRule="auto"/>
      <w:ind w:left="1672" w:right="1673"/>
      <w:jc w:val="center"/>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50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5077"/>
  </w:style>
  <w:style w:type="paragraph" w:styleId="Piedepgina">
    <w:name w:val="footer"/>
    <w:basedOn w:val="Normal"/>
    <w:link w:val="PiedepginaCar"/>
    <w:uiPriority w:val="99"/>
    <w:unhideWhenUsed/>
    <w:rsid w:val="005C50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5077"/>
  </w:style>
  <w:style w:type="paragraph" w:styleId="Sangradetextonormal">
    <w:name w:val="Body Text Indent"/>
    <w:basedOn w:val="Normal"/>
    <w:link w:val="SangradetextonormalCar"/>
    <w:rsid w:val="0038632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38632C"/>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D7238"/>
    <w:pPr>
      <w:ind w:left="720"/>
      <w:contextualSpacing/>
    </w:pPr>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uiPriority w:val="99"/>
    <w:qFormat/>
    <w:rsid w:val="004D7238"/>
    <w:rPr>
      <w:vertAlign w:val="superscript"/>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uiPriority w:val="99"/>
    <w:qFormat/>
    <w:rsid w:val="004D723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4D7238"/>
    <w:rPr>
      <w:rFonts w:ascii="Times New Roman" w:eastAsia="Times New Roman" w:hAnsi="Times New Roman" w:cs="Times New Roman"/>
      <w:sz w:val="20"/>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4D7238"/>
    <w:pPr>
      <w:spacing w:after="0" w:line="240" w:lineRule="auto"/>
      <w:jc w:val="both"/>
    </w:pPr>
    <w:rPr>
      <w:vertAlign w:val="superscript"/>
    </w:rPr>
  </w:style>
  <w:style w:type="character" w:customStyle="1" w:styleId="TextonotapieCar1">
    <w:name w:val="Texto nota pie Car1"/>
    <w:uiPriority w:val="99"/>
    <w:locked/>
    <w:rsid w:val="00CC5CF4"/>
    <w:rPr>
      <w:rFonts w:ascii="Times New Roman" w:eastAsia="Times New Roman" w:hAnsi="Times New Roman" w:cs="Times New Roman"/>
      <w:sz w:val="20"/>
      <w:szCs w:val="20"/>
      <w:lang w:val="zh-CN" w:eastAsia="es-ES"/>
    </w:rPr>
  </w:style>
  <w:style w:type="paragraph" w:styleId="NormalWeb">
    <w:name w:val="Normal (Web)"/>
    <w:basedOn w:val="Normal"/>
    <w:uiPriority w:val="99"/>
    <w:unhideWhenUsed/>
    <w:rsid w:val="00CC5CF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C269A4"/>
    <w:rPr>
      <w:rFonts w:ascii="Times New Roman" w:eastAsia="Times New Roman" w:hAnsi="Times New Roman"/>
      <w:lang w:val="es-ES" w:eastAsia="es-ES"/>
    </w:rPr>
  </w:style>
  <w:style w:type="paragraph" w:styleId="Sinespaciado">
    <w:name w:val="No Spacing"/>
    <w:link w:val="SinespaciadoCar"/>
    <w:uiPriority w:val="1"/>
    <w:qFormat/>
    <w:rsid w:val="00C269A4"/>
    <w:pPr>
      <w:spacing w:after="0" w:line="240" w:lineRule="auto"/>
    </w:pPr>
    <w:rPr>
      <w:rFonts w:ascii="Times New Roman" w:eastAsia="Times New Roman" w:hAnsi="Times New Roman"/>
      <w:lang w:val="es-ES" w:eastAsia="es-ES"/>
    </w:rPr>
  </w:style>
  <w:style w:type="character" w:styleId="Refdecomentario">
    <w:name w:val="annotation reference"/>
    <w:basedOn w:val="Fuentedeprrafopredeter"/>
    <w:uiPriority w:val="99"/>
    <w:semiHidden/>
    <w:unhideWhenUsed/>
    <w:rsid w:val="00AC3AA5"/>
    <w:rPr>
      <w:sz w:val="16"/>
      <w:szCs w:val="16"/>
    </w:rPr>
  </w:style>
  <w:style w:type="paragraph" w:styleId="Textocomentario">
    <w:name w:val="annotation text"/>
    <w:basedOn w:val="Normal"/>
    <w:link w:val="TextocomentarioCar"/>
    <w:uiPriority w:val="99"/>
    <w:semiHidden/>
    <w:unhideWhenUsed/>
    <w:rsid w:val="00AC3A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C3AA5"/>
    <w:rPr>
      <w:sz w:val="20"/>
      <w:szCs w:val="20"/>
    </w:rPr>
  </w:style>
  <w:style w:type="paragraph" w:styleId="Asuntodelcomentario">
    <w:name w:val="annotation subject"/>
    <w:basedOn w:val="Textocomentario"/>
    <w:next w:val="Textocomentario"/>
    <w:link w:val="AsuntodelcomentarioCar"/>
    <w:uiPriority w:val="99"/>
    <w:semiHidden/>
    <w:unhideWhenUsed/>
    <w:rsid w:val="00AC3AA5"/>
    <w:rPr>
      <w:b/>
      <w:bCs/>
    </w:rPr>
  </w:style>
  <w:style w:type="character" w:customStyle="1" w:styleId="AsuntodelcomentarioCar">
    <w:name w:val="Asunto del comentario Car"/>
    <w:basedOn w:val="TextocomentarioCar"/>
    <w:link w:val="Asuntodelcomentario"/>
    <w:uiPriority w:val="99"/>
    <w:semiHidden/>
    <w:rsid w:val="00AC3AA5"/>
    <w:rPr>
      <w:b/>
      <w:bCs/>
      <w:sz w:val="20"/>
      <w:szCs w:val="20"/>
    </w:rPr>
  </w:style>
  <w:style w:type="paragraph" w:styleId="Textodeglobo">
    <w:name w:val="Balloon Text"/>
    <w:basedOn w:val="Normal"/>
    <w:link w:val="TextodegloboCar"/>
    <w:uiPriority w:val="99"/>
    <w:semiHidden/>
    <w:unhideWhenUsed/>
    <w:rsid w:val="00AC3A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3AA5"/>
    <w:rPr>
      <w:rFonts w:ascii="Segoe UI" w:hAnsi="Segoe UI" w:cs="Segoe UI"/>
      <w:sz w:val="18"/>
      <w:szCs w:val="18"/>
    </w:rPr>
  </w:style>
  <w:style w:type="paragraph" w:styleId="Textoindependiente">
    <w:name w:val="Body Text"/>
    <w:basedOn w:val="Normal"/>
    <w:link w:val="TextoindependienteCar"/>
    <w:uiPriority w:val="99"/>
    <w:unhideWhenUsed/>
    <w:rsid w:val="004B22E0"/>
    <w:pPr>
      <w:spacing w:after="120"/>
    </w:pPr>
  </w:style>
  <w:style w:type="character" w:customStyle="1" w:styleId="TextoindependienteCar">
    <w:name w:val="Texto independiente Car"/>
    <w:basedOn w:val="Fuentedeprrafopredeter"/>
    <w:link w:val="Textoindependiente"/>
    <w:uiPriority w:val="99"/>
    <w:rsid w:val="004B22E0"/>
  </w:style>
  <w:style w:type="character" w:customStyle="1" w:styleId="Ttulo1Car">
    <w:name w:val="Título 1 Car"/>
    <w:basedOn w:val="Fuentedeprrafopredeter"/>
    <w:link w:val="Ttulo1"/>
    <w:uiPriority w:val="1"/>
    <w:rsid w:val="004B22E0"/>
    <w:rPr>
      <w:rFonts w:ascii="Arial" w:eastAsia="Arial" w:hAnsi="Arial" w:cs="Arial"/>
      <w:b/>
      <w:bCs/>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13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D2FB0-E5E5-43BE-BE6C-5BB98E62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502</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Alejandra</dc:creator>
  <cp:lastModifiedBy>María Paula Sierra Torres</cp:lastModifiedBy>
  <cp:revision>3</cp:revision>
  <cp:lastPrinted>2020-09-28T12:52:00Z</cp:lastPrinted>
  <dcterms:created xsi:type="dcterms:W3CDTF">2020-09-28T12:52:00Z</dcterms:created>
  <dcterms:modified xsi:type="dcterms:W3CDTF">2020-09-28T12:53:00Z</dcterms:modified>
</cp:coreProperties>
</file>