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A7073" w14:textId="77777777" w:rsidR="000C5DB7" w:rsidRPr="00211F0C" w:rsidRDefault="000C5DB7" w:rsidP="002123C2">
      <w:pPr>
        <w:pStyle w:val="Sinespaciado"/>
        <w:spacing w:line="276" w:lineRule="auto"/>
      </w:pPr>
      <w:r w:rsidRPr="00211F0C">
        <w:t>CONSEJERO PONENTE: JAIME ENRIQUE RODRÍGUEZ NAVAS</w:t>
      </w:r>
    </w:p>
    <w:p w14:paraId="2C38A39A" w14:textId="77777777" w:rsidR="00F91B32" w:rsidRPr="00211F0C" w:rsidRDefault="00F91B32" w:rsidP="002123C2">
      <w:pPr>
        <w:spacing w:line="276" w:lineRule="auto"/>
        <w:contextualSpacing/>
        <w:rPr>
          <w:b/>
          <w:bCs/>
          <w:sz w:val="24"/>
          <w:szCs w:val="24"/>
        </w:rPr>
      </w:pPr>
    </w:p>
    <w:p w14:paraId="13E90ACA" w14:textId="108554FC" w:rsidR="000C5DB7" w:rsidRPr="00211F0C" w:rsidRDefault="000C5DB7" w:rsidP="002123C2">
      <w:pPr>
        <w:spacing w:line="276" w:lineRule="auto"/>
        <w:contextualSpacing/>
        <w:rPr>
          <w:bCs/>
          <w:sz w:val="24"/>
          <w:szCs w:val="24"/>
        </w:rPr>
      </w:pPr>
      <w:r w:rsidRPr="00211F0C">
        <w:rPr>
          <w:bCs/>
          <w:sz w:val="24"/>
          <w:szCs w:val="24"/>
        </w:rPr>
        <w:t>Bogotá D.C.,</w:t>
      </w:r>
      <w:r w:rsidR="00C53B7C">
        <w:rPr>
          <w:bCs/>
          <w:sz w:val="24"/>
          <w:szCs w:val="24"/>
        </w:rPr>
        <w:t xml:space="preserve"> </w:t>
      </w:r>
      <w:r w:rsidR="007F7B05">
        <w:rPr>
          <w:bCs/>
          <w:sz w:val="24"/>
          <w:szCs w:val="24"/>
        </w:rPr>
        <w:t>diez</w:t>
      </w:r>
      <w:r w:rsidR="006A6312">
        <w:rPr>
          <w:bCs/>
          <w:sz w:val="24"/>
          <w:szCs w:val="24"/>
        </w:rPr>
        <w:t xml:space="preserve"> </w:t>
      </w:r>
      <w:r w:rsidRPr="00211F0C">
        <w:rPr>
          <w:bCs/>
          <w:sz w:val="24"/>
          <w:szCs w:val="24"/>
        </w:rPr>
        <w:t>(</w:t>
      </w:r>
      <w:r w:rsidR="007F7B05">
        <w:rPr>
          <w:bCs/>
          <w:sz w:val="24"/>
          <w:szCs w:val="24"/>
        </w:rPr>
        <w:t>1</w:t>
      </w:r>
      <w:r w:rsidR="00E067C8">
        <w:rPr>
          <w:bCs/>
          <w:sz w:val="24"/>
          <w:szCs w:val="24"/>
        </w:rPr>
        <w:t>1</w:t>
      </w:r>
      <w:r w:rsidRPr="00211F0C">
        <w:rPr>
          <w:bCs/>
          <w:sz w:val="24"/>
          <w:szCs w:val="24"/>
        </w:rPr>
        <w:t>) de</w:t>
      </w:r>
      <w:r w:rsidR="00C53B7C">
        <w:rPr>
          <w:bCs/>
          <w:sz w:val="24"/>
          <w:szCs w:val="24"/>
        </w:rPr>
        <w:t xml:space="preserve"> </w:t>
      </w:r>
      <w:r w:rsidR="002123C2">
        <w:rPr>
          <w:bCs/>
          <w:sz w:val="24"/>
          <w:szCs w:val="24"/>
        </w:rPr>
        <w:t>septiembre</w:t>
      </w:r>
      <w:r w:rsidR="00C53B7C">
        <w:rPr>
          <w:bCs/>
          <w:sz w:val="24"/>
          <w:szCs w:val="24"/>
        </w:rPr>
        <w:t xml:space="preserve"> </w:t>
      </w:r>
      <w:r w:rsidRPr="00211F0C">
        <w:rPr>
          <w:bCs/>
          <w:sz w:val="24"/>
          <w:szCs w:val="24"/>
        </w:rPr>
        <w:t xml:space="preserve">de dos mil </w:t>
      </w:r>
      <w:r w:rsidR="00C87516" w:rsidRPr="00211F0C">
        <w:rPr>
          <w:bCs/>
          <w:sz w:val="24"/>
          <w:szCs w:val="24"/>
        </w:rPr>
        <w:t>veinte</w:t>
      </w:r>
      <w:r w:rsidRPr="00211F0C">
        <w:rPr>
          <w:bCs/>
          <w:sz w:val="24"/>
          <w:szCs w:val="24"/>
        </w:rPr>
        <w:t xml:space="preserve"> (</w:t>
      </w:r>
      <w:r w:rsidR="00C87516" w:rsidRPr="00211F0C">
        <w:rPr>
          <w:bCs/>
          <w:sz w:val="24"/>
          <w:szCs w:val="24"/>
        </w:rPr>
        <w:t>2020</w:t>
      </w:r>
      <w:r w:rsidR="001F52D2">
        <w:rPr>
          <w:bCs/>
          <w:sz w:val="24"/>
          <w:szCs w:val="24"/>
        </w:rPr>
        <w:t>)</w:t>
      </w:r>
    </w:p>
    <w:p w14:paraId="6E4F9191" w14:textId="77777777" w:rsidR="00F91B32" w:rsidRPr="00211F0C" w:rsidRDefault="00F91B32" w:rsidP="002123C2">
      <w:pPr>
        <w:spacing w:line="276" w:lineRule="auto"/>
        <w:contextualSpacing/>
        <w:rPr>
          <w:b/>
          <w:sz w:val="24"/>
          <w:szCs w:val="24"/>
        </w:rPr>
      </w:pPr>
    </w:p>
    <w:p w14:paraId="7D904BA0" w14:textId="77777777" w:rsidR="000C5DB7" w:rsidRPr="00211F0C" w:rsidRDefault="000C5DB7" w:rsidP="002123C2">
      <w:pPr>
        <w:spacing w:line="276" w:lineRule="auto"/>
        <w:ind w:left="1620" w:hanging="1625"/>
        <w:contextualSpacing/>
        <w:rPr>
          <w:b/>
          <w:sz w:val="24"/>
          <w:szCs w:val="24"/>
        </w:rPr>
      </w:pPr>
      <w:r w:rsidRPr="00211F0C">
        <w:rPr>
          <w:b/>
          <w:sz w:val="24"/>
          <w:szCs w:val="24"/>
        </w:rPr>
        <w:t xml:space="preserve">Referencia: </w:t>
      </w:r>
      <w:r w:rsidRPr="00211F0C">
        <w:rPr>
          <w:b/>
          <w:sz w:val="24"/>
          <w:szCs w:val="24"/>
        </w:rPr>
        <w:tab/>
      </w:r>
      <w:r w:rsidRPr="00211F0C">
        <w:rPr>
          <w:sz w:val="24"/>
          <w:szCs w:val="24"/>
        </w:rPr>
        <w:t>A</w:t>
      </w:r>
      <w:r w:rsidR="00E45687" w:rsidRPr="00211F0C">
        <w:rPr>
          <w:sz w:val="24"/>
          <w:szCs w:val="24"/>
        </w:rPr>
        <w:t xml:space="preserve">cción de </w:t>
      </w:r>
      <w:r w:rsidR="00041C53">
        <w:rPr>
          <w:sz w:val="24"/>
          <w:szCs w:val="24"/>
        </w:rPr>
        <w:t>T</w:t>
      </w:r>
      <w:r w:rsidR="00E45687" w:rsidRPr="00211F0C">
        <w:rPr>
          <w:sz w:val="24"/>
          <w:szCs w:val="24"/>
        </w:rPr>
        <w:t>utela</w:t>
      </w:r>
    </w:p>
    <w:p w14:paraId="23B24551" w14:textId="7DF210FB" w:rsidR="000C5DB7" w:rsidRPr="00211F0C" w:rsidRDefault="000C5DB7" w:rsidP="002123C2">
      <w:pPr>
        <w:spacing w:line="276" w:lineRule="auto"/>
        <w:ind w:left="1620" w:hanging="1625"/>
        <w:contextualSpacing/>
        <w:rPr>
          <w:sz w:val="24"/>
          <w:szCs w:val="24"/>
        </w:rPr>
      </w:pPr>
      <w:r w:rsidRPr="00211F0C">
        <w:rPr>
          <w:b/>
          <w:sz w:val="24"/>
          <w:szCs w:val="24"/>
        </w:rPr>
        <w:t>Radicación:</w:t>
      </w:r>
      <w:r w:rsidRPr="00211F0C">
        <w:rPr>
          <w:b/>
          <w:sz w:val="24"/>
          <w:szCs w:val="24"/>
        </w:rPr>
        <w:tab/>
      </w:r>
      <w:r w:rsidR="006A6312">
        <w:rPr>
          <w:sz w:val="24"/>
          <w:szCs w:val="24"/>
        </w:rPr>
        <w:t>11001-03-15-000-2020-0</w:t>
      </w:r>
      <w:r w:rsidR="002123C2">
        <w:rPr>
          <w:sz w:val="24"/>
          <w:szCs w:val="24"/>
        </w:rPr>
        <w:t>2711</w:t>
      </w:r>
      <w:r w:rsidR="006A6312">
        <w:rPr>
          <w:sz w:val="24"/>
          <w:szCs w:val="24"/>
        </w:rPr>
        <w:t>-00</w:t>
      </w:r>
    </w:p>
    <w:p w14:paraId="091A0893" w14:textId="4F64CB3F" w:rsidR="000C5DB7" w:rsidRPr="00211F0C" w:rsidRDefault="000C5DB7" w:rsidP="002123C2">
      <w:pPr>
        <w:spacing w:line="276" w:lineRule="auto"/>
        <w:ind w:left="1620" w:hanging="1625"/>
        <w:contextualSpacing/>
        <w:rPr>
          <w:sz w:val="24"/>
          <w:szCs w:val="24"/>
        </w:rPr>
      </w:pPr>
      <w:r w:rsidRPr="00211F0C">
        <w:rPr>
          <w:b/>
          <w:sz w:val="24"/>
          <w:szCs w:val="24"/>
        </w:rPr>
        <w:t>Accionante:</w:t>
      </w:r>
      <w:r w:rsidRPr="00211F0C">
        <w:rPr>
          <w:b/>
          <w:sz w:val="24"/>
          <w:szCs w:val="24"/>
        </w:rPr>
        <w:tab/>
      </w:r>
      <w:r w:rsidR="002123C2">
        <w:rPr>
          <w:bCs/>
          <w:sz w:val="24"/>
          <w:szCs w:val="24"/>
        </w:rPr>
        <w:t>Abraham Moisés García Barrios</w:t>
      </w:r>
    </w:p>
    <w:p w14:paraId="46C7A234" w14:textId="67974DA1" w:rsidR="000C5DB7" w:rsidRPr="00211F0C" w:rsidRDefault="000C5DB7" w:rsidP="002123C2">
      <w:pPr>
        <w:spacing w:line="276" w:lineRule="auto"/>
        <w:ind w:left="1620" w:right="51" w:hanging="1625"/>
        <w:contextualSpacing/>
        <w:rPr>
          <w:bCs/>
          <w:sz w:val="24"/>
          <w:szCs w:val="24"/>
        </w:rPr>
      </w:pPr>
      <w:r w:rsidRPr="00211F0C">
        <w:rPr>
          <w:b/>
          <w:sz w:val="24"/>
          <w:szCs w:val="24"/>
        </w:rPr>
        <w:t>Accionado</w:t>
      </w:r>
      <w:r w:rsidR="00293EAE">
        <w:rPr>
          <w:b/>
          <w:sz w:val="24"/>
          <w:szCs w:val="24"/>
        </w:rPr>
        <w:t>s</w:t>
      </w:r>
      <w:r w:rsidRPr="00211F0C">
        <w:rPr>
          <w:b/>
          <w:sz w:val="24"/>
          <w:szCs w:val="24"/>
        </w:rPr>
        <w:t>:</w:t>
      </w:r>
      <w:r w:rsidRPr="00211F0C">
        <w:rPr>
          <w:b/>
          <w:sz w:val="24"/>
          <w:szCs w:val="24"/>
        </w:rPr>
        <w:tab/>
      </w:r>
      <w:r w:rsidR="002123C2">
        <w:rPr>
          <w:bCs/>
          <w:sz w:val="24"/>
          <w:szCs w:val="24"/>
        </w:rPr>
        <w:t>Nación – Presidencia de la República; Nación – Departamento Administrativo de la Presidencia de la República (DAPRE); Nación – Ministerio de Justicia y del Derecho; Nación – Ministerio de Hacienda y Crédito Público; Nación – Rama Judicial del Poder Público, y Consejo Superior de la Judicatura</w:t>
      </w:r>
    </w:p>
    <w:p w14:paraId="73A68492" w14:textId="77777777" w:rsidR="000C5DB7" w:rsidRPr="00211F0C" w:rsidRDefault="000C5DB7" w:rsidP="002123C2">
      <w:pPr>
        <w:spacing w:line="276" w:lineRule="auto"/>
        <w:ind w:right="51"/>
        <w:contextualSpacing/>
        <w:rPr>
          <w:b/>
          <w:sz w:val="24"/>
          <w:szCs w:val="24"/>
        </w:rPr>
      </w:pPr>
    </w:p>
    <w:p w14:paraId="5638D384" w14:textId="1F24C680" w:rsidR="000C5DB7" w:rsidRPr="00211F0C" w:rsidRDefault="00211F0C" w:rsidP="002123C2">
      <w:pPr>
        <w:pBdr>
          <w:bottom w:val="single" w:sz="12" w:space="0" w:color="auto"/>
        </w:pBdr>
        <w:spacing w:line="276" w:lineRule="auto"/>
        <w:ind w:left="2832" w:hanging="2832"/>
        <w:contextualSpacing/>
        <w:rPr>
          <w:b/>
          <w:sz w:val="24"/>
          <w:szCs w:val="24"/>
        </w:rPr>
      </w:pPr>
      <w:r w:rsidRPr="00211F0C">
        <w:rPr>
          <w:b/>
          <w:sz w:val="24"/>
          <w:szCs w:val="24"/>
        </w:rPr>
        <w:t xml:space="preserve">AUTO </w:t>
      </w:r>
      <w:r w:rsidR="004306EF">
        <w:rPr>
          <w:b/>
          <w:sz w:val="24"/>
          <w:szCs w:val="24"/>
        </w:rPr>
        <w:t>DE TRÁMITE</w:t>
      </w:r>
    </w:p>
    <w:p w14:paraId="2C442E97" w14:textId="77777777" w:rsidR="004306EF" w:rsidRPr="009F4FD8" w:rsidRDefault="004306EF" w:rsidP="002123C2">
      <w:pPr>
        <w:spacing w:line="276" w:lineRule="auto"/>
        <w:contextualSpacing/>
        <w:rPr>
          <w:b/>
          <w:sz w:val="24"/>
          <w:szCs w:val="24"/>
        </w:rPr>
      </w:pPr>
    </w:p>
    <w:p w14:paraId="4EBC1C9D" w14:textId="2E29ECA9" w:rsidR="004306EF" w:rsidRPr="009F4FD8" w:rsidRDefault="004306EF" w:rsidP="002123C2">
      <w:pPr>
        <w:spacing w:line="276" w:lineRule="auto"/>
        <w:contextualSpacing/>
        <w:rPr>
          <w:sz w:val="24"/>
          <w:szCs w:val="24"/>
        </w:rPr>
      </w:pPr>
      <w:r w:rsidRPr="009F4FD8">
        <w:rPr>
          <w:sz w:val="24"/>
          <w:szCs w:val="24"/>
        </w:rPr>
        <w:t xml:space="preserve">El Despacho decide </w:t>
      </w:r>
      <w:r w:rsidR="002123C2">
        <w:rPr>
          <w:sz w:val="24"/>
          <w:szCs w:val="24"/>
        </w:rPr>
        <w:t>sobre</w:t>
      </w:r>
      <w:r w:rsidRPr="009F4FD8">
        <w:rPr>
          <w:sz w:val="24"/>
          <w:szCs w:val="24"/>
        </w:rPr>
        <w:t xml:space="preserve"> </w:t>
      </w:r>
      <w:r>
        <w:rPr>
          <w:sz w:val="24"/>
          <w:szCs w:val="24"/>
        </w:rPr>
        <w:t xml:space="preserve">la </w:t>
      </w:r>
      <w:r w:rsidR="002123C2">
        <w:rPr>
          <w:sz w:val="24"/>
          <w:szCs w:val="24"/>
        </w:rPr>
        <w:t>solicitud de acumulación procesal presentada por el Consejero de Estado Luis Alberto Álvarez Parra y la admisión de la demanda</w:t>
      </w:r>
      <w:r w:rsidRPr="009F4FD8">
        <w:rPr>
          <w:sz w:val="24"/>
          <w:szCs w:val="24"/>
        </w:rPr>
        <w:t>.</w:t>
      </w:r>
    </w:p>
    <w:p w14:paraId="755CC6E6" w14:textId="77777777" w:rsidR="004306EF" w:rsidRPr="004306EF" w:rsidRDefault="004306EF" w:rsidP="002123C2">
      <w:pPr>
        <w:spacing w:line="276" w:lineRule="auto"/>
        <w:contextualSpacing/>
        <w:rPr>
          <w:sz w:val="24"/>
          <w:szCs w:val="24"/>
        </w:rPr>
      </w:pPr>
    </w:p>
    <w:p w14:paraId="03475EA5" w14:textId="77777777" w:rsidR="004306EF" w:rsidRPr="004306EF" w:rsidRDefault="004306EF" w:rsidP="002123C2">
      <w:pPr>
        <w:keepNext/>
        <w:numPr>
          <w:ilvl w:val="0"/>
          <w:numId w:val="5"/>
        </w:numPr>
        <w:spacing w:line="276" w:lineRule="auto"/>
        <w:ind w:left="714" w:hanging="357"/>
        <w:jc w:val="center"/>
        <w:outlineLvl w:val="0"/>
        <w:rPr>
          <w:rFonts w:eastAsia="Times New Roman"/>
          <w:b/>
          <w:bCs/>
          <w:caps/>
          <w:kern w:val="32"/>
          <w:sz w:val="24"/>
          <w:szCs w:val="24"/>
        </w:rPr>
      </w:pPr>
      <w:r w:rsidRPr="004306EF">
        <w:rPr>
          <w:rFonts w:eastAsia="Times New Roman"/>
          <w:b/>
          <w:bCs/>
          <w:caps/>
          <w:kern w:val="32"/>
          <w:sz w:val="24"/>
          <w:szCs w:val="24"/>
        </w:rPr>
        <w:t>ANTECEDENTES</w:t>
      </w:r>
    </w:p>
    <w:p w14:paraId="6406816F" w14:textId="77777777" w:rsidR="004306EF" w:rsidRPr="004306EF" w:rsidRDefault="004306EF" w:rsidP="002123C2">
      <w:pPr>
        <w:keepNext/>
        <w:spacing w:line="276" w:lineRule="auto"/>
        <w:jc w:val="left"/>
        <w:outlineLvl w:val="1"/>
        <w:rPr>
          <w:rFonts w:eastAsia="Times New Roman"/>
          <w:b/>
          <w:bCs/>
          <w:iCs/>
          <w:sz w:val="24"/>
          <w:szCs w:val="24"/>
          <w:lang w:eastAsia="es-ES"/>
        </w:rPr>
      </w:pPr>
    </w:p>
    <w:p w14:paraId="68A06095" w14:textId="77777777" w:rsidR="004306EF" w:rsidRPr="004306EF" w:rsidRDefault="004306EF" w:rsidP="002123C2">
      <w:pPr>
        <w:keepNext/>
        <w:numPr>
          <w:ilvl w:val="0"/>
          <w:numId w:val="6"/>
        </w:numPr>
        <w:spacing w:line="276" w:lineRule="auto"/>
        <w:ind w:left="0" w:firstLine="0"/>
        <w:jc w:val="left"/>
        <w:outlineLvl w:val="1"/>
        <w:rPr>
          <w:rFonts w:eastAsia="Times New Roman"/>
          <w:b/>
          <w:bCs/>
          <w:iCs/>
          <w:sz w:val="24"/>
          <w:szCs w:val="24"/>
          <w:lang w:eastAsia="es-ES"/>
        </w:rPr>
      </w:pPr>
      <w:r w:rsidRPr="004306EF">
        <w:rPr>
          <w:rFonts w:eastAsia="Times New Roman"/>
          <w:b/>
          <w:bCs/>
          <w:iCs/>
          <w:sz w:val="24"/>
          <w:szCs w:val="24"/>
          <w:lang w:eastAsia="es-ES"/>
        </w:rPr>
        <w:t>Solicitud de tutela</w:t>
      </w:r>
    </w:p>
    <w:p w14:paraId="6BA61C21" w14:textId="77777777" w:rsidR="004306EF" w:rsidRPr="004306EF" w:rsidRDefault="004306EF" w:rsidP="002123C2">
      <w:pPr>
        <w:overflowPunct w:val="0"/>
        <w:autoSpaceDE w:val="0"/>
        <w:autoSpaceDN w:val="0"/>
        <w:adjustRightInd w:val="0"/>
        <w:spacing w:line="276" w:lineRule="auto"/>
        <w:contextualSpacing/>
        <w:textAlignment w:val="baseline"/>
        <w:rPr>
          <w:sz w:val="24"/>
          <w:szCs w:val="24"/>
        </w:rPr>
      </w:pPr>
    </w:p>
    <w:p w14:paraId="64D13D11" w14:textId="7C2336C2" w:rsidR="00040C04" w:rsidRPr="00040C04" w:rsidRDefault="002123C2" w:rsidP="002123C2">
      <w:pPr>
        <w:spacing w:line="276" w:lineRule="auto"/>
        <w:rPr>
          <w:sz w:val="24"/>
          <w:szCs w:val="24"/>
        </w:rPr>
      </w:pPr>
      <w:r>
        <w:rPr>
          <w:sz w:val="24"/>
          <w:szCs w:val="24"/>
        </w:rPr>
        <w:t>Abraham Moisés García Barrios</w:t>
      </w:r>
      <w:r w:rsidR="00211F0C" w:rsidRPr="002248FD">
        <w:rPr>
          <w:sz w:val="24"/>
          <w:szCs w:val="24"/>
        </w:rPr>
        <w:t xml:space="preserve">, </w:t>
      </w:r>
      <w:r>
        <w:rPr>
          <w:sz w:val="24"/>
          <w:szCs w:val="24"/>
        </w:rPr>
        <w:t>en nombre propio</w:t>
      </w:r>
      <w:r w:rsidR="00211F0C" w:rsidRPr="002248FD">
        <w:rPr>
          <w:sz w:val="24"/>
          <w:szCs w:val="24"/>
        </w:rPr>
        <w:t>, presentó solicitud de amparo de sus derechos</w:t>
      </w:r>
      <w:r w:rsidR="00041C53" w:rsidRPr="002248FD">
        <w:rPr>
          <w:sz w:val="24"/>
          <w:szCs w:val="24"/>
        </w:rPr>
        <w:t xml:space="preserve"> fundamentales</w:t>
      </w:r>
      <w:r w:rsidR="00C53B7C" w:rsidRPr="002248FD">
        <w:rPr>
          <w:sz w:val="24"/>
          <w:szCs w:val="24"/>
        </w:rPr>
        <w:t xml:space="preserve"> </w:t>
      </w:r>
      <w:r>
        <w:rPr>
          <w:sz w:val="24"/>
          <w:szCs w:val="24"/>
        </w:rPr>
        <w:t>a la vida en condiciones dignas</w:t>
      </w:r>
      <w:r w:rsidR="006F09B8">
        <w:rPr>
          <w:sz w:val="24"/>
          <w:szCs w:val="24"/>
        </w:rPr>
        <w:t>,</w:t>
      </w:r>
      <w:r>
        <w:rPr>
          <w:sz w:val="24"/>
          <w:szCs w:val="24"/>
        </w:rPr>
        <w:t xml:space="preserve"> al mínimo vital</w:t>
      </w:r>
      <w:r w:rsidR="006F09B8">
        <w:rPr>
          <w:sz w:val="24"/>
          <w:szCs w:val="24"/>
        </w:rPr>
        <w:t xml:space="preserve"> y de petición</w:t>
      </w:r>
      <w:r w:rsidR="006A6312" w:rsidRPr="002248FD">
        <w:rPr>
          <w:sz w:val="24"/>
          <w:szCs w:val="24"/>
        </w:rPr>
        <w:t>.</w:t>
      </w:r>
      <w:r w:rsidR="00211F0C" w:rsidRPr="002248FD">
        <w:rPr>
          <w:sz w:val="24"/>
          <w:szCs w:val="24"/>
        </w:rPr>
        <w:t xml:space="preserve"> </w:t>
      </w:r>
      <w:r w:rsidR="006A6312" w:rsidRPr="002248FD">
        <w:rPr>
          <w:sz w:val="24"/>
          <w:szCs w:val="24"/>
        </w:rPr>
        <w:t>Dichas garantías las consideró vulnerada</w:t>
      </w:r>
      <w:r w:rsidR="00211F0C" w:rsidRPr="002248FD">
        <w:rPr>
          <w:sz w:val="24"/>
          <w:szCs w:val="24"/>
        </w:rPr>
        <w:t xml:space="preserve">s por </w:t>
      </w:r>
      <w:r>
        <w:rPr>
          <w:sz w:val="24"/>
          <w:szCs w:val="24"/>
        </w:rPr>
        <w:t xml:space="preserve">la </w:t>
      </w:r>
      <w:r w:rsidRPr="002123C2">
        <w:rPr>
          <w:sz w:val="24"/>
          <w:szCs w:val="24"/>
        </w:rPr>
        <w:t xml:space="preserve">Nación – Presidencia de la República; </w:t>
      </w:r>
      <w:r>
        <w:rPr>
          <w:sz w:val="24"/>
          <w:szCs w:val="24"/>
        </w:rPr>
        <w:t xml:space="preserve">la </w:t>
      </w:r>
      <w:r w:rsidRPr="002123C2">
        <w:rPr>
          <w:sz w:val="24"/>
          <w:szCs w:val="24"/>
        </w:rPr>
        <w:t xml:space="preserve">Nación – Departamento Administrativo de la Presidencia de la República (DAPRE); </w:t>
      </w:r>
      <w:r>
        <w:rPr>
          <w:sz w:val="24"/>
          <w:szCs w:val="24"/>
        </w:rPr>
        <w:t xml:space="preserve">la </w:t>
      </w:r>
      <w:r w:rsidRPr="002123C2">
        <w:rPr>
          <w:sz w:val="24"/>
          <w:szCs w:val="24"/>
        </w:rPr>
        <w:t xml:space="preserve">Nación – Ministerio de Justicia y del Derecho; </w:t>
      </w:r>
      <w:r>
        <w:rPr>
          <w:sz w:val="24"/>
          <w:szCs w:val="24"/>
        </w:rPr>
        <w:t xml:space="preserve">la </w:t>
      </w:r>
      <w:r w:rsidRPr="002123C2">
        <w:rPr>
          <w:sz w:val="24"/>
          <w:szCs w:val="24"/>
        </w:rPr>
        <w:t xml:space="preserve">Nación – Ministerio de Hacienda y Crédito Público; </w:t>
      </w:r>
      <w:r>
        <w:rPr>
          <w:sz w:val="24"/>
          <w:szCs w:val="24"/>
        </w:rPr>
        <w:t xml:space="preserve">la </w:t>
      </w:r>
      <w:r w:rsidRPr="002123C2">
        <w:rPr>
          <w:sz w:val="24"/>
          <w:szCs w:val="24"/>
        </w:rPr>
        <w:t xml:space="preserve">Nación – Rama Judicial del Poder Público, y </w:t>
      </w:r>
      <w:r>
        <w:rPr>
          <w:sz w:val="24"/>
          <w:szCs w:val="24"/>
        </w:rPr>
        <w:t xml:space="preserve">el </w:t>
      </w:r>
      <w:r w:rsidRPr="002123C2">
        <w:rPr>
          <w:sz w:val="24"/>
          <w:szCs w:val="24"/>
        </w:rPr>
        <w:t>Consejo Superior de la Judicatura</w:t>
      </w:r>
      <w:r w:rsidR="00EB27E9">
        <w:rPr>
          <w:sz w:val="24"/>
          <w:szCs w:val="24"/>
        </w:rPr>
        <w:t xml:space="preserve">. </w:t>
      </w:r>
      <w:r>
        <w:rPr>
          <w:sz w:val="24"/>
          <w:szCs w:val="24"/>
        </w:rPr>
        <w:t>Su solicitud se motiva en que, como resultado de la pandemia causada por el coronavirus,</w:t>
      </w:r>
      <w:r w:rsidR="0048114F">
        <w:rPr>
          <w:sz w:val="24"/>
          <w:szCs w:val="24"/>
        </w:rPr>
        <w:t xml:space="preserve"> no ha podido ejercer sus labores como abogado litigante independiente. Por tanto, no ha podido asegurarse su sustento digno.</w:t>
      </w:r>
    </w:p>
    <w:p w14:paraId="5046E332" w14:textId="77777777" w:rsidR="004306EF" w:rsidRPr="009F4FD8" w:rsidRDefault="004306EF" w:rsidP="002123C2">
      <w:pPr>
        <w:spacing w:line="276" w:lineRule="auto"/>
        <w:contextualSpacing/>
        <w:rPr>
          <w:rFonts w:eastAsia="Verdana"/>
          <w:sz w:val="24"/>
          <w:szCs w:val="24"/>
        </w:rPr>
      </w:pPr>
    </w:p>
    <w:p w14:paraId="3360CCC6" w14:textId="336FC3E4" w:rsidR="004306EF" w:rsidRPr="004306EF" w:rsidRDefault="004306EF" w:rsidP="002123C2">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9F4FD8">
        <w:rPr>
          <w:b/>
          <w:sz w:val="24"/>
          <w:szCs w:val="24"/>
        </w:rPr>
        <w:t>Trámite de la tutela</w:t>
      </w:r>
    </w:p>
    <w:p w14:paraId="5CECFFC3" w14:textId="77777777" w:rsidR="004306EF" w:rsidRPr="007522A0" w:rsidRDefault="004306EF" w:rsidP="002123C2">
      <w:pPr>
        <w:overflowPunct w:val="0"/>
        <w:autoSpaceDE w:val="0"/>
        <w:autoSpaceDN w:val="0"/>
        <w:adjustRightInd w:val="0"/>
        <w:spacing w:line="276" w:lineRule="auto"/>
        <w:contextualSpacing/>
        <w:rPr>
          <w:b/>
          <w:sz w:val="24"/>
          <w:szCs w:val="24"/>
        </w:rPr>
      </w:pPr>
    </w:p>
    <w:p w14:paraId="0B1CCF4F" w14:textId="6C538751" w:rsidR="004306EF" w:rsidRDefault="00BB6A0D" w:rsidP="002123C2">
      <w:pPr>
        <w:pStyle w:val="Prrafodelista"/>
        <w:numPr>
          <w:ilvl w:val="1"/>
          <w:numId w:val="3"/>
        </w:numPr>
        <w:overflowPunct w:val="0"/>
        <w:autoSpaceDE w:val="0"/>
        <w:autoSpaceDN w:val="0"/>
        <w:adjustRightInd w:val="0"/>
        <w:spacing w:line="276" w:lineRule="auto"/>
        <w:ind w:left="0" w:firstLine="0"/>
        <w:rPr>
          <w:rFonts w:eastAsia="Verdana"/>
          <w:sz w:val="24"/>
          <w:szCs w:val="24"/>
        </w:rPr>
      </w:pPr>
      <w:r w:rsidRPr="00BB6A0D">
        <w:rPr>
          <w:rFonts w:eastAsia="Verdana"/>
          <w:sz w:val="24"/>
          <w:szCs w:val="24"/>
        </w:rPr>
        <w:t xml:space="preserve">El </w:t>
      </w:r>
      <w:r w:rsidR="0048114F">
        <w:rPr>
          <w:rFonts w:eastAsia="Verdana"/>
          <w:sz w:val="24"/>
          <w:szCs w:val="24"/>
        </w:rPr>
        <w:t>presente proceso fue repartido</w:t>
      </w:r>
      <w:r w:rsidR="0048114F">
        <w:rPr>
          <w:rStyle w:val="Refdenotaalpie"/>
          <w:rFonts w:eastAsia="Verdana"/>
          <w:sz w:val="24"/>
          <w:szCs w:val="24"/>
        </w:rPr>
        <w:footnoteReference w:id="1"/>
      </w:r>
      <w:r w:rsidR="0048114F">
        <w:rPr>
          <w:rFonts w:eastAsia="Verdana"/>
          <w:sz w:val="24"/>
          <w:szCs w:val="24"/>
        </w:rPr>
        <w:t xml:space="preserve">, inicialmente, al despacho del Consejero de </w:t>
      </w:r>
      <w:r w:rsidR="0048114F" w:rsidRPr="0048114F">
        <w:rPr>
          <w:rFonts w:eastAsia="Verdana"/>
          <w:spacing w:val="-2"/>
          <w:sz w:val="24"/>
          <w:szCs w:val="24"/>
        </w:rPr>
        <w:t>Estado Luis Alberto Álvarez Parra, integrante de la Sección Quinta de esta Corporación</w:t>
      </w:r>
      <w:r w:rsidR="0048114F">
        <w:rPr>
          <w:rFonts w:eastAsia="Verdana"/>
          <w:sz w:val="24"/>
          <w:szCs w:val="24"/>
        </w:rPr>
        <w:t>.</w:t>
      </w:r>
    </w:p>
    <w:p w14:paraId="22142603" w14:textId="77777777" w:rsidR="004306EF" w:rsidRDefault="004306EF" w:rsidP="002123C2">
      <w:pPr>
        <w:pStyle w:val="Prrafodelista"/>
        <w:overflowPunct w:val="0"/>
        <w:autoSpaceDE w:val="0"/>
        <w:autoSpaceDN w:val="0"/>
        <w:adjustRightInd w:val="0"/>
        <w:spacing w:line="276" w:lineRule="auto"/>
        <w:ind w:left="0"/>
        <w:rPr>
          <w:rFonts w:eastAsia="Verdana"/>
          <w:sz w:val="24"/>
          <w:szCs w:val="24"/>
        </w:rPr>
      </w:pPr>
    </w:p>
    <w:p w14:paraId="140408F0" w14:textId="777222D2" w:rsidR="004306EF" w:rsidRDefault="0048114F" w:rsidP="0048114F">
      <w:pPr>
        <w:pStyle w:val="Prrafodelista"/>
        <w:numPr>
          <w:ilvl w:val="1"/>
          <w:numId w:val="3"/>
        </w:numPr>
        <w:overflowPunct w:val="0"/>
        <w:autoSpaceDE w:val="0"/>
        <w:autoSpaceDN w:val="0"/>
        <w:adjustRightInd w:val="0"/>
        <w:spacing w:line="276" w:lineRule="auto"/>
        <w:ind w:left="0" w:firstLine="0"/>
        <w:rPr>
          <w:rFonts w:eastAsia="Verdana"/>
          <w:sz w:val="24"/>
          <w:szCs w:val="24"/>
        </w:rPr>
      </w:pPr>
      <w:r>
        <w:rPr>
          <w:rFonts w:eastAsia="Verdana"/>
          <w:sz w:val="24"/>
          <w:szCs w:val="24"/>
        </w:rPr>
        <w:t>El citado magistrado, en su calidad de sustanciador, mediante auto proferido el 23 de junio de 2020, ordenó remitir el expediente contentivo del presente proceso a este despacho. Al respecto, consideró que la solicitud de amparo analizada allí guarda similitud fáctica y jurídica con aquella radicada bajo el n.° único 11001-03-15-000-2020-2020-01023-00</w:t>
      </w:r>
      <w:r w:rsidR="003F28E4">
        <w:rPr>
          <w:rFonts w:eastAsia="Verdana"/>
          <w:sz w:val="24"/>
          <w:szCs w:val="24"/>
        </w:rPr>
        <w:t>, que</w:t>
      </w:r>
      <w:r>
        <w:rPr>
          <w:rFonts w:eastAsia="Verdana"/>
          <w:sz w:val="24"/>
          <w:szCs w:val="24"/>
        </w:rPr>
        <w:t xml:space="preserve">, para entonces, </w:t>
      </w:r>
      <w:r w:rsidR="006A5E48">
        <w:rPr>
          <w:rFonts w:eastAsia="Verdana"/>
          <w:sz w:val="24"/>
          <w:szCs w:val="24"/>
        </w:rPr>
        <w:t xml:space="preserve">ya había sido decidido </w:t>
      </w:r>
      <w:r w:rsidR="006F64D0">
        <w:rPr>
          <w:rFonts w:eastAsia="Verdana"/>
          <w:sz w:val="24"/>
          <w:szCs w:val="24"/>
        </w:rPr>
        <w:t xml:space="preserve">por esta Subsección </w:t>
      </w:r>
      <w:r w:rsidR="006A5E48">
        <w:rPr>
          <w:rFonts w:eastAsia="Verdana"/>
          <w:sz w:val="24"/>
          <w:szCs w:val="24"/>
        </w:rPr>
        <w:t>en Sala del 19 de junio del mismo año</w:t>
      </w:r>
      <w:r>
        <w:rPr>
          <w:rFonts w:eastAsia="Verdana"/>
          <w:sz w:val="24"/>
          <w:szCs w:val="24"/>
        </w:rPr>
        <w:t>.</w:t>
      </w:r>
    </w:p>
    <w:p w14:paraId="6073EED3" w14:textId="346E1759" w:rsidR="00146B59" w:rsidRDefault="00D0053E" w:rsidP="00D0053E">
      <w:pPr>
        <w:pStyle w:val="Prrafodelista"/>
        <w:numPr>
          <w:ilvl w:val="1"/>
          <w:numId w:val="3"/>
        </w:numPr>
        <w:tabs>
          <w:tab w:val="left" w:pos="993"/>
        </w:tabs>
        <w:overflowPunct w:val="0"/>
        <w:autoSpaceDE w:val="0"/>
        <w:autoSpaceDN w:val="0"/>
        <w:adjustRightInd w:val="0"/>
        <w:spacing w:line="276" w:lineRule="auto"/>
        <w:ind w:left="142" w:firstLine="258"/>
        <w:rPr>
          <w:rFonts w:eastAsia="Verdana"/>
          <w:sz w:val="24"/>
          <w:szCs w:val="24"/>
        </w:rPr>
      </w:pPr>
      <w:r w:rsidRPr="00D0053E">
        <w:rPr>
          <w:rFonts w:eastAsia="Verdana"/>
          <w:sz w:val="24"/>
          <w:szCs w:val="24"/>
        </w:rPr>
        <w:lastRenderedPageBreak/>
        <w:t xml:space="preserve">La Secretaría General del Consejo de Estado remitió </w:t>
      </w:r>
      <w:r>
        <w:rPr>
          <w:rFonts w:eastAsia="Verdana"/>
          <w:sz w:val="24"/>
          <w:szCs w:val="24"/>
        </w:rPr>
        <w:t xml:space="preserve">el trámite de tutela </w:t>
      </w:r>
      <w:r w:rsidRPr="00D0053E">
        <w:rPr>
          <w:rFonts w:eastAsia="Verdana"/>
          <w:sz w:val="24"/>
          <w:szCs w:val="24"/>
        </w:rPr>
        <w:t xml:space="preserve">al Despacho del suscrito consejero </w:t>
      </w:r>
      <w:r>
        <w:rPr>
          <w:rFonts w:eastAsia="Verdana"/>
          <w:sz w:val="24"/>
          <w:szCs w:val="24"/>
        </w:rPr>
        <w:t>el 17 de julio de 2020.</w:t>
      </w:r>
    </w:p>
    <w:p w14:paraId="4EFF126F" w14:textId="77777777" w:rsidR="00D0053E" w:rsidRDefault="00D0053E" w:rsidP="00D0053E">
      <w:pPr>
        <w:pStyle w:val="Prrafodelista"/>
        <w:overflowPunct w:val="0"/>
        <w:autoSpaceDE w:val="0"/>
        <w:autoSpaceDN w:val="0"/>
        <w:adjustRightInd w:val="0"/>
        <w:spacing w:line="276" w:lineRule="auto"/>
        <w:ind w:left="400"/>
        <w:rPr>
          <w:rFonts w:eastAsia="Verdana"/>
          <w:sz w:val="24"/>
          <w:szCs w:val="24"/>
        </w:rPr>
      </w:pPr>
    </w:p>
    <w:p w14:paraId="2A730258" w14:textId="77777777" w:rsidR="00D0053E" w:rsidRPr="00D0053E" w:rsidRDefault="00D0053E" w:rsidP="00D0053E">
      <w:pPr>
        <w:pStyle w:val="Prrafodelista"/>
        <w:overflowPunct w:val="0"/>
        <w:autoSpaceDE w:val="0"/>
        <w:autoSpaceDN w:val="0"/>
        <w:adjustRightInd w:val="0"/>
        <w:spacing w:line="276" w:lineRule="auto"/>
        <w:ind w:left="400"/>
        <w:rPr>
          <w:rFonts w:eastAsia="Verdana"/>
          <w:sz w:val="24"/>
          <w:szCs w:val="24"/>
        </w:rPr>
      </w:pPr>
    </w:p>
    <w:p w14:paraId="79D7ADC9" w14:textId="77777777" w:rsidR="004306EF" w:rsidRPr="004306EF" w:rsidRDefault="004306EF" w:rsidP="002123C2">
      <w:pPr>
        <w:keepNext/>
        <w:numPr>
          <w:ilvl w:val="0"/>
          <w:numId w:val="5"/>
        </w:numPr>
        <w:spacing w:line="276" w:lineRule="auto"/>
        <w:ind w:left="714" w:hanging="357"/>
        <w:jc w:val="center"/>
        <w:outlineLvl w:val="0"/>
        <w:rPr>
          <w:rFonts w:eastAsia="Times New Roman"/>
          <w:b/>
          <w:bCs/>
          <w:caps/>
          <w:kern w:val="32"/>
          <w:sz w:val="24"/>
          <w:szCs w:val="24"/>
          <w:lang w:val="es-ES_tradnl"/>
        </w:rPr>
      </w:pPr>
      <w:r w:rsidRPr="004306EF">
        <w:rPr>
          <w:rFonts w:eastAsia="Times New Roman"/>
          <w:b/>
          <w:bCs/>
          <w:caps/>
          <w:kern w:val="32"/>
          <w:sz w:val="24"/>
          <w:szCs w:val="24"/>
          <w:lang w:val="es-ES_tradnl"/>
        </w:rPr>
        <w:t>CONSIDERACIONES</w:t>
      </w:r>
    </w:p>
    <w:p w14:paraId="5FF191A6" w14:textId="77777777" w:rsidR="00C156BC" w:rsidRDefault="00C156BC" w:rsidP="002123C2">
      <w:pPr>
        <w:overflowPunct w:val="0"/>
        <w:autoSpaceDE w:val="0"/>
        <w:autoSpaceDN w:val="0"/>
        <w:adjustRightInd w:val="0"/>
        <w:spacing w:line="276" w:lineRule="auto"/>
        <w:rPr>
          <w:rFonts w:eastAsia="Times New Roman"/>
          <w:b/>
          <w:bCs/>
          <w:sz w:val="24"/>
          <w:szCs w:val="24"/>
          <w:lang w:eastAsia="es-ES"/>
        </w:rPr>
      </w:pPr>
    </w:p>
    <w:p w14:paraId="55C5F2C5" w14:textId="5ABCB36D" w:rsidR="004306EF" w:rsidRPr="00C156BC" w:rsidRDefault="004306EF" w:rsidP="002123C2">
      <w:pPr>
        <w:pStyle w:val="Prrafodelista"/>
        <w:numPr>
          <w:ilvl w:val="0"/>
          <w:numId w:val="8"/>
        </w:numPr>
        <w:overflowPunct w:val="0"/>
        <w:autoSpaceDE w:val="0"/>
        <w:autoSpaceDN w:val="0"/>
        <w:adjustRightInd w:val="0"/>
        <w:spacing w:line="276" w:lineRule="auto"/>
        <w:ind w:hanging="720"/>
        <w:rPr>
          <w:rFonts w:eastAsia="Times New Roman"/>
          <w:b/>
          <w:bCs/>
          <w:sz w:val="24"/>
          <w:szCs w:val="24"/>
          <w:lang w:eastAsia="es-ES"/>
        </w:rPr>
      </w:pPr>
      <w:r w:rsidRPr="00C156BC">
        <w:rPr>
          <w:rFonts w:eastAsia="Times New Roman"/>
          <w:b/>
          <w:bCs/>
          <w:sz w:val="24"/>
          <w:szCs w:val="24"/>
          <w:lang w:eastAsia="es-ES"/>
        </w:rPr>
        <w:t>Análisis</w:t>
      </w:r>
      <w:r w:rsidR="00B3101D">
        <w:rPr>
          <w:rFonts w:eastAsia="Times New Roman"/>
          <w:b/>
          <w:bCs/>
          <w:sz w:val="24"/>
          <w:szCs w:val="24"/>
          <w:lang w:eastAsia="es-ES"/>
        </w:rPr>
        <w:t xml:space="preserve"> para decidir sobre la remisión del expediente</w:t>
      </w:r>
    </w:p>
    <w:p w14:paraId="25FF5253" w14:textId="6B3D8553" w:rsidR="004306EF" w:rsidRDefault="004306EF" w:rsidP="002123C2">
      <w:pPr>
        <w:overflowPunct w:val="0"/>
        <w:autoSpaceDE w:val="0"/>
        <w:autoSpaceDN w:val="0"/>
        <w:adjustRightInd w:val="0"/>
        <w:spacing w:line="276" w:lineRule="auto"/>
        <w:rPr>
          <w:rFonts w:eastAsia="Times New Roman"/>
          <w:sz w:val="24"/>
          <w:szCs w:val="24"/>
          <w:lang w:eastAsia="es-ES"/>
        </w:rPr>
      </w:pPr>
    </w:p>
    <w:p w14:paraId="40554F03" w14:textId="243B2CF4" w:rsidR="00346733" w:rsidRDefault="00856D47" w:rsidP="006A5E48">
      <w:pPr>
        <w:pStyle w:val="Prrafodelista"/>
        <w:overflowPunct w:val="0"/>
        <w:autoSpaceDE w:val="0"/>
        <w:autoSpaceDN w:val="0"/>
        <w:adjustRightInd w:val="0"/>
        <w:spacing w:line="276" w:lineRule="auto"/>
        <w:ind w:left="0"/>
        <w:rPr>
          <w:rFonts w:eastAsia="Times New Roman"/>
          <w:sz w:val="24"/>
          <w:szCs w:val="24"/>
          <w:lang w:eastAsia="es-ES"/>
        </w:rPr>
      </w:pPr>
      <w:r w:rsidRPr="009654B4">
        <w:rPr>
          <w:rFonts w:eastAsia="Times New Roman"/>
          <w:sz w:val="24"/>
          <w:szCs w:val="24"/>
          <w:lang w:eastAsia="es-ES"/>
        </w:rPr>
        <w:t xml:space="preserve">De acuerdo con lo dispuesto en el artículo </w:t>
      </w:r>
      <w:r w:rsidR="006A5E48" w:rsidRPr="006A5E48">
        <w:rPr>
          <w:rFonts w:eastAsia="Times New Roman"/>
          <w:sz w:val="24"/>
          <w:szCs w:val="24"/>
          <w:lang w:eastAsia="es-ES"/>
        </w:rPr>
        <w:t>2.2.3.1.3.1.</w:t>
      </w:r>
      <w:r w:rsidRPr="009654B4">
        <w:rPr>
          <w:rFonts w:eastAsia="Times New Roman"/>
          <w:sz w:val="24"/>
          <w:szCs w:val="24"/>
          <w:lang w:eastAsia="es-ES"/>
        </w:rPr>
        <w:t xml:space="preserve"> del Decreto 1069 de 2015</w:t>
      </w:r>
      <w:r w:rsidR="00FF252C">
        <w:rPr>
          <w:rStyle w:val="Refdenotaalpie"/>
          <w:rFonts w:eastAsia="Times New Roman"/>
          <w:sz w:val="24"/>
          <w:szCs w:val="24"/>
          <w:lang w:eastAsia="es-ES"/>
        </w:rPr>
        <w:footnoteReference w:id="2"/>
      </w:r>
      <w:r w:rsidR="00FF252C" w:rsidRPr="009654B4">
        <w:rPr>
          <w:rFonts w:eastAsia="Times New Roman"/>
          <w:sz w:val="24"/>
          <w:szCs w:val="24"/>
          <w:lang w:eastAsia="es-ES"/>
        </w:rPr>
        <w:t>, según lo adicionó el artículo 1.° del Decreto 1834 de 2015</w:t>
      </w:r>
      <w:r w:rsidR="00FF252C">
        <w:rPr>
          <w:rStyle w:val="Refdenotaalpie"/>
          <w:rFonts w:eastAsia="Times New Roman"/>
          <w:sz w:val="24"/>
          <w:szCs w:val="24"/>
          <w:lang w:eastAsia="es-ES"/>
        </w:rPr>
        <w:footnoteReference w:id="3"/>
      </w:r>
      <w:r w:rsidR="006A5E48">
        <w:rPr>
          <w:rFonts w:eastAsia="Times New Roman"/>
          <w:sz w:val="24"/>
          <w:szCs w:val="24"/>
          <w:lang w:eastAsia="es-ES"/>
        </w:rPr>
        <w:t>:</w:t>
      </w:r>
    </w:p>
    <w:p w14:paraId="5D20587C" w14:textId="3CEF7AD1" w:rsidR="009654B4" w:rsidRDefault="009654B4" w:rsidP="00DE5D28">
      <w:pPr>
        <w:overflowPunct w:val="0"/>
        <w:autoSpaceDE w:val="0"/>
        <w:autoSpaceDN w:val="0"/>
        <w:adjustRightInd w:val="0"/>
        <w:spacing w:line="276" w:lineRule="auto"/>
        <w:rPr>
          <w:rFonts w:eastAsia="Times New Roman"/>
          <w:sz w:val="24"/>
          <w:szCs w:val="24"/>
          <w:lang w:eastAsia="es-ES"/>
        </w:rPr>
      </w:pPr>
    </w:p>
    <w:p w14:paraId="09659806" w14:textId="1A2A79B8" w:rsidR="009654B4" w:rsidRPr="009654B4" w:rsidRDefault="009654B4" w:rsidP="009654B4">
      <w:pPr>
        <w:overflowPunct w:val="0"/>
        <w:autoSpaceDE w:val="0"/>
        <w:autoSpaceDN w:val="0"/>
        <w:adjustRightInd w:val="0"/>
        <w:spacing w:line="276" w:lineRule="auto"/>
        <w:ind w:left="706"/>
        <w:rPr>
          <w:rFonts w:eastAsia="Times New Roman"/>
          <w:sz w:val="22"/>
          <w:szCs w:val="22"/>
          <w:lang w:eastAsia="es-ES"/>
        </w:rPr>
      </w:pPr>
      <w:r w:rsidRPr="009654B4">
        <w:rPr>
          <w:rFonts w:eastAsia="Times New Roman"/>
          <w:sz w:val="22"/>
          <w:szCs w:val="22"/>
          <w:lang w:eastAsia="es-ES"/>
        </w:rPr>
        <w:t>“Las acciones de tutela que persigan la protección de los mismos derechos fundamentales, presuntamente amenazados o vulnerados por una sola y misma acción u omisión de una autoridad pública o de un particular se asignarán, todas, al despacho judicial que, según las reglas de competencia, hubiese avocado en primer lugar el conocimiento de la primera de ellas.</w:t>
      </w:r>
    </w:p>
    <w:p w14:paraId="1985E5D0" w14:textId="77777777" w:rsidR="009654B4" w:rsidRPr="009654B4" w:rsidRDefault="009654B4" w:rsidP="009654B4">
      <w:pPr>
        <w:overflowPunct w:val="0"/>
        <w:autoSpaceDE w:val="0"/>
        <w:autoSpaceDN w:val="0"/>
        <w:adjustRightInd w:val="0"/>
        <w:spacing w:line="276" w:lineRule="auto"/>
        <w:ind w:left="706"/>
        <w:rPr>
          <w:rFonts w:eastAsia="Times New Roman"/>
          <w:sz w:val="22"/>
          <w:szCs w:val="22"/>
          <w:lang w:eastAsia="es-ES"/>
        </w:rPr>
      </w:pPr>
    </w:p>
    <w:p w14:paraId="063DDA6E" w14:textId="4B92E901" w:rsidR="009654B4" w:rsidRPr="00D0053E" w:rsidRDefault="009654B4" w:rsidP="009654B4">
      <w:pPr>
        <w:overflowPunct w:val="0"/>
        <w:autoSpaceDE w:val="0"/>
        <w:autoSpaceDN w:val="0"/>
        <w:adjustRightInd w:val="0"/>
        <w:spacing w:line="276" w:lineRule="auto"/>
        <w:ind w:left="706"/>
        <w:rPr>
          <w:rFonts w:eastAsia="Times New Roman"/>
          <w:sz w:val="22"/>
          <w:szCs w:val="22"/>
          <w:lang w:eastAsia="es-ES"/>
        </w:rPr>
      </w:pPr>
      <w:r w:rsidRPr="00D0053E">
        <w:rPr>
          <w:rFonts w:eastAsia="Times New Roman"/>
          <w:sz w:val="22"/>
          <w:szCs w:val="22"/>
          <w:lang w:eastAsia="es-ES"/>
        </w:rPr>
        <w:t xml:space="preserve">“A dicho Despacho se remitirán las tutelas de iguales características que con posterioridad se presenten, </w:t>
      </w:r>
      <w:r w:rsidRPr="00D0053E">
        <w:rPr>
          <w:rFonts w:eastAsia="Times New Roman"/>
          <w:bCs/>
          <w:sz w:val="22"/>
          <w:szCs w:val="22"/>
          <w:lang w:eastAsia="es-ES"/>
        </w:rPr>
        <w:t>incluso después del fallo de instancia</w:t>
      </w:r>
      <w:r w:rsidRPr="00D0053E">
        <w:rPr>
          <w:rFonts w:eastAsia="Times New Roman"/>
          <w:sz w:val="22"/>
          <w:szCs w:val="22"/>
          <w:lang w:eastAsia="es-ES"/>
        </w:rPr>
        <w:t>”</w:t>
      </w:r>
      <w:r w:rsidR="00AE4EEA" w:rsidRPr="00D0053E">
        <w:rPr>
          <w:rFonts w:eastAsia="Times New Roman"/>
          <w:sz w:val="22"/>
          <w:szCs w:val="22"/>
          <w:lang w:eastAsia="es-ES"/>
        </w:rPr>
        <w:t xml:space="preserve"> (resalta el despacho)</w:t>
      </w:r>
      <w:r w:rsidRPr="00D0053E">
        <w:rPr>
          <w:rFonts w:eastAsia="Times New Roman"/>
          <w:sz w:val="22"/>
          <w:szCs w:val="22"/>
          <w:lang w:eastAsia="es-ES"/>
        </w:rPr>
        <w:t>.</w:t>
      </w:r>
    </w:p>
    <w:p w14:paraId="33CA3085" w14:textId="4B0302BA" w:rsidR="004306EF" w:rsidRDefault="004306EF" w:rsidP="002123C2">
      <w:pPr>
        <w:overflowPunct w:val="0"/>
        <w:autoSpaceDE w:val="0"/>
        <w:autoSpaceDN w:val="0"/>
        <w:adjustRightInd w:val="0"/>
        <w:spacing w:line="276" w:lineRule="auto"/>
        <w:rPr>
          <w:rFonts w:eastAsia="Times New Roman"/>
          <w:sz w:val="24"/>
          <w:szCs w:val="24"/>
          <w:lang w:eastAsia="es-ES"/>
        </w:rPr>
      </w:pPr>
    </w:p>
    <w:p w14:paraId="1DE4686A" w14:textId="77777777" w:rsidR="0068438F" w:rsidRDefault="00793ACC" w:rsidP="002123C2">
      <w:pPr>
        <w:overflowPunct w:val="0"/>
        <w:autoSpaceDE w:val="0"/>
        <w:autoSpaceDN w:val="0"/>
        <w:adjustRightInd w:val="0"/>
        <w:spacing w:line="276" w:lineRule="auto"/>
        <w:rPr>
          <w:rFonts w:eastAsia="Times New Roman"/>
          <w:sz w:val="24"/>
          <w:szCs w:val="24"/>
          <w:lang w:eastAsia="es-ES"/>
        </w:rPr>
      </w:pPr>
      <w:r>
        <w:rPr>
          <w:rFonts w:eastAsia="Times New Roman"/>
          <w:sz w:val="24"/>
          <w:szCs w:val="24"/>
          <w:lang w:eastAsia="es-ES"/>
        </w:rPr>
        <w:t xml:space="preserve">Con base en la preceptiva transcrita, este despacho puede </w:t>
      </w:r>
      <w:proofErr w:type="spellStart"/>
      <w:r>
        <w:rPr>
          <w:rFonts w:eastAsia="Times New Roman"/>
          <w:sz w:val="24"/>
          <w:szCs w:val="24"/>
          <w:lang w:eastAsia="es-ES"/>
        </w:rPr>
        <w:t>avocar</w:t>
      </w:r>
      <w:proofErr w:type="spellEnd"/>
      <w:r>
        <w:rPr>
          <w:rFonts w:eastAsia="Times New Roman"/>
          <w:sz w:val="24"/>
          <w:szCs w:val="24"/>
          <w:lang w:eastAsia="es-ES"/>
        </w:rPr>
        <w:t xml:space="preserve"> conocimiento de la acción de tutela remitida por el magistrado</w:t>
      </w:r>
      <w:r w:rsidR="006F09B8">
        <w:rPr>
          <w:rFonts w:eastAsia="Times New Roman"/>
          <w:sz w:val="24"/>
          <w:szCs w:val="24"/>
          <w:lang w:eastAsia="es-ES"/>
        </w:rPr>
        <w:t xml:space="preserve"> </w:t>
      </w:r>
      <w:r w:rsidR="006A5E48">
        <w:rPr>
          <w:rFonts w:eastAsia="Times New Roman"/>
          <w:sz w:val="24"/>
          <w:szCs w:val="24"/>
          <w:lang w:eastAsia="es-ES"/>
        </w:rPr>
        <w:t>Álvarez</w:t>
      </w:r>
      <w:r>
        <w:rPr>
          <w:rFonts w:eastAsia="Times New Roman"/>
          <w:sz w:val="24"/>
          <w:szCs w:val="24"/>
          <w:lang w:eastAsia="es-ES"/>
        </w:rPr>
        <w:t xml:space="preserve">. </w:t>
      </w:r>
      <w:r w:rsidR="006A5E48">
        <w:rPr>
          <w:rFonts w:eastAsia="Times New Roman"/>
          <w:sz w:val="24"/>
          <w:szCs w:val="24"/>
          <w:lang w:eastAsia="es-ES"/>
        </w:rPr>
        <w:t>En efecto</w:t>
      </w:r>
      <w:r>
        <w:rPr>
          <w:rFonts w:eastAsia="Times New Roman"/>
          <w:sz w:val="24"/>
          <w:szCs w:val="24"/>
          <w:lang w:eastAsia="es-ES"/>
        </w:rPr>
        <w:t>, la solicitud de amparo presentada por Abraham Moisés García Barrios guarda comparabilidad con la tramitada bajo el n.° 2020-01023-00. Esa petición de tutela también fue radicada por un colectivo de abogados litigantes que ejercen la profesión de manera independiente, quienes consideran que deben ser atendidos ante la situación causada por la dispersión del coronavirus por el territorio nacional. A ello se une que la citada demanda de protección constitucional fue la primera que se radicó sobre el asunto anteriormente enunciado</w:t>
      </w:r>
      <w:r w:rsidR="006A5E48">
        <w:rPr>
          <w:rFonts w:eastAsia="Times New Roman"/>
          <w:sz w:val="24"/>
          <w:szCs w:val="24"/>
          <w:lang w:eastAsia="es-ES"/>
        </w:rPr>
        <w:t xml:space="preserve"> y quedó a cargo de este despacho</w:t>
      </w:r>
      <w:r w:rsidR="006F64D0">
        <w:rPr>
          <w:rFonts w:eastAsia="Times New Roman"/>
          <w:sz w:val="24"/>
          <w:szCs w:val="24"/>
          <w:lang w:eastAsia="es-ES"/>
        </w:rPr>
        <w:t>, el cual proyectó la ponencia que dio lugar a su correspondiente fallo</w:t>
      </w:r>
      <w:r>
        <w:rPr>
          <w:rFonts w:eastAsia="Times New Roman"/>
          <w:sz w:val="24"/>
          <w:szCs w:val="24"/>
          <w:lang w:eastAsia="es-ES"/>
        </w:rPr>
        <w:t xml:space="preserve">. </w:t>
      </w:r>
    </w:p>
    <w:p w14:paraId="68D2648A" w14:textId="77777777" w:rsidR="0068438F" w:rsidRDefault="0068438F" w:rsidP="002123C2">
      <w:pPr>
        <w:overflowPunct w:val="0"/>
        <w:autoSpaceDE w:val="0"/>
        <w:autoSpaceDN w:val="0"/>
        <w:adjustRightInd w:val="0"/>
        <w:spacing w:line="276" w:lineRule="auto"/>
        <w:rPr>
          <w:rFonts w:eastAsia="Times New Roman"/>
          <w:sz w:val="24"/>
          <w:szCs w:val="24"/>
          <w:lang w:eastAsia="es-ES"/>
        </w:rPr>
      </w:pPr>
    </w:p>
    <w:p w14:paraId="068E158E" w14:textId="12F2A651" w:rsidR="00B3101D" w:rsidRDefault="00793ACC" w:rsidP="002123C2">
      <w:pPr>
        <w:overflowPunct w:val="0"/>
        <w:autoSpaceDE w:val="0"/>
        <w:autoSpaceDN w:val="0"/>
        <w:adjustRightInd w:val="0"/>
        <w:spacing w:line="276" w:lineRule="auto"/>
        <w:rPr>
          <w:rFonts w:eastAsia="Times New Roman"/>
          <w:sz w:val="24"/>
          <w:szCs w:val="24"/>
          <w:lang w:eastAsia="es-ES"/>
        </w:rPr>
      </w:pPr>
      <w:r w:rsidRPr="0068438F">
        <w:rPr>
          <w:rFonts w:eastAsia="Times New Roman"/>
          <w:sz w:val="24"/>
          <w:szCs w:val="24"/>
          <w:lang w:eastAsia="es-ES"/>
        </w:rPr>
        <w:t xml:space="preserve">Por tanto, </w:t>
      </w:r>
      <w:r w:rsidR="0068438F" w:rsidRPr="0068438F">
        <w:rPr>
          <w:rFonts w:eastAsia="Times New Roman"/>
          <w:sz w:val="24"/>
          <w:szCs w:val="24"/>
          <w:lang w:eastAsia="es-ES"/>
        </w:rPr>
        <w:t>como el proceso n.° 2020-01023-00</w:t>
      </w:r>
      <w:r w:rsidR="00103C45">
        <w:rPr>
          <w:rFonts w:eastAsia="Times New Roman"/>
          <w:sz w:val="24"/>
          <w:szCs w:val="24"/>
          <w:lang w:eastAsia="es-ES"/>
        </w:rPr>
        <w:t xml:space="preserve"> y sus acumulados</w:t>
      </w:r>
      <w:r w:rsidR="0068438F" w:rsidRPr="0068438F">
        <w:rPr>
          <w:rFonts w:eastAsia="Times New Roman"/>
          <w:sz w:val="24"/>
          <w:szCs w:val="24"/>
          <w:lang w:eastAsia="es-ES"/>
        </w:rPr>
        <w:t xml:space="preserve"> ya fueron decididos en sala del 19 de junio y notificado el pasado 9 de septiembre, y esta solicitud guarda similitud con las que dieron lugar a aquellos procesos, se procederá, de conformidad con </w:t>
      </w:r>
      <w:r w:rsidR="0068438F">
        <w:rPr>
          <w:rFonts w:eastAsia="Times New Roman"/>
          <w:sz w:val="24"/>
          <w:szCs w:val="24"/>
          <w:lang w:eastAsia="es-ES"/>
        </w:rPr>
        <w:t xml:space="preserve">el </w:t>
      </w:r>
      <w:r w:rsidR="0068438F" w:rsidRPr="0068438F">
        <w:rPr>
          <w:rFonts w:eastAsia="Times New Roman"/>
          <w:sz w:val="24"/>
          <w:szCs w:val="24"/>
          <w:lang w:eastAsia="es-ES"/>
        </w:rPr>
        <w:t xml:space="preserve">artículo 1.° del Decreto 1834 de 2015 antes citado, a la sustanciación de esta tutela, bajo criterios que garanticen el principio de igualdad.  </w:t>
      </w:r>
    </w:p>
    <w:p w14:paraId="2F7FAD2B" w14:textId="77777777" w:rsidR="006F09B8" w:rsidRDefault="006F09B8" w:rsidP="002123C2">
      <w:pPr>
        <w:spacing w:line="276" w:lineRule="auto"/>
        <w:rPr>
          <w:rFonts w:eastAsia="Arial Unicode MS"/>
          <w:sz w:val="24"/>
          <w:szCs w:val="24"/>
        </w:rPr>
      </w:pPr>
    </w:p>
    <w:p w14:paraId="09E7A0DB" w14:textId="200AAEAC" w:rsidR="00793ACC" w:rsidRPr="00C156BC" w:rsidRDefault="006E272C" w:rsidP="00793ACC">
      <w:pPr>
        <w:pStyle w:val="Prrafodelista"/>
        <w:numPr>
          <w:ilvl w:val="0"/>
          <w:numId w:val="8"/>
        </w:numPr>
        <w:overflowPunct w:val="0"/>
        <w:autoSpaceDE w:val="0"/>
        <w:autoSpaceDN w:val="0"/>
        <w:adjustRightInd w:val="0"/>
        <w:spacing w:line="276" w:lineRule="auto"/>
        <w:ind w:hanging="720"/>
        <w:rPr>
          <w:rFonts w:eastAsia="Times New Roman"/>
          <w:b/>
          <w:bCs/>
          <w:sz w:val="24"/>
          <w:szCs w:val="24"/>
          <w:lang w:eastAsia="es-ES"/>
        </w:rPr>
      </w:pPr>
      <w:r>
        <w:rPr>
          <w:rFonts w:eastAsia="Times New Roman"/>
          <w:b/>
          <w:bCs/>
          <w:sz w:val="24"/>
          <w:szCs w:val="24"/>
          <w:lang w:eastAsia="es-ES"/>
        </w:rPr>
        <w:t>Examen de admisibilidad de la solicitud de amparo de la referencia</w:t>
      </w:r>
    </w:p>
    <w:p w14:paraId="0A4165B6" w14:textId="2DFF6769" w:rsidR="00793ACC" w:rsidRDefault="00793ACC" w:rsidP="002123C2">
      <w:pPr>
        <w:spacing w:line="276" w:lineRule="auto"/>
        <w:rPr>
          <w:rFonts w:eastAsia="Arial Unicode MS"/>
          <w:sz w:val="24"/>
          <w:szCs w:val="24"/>
        </w:rPr>
      </w:pPr>
    </w:p>
    <w:p w14:paraId="3A2EE4F6" w14:textId="31F44CD0" w:rsidR="00A87E17" w:rsidRDefault="00A87E17" w:rsidP="002123C2">
      <w:pPr>
        <w:spacing w:line="276" w:lineRule="auto"/>
        <w:rPr>
          <w:rFonts w:eastAsia="Arial Unicode MS"/>
          <w:sz w:val="24"/>
          <w:szCs w:val="24"/>
        </w:rPr>
      </w:pPr>
      <w:r>
        <w:rPr>
          <w:rFonts w:eastAsia="Arial Unicode MS"/>
          <w:sz w:val="24"/>
          <w:szCs w:val="24"/>
        </w:rPr>
        <w:t xml:space="preserve">El actor, en el escrito introductorio de este proceso, expuso que se encuentra afrontando una situación económica difícil, debido al cierre de los despachos judiciales </w:t>
      </w:r>
      <w:r>
        <w:rPr>
          <w:rFonts w:eastAsia="Arial Unicode MS"/>
          <w:sz w:val="24"/>
          <w:szCs w:val="24"/>
        </w:rPr>
        <w:lastRenderedPageBreak/>
        <w:t xml:space="preserve">del país y a la suspensión de los términos procesales. En particular, explicó </w:t>
      </w:r>
      <w:r w:rsidR="00121EC2">
        <w:rPr>
          <w:rFonts w:eastAsia="Arial Unicode MS"/>
          <w:sz w:val="24"/>
          <w:szCs w:val="24"/>
        </w:rPr>
        <w:t xml:space="preserve">que tales medidas lo han afectado como abogado litigante independiente, que obtiene su sustento, el de su menor hijo y el de su padre adulto mayor, de sus actividades profesionales. </w:t>
      </w:r>
      <w:r w:rsidR="000E7157">
        <w:rPr>
          <w:rFonts w:eastAsia="Arial Unicode MS"/>
          <w:sz w:val="24"/>
          <w:szCs w:val="24"/>
        </w:rPr>
        <w:t>Debido a ello</w:t>
      </w:r>
      <w:r w:rsidR="006F09B8">
        <w:rPr>
          <w:rFonts w:eastAsia="Arial Unicode MS"/>
          <w:sz w:val="24"/>
          <w:szCs w:val="24"/>
        </w:rPr>
        <w:t xml:space="preserve">, consideró vulnerados sus derechos a la vida en condiciones dignas y al mínimo vital. </w:t>
      </w:r>
      <w:r w:rsidR="00121EC2">
        <w:rPr>
          <w:rFonts w:eastAsia="Arial Unicode MS"/>
          <w:sz w:val="24"/>
          <w:szCs w:val="24"/>
        </w:rPr>
        <w:t>Ante tales dificultades, formuló las siguientes pretensiones:</w:t>
      </w:r>
    </w:p>
    <w:p w14:paraId="3CD1449D" w14:textId="434212B4" w:rsidR="00121EC2" w:rsidRDefault="00121EC2" w:rsidP="002123C2">
      <w:pPr>
        <w:spacing w:line="276" w:lineRule="auto"/>
        <w:rPr>
          <w:rFonts w:eastAsia="Arial Unicode MS"/>
          <w:sz w:val="24"/>
          <w:szCs w:val="24"/>
        </w:rPr>
      </w:pPr>
    </w:p>
    <w:p w14:paraId="082AB601" w14:textId="72300723" w:rsidR="00121EC2" w:rsidRPr="00121EC2" w:rsidRDefault="00121EC2" w:rsidP="00121EC2">
      <w:pPr>
        <w:spacing w:line="276" w:lineRule="auto"/>
        <w:ind w:left="706"/>
        <w:rPr>
          <w:rFonts w:eastAsia="Arial Unicode MS"/>
          <w:sz w:val="22"/>
          <w:szCs w:val="22"/>
        </w:rPr>
      </w:pPr>
      <w:r w:rsidRPr="00121EC2">
        <w:rPr>
          <w:rFonts w:eastAsia="Arial Unicode MS"/>
          <w:sz w:val="22"/>
          <w:szCs w:val="22"/>
        </w:rPr>
        <w:t>“A. Que como garantía el derecho al mínimo vital, la dignidad y la vida, se ordene a las entidades accionadas, den soluciones reales, efectivas e inmediatas sobre la aportación de recursos a los independientes, en mi caso particular como abogado litigante. Durante un término prudente para solventar gastos y subsistencia debido a las circunstancias actuales.</w:t>
      </w:r>
    </w:p>
    <w:p w14:paraId="7C3B4A3C" w14:textId="77777777" w:rsidR="00121EC2" w:rsidRPr="00121EC2" w:rsidRDefault="00121EC2" w:rsidP="00121EC2">
      <w:pPr>
        <w:spacing w:line="276" w:lineRule="auto"/>
        <w:ind w:left="706"/>
        <w:rPr>
          <w:rFonts w:eastAsia="Arial Unicode MS"/>
          <w:sz w:val="22"/>
          <w:szCs w:val="22"/>
        </w:rPr>
      </w:pPr>
    </w:p>
    <w:p w14:paraId="69950313" w14:textId="742A41D3" w:rsidR="00121EC2" w:rsidRPr="00121EC2" w:rsidRDefault="00121EC2" w:rsidP="00121EC2">
      <w:pPr>
        <w:spacing w:line="276" w:lineRule="auto"/>
        <w:ind w:left="706"/>
        <w:rPr>
          <w:rFonts w:eastAsia="Arial Unicode MS"/>
          <w:sz w:val="22"/>
          <w:szCs w:val="22"/>
        </w:rPr>
      </w:pPr>
      <w:r w:rsidRPr="00121EC2">
        <w:rPr>
          <w:rFonts w:eastAsia="Arial Unicode MS"/>
          <w:sz w:val="22"/>
          <w:szCs w:val="22"/>
        </w:rPr>
        <w:t>“B. Se visibilice la situación extrema y urgente de los abogados del país, por ende se brinden medidas adecuadas y eficaces tales como una real ayuda en cuanto a los servicios públicos e internet, para poder sobrellevar la crisis que es cierto nos afecta a todos pero, más a los independientes sin tener en cuenta su estrato.</w:t>
      </w:r>
    </w:p>
    <w:p w14:paraId="7CBF77CE" w14:textId="77777777" w:rsidR="00121EC2" w:rsidRPr="00121EC2" w:rsidRDefault="00121EC2" w:rsidP="00121EC2">
      <w:pPr>
        <w:spacing w:line="276" w:lineRule="auto"/>
        <w:ind w:left="706"/>
        <w:rPr>
          <w:rFonts w:eastAsia="Arial Unicode MS"/>
          <w:sz w:val="22"/>
          <w:szCs w:val="22"/>
        </w:rPr>
      </w:pPr>
    </w:p>
    <w:p w14:paraId="14A3F162" w14:textId="567EA0AF" w:rsidR="00121EC2" w:rsidRPr="00121EC2" w:rsidRDefault="00121EC2" w:rsidP="00121EC2">
      <w:pPr>
        <w:spacing w:line="276" w:lineRule="auto"/>
        <w:ind w:left="706"/>
        <w:rPr>
          <w:rFonts w:eastAsia="Arial Unicode MS"/>
          <w:sz w:val="22"/>
          <w:szCs w:val="22"/>
        </w:rPr>
      </w:pPr>
      <w:r w:rsidRPr="00121EC2">
        <w:rPr>
          <w:rFonts w:eastAsia="Arial Unicode MS"/>
          <w:sz w:val="22"/>
          <w:szCs w:val="22"/>
        </w:rPr>
        <w:t>“C. Que con ocasión del decreto 568, las contribuciones e impuestos que se recauden a funcionarios de la rama judicial, se destinen a un fondo que vaya directamente para solventar y ayudar a abogados independientes, como es mi caso particular, ya que trabajamos en conjunto con la rama judicial pero no contamos con ningún beneficio, esto obrando según el principio de igualdad.</w:t>
      </w:r>
    </w:p>
    <w:p w14:paraId="0C7266C0" w14:textId="77777777" w:rsidR="00121EC2" w:rsidRPr="00121EC2" w:rsidRDefault="00121EC2" w:rsidP="00121EC2">
      <w:pPr>
        <w:spacing w:line="276" w:lineRule="auto"/>
        <w:ind w:left="706"/>
        <w:rPr>
          <w:rFonts w:eastAsia="Arial Unicode MS"/>
          <w:sz w:val="22"/>
          <w:szCs w:val="22"/>
        </w:rPr>
      </w:pPr>
    </w:p>
    <w:p w14:paraId="706FEB47" w14:textId="7E49DA89" w:rsidR="00121EC2" w:rsidRPr="00121EC2" w:rsidRDefault="00121EC2" w:rsidP="00121EC2">
      <w:pPr>
        <w:spacing w:line="276" w:lineRule="auto"/>
        <w:ind w:left="706"/>
        <w:rPr>
          <w:rFonts w:eastAsia="Arial Unicode MS"/>
          <w:sz w:val="22"/>
          <w:szCs w:val="22"/>
        </w:rPr>
      </w:pPr>
      <w:r w:rsidRPr="00121EC2">
        <w:rPr>
          <w:rFonts w:eastAsia="Arial Unicode MS"/>
          <w:sz w:val="22"/>
          <w:szCs w:val="22"/>
        </w:rPr>
        <w:t>“D. Se ordene a las accionadas o competentes, me brinden recursos para poder solventar situaciones personales y familiares, sin necesidad de acudir a créditos, con ocasión del derecho al mínimo vital, así como alguna ayuda en cuanto al pago de servicios y/o alimentación de manera real y efectiva no de manera abstracta y efímera.</w:t>
      </w:r>
    </w:p>
    <w:p w14:paraId="4310A5F2" w14:textId="77777777" w:rsidR="00121EC2" w:rsidRPr="00121EC2" w:rsidRDefault="00121EC2" w:rsidP="00121EC2">
      <w:pPr>
        <w:spacing w:line="276" w:lineRule="auto"/>
        <w:ind w:left="706"/>
        <w:rPr>
          <w:rFonts w:eastAsia="Arial Unicode MS"/>
          <w:sz w:val="22"/>
          <w:szCs w:val="22"/>
        </w:rPr>
      </w:pPr>
    </w:p>
    <w:p w14:paraId="10A20938" w14:textId="68732402" w:rsidR="00121EC2" w:rsidRPr="00121EC2" w:rsidRDefault="00121EC2" w:rsidP="00121EC2">
      <w:pPr>
        <w:spacing w:line="276" w:lineRule="auto"/>
        <w:ind w:left="706"/>
        <w:rPr>
          <w:rFonts w:eastAsia="Arial Unicode MS"/>
          <w:sz w:val="22"/>
          <w:szCs w:val="22"/>
        </w:rPr>
      </w:pPr>
      <w:r w:rsidRPr="00121EC2">
        <w:rPr>
          <w:rFonts w:eastAsia="Arial Unicode MS"/>
          <w:sz w:val="22"/>
          <w:szCs w:val="22"/>
        </w:rPr>
        <w:t>“E. Se ordene a las accionadas, brinden información veraz sobre cuál será la estrategia y las fórmulas reales y efectivas, que se darán para subsanar la nula actividad, la afectación de los ingresos personales en consecuencia la subsistencia de mi familia.</w:t>
      </w:r>
    </w:p>
    <w:p w14:paraId="470F0A3B" w14:textId="77777777" w:rsidR="00121EC2" w:rsidRPr="00121EC2" w:rsidRDefault="00121EC2" w:rsidP="00121EC2">
      <w:pPr>
        <w:spacing w:line="276" w:lineRule="auto"/>
        <w:ind w:left="706"/>
        <w:rPr>
          <w:rFonts w:eastAsia="Arial Unicode MS"/>
          <w:sz w:val="22"/>
          <w:szCs w:val="22"/>
        </w:rPr>
      </w:pPr>
    </w:p>
    <w:p w14:paraId="58D44ACC" w14:textId="05D6C8F1" w:rsidR="00121EC2" w:rsidRPr="00121EC2" w:rsidRDefault="00121EC2" w:rsidP="00121EC2">
      <w:pPr>
        <w:spacing w:line="276" w:lineRule="auto"/>
        <w:ind w:left="706"/>
        <w:rPr>
          <w:rFonts w:eastAsia="Arial Unicode MS"/>
          <w:sz w:val="22"/>
          <w:szCs w:val="22"/>
        </w:rPr>
      </w:pPr>
      <w:r w:rsidRPr="00121EC2">
        <w:rPr>
          <w:rFonts w:eastAsia="Arial Unicode MS"/>
          <w:sz w:val="22"/>
          <w:szCs w:val="22"/>
        </w:rPr>
        <w:t>“F. Se ordene informen de manera formal y efectiva cuando y en qué forma comenzara a operar la rama judicial en todas sus instancias, pues no puede estar indefinidamente en parálisis afectando derechos de terceros”.</w:t>
      </w:r>
    </w:p>
    <w:p w14:paraId="7BB62715" w14:textId="420025FD" w:rsidR="00A87E17" w:rsidRDefault="00A87E17" w:rsidP="002123C2">
      <w:pPr>
        <w:spacing w:line="276" w:lineRule="auto"/>
        <w:rPr>
          <w:rFonts w:eastAsia="Arial Unicode MS"/>
          <w:sz w:val="24"/>
          <w:szCs w:val="24"/>
        </w:rPr>
      </w:pPr>
    </w:p>
    <w:p w14:paraId="1ABE337A" w14:textId="7E1B9C31" w:rsidR="00121EC2" w:rsidRDefault="00121EC2" w:rsidP="002123C2">
      <w:pPr>
        <w:spacing w:line="276" w:lineRule="auto"/>
        <w:rPr>
          <w:rFonts w:eastAsia="Arial Unicode MS"/>
          <w:sz w:val="24"/>
          <w:szCs w:val="24"/>
        </w:rPr>
      </w:pPr>
      <w:r>
        <w:rPr>
          <w:rFonts w:eastAsia="Arial Unicode MS"/>
          <w:sz w:val="24"/>
          <w:szCs w:val="24"/>
        </w:rPr>
        <w:t>Por último, es de señalar que el accionante expresó en su memorial que ha acudido ante las autoridades accionadas, a través del ejercicio de su derecho fundamental de petición. Sin embargo, manifestó que ha obtenido respuestas que considera generales, en la medida en solamente lo remiten a las medidas generales que el Gobierno Nacional ha tomado para afrontar la crisis en comento. Ello, en su sentir, indica que no se han atendido sus dificultades particulares.</w:t>
      </w:r>
      <w:r w:rsidR="006F09B8">
        <w:rPr>
          <w:rFonts w:eastAsia="Arial Unicode MS"/>
          <w:sz w:val="24"/>
          <w:szCs w:val="24"/>
        </w:rPr>
        <w:t xml:space="preserve"> De ahí, consideró desconocido su derecho fundamental de petición</w:t>
      </w:r>
      <w:r w:rsidR="006F64D0">
        <w:rPr>
          <w:rFonts w:eastAsia="Arial Unicode MS"/>
          <w:sz w:val="24"/>
          <w:szCs w:val="24"/>
        </w:rPr>
        <w:t xml:space="preserve">, cuestión adicional que se presenta a conocimiento de este fallador, en comparación con lo resuelto en la tutela identificada con </w:t>
      </w:r>
      <w:r w:rsidR="006F64D0" w:rsidRPr="006F64D0">
        <w:rPr>
          <w:rFonts w:eastAsia="Arial Unicode MS"/>
          <w:sz w:val="24"/>
          <w:szCs w:val="24"/>
        </w:rPr>
        <w:t>n.°</w:t>
      </w:r>
      <w:r w:rsidR="006F64D0">
        <w:rPr>
          <w:rFonts w:eastAsia="Arial Unicode MS"/>
          <w:sz w:val="24"/>
          <w:szCs w:val="24"/>
        </w:rPr>
        <w:t xml:space="preserve"> único de radicación 11001-03-15-000-</w:t>
      </w:r>
      <w:r w:rsidR="006F64D0" w:rsidRPr="006F64D0">
        <w:rPr>
          <w:rFonts w:eastAsia="Arial Unicode MS"/>
          <w:sz w:val="24"/>
          <w:szCs w:val="24"/>
        </w:rPr>
        <w:t>2020-01023-00</w:t>
      </w:r>
      <w:r w:rsidR="006F09B8">
        <w:rPr>
          <w:rFonts w:eastAsia="Arial Unicode MS"/>
          <w:sz w:val="24"/>
          <w:szCs w:val="24"/>
        </w:rPr>
        <w:t>.</w:t>
      </w:r>
    </w:p>
    <w:p w14:paraId="514FC109" w14:textId="77777777" w:rsidR="006F09B8" w:rsidRDefault="006F09B8" w:rsidP="002123C2">
      <w:pPr>
        <w:spacing w:line="276" w:lineRule="auto"/>
        <w:rPr>
          <w:rFonts w:eastAsia="Arial Unicode MS"/>
          <w:sz w:val="24"/>
          <w:szCs w:val="24"/>
        </w:rPr>
      </w:pPr>
    </w:p>
    <w:p w14:paraId="7CF0851E" w14:textId="407B4DCA" w:rsidR="00C965C0" w:rsidRPr="00C965C0" w:rsidRDefault="006F09B8" w:rsidP="00C965C0">
      <w:pPr>
        <w:spacing w:line="276" w:lineRule="auto"/>
        <w:rPr>
          <w:rFonts w:eastAsia="Arial Unicode MS"/>
          <w:sz w:val="24"/>
          <w:szCs w:val="24"/>
        </w:rPr>
      </w:pPr>
      <w:r>
        <w:rPr>
          <w:rFonts w:eastAsia="Arial Unicode MS"/>
          <w:sz w:val="24"/>
          <w:szCs w:val="24"/>
        </w:rPr>
        <w:lastRenderedPageBreak/>
        <w:t xml:space="preserve">Visto lo anterior, </w:t>
      </w:r>
      <w:proofErr w:type="spellStart"/>
      <w:r>
        <w:rPr>
          <w:rFonts w:eastAsia="Arial Unicode MS"/>
          <w:sz w:val="24"/>
          <w:szCs w:val="24"/>
        </w:rPr>
        <w:t>se</w:t>
      </w:r>
      <w:r w:rsidR="00C07E82">
        <w:rPr>
          <w:rFonts w:eastAsia="Arial Unicode MS"/>
          <w:sz w:val="24"/>
          <w:szCs w:val="24"/>
        </w:rPr>
        <w:t>observa</w:t>
      </w:r>
      <w:proofErr w:type="spellEnd"/>
      <w:r>
        <w:rPr>
          <w:rFonts w:eastAsia="Arial Unicode MS"/>
          <w:sz w:val="24"/>
          <w:szCs w:val="24"/>
        </w:rPr>
        <w:t xml:space="preserve"> que, e</w:t>
      </w:r>
      <w:r w:rsidRPr="006F09B8">
        <w:rPr>
          <w:rFonts w:eastAsia="Arial Unicode MS"/>
          <w:sz w:val="24"/>
          <w:szCs w:val="24"/>
        </w:rPr>
        <w:t>n la solicitud de tutela</w:t>
      </w:r>
      <w:r>
        <w:rPr>
          <w:rFonts w:eastAsia="Arial Unicode MS"/>
          <w:sz w:val="24"/>
          <w:szCs w:val="24"/>
        </w:rPr>
        <w:t>,</w:t>
      </w:r>
      <w:r w:rsidRPr="006F09B8">
        <w:rPr>
          <w:rFonts w:eastAsia="Arial Unicode MS"/>
          <w:sz w:val="24"/>
          <w:szCs w:val="24"/>
        </w:rPr>
        <w:t xml:space="preserve"> se expre</w:t>
      </w:r>
      <w:r>
        <w:rPr>
          <w:rFonts w:eastAsia="Arial Unicode MS"/>
          <w:sz w:val="24"/>
          <w:szCs w:val="24"/>
        </w:rPr>
        <w:t xml:space="preserve">saron: </w:t>
      </w:r>
      <w:r w:rsidRPr="006F09B8">
        <w:rPr>
          <w:rFonts w:eastAsia="Arial Unicode MS"/>
          <w:sz w:val="24"/>
          <w:szCs w:val="24"/>
        </w:rPr>
        <w:t>la acción o la omisión que la motiva, el derecho que se considera violado o amenazado, el nombre de la</w:t>
      </w:r>
      <w:r>
        <w:rPr>
          <w:rFonts w:eastAsia="Arial Unicode MS"/>
          <w:sz w:val="24"/>
          <w:szCs w:val="24"/>
        </w:rPr>
        <w:t>s</w:t>
      </w:r>
      <w:r w:rsidRPr="006F09B8">
        <w:rPr>
          <w:rFonts w:eastAsia="Arial Unicode MS"/>
          <w:sz w:val="24"/>
          <w:szCs w:val="24"/>
        </w:rPr>
        <w:t xml:space="preserve"> autoridad</w:t>
      </w:r>
      <w:r>
        <w:rPr>
          <w:rFonts w:eastAsia="Arial Unicode MS"/>
          <w:sz w:val="24"/>
          <w:szCs w:val="24"/>
        </w:rPr>
        <w:t>es</w:t>
      </w:r>
      <w:r w:rsidRPr="006F09B8">
        <w:rPr>
          <w:rFonts w:eastAsia="Arial Unicode MS"/>
          <w:sz w:val="24"/>
          <w:szCs w:val="24"/>
        </w:rPr>
        <w:t xml:space="preserve"> </w:t>
      </w:r>
      <w:r>
        <w:rPr>
          <w:rFonts w:eastAsia="Arial Unicode MS"/>
          <w:sz w:val="24"/>
          <w:szCs w:val="24"/>
        </w:rPr>
        <w:t>a las que endilga el desconocimiento de sus derechos,</w:t>
      </w:r>
      <w:r w:rsidRPr="006F09B8">
        <w:rPr>
          <w:rFonts w:eastAsia="Arial Unicode MS"/>
          <w:sz w:val="24"/>
          <w:szCs w:val="24"/>
        </w:rPr>
        <w:t xml:space="preserve"> la descripción de las demás circunstancias relevantes para decidir la solicitud</w:t>
      </w:r>
      <w:r>
        <w:rPr>
          <w:rFonts w:eastAsia="Arial Unicode MS"/>
          <w:sz w:val="24"/>
          <w:szCs w:val="24"/>
        </w:rPr>
        <w:t xml:space="preserve"> y </w:t>
      </w:r>
      <w:r w:rsidRPr="006F09B8">
        <w:rPr>
          <w:rFonts w:eastAsia="Arial Unicode MS"/>
          <w:sz w:val="24"/>
          <w:szCs w:val="24"/>
        </w:rPr>
        <w:t xml:space="preserve">el nombre y el lugar de residencia del </w:t>
      </w:r>
      <w:r>
        <w:rPr>
          <w:rFonts w:eastAsia="Arial Unicode MS"/>
          <w:sz w:val="24"/>
          <w:szCs w:val="24"/>
        </w:rPr>
        <w:t>peticionario de amparo</w:t>
      </w:r>
      <w:r w:rsidRPr="006F09B8">
        <w:rPr>
          <w:rFonts w:eastAsia="Arial Unicode MS"/>
          <w:sz w:val="24"/>
          <w:szCs w:val="24"/>
        </w:rPr>
        <w:t>.</w:t>
      </w:r>
      <w:r w:rsidR="00C965C0">
        <w:rPr>
          <w:rFonts w:eastAsia="Arial Unicode MS"/>
          <w:sz w:val="24"/>
          <w:szCs w:val="24"/>
        </w:rPr>
        <w:t xml:space="preserve"> </w:t>
      </w:r>
      <w:r w:rsidR="00C965C0">
        <w:rPr>
          <w:sz w:val="24"/>
          <w:szCs w:val="24"/>
        </w:rPr>
        <w:t>En suma</w:t>
      </w:r>
      <w:r w:rsidR="006A6D25" w:rsidRPr="00C73406">
        <w:rPr>
          <w:sz w:val="24"/>
          <w:szCs w:val="24"/>
        </w:rPr>
        <w:t xml:space="preserve">, </w:t>
      </w:r>
      <w:r w:rsidR="00C965C0">
        <w:rPr>
          <w:sz w:val="24"/>
          <w:szCs w:val="24"/>
        </w:rPr>
        <w:t xml:space="preserve">se encuentran </w:t>
      </w:r>
      <w:r w:rsidR="006A6D25" w:rsidRPr="00C73406">
        <w:rPr>
          <w:sz w:val="24"/>
          <w:szCs w:val="24"/>
        </w:rPr>
        <w:t>reunidos los requisitos previstos en el artículo 14 del Decreto 2591 de 1991</w:t>
      </w:r>
      <w:r w:rsidR="00C965C0">
        <w:rPr>
          <w:sz w:val="24"/>
          <w:szCs w:val="24"/>
        </w:rPr>
        <w:t>.</w:t>
      </w:r>
    </w:p>
    <w:p w14:paraId="1AABC948" w14:textId="77777777" w:rsidR="00C965C0" w:rsidRPr="004D0CCD" w:rsidRDefault="00C965C0" w:rsidP="00C965C0">
      <w:pPr>
        <w:pStyle w:val="Textoindependiente21"/>
        <w:spacing w:after="0" w:line="276" w:lineRule="auto"/>
        <w:ind w:left="0"/>
        <w:jc w:val="both"/>
        <w:rPr>
          <w:rFonts w:cs="Arial"/>
          <w:sz w:val="24"/>
          <w:szCs w:val="24"/>
          <w:lang w:val="es-CO"/>
        </w:rPr>
      </w:pPr>
    </w:p>
    <w:p w14:paraId="4B5580E9" w14:textId="26157584" w:rsidR="00C965C0" w:rsidRPr="004D0CCD" w:rsidRDefault="00C965C0" w:rsidP="00C965C0">
      <w:pPr>
        <w:pStyle w:val="Textoindependiente21"/>
        <w:spacing w:after="0" w:line="276" w:lineRule="auto"/>
        <w:ind w:left="0"/>
        <w:jc w:val="both"/>
        <w:rPr>
          <w:rFonts w:cs="Arial"/>
          <w:sz w:val="24"/>
          <w:szCs w:val="24"/>
          <w:lang w:val="es-CO"/>
        </w:rPr>
      </w:pPr>
      <w:r w:rsidRPr="004D0CCD">
        <w:rPr>
          <w:rFonts w:cs="Arial"/>
          <w:sz w:val="24"/>
          <w:szCs w:val="24"/>
          <w:lang w:val="es-CO"/>
        </w:rPr>
        <w:t>De conformidad con lo expuesto en el párrafo anterior, se admitirá la demanda de protección tutelar y se requerirá a todas las autoridades accionadas para que rindan informe</w:t>
      </w:r>
      <w:r w:rsidR="009E43D2">
        <w:rPr>
          <w:rFonts w:cs="Arial"/>
          <w:sz w:val="24"/>
          <w:szCs w:val="24"/>
          <w:lang w:val="es-CO"/>
        </w:rPr>
        <w:t xml:space="preserve">. </w:t>
      </w:r>
      <w:r>
        <w:rPr>
          <w:rFonts w:cs="Arial"/>
          <w:sz w:val="24"/>
          <w:szCs w:val="24"/>
          <w:lang w:val="es-CO"/>
        </w:rPr>
        <w:t>Además, deberán reportar si recibieron alguna solicitud radicada por el accionante, en ejercicio de su derecho fundamental de petición, y qu</w:t>
      </w:r>
      <w:r w:rsidR="00A218F1">
        <w:rPr>
          <w:rFonts w:cs="Arial"/>
          <w:sz w:val="24"/>
          <w:szCs w:val="24"/>
          <w:lang w:val="es-CO"/>
        </w:rPr>
        <w:t>é</w:t>
      </w:r>
      <w:r>
        <w:rPr>
          <w:rFonts w:cs="Arial"/>
          <w:sz w:val="24"/>
          <w:szCs w:val="24"/>
          <w:lang w:val="es-CO"/>
        </w:rPr>
        <w:t xml:space="preserve"> contestación dieron a sus inquietudes. </w:t>
      </w:r>
    </w:p>
    <w:p w14:paraId="0DD05112" w14:textId="77777777" w:rsidR="00121EC2" w:rsidRPr="00066E2D" w:rsidRDefault="00121EC2" w:rsidP="002123C2">
      <w:pPr>
        <w:spacing w:line="276" w:lineRule="auto"/>
        <w:rPr>
          <w:rFonts w:eastAsia="Arial Unicode MS"/>
          <w:sz w:val="24"/>
          <w:szCs w:val="24"/>
        </w:rPr>
      </w:pPr>
    </w:p>
    <w:p w14:paraId="30178106" w14:textId="77777777" w:rsidR="007530B7" w:rsidRPr="009F4FD8" w:rsidRDefault="007530B7" w:rsidP="002123C2">
      <w:pPr>
        <w:widowControl w:val="0"/>
        <w:overflowPunct w:val="0"/>
        <w:autoSpaceDE w:val="0"/>
        <w:autoSpaceDN w:val="0"/>
        <w:adjustRightInd w:val="0"/>
        <w:spacing w:line="276" w:lineRule="auto"/>
        <w:rPr>
          <w:b/>
          <w:sz w:val="24"/>
          <w:szCs w:val="24"/>
        </w:rPr>
      </w:pPr>
      <w:r w:rsidRPr="009F4FD8">
        <w:rPr>
          <w:sz w:val="24"/>
          <w:szCs w:val="24"/>
        </w:rPr>
        <w:t xml:space="preserve">Por lo expuesto, este Despacho, en uso de sus facultades constitucionales y legales, </w:t>
      </w:r>
    </w:p>
    <w:p w14:paraId="10BD8EA3" w14:textId="62C45223" w:rsidR="007530B7" w:rsidRDefault="007530B7" w:rsidP="002123C2">
      <w:pPr>
        <w:pStyle w:val="Textoindependiente21"/>
        <w:spacing w:after="0" w:line="276" w:lineRule="auto"/>
        <w:ind w:left="0"/>
        <w:jc w:val="both"/>
        <w:rPr>
          <w:rFonts w:cs="Arial"/>
          <w:sz w:val="24"/>
          <w:szCs w:val="24"/>
          <w:lang w:val="es-CO"/>
        </w:rPr>
      </w:pPr>
    </w:p>
    <w:p w14:paraId="7FFCB9DB" w14:textId="61B590B1" w:rsidR="004849BB" w:rsidRDefault="007530B7" w:rsidP="00A218F1">
      <w:pPr>
        <w:pStyle w:val="Textoindependiente21"/>
        <w:spacing w:after="0" w:line="276" w:lineRule="auto"/>
        <w:ind w:left="0"/>
        <w:jc w:val="center"/>
        <w:rPr>
          <w:rFonts w:cs="Arial"/>
          <w:b/>
          <w:sz w:val="24"/>
          <w:szCs w:val="24"/>
        </w:rPr>
      </w:pPr>
      <w:r w:rsidRPr="009F4FD8">
        <w:rPr>
          <w:rFonts w:cs="Arial"/>
          <w:b/>
          <w:sz w:val="24"/>
          <w:szCs w:val="24"/>
        </w:rPr>
        <w:t>RESUELVE</w:t>
      </w:r>
    </w:p>
    <w:p w14:paraId="0CDA1618" w14:textId="77777777" w:rsidR="00A218F1" w:rsidRPr="004D0CCD" w:rsidRDefault="00A218F1" w:rsidP="00A218F1">
      <w:pPr>
        <w:pStyle w:val="Textoindependiente21"/>
        <w:spacing w:after="0" w:line="276" w:lineRule="auto"/>
        <w:ind w:left="0"/>
        <w:jc w:val="both"/>
        <w:rPr>
          <w:rFonts w:cs="Arial"/>
          <w:sz w:val="24"/>
          <w:szCs w:val="24"/>
          <w:highlight w:val="yellow"/>
        </w:rPr>
      </w:pPr>
    </w:p>
    <w:p w14:paraId="1D12931B" w14:textId="4DD704D5" w:rsidR="00C71793" w:rsidRDefault="00C71793" w:rsidP="00A218F1">
      <w:pPr>
        <w:pStyle w:val="Prrafodelista"/>
        <w:numPr>
          <w:ilvl w:val="0"/>
          <w:numId w:val="11"/>
        </w:numPr>
        <w:spacing w:line="276" w:lineRule="auto"/>
        <w:ind w:left="0" w:firstLine="0"/>
        <w:rPr>
          <w:sz w:val="24"/>
          <w:szCs w:val="24"/>
        </w:rPr>
      </w:pPr>
      <w:r>
        <w:rPr>
          <w:b/>
          <w:bCs/>
          <w:sz w:val="24"/>
          <w:szCs w:val="24"/>
        </w:rPr>
        <w:t>AVOCAR</w:t>
      </w:r>
      <w:r>
        <w:rPr>
          <w:sz w:val="24"/>
          <w:szCs w:val="24"/>
        </w:rPr>
        <w:t xml:space="preserve"> conocimiento de la acción de tutela identificada con el n.° único de radicación </w:t>
      </w:r>
      <w:r w:rsidRPr="00C71793">
        <w:rPr>
          <w:sz w:val="24"/>
          <w:szCs w:val="24"/>
        </w:rPr>
        <w:t>11001-03-15-000-2020-02711-00</w:t>
      </w:r>
      <w:r>
        <w:rPr>
          <w:sz w:val="24"/>
          <w:szCs w:val="24"/>
        </w:rPr>
        <w:t xml:space="preserve">, instaurada por Abraham Moisés García Barrios </w:t>
      </w:r>
      <w:r w:rsidRPr="00C71793">
        <w:rPr>
          <w:sz w:val="24"/>
          <w:szCs w:val="24"/>
        </w:rPr>
        <w:t>contra la Nación – Presidencia de la República; la Nación – Departamento Administrativo de la Presidencia de la República (DAPRE); la Nación – Ministerio de Justicia y del Derecho; la Nación – Ministerio de Hacienda y Crédito Público; la Nación – Rama Judicial del Poder Público, y el Consejo Superior de la Judicatura.</w:t>
      </w:r>
    </w:p>
    <w:p w14:paraId="1518E0FA" w14:textId="77777777" w:rsidR="00C71793" w:rsidRPr="00C71793" w:rsidRDefault="00C71793" w:rsidP="00C71793">
      <w:pPr>
        <w:spacing w:line="276" w:lineRule="auto"/>
        <w:rPr>
          <w:sz w:val="24"/>
          <w:szCs w:val="24"/>
        </w:rPr>
      </w:pPr>
    </w:p>
    <w:p w14:paraId="258E5C41" w14:textId="7D5766E0" w:rsidR="00A218F1" w:rsidRPr="004D0CCD" w:rsidRDefault="00A218F1" w:rsidP="00A218F1">
      <w:pPr>
        <w:pStyle w:val="Prrafodelista"/>
        <w:numPr>
          <w:ilvl w:val="0"/>
          <w:numId w:val="11"/>
        </w:numPr>
        <w:spacing w:line="276" w:lineRule="auto"/>
        <w:ind w:left="0" w:firstLine="0"/>
        <w:rPr>
          <w:sz w:val="24"/>
          <w:szCs w:val="24"/>
        </w:rPr>
      </w:pPr>
      <w:r w:rsidRPr="004D0CCD">
        <w:rPr>
          <w:b/>
          <w:sz w:val="24"/>
          <w:szCs w:val="24"/>
        </w:rPr>
        <w:t>ADMITIR</w:t>
      </w:r>
      <w:r w:rsidRPr="004D0CCD">
        <w:rPr>
          <w:sz w:val="24"/>
          <w:szCs w:val="24"/>
        </w:rPr>
        <w:t xml:space="preserve"> la demanda instaurada, en ejercicio de la acción de tutela, por </w:t>
      </w:r>
      <w:r>
        <w:rPr>
          <w:sz w:val="24"/>
          <w:szCs w:val="24"/>
        </w:rPr>
        <w:t>Abraham Moisés García Barrios</w:t>
      </w:r>
      <w:r w:rsidRPr="004D0CCD">
        <w:rPr>
          <w:sz w:val="24"/>
          <w:szCs w:val="24"/>
        </w:rPr>
        <w:t xml:space="preserve"> contra </w:t>
      </w:r>
      <w:r w:rsidRPr="00A218F1">
        <w:rPr>
          <w:sz w:val="24"/>
          <w:szCs w:val="24"/>
        </w:rPr>
        <w:t>la Nación – Presidencia de la República; la Nación – Departamento Administrativo de la Presidencia de la República (DAPRE); la Nación – Ministerio de Justicia y del Derecho; la Nación – Ministerio de Hacienda y Crédito Público; la Nación – Rama Judicial del Poder Público, y el Consejo Superior de la Judicatura</w:t>
      </w:r>
      <w:r w:rsidRPr="004D0CCD">
        <w:rPr>
          <w:sz w:val="24"/>
          <w:szCs w:val="24"/>
        </w:rPr>
        <w:t>.</w:t>
      </w:r>
    </w:p>
    <w:p w14:paraId="55F93F71" w14:textId="77777777" w:rsidR="00A218F1" w:rsidRPr="004D0CCD" w:rsidRDefault="00A218F1" w:rsidP="00A218F1">
      <w:pPr>
        <w:pStyle w:val="Prrafodelista"/>
        <w:spacing w:line="276" w:lineRule="auto"/>
        <w:ind w:left="0"/>
        <w:rPr>
          <w:sz w:val="24"/>
          <w:szCs w:val="24"/>
        </w:rPr>
      </w:pPr>
    </w:p>
    <w:p w14:paraId="5603BF72" w14:textId="0AE8EC59" w:rsidR="00A218F1" w:rsidRPr="004D0CCD" w:rsidRDefault="00A218F1" w:rsidP="00A218F1">
      <w:pPr>
        <w:pStyle w:val="Prrafodelista"/>
        <w:numPr>
          <w:ilvl w:val="0"/>
          <w:numId w:val="11"/>
        </w:numPr>
        <w:spacing w:line="276" w:lineRule="auto"/>
        <w:ind w:left="0" w:firstLine="0"/>
        <w:rPr>
          <w:sz w:val="24"/>
          <w:szCs w:val="24"/>
        </w:rPr>
      </w:pPr>
      <w:r w:rsidRPr="004D0CCD">
        <w:rPr>
          <w:b/>
          <w:sz w:val="24"/>
          <w:szCs w:val="24"/>
        </w:rPr>
        <w:t>ORDENAR</w:t>
      </w:r>
      <w:r w:rsidRPr="004D0CCD">
        <w:rPr>
          <w:sz w:val="24"/>
          <w:szCs w:val="24"/>
        </w:rPr>
        <w:t xml:space="preserve"> que, por conducto de la Secretaría General de esta Corporación, se notifique el presente proveído a las partes de la forma más expedita posible. Además, esta providencia deberá ser publicada en las páginas web del Consejo de Estado y la Rama Judicial.</w:t>
      </w:r>
    </w:p>
    <w:p w14:paraId="68D459BE" w14:textId="77777777" w:rsidR="00A218F1" w:rsidRDefault="00A218F1" w:rsidP="00A218F1">
      <w:pPr>
        <w:spacing w:line="276" w:lineRule="auto"/>
        <w:rPr>
          <w:sz w:val="24"/>
          <w:szCs w:val="24"/>
        </w:rPr>
      </w:pPr>
    </w:p>
    <w:p w14:paraId="63F7F325" w14:textId="77777777" w:rsidR="00A218F1" w:rsidRPr="004D0CCD" w:rsidRDefault="00A218F1" w:rsidP="00A218F1">
      <w:pPr>
        <w:pStyle w:val="Prrafodelista"/>
        <w:spacing w:line="276" w:lineRule="auto"/>
        <w:ind w:left="0"/>
        <w:rPr>
          <w:sz w:val="24"/>
          <w:szCs w:val="24"/>
        </w:rPr>
      </w:pPr>
      <w:r w:rsidRPr="004D0CCD">
        <w:rPr>
          <w:sz w:val="24"/>
          <w:szCs w:val="24"/>
        </w:rPr>
        <w:t xml:space="preserve">La Secretaría General </w:t>
      </w:r>
      <w:r w:rsidRPr="004D0CCD">
        <w:rPr>
          <w:b/>
          <w:sz w:val="24"/>
          <w:szCs w:val="24"/>
        </w:rPr>
        <w:t>solamente devolverá</w:t>
      </w:r>
      <w:r w:rsidRPr="004D0CCD">
        <w:rPr>
          <w:sz w:val="24"/>
          <w:szCs w:val="24"/>
        </w:rPr>
        <w:t xml:space="preserve"> el expediente al Despacho, una vez se haya efectivamente notificado a los sujetos procesales.</w:t>
      </w:r>
    </w:p>
    <w:p w14:paraId="3A37BDAA" w14:textId="77777777" w:rsidR="00A218F1" w:rsidRPr="004D0CCD" w:rsidRDefault="00A218F1" w:rsidP="00A218F1">
      <w:pPr>
        <w:pStyle w:val="Prrafodelista"/>
        <w:spacing w:line="276" w:lineRule="auto"/>
        <w:ind w:left="0"/>
        <w:rPr>
          <w:sz w:val="24"/>
          <w:szCs w:val="24"/>
        </w:rPr>
      </w:pPr>
    </w:p>
    <w:p w14:paraId="76853E6D" w14:textId="6854F9B3" w:rsidR="00A218F1" w:rsidRDefault="00A218F1" w:rsidP="00A218F1">
      <w:pPr>
        <w:pStyle w:val="Prrafodelista"/>
        <w:numPr>
          <w:ilvl w:val="0"/>
          <w:numId w:val="11"/>
        </w:numPr>
        <w:spacing w:line="276" w:lineRule="auto"/>
        <w:ind w:left="0" w:firstLine="0"/>
        <w:rPr>
          <w:color w:val="000000"/>
          <w:sz w:val="24"/>
          <w:szCs w:val="24"/>
        </w:rPr>
      </w:pPr>
      <w:r w:rsidRPr="004D0CCD">
        <w:rPr>
          <w:b/>
          <w:color w:val="000000"/>
          <w:sz w:val="24"/>
          <w:szCs w:val="24"/>
        </w:rPr>
        <w:t xml:space="preserve">COMUNICAR </w:t>
      </w:r>
      <w:r w:rsidRPr="004D0CCD">
        <w:rPr>
          <w:bCs/>
          <w:color w:val="000000"/>
          <w:sz w:val="24"/>
          <w:szCs w:val="24"/>
        </w:rPr>
        <w:t xml:space="preserve">a las </w:t>
      </w:r>
      <w:r>
        <w:rPr>
          <w:bCs/>
          <w:color w:val="000000"/>
          <w:sz w:val="24"/>
          <w:szCs w:val="24"/>
        </w:rPr>
        <w:t xml:space="preserve">accionadas </w:t>
      </w:r>
      <w:r w:rsidRPr="004D0CCD">
        <w:rPr>
          <w:bCs/>
          <w:color w:val="000000"/>
          <w:sz w:val="24"/>
          <w:szCs w:val="24"/>
        </w:rPr>
        <w:t>que podrán presentar informe sobre los hechos en los que se sustenta la presente acción, en el término de dos (2) días, contados a partir del recibo de la notificación. Éstos se considerarán rendidos bajo juramente</w:t>
      </w:r>
      <w:r w:rsidRPr="004D0CCD">
        <w:rPr>
          <w:color w:val="000000"/>
          <w:sz w:val="24"/>
          <w:szCs w:val="24"/>
        </w:rPr>
        <w:t xml:space="preserve"> (</w:t>
      </w:r>
      <w:r w:rsidRPr="004D0CCD">
        <w:rPr>
          <w:sz w:val="24"/>
          <w:szCs w:val="24"/>
        </w:rPr>
        <w:t xml:space="preserve">artículos 19 y 20 del Decreto 2591 de 1991). </w:t>
      </w:r>
      <w:r w:rsidR="009E43D2">
        <w:rPr>
          <w:sz w:val="24"/>
          <w:szCs w:val="24"/>
        </w:rPr>
        <w:t>Particularmente</w:t>
      </w:r>
      <w:r>
        <w:rPr>
          <w:sz w:val="24"/>
          <w:szCs w:val="24"/>
        </w:rPr>
        <w:t xml:space="preserve">, las </w:t>
      </w:r>
      <w:r>
        <w:rPr>
          <w:sz w:val="24"/>
          <w:szCs w:val="24"/>
        </w:rPr>
        <w:lastRenderedPageBreak/>
        <w:t>accionadas</w:t>
      </w:r>
      <w:r w:rsidRPr="00A218F1">
        <w:rPr>
          <w:color w:val="000000"/>
          <w:sz w:val="24"/>
          <w:szCs w:val="24"/>
        </w:rPr>
        <w:t>, deberán reportar si recibieron alguna solicitud radicada por el accionante, en ejercicio de su derecho fundamental de petición, y qu</w:t>
      </w:r>
      <w:r>
        <w:rPr>
          <w:color w:val="000000"/>
          <w:sz w:val="24"/>
          <w:szCs w:val="24"/>
        </w:rPr>
        <w:t>é</w:t>
      </w:r>
      <w:r w:rsidRPr="00A218F1">
        <w:rPr>
          <w:color w:val="000000"/>
          <w:sz w:val="24"/>
          <w:szCs w:val="24"/>
        </w:rPr>
        <w:t xml:space="preserve"> contestación dieron a sus inquietudes.</w:t>
      </w:r>
    </w:p>
    <w:p w14:paraId="78D04FE1" w14:textId="77777777" w:rsidR="00A218F1" w:rsidRPr="004D0CCD" w:rsidRDefault="00A218F1" w:rsidP="00A218F1">
      <w:pPr>
        <w:pStyle w:val="Prrafodelista"/>
        <w:spacing w:line="276" w:lineRule="auto"/>
        <w:ind w:left="0"/>
        <w:rPr>
          <w:color w:val="000000"/>
          <w:sz w:val="24"/>
          <w:szCs w:val="24"/>
        </w:rPr>
      </w:pPr>
    </w:p>
    <w:p w14:paraId="70B8DF78" w14:textId="77777777" w:rsidR="00A218F1" w:rsidRPr="004D0CCD" w:rsidRDefault="00A218F1" w:rsidP="00A218F1">
      <w:pPr>
        <w:pStyle w:val="Textoindependiente21"/>
        <w:numPr>
          <w:ilvl w:val="0"/>
          <w:numId w:val="11"/>
        </w:numPr>
        <w:spacing w:after="0" w:line="276" w:lineRule="auto"/>
        <w:ind w:left="0" w:firstLine="0"/>
        <w:jc w:val="both"/>
        <w:rPr>
          <w:rFonts w:cs="Arial"/>
          <w:color w:val="000000"/>
          <w:sz w:val="24"/>
          <w:szCs w:val="24"/>
        </w:rPr>
      </w:pPr>
      <w:r w:rsidRPr="004D0CCD">
        <w:rPr>
          <w:rFonts w:cs="Arial"/>
          <w:b/>
          <w:color w:val="000000"/>
          <w:sz w:val="24"/>
          <w:szCs w:val="24"/>
        </w:rPr>
        <w:t xml:space="preserve">TENER </w:t>
      </w:r>
      <w:r w:rsidRPr="004D0CCD">
        <w:rPr>
          <w:rFonts w:cs="Arial"/>
          <w:color w:val="000000"/>
          <w:sz w:val="24"/>
          <w:szCs w:val="24"/>
        </w:rPr>
        <w:t>como pruebas los documentos aportados con el escrito de tutela.</w:t>
      </w:r>
    </w:p>
    <w:p w14:paraId="7F61F2CE" w14:textId="77777777" w:rsidR="00A218F1" w:rsidRPr="004D0CCD" w:rsidRDefault="00A218F1" w:rsidP="00A218F1">
      <w:pPr>
        <w:pStyle w:val="Textoindependiente21"/>
        <w:spacing w:after="0" w:line="276" w:lineRule="auto"/>
        <w:ind w:left="0"/>
        <w:jc w:val="both"/>
        <w:rPr>
          <w:rFonts w:cs="Arial"/>
          <w:color w:val="000000"/>
          <w:sz w:val="24"/>
          <w:szCs w:val="24"/>
        </w:rPr>
      </w:pPr>
    </w:p>
    <w:p w14:paraId="6BACBE8C" w14:textId="3C96B6A2" w:rsidR="00A218F1" w:rsidRDefault="00A218F1" w:rsidP="00A218F1">
      <w:pPr>
        <w:pStyle w:val="Textoindependiente21"/>
        <w:numPr>
          <w:ilvl w:val="0"/>
          <w:numId w:val="11"/>
        </w:numPr>
        <w:spacing w:after="0" w:line="276" w:lineRule="auto"/>
        <w:ind w:left="0" w:firstLine="0"/>
        <w:jc w:val="both"/>
        <w:rPr>
          <w:rFonts w:cs="Arial"/>
          <w:sz w:val="24"/>
          <w:szCs w:val="24"/>
          <w:lang w:val="es-ES"/>
        </w:rPr>
      </w:pPr>
      <w:r w:rsidRPr="004D0CCD">
        <w:rPr>
          <w:rFonts w:cs="Arial"/>
          <w:b/>
          <w:sz w:val="24"/>
          <w:szCs w:val="24"/>
        </w:rPr>
        <w:t>SUSPENDER</w:t>
      </w:r>
      <w:r w:rsidRPr="004D0CCD">
        <w:rPr>
          <w:rFonts w:cs="Arial"/>
          <w:sz w:val="24"/>
          <w:szCs w:val="24"/>
        </w:rPr>
        <w:t xml:space="preserve"> </w:t>
      </w:r>
      <w:r w:rsidRPr="004D0CCD">
        <w:rPr>
          <w:rFonts w:cs="Arial"/>
          <w:sz w:val="24"/>
          <w:szCs w:val="24"/>
          <w:lang w:val="es-ES"/>
        </w:rPr>
        <w:t>los términos de la presente acción constitucional hasta tanto se dé cumplimiento a las órdenes impartidas en esta providencia y el expediente regrese al Despacho desde la Secretaría General.</w:t>
      </w:r>
    </w:p>
    <w:p w14:paraId="5D16E87C" w14:textId="77777777" w:rsidR="00A218F1" w:rsidRDefault="00A218F1" w:rsidP="00A218F1">
      <w:pPr>
        <w:pStyle w:val="Textoindependiente21"/>
        <w:spacing w:after="0" w:line="276" w:lineRule="auto"/>
        <w:ind w:left="0"/>
        <w:jc w:val="both"/>
        <w:rPr>
          <w:rFonts w:cs="Arial"/>
          <w:sz w:val="24"/>
          <w:szCs w:val="24"/>
          <w:lang w:val="es-ES"/>
        </w:rPr>
      </w:pPr>
    </w:p>
    <w:p w14:paraId="60C626CC" w14:textId="77777777" w:rsidR="009E43D2" w:rsidRPr="004D0CCD" w:rsidRDefault="009E43D2" w:rsidP="00A218F1">
      <w:pPr>
        <w:pStyle w:val="Textoindependiente21"/>
        <w:spacing w:after="0" w:line="276" w:lineRule="auto"/>
        <w:ind w:left="0"/>
        <w:jc w:val="both"/>
        <w:rPr>
          <w:rFonts w:cs="Arial"/>
          <w:sz w:val="24"/>
          <w:szCs w:val="24"/>
          <w:lang w:val="es-ES"/>
        </w:rPr>
      </w:pPr>
    </w:p>
    <w:p w14:paraId="52E1BEFA" w14:textId="77777777" w:rsidR="00A218F1" w:rsidRPr="004D0CCD" w:rsidRDefault="00A218F1" w:rsidP="00A218F1">
      <w:pPr>
        <w:pStyle w:val="Textoindependiente21"/>
        <w:spacing w:after="0" w:line="276" w:lineRule="auto"/>
        <w:ind w:left="0"/>
        <w:jc w:val="center"/>
        <w:rPr>
          <w:rFonts w:cs="Arial"/>
          <w:sz w:val="24"/>
          <w:szCs w:val="24"/>
        </w:rPr>
      </w:pPr>
      <w:r w:rsidRPr="004D0CCD">
        <w:rPr>
          <w:rFonts w:cs="Arial"/>
          <w:b/>
          <w:sz w:val="24"/>
          <w:szCs w:val="24"/>
        </w:rPr>
        <w:t>NOTIFÍQUESE Y CÚMPLASE</w:t>
      </w:r>
    </w:p>
    <w:p w14:paraId="3968662C" w14:textId="77777777" w:rsidR="00A218F1" w:rsidRPr="004D0CCD" w:rsidRDefault="00A218F1" w:rsidP="00A218F1">
      <w:pPr>
        <w:pStyle w:val="Textoindependiente21"/>
        <w:spacing w:after="0" w:line="276" w:lineRule="auto"/>
        <w:ind w:left="0"/>
        <w:jc w:val="center"/>
        <w:rPr>
          <w:rFonts w:cs="Arial"/>
          <w:b/>
          <w:sz w:val="24"/>
          <w:szCs w:val="24"/>
        </w:rPr>
      </w:pPr>
    </w:p>
    <w:p w14:paraId="7524684B" w14:textId="77777777" w:rsidR="00A218F1" w:rsidRPr="004D0CCD" w:rsidRDefault="00A218F1" w:rsidP="00A218F1">
      <w:pPr>
        <w:pStyle w:val="Textoindependiente21"/>
        <w:spacing w:after="0" w:line="276" w:lineRule="auto"/>
        <w:ind w:left="0"/>
        <w:jc w:val="center"/>
        <w:rPr>
          <w:rFonts w:cs="Arial"/>
          <w:b/>
          <w:sz w:val="24"/>
          <w:szCs w:val="24"/>
        </w:rPr>
      </w:pPr>
    </w:p>
    <w:p w14:paraId="10C1FBF0" w14:textId="77777777" w:rsidR="00A218F1" w:rsidRPr="004D0CCD" w:rsidRDefault="00A218F1" w:rsidP="00A218F1">
      <w:pPr>
        <w:pStyle w:val="Textoindependiente21"/>
        <w:spacing w:after="0" w:line="276" w:lineRule="auto"/>
        <w:ind w:left="0"/>
        <w:jc w:val="center"/>
        <w:rPr>
          <w:rFonts w:cs="Arial"/>
          <w:b/>
          <w:sz w:val="24"/>
          <w:szCs w:val="24"/>
        </w:rPr>
      </w:pPr>
    </w:p>
    <w:p w14:paraId="7CEACEDF" w14:textId="77777777" w:rsidR="00A218F1" w:rsidRPr="004D0CCD" w:rsidRDefault="00A218F1" w:rsidP="00A218F1">
      <w:pPr>
        <w:pStyle w:val="Textoindependiente21"/>
        <w:spacing w:after="0" w:line="276" w:lineRule="auto"/>
        <w:ind w:left="0"/>
        <w:jc w:val="center"/>
        <w:rPr>
          <w:rFonts w:cs="Arial"/>
          <w:b/>
          <w:sz w:val="24"/>
          <w:szCs w:val="24"/>
        </w:rPr>
      </w:pPr>
    </w:p>
    <w:p w14:paraId="570F330D" w14:textId="77777777" w:rsidR="00A218F1" w:rsidRPr="004D0CCD" w:rsidRDefault="00A218F1" w:rsidP="00A218F1">
      <w:pPr>
        <w:pStyle w:val="Textoindependiente21"/>
        <w:spacing w:after="0" w:line="276" w:lineRule="auto"/>
        <w:ind w:left="0"/>
        <w:jc w:val="center"/>
        <w:rPr>
          <w:rFonts w:cs="Arial"/>
          <w:b/>
          <w:sz w:val="24"/>
          <w:szCs w:val="24"/>
        </w:rPr>
      </w:pPr>
      <w:r w:rsidRPr="004D0CCD">
        <w:rPr>
          <w:rFonts w:cs="Arial"/>
          <w:b/>
          <w:sz w:val="24"/>
          <w:szCs w:val="24"/>
        </w:rPr>
        <w:t>JAIME ENRIQUE RODRÍGUEZ NAVAS</w:t>
      </w:r>
    </w:p>
    <w:p w14:paraId="5E054FFA" w14:textId="30458E8B" w:rsidR="00A218F1" w:rsidRPr="00A218F1" w:rsidRDefault="00A218F1" w:rsidP="00A218F1">
      <w:pPr>
        <w:pStyle w:val="Textoindependiente21"/>
        <w:spacing w:after="0" w:line="276" w:lineRule="auto"/>
        <w:ind w:left="0"/>
        <w:jc w:val="center"/>
        <w:rPr>
          <w:rFonts w:cs="Arial"/>
          <w:sz w:val="24"/>
          <w:szCs w:val="24"/>
        </w:rPr>
      </w:pPr>
      <w:r w:rsidRPr="004D0CCD">
        <w:rPr>
          <w:rFonts w:cs="Arial"/>
          <w:b/>
          <w:sz w:val="24"/>
          <w:szCs w:val="24"/>
        </w:rPr>
        <w:t>Magistrado</w:t>
      </w:r>
    </w:p>
    <w:sectPr w:rsidR="00A218F1" w:rsidRPr="00A218F1" w:rsidSect="006A6312">
      <w:headerReference w:type="default" r:id="rId11"/>
      <w:footerReference w:type="default" r:id="rId12"/>
      <w:headerReference w:type="first" r:id="rId13"/>
      <w:footerReference w:type="first" r:id="rId14"/>
      <w:pgSz w:w="12242" w:h="18722" w:code="119"/>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7E716" w14:textId="77777777" w:rsidR="000C5095" w:rsidRDefault="000C5095" w:rsidP="00117091">
      <w:r>
        <w:separator/>
      </w:r>
    </w:p>
  </w:endnote>
  <w:endnote w:type="continuationSeparator" w:id="0">
    <w:p w14:paraId="0AF00BB5" w14:textId="77777777" w:rsidR="000C5095" w:rsidRDefault="000C5095"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4EA23B22" w14:textId="77777777" w:rsidTr="00B82AE5">
      <w:trPr>
        <w:jc w:val="right"/>
      </w:trPr>
      <w:tc>
        <w:tcPr>
          <w:tcW w:w="4795" w:type="dxa"/>
          <w:vAlign w:val="center"/>
        </w:tcPr>
        <w:p w14:paraId="2BD0AD2C" w14:textId="77777777" w:rsidR="00C53B7C" w:rsidRDefault="00C53B7C" w:rsidP="00C53B7C">
          <w:pPr>
            <w:pStyle w:val="Encabezado"/>
            <w:jc w:val="center"/>
            <w:rPr>
              <w:color w:val="767171"/>
              <w:sz w:val="20"/>
              <w:szCs w:val="20"/>
            </w:rPr>
          </w:pPr>
          <w:r w:rsidRPr="00A21194">
            <w:rPr>
              <w:color w:val="767171"/>
              <w:sz w:val="20"/>
              <w:szCs w:val="20"/>
            </w:rPr>
            <w:t>Calle 12 No. 7-65 – Tel: (57-1) 350-6700 – Bogotá D.C. – Colombia</w:t>
          </w:r>
        </w:p>
        <w:p w14:paraId="7F9042E1" w14:textId="77777777" w:rsidR="00C53B7C" w:rsidRPr="00A21194" w:rsidRDefault="00C53B7C"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5C62A008" w14:textId="77777777" w:rsidR="00C53B7C" w:rsidRPr="00B6429B" w:rsidRDefault="00C53B7C" w:rsidP="00C53B7C">
          <w:pPr>
            <w:pStyle w:val="Piedepgina"/>
            <w:jc w:val="center"/>
          </w:pPr>
          <w:r w:rsidRPr="00B6429B">
            <w:fldChar w:fldCharType="begin"/>
          </w:r>
          <w:r w:rsidRPr="00B6429B">
            <w:instrText>PAGE   \* MERGEFORMAT</w:instrText>
          </w:r>
          <w:r w:rsidRPr="00B6429B">
            <w:fldChar w:fldCharType="separate"/>
          </w:r>
          <w:r w:rsidR="00103C45" w:rsidRPr="00103C45">
            <w:rPr>
              <w:noProof/>
              <w:lang w:val="es-ES"/>
            </w:rPr>
            <w:t>3</w:t>
          </w:r>
          <w:r w:rsidRPr="00B6429B">
            <w:fldChar w:fldCharType="end"/>
          </w:r>
        </w:p>
      </w:tc>
    </w:tr>
  </w:tbl>
  <w:p w14:paraId="40C3543A" w14:textId="77777777" w:rsidR="00EC38ED" w:rsidRPr="00C53B7C" w:rsidRDefault="00EC38ED" w:rsidP="00C53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63AB0B31" w14:textId="77777777" w:rsidTr="00B82AE5">
      <w:trPr>
        <w:jc w:val="right"/>
      </w:trPr>
      <w:tc>
        <w:tcPr>
          <w:tcW w:w="4795" w:type="dxa"/>
          <w:vAlign w:val="center"/>
        </w:tcPr>
        <w:p w14:paraId="11D80390" w14:textId="77777777" w:rsidR="00C53B7C" w:rsidRDefault="00C53B7C" w:rsidP="00C53B7C">
          <w:pPr>
            <w:pStyle w:val="Encabezado"/>
            <w:jc w:val="center"/>
            <w:rPr>
              <w:color w:val="767171"/>
              <w:sz w:val="20"/>
              <w:szCs w:val="20"/>
            </w:rPr>
          </w:pPr>
          <w:r w:rsidRPr="00A21194">
            <w:rPr>
              <w:color w:val="767171"/>
              <w:sz w:val="20"/>
              <w:szCs w:val="20"/>
            </w:rPr>
            <w:t>Calle 12 No. 7-65 – Tel: (57-1) 350-6700 – Bogotá D.C. – Colombia</w:t>
          </w:r>
        </w:p>
        <w:p w14:paraId="270D5C3E" w14:textId="77777777" w:rsidR="00C53B7C" w:rsidRPr="00A21194" w:rsidRDefault="00C53B7C"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6988174" w14:textId="77777777" w:rsidR="00C53B7C" w:rsidRPr="00B6429B" w:rsidRDefault="00C53B7C" w:rsidP="00C53B7C">
          <w:pPr>
            <w:pStyle w:val="Piedepgina"/>
            <w:jc w:val="center"/>
          </w:pPr>
          <w:r w:rsidRPr="00B6429B">
            <w:fldChar w:fldCharType="begin"/>
          </w:r>
          <w:r w:rsidRPr="00B6429B">
            <w:instrText>PAGE   \* MERGEFORMAT</w:instrText>
          </w:r>
          <w:r w:rsidRPr="00B6429B">
            <w:fldChar w:fldCharType="separate"/>
          </w:r>
          <w:r w:rsidR="0068438F" w:rsidRPr="0068438F">
            <w:rPr>
              <w:noProof/>
              <w:lang w:val="es-ES"/>
            </w:rPr>
            <w:t>1</w:t>
          </w:r>
          <w:r w:rsidRPr="00B6429B">
            <w:fldChar w:fldCharType="end"/>
          </w:r>
        </w:p>
      </w:tc>
    </w:tr>
  </w:tbl>
  <w:p w14:paraId="33D93EA7" w14:textId="77777777" w:rsidR="00F91B32" w:rsidRPr="00C53B7C" w:rsidRDefault="00F91B32" w:rsidP="00C53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15E5C" w14:textId="77777777" w:rsidR="000C5095" w:rsidRDefault="000C5095" w:rsidP="00117091">
      <w:r>
        <w:separator/>
      </w:r>
    </w:p>
  </w:footnote>
  <w:footnote w:type="continuationSeparator" w:id="0">
    <w:p w14:paraId="2FAA30BC" w14:textId="77777777" w:rsidR="000C5095" w:rsidRDefault="000C5095" w:rsidP="00117091">
      <w:r>
        <w:continuationSeparator/>
      </w:r>
    </w:p>
  </w:footnote>
  <w:footnote w:id="1">
    <w:p w14:paraId="74B8D170" w14:textId="64ABCD08" w:rsidR="0048114F" w:rsidRPr="0048114F" w:rsidRDefault="0048114F">
      <w:pPr>
        <w:pStyle w:val="Textonotapie"/>
      </w:pPr>
      <w:r>
        <w:rPr>
          <w:rStyle w:val="Refdenotaalpie"/>
        </w:rPr>
        <w:footnoteRef/>
      </w:r>
      <w:r>
        <w:t xml:space="preserve"> </w:t>
      </w:r>
      <w:r w:rsidRPr="0048114F">
        <w:t>Ver, archiv</w:t>
      </w:r>
      <w:r>
        <w:t>o</w:t>
      </w:r>
      <w:r w:rsidRPr="0048114F">
        <w:t xml:space="preserve"> con certificado 13FAE6A4B599579A E6545D71DE47D11C B8002F3A949AD70F 811C277C67552EF2</w:t>
      </w:r>
      <w:r>
        <w:t>.</w:t>
      </w:r>
    </w:p>
  </w:footnote>
  <w:footnote w:id="2">
    <w:p w14:paraId="16050838" w14:textId="6E2A2718" w:rsidR="00FF252C" w:rsidRPr="00FF252C" w:rsidRDefault="00FF252C">
      <w:pPr>
        <w:pStyle w:val="Textonotapie"/>
      </w:pPr>
      <w:r>
        <w:rPr>
          <w:rStyle w:val="Refdenotaalpie"/>
        </w:rPr>
        <w:footnoteRef/>
      </w:r>
      <w:r>
        <w:t xml:space="preserve"> </w:t>
      </w:r>
      <w:r w:rsidRPr="00FF252C">
        <w:t>“Por medio del cual se expide el Decreto Único Reglamentario del Sector Justicia y del Derecho”</w:t>
      </w:r>
      <w:r>
        <w:t>.</w:t>
      </w:r>
    </w:p>
  </w:footnote>
  <w:footnote w:id="3">
    <w:p w14:paraId="6FED67DF" w14:textId="56C2C943" w:rsidR="00FF252C" w:rsidRPr="00FF252C" w:rsidRDefault="00FF252C">
      <w:pPr>
        <w:pStyle w:val="Textonotapie"/>
      </w:pPr>
      <w:r>
        <w:rPr>
          <w:rStyle w:val="Refdenotaalpie"/>
        </w:rPr>
        <w:footnoteRef/>
      </w:r>
      <w:r>
        <w:t xml:space="preserve"> </w:t>
      </w:r>
      <w:r w:rsidRPr="00FF252C">
        <w:t>“Por el cual se adiciona el Decreto número 1069 de 2015, Decreto Único Reglamentario del Sector de Justicia y del Derecho, y se reglamenta parcialmente el artículo 37 del Decreto número 2591 de 1991, en lo relativo a las reglas de reparto para acciones de tutela masivas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FA661" w14:textId="77777777" w:rsidR="00117091" w:rsidRPr="00A15ACE" w:rsidRDefault="00973BB6">
    <w:pPr>
      <w:pStyle w:val="Encabezado"/>
    </w:pPr>
    <w:r>
      <w:rPr>
        <w:noProof/>
        <w:lang w:eastAsia="es-CO"/>
      </w:rPr>
      <w:drawing>
        <wp:anchor distT="0" distB="0" distL="114300" distR="114300" simplePos="0" relativeHeight="251657728" behindDoc="0" locked="0" layoutInCell="1" allowOverlap="1" wp14:anchorId="3755E4B9" wp14:editId="753452AA">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E8A1E" w14:textId="77777777" w:rsidR="00117091" w:rsidRPr="00A15ACE" w:rsidRDefault="00117091">
    <w:pPr>
      <w:pStyle w:val="Encabezado"/>
    </w:pPr>
  </w:p>
  <w:p w14:paraId="1CC56130" w14:textId="77777777" w:rsidR="00117091" w:rsidRPr="00A15ACE" w:rsidRDefault="00973BB6">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73542C34" wp14:editId="7F30CF2F">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FCA54F"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5B2E426E" w14:textId="5CA843A9" w:rsidR="00117091" w:rsidRPr="00F532EA" w:rsidRDefault="00041C53" w:rsidP="0054069D">
    <w:pPr>
      <w:pStyle w:val="Encabezado"/>
      <w:jc w:val="right"/>
      <w:rPr>
        <w:color w:val="767171"/>
        <w:sz w:val="20"/>
        <w:szCs w:val="20"/>
      </w:rPr>
    </w:pPr>
    <w:r>
      <w:rPr>
        <w:color w:val="767171"/>
        <w:sz w:val="20"/>
        <w:szCs w:val="20"/>
      </w:rPr>
      <w:t>Radicado: 11001-03-15-000-2020-0</w:t>
    </w:r>
    <w:r w:rsidR="00856D47">
      <w:rPr>
        <w:color w:val="767171"/>
        <w:sz w:val="20"/>
        <w:szCs w:val="20"/>
      </w:rPr>
      <w:t>2711</w:t>
    </w:r>
    <w:r>
      <w:rPr>
        <w:color w:val="767171"/>
        <w:sz w:val="20"/>
        <w:szCs w:val="20"/>
      </w:rPr>
      <w:t>-00</w:t>
    </w:r>
  </w:p>
  <w:p w14:paraId="18B7678E" w14:textId="1C891F49" w:rsidR="00117091" w:rsidRPr="00F532EA" w:rsidRDefault="0054069D"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sidR="00FE09DF" w:rsidRPr="00F532EA">
      <w:rPr>
        <w:color w:val="767171"/>
        <w:sz w:val="20"/>
        <w:szCs w:val="20"/>
      </w:rPr>
      <w:t>Demandante</w:t>
    </w:r>
    <w:r w:rsidR="00293EAE">
      <w:rPr>
        <w:color w:val="767171"/>
        <w:sz w:val="20"/>
        <w:szCs w:val="20"/>
      </w:rPr>
      <w:t>:</w:t>
    </w:r>
    <w:r w:rsidR="00041C53">
      <w:rPr>
        <w:color w:val="767171"/>
        <w:sz w:val="20"/>
        <w:szCs w:val="20"/>
      </w:rPr>
      <w:t xml:space="preserve"> </w:t>
    </w:r>
    <w:r w:rsidR="00856D47">
      <w:rPr>
        <w:color w:val="767171"/>
        <w:sz w:val="20"/>
        <w:szCs w:val="20"/>
      </w:rPr>
      <w:t>Abraham Moisés García Barrios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67A43" w14:textId="77777777" w:rsidR="00F1441F" w:rsidRPr="00A15ACE" w:rsidRDefault="00973BB6" w:rsidP="00F1441F">
    <w:pPr>
      <w:pStyle w:val="Encabezado"/>
    </w:pPr>
    <w:r>
      <w:rPr>
        <w:noProof/>
        <w:lang w:eastAsia="es-CO"/>
      </w:rPr>
      <w:drawing>
        <wp:anchor distT="0" distB="0" distL="114300" distR="114300" simplePos="0" relativeHeight="251658752" behindDoc="0" locked="0" layoutInCell="1" allowOverlap="1" wp14:anchorId="0E892780" wp14:editId="3EBD22DB">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D367A" w14:textId="77777777" w:rsidR="00F1441F" w:rsidRPr="00A15ACE" w:rsidRDefault="00F1441F" w:rsidP="00F1441F">
    <w:pPr>
      <w:pStyle w:val="Encabezado"/>
      <w:rPr>
        <w:color w:val="767171"/>
      </w:rPr>
    </w:pPr>
  </w:p>
  <w:p w14:paraId="77DFD3DD" w14:textId="77777777" w:rsidR="0074235D" w:rsidRPr="007F276C" w:rsidRDefault="0074235D" w:rsidP="002A4ED9">
    <w:pPr>
      <w:pStyle w:val="Sinespaciado"/>
    </w:pPr>
    <w:r w:rsidRPr="007F276C">
      <w:t>CONSEJO DE ESTADO</w:t>
    </w:r>
  </w:p>
  <w:p w14:paraId="60CFB48D" w14:textId="77777777" w:rsidR="0074235D" w:rsidRPr="007F276C" w:rsidRDefault="0074235D" w:rsidP="002A4ED9">
    <w:pPr>
      <w:pStyle w:val="Sinespaciado"/>
    </w:pPr>
    <w:r w:rsidRPr="007F276C">
      <w:t>SALA DE LO CONTENCIOSO ADMINISTRATIVO</w:t>
    </w:r>
  </w:p>
  <w:p w14:paraId="1B4E7B63" w14:textId="77777777" w:rsidR="0074235D" w:rsidRPr="007F276C" w:rsidRDefault="0074235D" w:rsidP="002A4ED9">
    <w:pPr>
      <w:pStyle w:val="Sinespaciado"/>
    </w:pPr>
    <w:r w:rsidRPr="007F276C">
      <w:t>SECCIÓN TERCERA – SUBSECCIÓN C</w:t>
    </w:r>
  </w:p>
  <w:p w14:paraId="2CE0499A"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4B96D43"/>
    <w:multiLevelType w:val="multilevel"/>
    <w:tmpl w:val="FE6638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D2D5D"/>
    <w:multiLevelType w:val="multilevel"/>
    <w:tmpl w:val="FAFC44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75426EE"/>
    <w:multiLevelType w:val="hybridMultilevel"/>
    <w:tmpl w:val="39F604C6"/>
    <w:lvl w:ilvl="0" w:tplc="11C40F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10"/>
  </w:num>
  <w:num w:numId="7">
    <w:abstractNumId w:val="8"/>
  </w:num>
  <w:num w:numId="8">
    <w:abstractNumId w:val="7"/>
  </w:num>
  <w:num w:numId="9">
    <w:abstractNumId w:val="11"/>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6A0D"/>
    <w:rsid w:val="00020F1A"/>
    <w:rsid w:val="00040C04"/>
    <w:rsid w:val="00041C53"/>
    <w:rsid w:val="00066E2D"/>
    <w:rsid w:val="0007063E"/>
    <w:rsid w:val="000728E0"/>
    <w:rsid w:val="00073869"/>
    <w:rsid w:val="00083B8F"/>
    <w:rsid w:val="00094E7B"/>
    <w:rsid w:val="000C2B43"/>
    <w:rsid w:val="000C5095"/>
    <w:rsid w:val="000C5DB7"/>
    <w:rsid w:val="000C7B4F"/>
    <w:rsid w:val="000E7157"/>
    <w:rsid w:val="00103C45"/>
    <w:rsid w:val="00117091"/>
    <w:rsid w:val="00121EC2"/>
    <w:rsid w:val="001314F6"/>
    <w:rsid w:val="00133F91"/>
    <w:rsid w:val="00136349"/>
    <w:rsid w:val="00143CAF"/>
    <w:rsid w:val="0014485E"/>
    <w:rsid w:val="00146B59"/>
    <w:rsid w:val="00155E78"/>
    <w:rsid w:val="00166AF6"/>
    <w:rsid w:val="001C3C1F"/>
    <w:rsid w:val="001D4E62"/>
    <w:rsid w:val="001E087B"/>
    <w:rsid w:val="001F52D2"/>
    <w:rsid w:val="00201EC3"/>
    <w:rsid w:val="00207485"/>
    <w:rsid w:val="00211F0C"/>
    <w:rsid w:val="002123C2"/>
    <w:rsid w:val="002230E3"/>
    <w:rsid w:val="002248FD"/>
    <w:rsid w:val="00246239"/>
    <w:rsid w:val="00281874"/>
    <w:rsid w:val="0028665C"/>
    <w:rsid w:val="00293EAE"/>
    <w:rsid w:val="002A4ED9"/>
    <w:rsid w:val="002C12BC"/>
    <w:rsid w:val="002D480B"/>
    <w:rsid w:val="002E1978"/>
    <w:rsid w:val="0031514A"/>
    <w:rsid w:val="00346733"/>
    <w:rsid w:val="00360658"/>
    <w:rsid w:val="00361478"/>
    <w:rsid w:val="00371684"/>
    <w:rsid w:val="00374674"/>
    <w:rsid w:val="00383425"/>
    <w:rsid w:val="00384507"/>
    <w:rsid w:val="00387BBC"/>
    <w:rsid w:val="00394A69"/>
    <w:rsid w:val="003A12C4"/>
    <w:rsid w:val="003B4515"/>
    <w:rsid w:val="003D1B94"/>
    <w:rsid w:val="003E0BD3"/>
    <w:rsid w:val="003F28E4"/>
    <w:rsid w:val="003F2BA3"/>
    <w:rsid w:val="003F7FF5"/>
    <w:rsid w:val="00402998"/>
    <w:rsid w:val="00411A7A"/>
    <w:rsid w:val="00414600"/>
    <w:rsid w:val="004211FA"/>
    <w:rsid w:val="00424723"/>
    <w:rsid w:val="00430389"/>
    <w:rsid w:val="004306EF"/>
    <w:rsid w:val="00430D89"/>
    <w:rsid w:val="00457483"/>
    <w:rsid w:val="0048114F"/>
    <w:rsid w:val="004849BB"/>
    <w:rsid w:val="004857F6"/>
    <w:rsid w:val="00491910"/>
    <w:rsid w:val="00494241"/>
    <w:rsid w:val="00497735"/>
    <w:rsid w:val="004A1D38"/>
    <w:rsid w:val="004A59E5"/>
    <w:rsid w:val="004D5983"/>
    <w:rsid w:val="004D63F2"/>
    <w:rsid w:val="004E3D73"/>
    <w:rsid w:val="00517953"/>
    <w:rsid w:val="00522073"/>
    <w:rsid w:val="00530CAD"/>
    <w:rsid w:val="00537386"/>
    <w:rsid w:val="0054069D"/>
    <w:rsid w:val="00541BA0"/>
    <w:rsid w:val="00566726"/>
    <w:rsid w:val="00585CA2"/>
    <w:rsid w:val="005D1791"/>
    <w:rsid w:val="005F3CB1"/>
    <w:rsid w:val="00620AC8"/>
    <w:rsid w:val="00621F3E"/>
    <w:rsid w:val="006371BF"/>
    <w:rsid w:val="00651F05"/>
    <w:rsid w:val="006615F2"/>
    <w:rsid w:val="00663267"/>
    <w:rsid w:val="00664A8F"/>
    <w:rsid w:val="0068438F"/>
    <w:rsid w:val="00685672"/>
    <w:rsid w:val="006976AD"/>
    <w:rsid w:val="006A5AD1"/>
    <w:rsid w:val="006A5E48"/>
    <w:rsid w:val="006A6312"/>
    <w:rsid w:val="006A6B54"/>
    <w:rsid w:val="006A6D25"/>
    <w:rsid w:val="006C3BA5"/>
    <w:rsid w:val="006D4799"/>
    <w:rsid w:val="006E272C"/>
    <w:rsid w:val="006F09B8"/>
    <w:rsid w:val="006F6047"/>
    <w:rsid w:val="006F64D0"/>
    <w:rsid w:val="006F7F36"/>
    <w:rsid w:val="0070023E"/>
    <w:rsid w:val="0072475A"/>
    <w:rsid w:val="0074235D"/>
    <w:rsid w:val="00745D63"/>
    <w:rsid w:val="007530B7"/>
    <w:rsid w:val="00760DAF"/>
    <w:rsid w:val="00773A85"/>
    <w:rsid w:val="00793ACC"/>
    <w:rsid w:val="007D4A96"/>
    <w:rsid w:val="007F276C"/>
    <w:rsid w:val="007F3540"/>
    <w:rsid w:val="007F7B05"/>
    <w:rsid w:val="00817A38"/>
    <w:rsid w:val="00822EDC"/>
    <w:rsid w:val="00823E1F"/>
    <w:rsid w:val="00835345"/>
    <w:rsid w:val="008412FB"/>
    <w:rsid w:val="0085611F"/>
    <w:rsid w:val="00856D47"/>
    <w:rsid w:val="00871943"/>
    <w:rsid w:val="008879C5"/>
    <w:rsid w:val="008C0DBE"/>
    <w:rsid w:val="008C4606"/>
    <w:rsid w:val="008C64B2"/>
    <w:rsid w:val="008D2738"/>
    <w:rsid w:val="008D5505"/>
    <w:rsid w:val="008D7532"/>
    <w:rsid w:val="00900BD2"/>
    <w:rsid w:val="00911C03"/>
    <w:rsid w:val="00911C2B"/>
    <w:rsid w:val="009210E8"/>
    <w:rsid w:val="009214E2"/>
    <w:rsid w:val="00932ED9"/>
    <w:rsid w:val="00940813"/>
    <w:rsid w:val="009654B4"/>
    <w:rsid w:val="00973BB6"/>
    <w:rsid w:val="0097486A"/>
    <w:rsid w:val="00986FEF"/>
    <w:rsid w:val="00996286"/>
    <w:rsid w:val="009A4799"/>
    <w:rsid w:val="009A5798"/>
    <w:rsid w:val="009B686D"/>
    <w:rsid w:val="009E43D2"/>
    <w:rsid w:val="009F5813"/>
    <w:rsid w:val="00A0511A"/>
    <w:rsid w:val="00A15ACE"/>
    <w:rsid w:val="00A218F1"/>
    <w:rsid w:val="00A25C52"/>
    <w:rsid w:val="00A26DEE"/>
    <w:rsid w:val="00A467BD"/>
    <w:rsid w:val="00A73868"/>
    <w:rsid w:val="00A8702B"/>
    <w:rsid w:val="00A87E17"/>
    <w:rsid w:val="00AB33F4"/>
    <w:rsid w:val="00AB57F7"/>
    <w:rsid w:val="00AE4EEA"/>
    <w:rsid w:val="00AE5822"/>
    <w:rsid w:val="00AF634C"/>
    <w:rsid w:val="00B00068"/>
    <w:rsid w:val="00B14389"/>
    <w:rsid w:val="00B251D5"/>
    <w:rsid w:val="00B3101D"/>
    <w:rsid w:val="00B46A0E"/>
    <w:rsid w:val="00B55D1C"/>
    <w:rsid w:val="00B82AE5"/>
    <w:rsid w:val="00B9314A"/>
    <w:rsid w:val="00B93C6E"/>
    <w:rsid w:val="00B97E8B"/>
    <w:rsid w:val="00BB0DD6"/>
    <w:rsid w:val="00BB6A0D"/>
    <w:rsid w:val="00BB79AE"/>
    <w:rsid w:val="00BD67B1"/>
    <w:rsid w:val="00BE1BBF"/>
    <w:rsid w:val="00BF2ACB"/>
    <w:rsid w:val="00C018AC"/>
    <w:rsid w:val="00C07E82"/>
    <w:rsid w:val="00C156BC"/>
    <w:rsid w:val="00C43CA0"/>
    <w:rsid w:val="00C44090"/>
    <w:rsid w:val="00C53B7C"/>
    <w:rsid w:val="00C54A33"/>
    <w:rsid w:val="00C71793"/>
    <w:rsid w:val="00C7549A"/>
    <w:rsid w:val="00C87516"/>
    <w:rsid w:val="00C965C0"/>
    <w:rsid w:val="00CA27AF"/>
    <w:rsid w:val="00CB3811"/>
    <w:rsid w:val="00D0053E"/>
    <w:rsid w:val="00D03C11"/>
    <w:rsid w:val="00D0678C"/>
    <w:rsid w:val="00D163C7"/>
    <w:rsid w:val="00D2756B"/>
    <w:rsid w:val="00D31837"/>
    <w:rsid w:val="00D474A9"/>
    <w:rsid w:val="00D53A8F"/>
    <w:rsid w:val="00D6559A"/>
    <w:rsid w:val="00D729A8"/>
    <w:rsid w:val="00D77846"/>
    <w:rsid w:val="00D77CBF"/>
    <w:rsid w:val="00DB4688"/>
    <w:rsid w:val="00DB6EC4"/>
    <w:rsid w:val="00DB7A08"/>
    <w:rsid w:val="00DE5D28"/>
    <w:rsid w:val="00DE7123"/>
    <w:rsid w:val="00E067C8"/>
    <w:rsid w:val="00E4328A"/>
    <w:rsid w:val="00E45687"/>
    <w:rsid w:val="00E560B5"/>
    <w:rsid w:val="00E70863"/>
    <w:rsid w:val="00E800E8"/>
    <w:rsid w:val="00E85ADA"/>
    <w:rsid w:val="00E87355"/>
    <w:rsid w:val="00EA58FA"/>
    <w:rsid w:val="00EB27E9"/>
    <w:rsid w:val="00EB557D"/>
    <w:rsid w:val="00EB57EA"/>
    <w:rsid w:val="00EC38ED"/>
    <w:rsid w:val="00ED72BB"/>
    <w:rsid w:val="00F01167"/>
    <w:rsid w:val="00F0772F"/>
    <w:rsid w:val="00F1441F"/>
    <w:rsid w:val="00F159E2"/>
    <w:rsid w:val="00F16FD3"/>
    <w:rsid w:val="00F41540"/>
    <w:rsid w:val="00F532EA"/>
    <w:rsid w:val="00F713AF"/>
    <w:rsid w:val="00F91B32"/>
    <w:rsid w:val="00FA5BD0"/>
    <w:rsid w:val="00FD3474"/>
    <w:rsid w:val="00FE09DF"/>
    <w:rsid w:val="00FE3D08"/>
    <w:rsid w:val="00FF0BD7"/>
    <w:rsid w:val="00FF1225"/>
    <w:rsid w:val="00FF190B"/>
    <w:rsid w:val="00FF252C"/>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F4B06"/>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91B32"/>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430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28984">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82023-B93B-4EAC-B668-71F8425C61E6}">
  <ds:schemaRefs>
    <ds:schemaRef ds:uri="http://schemas.openxmlformats.org/officeDocument/2006/bibliography"/>
  </ds:schemaRefs>
</ds:datastoreItem>
</file>

<file path=customXml/itemProps3.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1624</Words>
  <Characters>8932</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2020-09-12T00:46:00Z</dcterms:created>
  <dcterms:modified xsi:type="dcterms:W3CDTF">2020-09-12T00:46:00Z</dcterms:modified>
</cp:coreProperties>
</file>