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23A4" w14:textId="77777777" w:rsidR="00096400" w:rsidRPr="00290C45" w:rsidRDefault="00096400" w:rsidP="00290C45">
      <w:pPr>
        <w:pStyle w:val="Ttulo3"/>
        <w:spacing w:line="276" w:lineRule="auto"/>
        <w:rPr>
          <w:rFonts w:cs="Arial"/>
          <w:color w:val="auto"/>
        </w:rPr>
      </w:pPr>
      <w:r w:rsidRPr="00290C45">
        <w:rPr>
          <w:rFonts w:cs="Arial"/>
          <w:color w:val="auto"/>
        </w:rPr>
        <w:t xml:space="preserve">Consejero Ponente: NICOLÁS YEPES CORRALES </w:t>
      </w:r>
    </w:p>
    <w:p w14:paraId="206D1CC7" w14:textId="77777777" w:rsidR="00096400" w:rsidRPr="00290C45" w:rsidRDefault="00096400" w:rsidP="00290C45">
      <w:pPr>
        <w:pStyle w:val="Lista"/>
        <w:spacing w:line="276" w:lineRule="auto"/>
        <w:ind w:left="0" w:firstLine="0"/>
        <w:rPr>
          <w:sz w:val="24"/>
          <w:szCs w:val="24"/>
        </w:rPr>
      </w:pPr>
    </w:p>
    <w:p w14:paraId="14F5BBBD" w14:textId="77777777" w:rsidR="00096400" w:rsidRPr="00290C45" w:rsidRDefault="00096400" w:rsidP="00290C45">
      <w:pPr>
        <w:pStyle w:val="Lista"/>
        <w:spacing w:line="276" w:lineRule="auto"/>
        <w:rPr>
          <w:sz w:val="24"/>
          <w:szCs w:val="24"/>
        </w:rPr>
      </w:pPr>
      <w:r w:rsidRPr="00290C45">
        <w:rPr>
          <w:sz w:val="24"/>
          <w:szCs w:val="24"/>
        </w:rPr>
        <w:t>Bogotá D.</w:t>
      </w:r>
      <w:r w:rsidR="00807AFF" w:rsidRPr="00290C45">
        <w:rPr>
          <w:sz w:val="24"/>
          <w:szCs w:val="24"/>
        </w:rPr>
        <w:t>C.</w:t>
      </w:r>
      <w:r w:rsidR="00632F55">
        <w:rPr>
          <w:sz w:val="24"/>
          <w:szCs w:val="24"/>
        </w:rPr>
        <w:t>,</w:t>
      </w:r>
      <w:r w:rsidR="00807AFF" w:rsidRPr="00290C45">
        <w:rPr>
          <w:sz w:val="24"/>
          <w:szCs w:val="24"/>
        </w:rPr>
        <w:t xml:space="preserve"> </w:t>
      </w:r>
      <w:r w:rsidR="00632F55">
        <w:rPr>
          <w:sz w:val="24"/>
          <w:szCs w:val="24"/>
        </w:rPr>
        <w:t>veinticuatro</w:t>
      </w:r>
      <w:r w:rsidR="00807AFF" w:rsidRPr="00290C45">
        <w:rPr>
          <w:sz w:val="24"/>
          <w:szCs w:val="24"/>
        </w:rPr>
        <w:t xml:space="preserve"> </w:t>
      </w:r>
      <w:r w:rsidRPr="00290C45">
        <w:rPr>
          <w:sz w:val="24"/>
          <w:szCs w:val="24"/>
        </w:rPr>
        <w:t>(</w:t>
      </w:r>
      <w:r w:rsidR="00632F55">
        <w:rPr>
          <w:sz w:val="24"/>
          <w:szCs w:val="24"/>
        </w:rPr>
        <w:t>24</w:t>
      </w:r>
      <w:r w:rsidRPr="00290C45">
        <w:rPr>
          <w:sz w:val="24"/>
          <w:szCs w:val="24"/>
        </w:rPr>
        <w:t xml:space="preserve">) de </w:t>
      </w:r>
      <w:r w:rsidR="00B37169">
        <w:rPr>
          <w:sz w:val="24"/>
          <w:szCs w:val="24"/>
        </w:rPr>
        <w:t>agost</w:t>
      </w:r>
      <w:r w:rsidR="00807AFF" w:rsidRPr="00290C45">
        <w:rPr>
          <w:sz w:val="24"/>
          <w:szCs w:val="24"/>
        </w:rPr>
        <w:t xml:space="preserve">o </w:t>
      </w:r>
      <w:r w:rsidR="00B37169">
        <w:rPr>
          <w:sz w:val="24"/>
          <w:szCs w:val="24"/>
        </w:rPr>
        <w:t xml:space="preserve">de </w:t>
      </w:r>
      <w:r w:rsidRPr="00290C45">
        <w:rPr>
          <w:sz w:val="24"/>
          <w:szCs w:val="24"/>
        </w:rPr>
        <w:t>dos mil veinte (2020)</w:t>
      </w:r>
    </w:p>
    <w:p w14:paraId="322FF30A" w14:textId="77777777" w:rsidR="00096400" w:rsidRPr="00290C45" w:rsidRDefault="00096400" w:rsidP="00290C45">
      <w:pPr>
        <w:pStyle w:val="Sinespaciado1"/>
        <w:spacing w:line="276" w:lineRule="auto"/>
        <w:rPr>
          <w:rFonts w:ascii="Arial" w:hAnsi="Arial" w:cs="Arial"/>
          <w:b/>
        </w:rPr>
      </w:pPr>
    </w:p>
    <w:p w14:paraId="748B9501" w14:textId="77777777" w:rsidR="00096400" w:rsidRPr="00290C45" w:rsidRDefault="00096400" w:rsidP="00290C45">
      <w:pPr>
        <w:pStyle w:val="Sinespaciado1"/>
        <w:spacing w:line="276" w:lineRule="auto"/>
        <w:jc w:val="both"/>
        <w:rPr>
          <w:rFonts w:ascii="Arial" w:hAnsi="Arial" w:cs="Arial"/>
          <w:b/>
        </w:rPr>
      </w:pPr>
      <w:r w:rsidRPr="00290C45">
        <w:rPr>
          <w:rFonts w:ascii="Arial" w:hAnsi="Arial" w:cs="Arial"/>
          <w:b/>
        </w:rPr>
        <w:t>Radicación</w:t>
      </w:r>
      <w:r w:rsidRPr="00290C45">
        <w:rPr>
          <w:rFonts w:ascii="Arial" w:hAnsi="Arial" w:cs="Arial"/>
        </w:rPr>
        <w:t xml:space="preserve">: </w:t>
      </w:r>
      <w:r w:rsidR="00807AFF" w:rsidRPr="00290C45">
        <w:rPr>
          <w:rFonts w:ascii="Arial" w:hAnsi="Arial" w:cs="Arial"/>
        </w:rPr>
        <w:t>11001</w:t>
      </w:r>
      <w:r w:rsidRPr="00290C45">
        <w:rPr>
          <w:rFonts w:ascii="Arial" w:hAnsi="Arial" w:cs="Arial"/>
        </w:rPr>
        <w:t>-</w:t>
      </w:r>
      <w:r w:rsidR="00807AFF" w:rsidRPr="00290C45">
        <w:rPr>
          <w:rFonts w:ascii="Arial" w:hAnsi="Arial" w:cs="Arial"/>
        </w:rPr>
        <w:t>03-15-000-20</w:t>
      </w:r>
      <w:r w:rsidR="0061635A" w:rsidRPr="00290C45">
        <w:rPr>
          <w:rFonts w:ascii="Arial" w:hAnsi="Arial" w:cs="Arial"/>
        </w:rPr>
        <w:t>20</w:t>
      </w:r>
      <w:r w:rsidR="00807AFF" w:rsidRPr="00290C45">
        <w:rPr>
          <w:rFonts w:ascii="Arial" w:hAnsi="Arial" w:cs="Arial"/>
        </w:rPr>
        <w:t>-0</w:t>
      </w:r>
      <w:r w:rsidR="00632F55">
        <w:rPr>
          <w:rFonts w:ascii="Arial" w:hAnsi="Arial" w:cs="Arial"/>
        </w:rPr>
        <w:t>0</w:t>
      </w:r>
      <w:r w:rsidR="00B37169">
        <w:rPr>
          <w:rFonts w:ascii="Arial" w:hAnsi="Arial" w:cs="Arial"/>
        </w:rPr>
        <w:t>6</w:t>
      </w:r>
      <w:r w:rsidR="00632F55">
        <w:rPr>
          <w:rFonts w:ascii="Arial" w:hAnsi="Arial" w:cs="Arial"/>
        </w:rPr>
        <w:t>47</w:t>
      </w:r>
      <w:r w:rsidR="00807AFF" w:rsidRPr="00290C45">
        <w:rPr>
          <w:rFonts w:ascii="Arial" w:hAnsi="Arial" w:cs="Arial"/>
        </w:rPr>
        <w:t>-0</w:t>
      </w:r>
      <w:r w:rsidRPr="00290C45">
        <w:rPr>
          <w:rFonts w:ascii="Arial" w:hAnsi="Arial" w:cs="Arial"/>
        </w:rPr>
        <w:t>1</w:t>
      </w:r>
    </w:p>
    <w:p w14:paraId="29E0476B" w14:textId="77777777" w:rsidR="00096400" w:rsidRPr="00290C45" w:rsidRDefault="00096400" w:rsidP="00290C45">
      <w:pPr>
        <w:pStyle w:val="Sinespaciado1"/>
        <w:spacing w:line="276" w:lineRule="auto"/>
        <w:jc w:val="both"/>
        <w:rPr>
          <w:rFonts w:ascii="Arial" w:hAnsi="Arial" w:cs="Arial"/>
        </w:rPr>
      </w:pPr>
      <w:r w:rsidRPr="00290C45">
        <w:rPr>
          <w:rFonts w:ascii="Arial" w:hAnsi="Arial" w:cs="Arial"/>
          <w:b/>
        </w:rPr>
        <w:t>Accionante</w:t>
      </w:r>
      <w:r w:rsidRPr="00290C45">
        <w:rPr>
          <w:rFonts w:ascii="Arial" w:hAnsi="Arial" w:cs="Arial"/>
        </w:rPr>
        <w:t xml:space="preserve">: </w:t>
      </w:r>
      <w:r w:rsidR="00632F55">
        <w:rPr>
          <w:rFonts w:ascii="Arial" w:hAnsi="Arial" w:cs="Arial"/>
        </w:rPr>
        <w:t>Dirección de Impuestos y Aduanas Nacionales (DIAN)</w:t>
      </w:r>
    </w:p>
    <w:p w14:paraId="1C2097AF" w14:textId="77777777" w:rsidR="00096400" w:rsidRPr="00290C45" w:rsidRDefault="00096400" w:rsidP="00290C45">
      <w:pPr>
        <w:pStyle w:val="Sinespaciado1"/>
        <w:spacing w:line="276" w:lineRule="auto"/>
        <w:jc w:val="both"/>
        <w:rPr>
          <w:rFonts w:ascii="Arial" w:hAnsi="Arial" w:cs="Arial"/>
        </w:rPr>
      </w:pPr>
      <w:r w:rsidRPr="00290C45">
        <w:rPr>
          <w:rFonts w:ascii="Arial" w:hAnsi="Arial" w:cs="Arial"/>
          <w:b/>
        </w:rPr>
        <w:t>Accionado</w:t>
      </w:r>
      <w:r w:rsidRPr="00290C45">
        <w:rPr>
          <w:rFonts w:ascii="Arial" w:hAnsi="Arial" w:cs="Arial"/>
        </w:rPr>
        <w:t xml:space="preserve">: </w:t>
      </w:r>
      <w:r w:rsidR="00632F55">
        <w:rPr>
          <w:rFonts w:ascii="Arial" w:hAnsi="Arial" w:cs="Arial"/>
        </w:rPr>
        <w:t>Sección Cuarta del Consejo de Estado</w:t>
      </w:r>
    </w:p>
    <w:p w14:paraId="2967D6D0" w14:textId="77777777" w:rsidR="00096400" w:rsidRPr="00290C45" w:rsidRDefault="00096400" w:rsidP="00290C45">
      <w:pPr>
        <w:pStyle w:val="Sinespaciado1"/>
        <w:spacing w:line="276" w:lineRule="auto"/>
        <w:jc w:val="both"/>
        <w:rPr>
          <w:rFonts w:ascii="Arial" w:hAnsi="Arial" w:cs="Arial"/>
        </w:rPr>
      </w:pPr>
      <w:r w:rsidRPr="00290C45">
        <w:rPr>
          <w:rFonts w:ascii="Arial" w:hAnsi="Arial" w:cs="Arial"/>
          <w:b/>
        </w:rPr>
        <w:t xml:space="preserve">Asunto: </w:t>
      </w:r>
      <w:r w:rsidRPr="00290C45">
        <w:rPr>
          <w:rFonts w:ascii="Arial" w:hAnsi="Arial" w:cs="Arial"/>
        </w:rPr>
        <w:t>Acción de tutela – Segunda instancia</w:t>
      </w:r>
    </w:p>
    <w:p w14:paraId="0FA8B2EC" w14:textId="77777777" w:rsidR="006E5A50" w:rsidRPr="00290C45" w:rsidRDefault="006E5A50" w:rsidP="00290C45">
      <w:pPr>
        <w:pStyle w:val="Cuadrculamedia21"/>
        <w:spacing w:line="276" w:lineRule="auto"/>
        <w:ind w:right="50"/>
        <w:rPr>
          <w:rFonts w:ascii="Arial" w:hAnsi="Arial" w:cs="Arial"/>
          <w:b/>
          <w:sz w:val="24"/>
          <w:szCs w:val="24"/>
        </w:rPr>
      </w:pPr>
    </w:p>
    <w:p w14:paraId="55E4B48A" w14:textId="77777777" w:rsidR="00096400" w:rsidRPr="00853092" w:rsidRDefault="00807AFF" w:rsidP="00C663D7">
      <w:pPr>
        <w:pStyle w:val="Cuadrculamedia21"/>
        <w:ind w:right="50"/>
        <w:jc w:val="both"/>
        <w:rPr>
          <w:rFonts w:ascii="Arial" w:hAnsi="Arial" w:cs="Arial"/>
          <w:color w:val="000000"/>
        </w:rPr>
      </w:pPr>
      <w:r w:rsidRPr="00244442">
        <w:rPr>
          <w:rFonts w:ascii="Arial" w:hAnsi="Arial" w:cs="Arial"/>
          <w:b/>
        </w:rPr>
        <w:t xml:space="preserve">Tema: </w:t>
      </w:r>
      <w:r w:rsidRPr="00244442">
        <w:rPr>
          <w:rFonts w:ascii="Arial" w:hAnsi="Arial" w:cs="Arial"/>
        </w:rPr>
        <w:t xml:space="preserve">Acción de tutela </w:t>
      </w:r>
      <w:r w:rsidR="00E33FC4" w:rsidRPr="00244442">
        <w:rPr>
          <w:rFonts w:ascii="Arial" w:hAnsi="Arial" w:cs="Arial"/>
        </w:rPr>
        <w:t xml:space="preserve">en </w:t>
      </w:r>
      <w:r w:rsidRPr="00244442">
        <w:rPr>
          <w:rFonts w:ascii="Arial" w:hAnsi="Arial" w:cs="Arial"/>
        </w:rPr>
        <w:t xml:space="preserve">contra </w:t>
      </w:r>
      <w:r w:rsidR="00E33FC4" w:rsidRPr="00244442">
        <w:rPr>
          <w:rFonts w:ascii="Arial" w:hAnsi="Arial" w:cs="Arial"/>
        </w:rPr>
        <w:t xml:space="preserve">de </w:t>
      </w:r>
      <w:r w:rsidRPr="00244442">
        <w:rPr>
          <w:rFonts w:ascii="Arial" w:hAnsi="Arial" w:cs="Arial"/>
        </w:rPr>
        <w:t>providencia judicial</w:t>
      </w:r>
      <w:r w:rsidR="00D07940" w:rsidRPr="00244442">
        <w:rPr>
          <w:rFonts w:ascii="Arial" w:hAnsi="Arial" w:cs="Arial"/>
        </w:rPr>
        <w:t xml:space="preserve">. </w:t>
      </w:r>
      <w:r w:rsidRPr="00244442">
        <w:rPr>
          <w:rFonts w:ascii="Arial" w:hAnsi="Arial" w:cs="Arial"/>
          <w:b/>
        </w:rPr>
        <w:t xml:space="preserve">Subtema 1: </w:t>
      </w:r>
      <w:r w:rsidRPr="00244442">
        <w:rPr>
          <w:rFonts w:ascii="Arial" w:hAnsi="Arial" w:cs="Arial"/>
        </w:rPr>
        <w:t>Requisitos generales de procedibilidad de la acción de tutela</w:t>
      </w:r>
      <w:r w:rsidR="00055DCD" w:rsidRPr="00244442">
        <w:rPr>
          <w:rFonts w:ascii="Arial" w:hAnsi="Arial" w:cs="Arial"/>
        </w:rPr>
        <w:t>.</w:t>
      </w:r>
      <w:r w:rsidR="00D07940" w:rsidRPr="00244442">
        <w:rPr>
          <w:rFonts w:ascii="Arial" w:hAnsi="Arial" w:cs="Arial"/>
        </w:rPr>
        <w:t xml:space="preserve"> </w:t>
      </w:r>
      <w:r w:rsidRPr="00244442">
        <w:rPr>
          <w:rFonts w:ascii="Arial" w:hAnsi="Arial" w:cs="Arial"/>
          <w:b/>
        </w:rPr>
        <w:t xml:space="preserve">Subtema 2: </w:t>
      </w:r>
      <w:r w:rsidRPr="00244442">
        <w:rPr>
          <w:rFonts w:ascii="Arial" w:hAnsi="Arial" w:cs="Arial"/>
        </w:rPr>
        <w:t>Requisito</w:t>
      </w:r>
      <w:r w:rsidR="00BD5DD0" w:rsidRPr="00244442">
        <w:rPr>
          <w:rFonts w:ascii="Arial" w:hAnsi="Arial" w:cs="Arial"/>
        </w:rPr>
        <w:t>s</w:t>
      </w:r>
      <w:r w:rsidRPr="00244442">
        <w:rPr>
          <w:rFonts w:ascii="Arial" w:hAnsi="Arial" w:cs="Arial"/>
        </w:rPr>
        <w:t xml:space="preserve"> espec</w:t>
      </w:r>
      <w:r w:rsidR="00E33FC4" w:rsidRPr="00244442">
        <w:rPr>
          <w:rFonts w:ascii="Arial" w:hAnsi="Arial" w:cs="Arial"/>
        </w:rPr>
        <w:t>í</w:t>
      </w:r>
      <w:r w:rsidRPr="00244442">
        <w:rPr>
          <w:rFonts w:ascii="Arial" w:hAnsi="Arial" w:cs="Arial"/>
        </w:rPr>
        <w:t>fico</w:t>
      </w:r>
      <w:r w:rsidR="00BD5DD0" w:rsidRPr="00244442">
        <w:rPr>
          <w:rFonts w:ascii="Arial" w:hAnsi="Arial" w:cs="Arial"/>
        </w:rPr>
        <w:t>s</w:t>
      </w:r>
      <w:r w:rsidRPr="00244442">
        <w:rPr>
          <w:rFonts w:ascii="Arial" w:hAnsi="Arial" w:cs="Arial"/>
        </w:rPr>
        <w:t xml:space="preserve"> de procedencia –</w:t>
      </w:r>
      <w:r w:rsidR="00244442" w:rsidRPr="00244442">
        <w:rPr>
          <w:rFonts w:ascii="Arial" w:hAnsi="Arial" w:cs="Arial"/>
        </w:rPr>
        <w:t>defecto sustantivo por interpretación errónea de la ley</w:t>
      </w:r>
      <w:r w:rsidR="00A362D6">
        <w:rPr>
          <w:rFonts w:ascii="Arial" w:hAnsi="Arial" w:cs="Arial"/>
        </w:rPr>
        <w:t xml:space="preserve"> y </w:t>
      </w:r>
      <w:r w:rsidR="00244442">
        <w:rPr>
          <w:rFonts w:ascii="Arial" w:hAnsi="Arial" w:cs="Arial"/>
        </w:rPr>
        <w:t xml:space="preserve">por </w:t>
      </w:r>
      <w:r w:rsidR="00055DCD" w:rsidRPr="00244442">
        <w:rPr>
          <w:rFonts w:ascii="Arial" w:hAnsi="Arial" w:cs="Arial"/>
        </w:rPr>
        <w:t>desconocimiento del precedente</w:t>
      </w:r>
      <w:r w:rsidR="00244442" w:rsidRPr="00244442">
        <w:rPr>
          <w:rFonts w:ascii="Arial" w:hAnsi="Arial" w:cs="Arial"/>
        </w:rPr>
        <w:t xml:space="preserve"> horizontal</w:t>
      </w:r>
      <w:r w:rsidR="00A362D6">
        <w:rPr>
          <w:rFonts w:ascii="Arial" w:hAnsi="Arial" w:cs="Arial"/>
        </w:rPr>
        <w:t xml:space="preserve">, así como </w:t>
      </w:r>
      <w:r w:rsidR="00244442" w:rsidRPr="00244442">
        <w:rPr>
          <w:rFonts w:ascii="Arial" w:hAnsi="Arial" w:cs="Arial"/>
        </w:rPr>
        <w:t>desconocimiento del precedente</w:t>
      </w:r>
      <w:r w:rsidR="00A362D6">
        <w:rPr>
          <w:rFonts w:ascii="Arial" w:hAnsi="Arial" w:cs="Arial"/>
        </w:rPr>
        <w:t xml:space="preserve"> </w:t>
      </w:r>
      <w:r w:rsidR="00244442" w:rsidRPr="00244442">
        <w:rPr>
          <w:rFonts w:ascii="Arial" w:hAnsi="Arial" w:cs="Arial"/>
        </w:rPr>
        <w:t>constitucional como causal específica de procedibilidad</w:t>
      </w:r>
      <w:r w:rsidR="00055DCD" w:rsidRPr="00244442">
        <w:rPr>
          <w:rFonts w:ascii="Arial" w:hAnsi="Arial" w:cs="Arial"/>
        </w:rPr>
        <w:t>.</w:t>
      </w:r>
      <w:r w:rsidRPr="00244442">
        <w:rPr>
          <w:rFonts w:ascii="Arial" w:hAnsi="Arial" w:cs="Arial"/>
        </w:rPr>
        <w:t xml:space="preserve"> </w:t>
      </w:r>
      <w:r w:rsidRPr="00244442">
        <w:rPr>
          <w:rFonts w:ascii="Arial" w:hAnsi="Arial" w:cs="Arial"/>
          <w:b/>
        </w:rPr>
        <w:t>Decisión:</w:t>
      </w:r>
      <w:r w:rsidR="00096400" w:rsidRPr="00244442">
        <w:rPr>
          <w:rFonts w:ascii="Arial" w:hAnsi="Arial" w:cs="Arial"/>
          <w:b/>
          <w:bCs/>
          <w:color w:val="000000"/>
        </w:rPr>
        <w:t xml:space="preserve"> </w:t>
      </w:r>
      <w:r w:rsidR="00096400" w:rsidRPr="00244442">
        <w:rPr>
          <w:rFonts w:ascii="Arial" w:hAnsi="Arial" w:cs="Arial"/>
          <w:color w:val="000000"/>
        </w:rPr>
        <w:t>Se confirma el fallo de primera instancia</w:t>
      </w:r>
      <w:r w:rsidR="00C663D7" w:rsidRPr="00244442">
        <w:rPr>
          <w:rFonts w:ascii="Arial" w:hAnsi="Arial" w:cs="Arial"/>
          <w:color w:val="000000"/>
        </w:rPr>
        <w:t xml:space="preserve">, en el sentido de negar </w:t>
      </w:r>
      <w:r w:rsidR="00244442">
        <w:rPr>
          <w:rFonts w:ascii="Arial" w:hAnsi="Arial" w:cs="Arial"/>
          <w:color w:val="000000"/>
        </w:rPr>
        <w:t>la solicitud de amparo</w:t>
      </w:r>
      <w:r w:rsidR="00C663D7" w:rsidRPr="00244442">
        <w:rPr>
          <w:rFonts w:ascii="Arial" w:hAnsi="Arial" w:cs="Arial"/>
          <w:color w:val="000000"/>
        </w:rPr>
        <w:t>.</w:t>
      </w:r>
    </w:p>
    <w:p w14:paraId="41EF03CD" w14:textId="77777777" w:rsidR="006E5A50" w:rsidRPr="00290C45" w:rsidRDefault="006E5A50" w:rsidP="00290C45">
      <w:pPr>
        <w:pStyle w:val="Sinespaciado1"/>
        <w:spacing w:line="360" w:lineRule="auto"/>
        <w:rPr>
          <w:rFonts w:ascii="Arial" w:hAnsi="Arial" w:cs="Arial"/>
        </w:rPr>
      </w:pPr>
    </w:p>
    <w:p w14:paraId="09719802" w14:textId="77777777" w:rsidR="00096400" w:rsidRPr="00745B9E" w:rsidRDefault="00096400" w:rsidP="00290C45">
      <w:pPr>
        <w:pStyle w:val="Sinespaciado1"/>
        <w:spacing w:line="360" w:lineRule="auto"/>
        <w:jc w:val="both"/>
        <w:rPr>
          <w:rFonts w:ascii="Arial" w:hAnsi="Arial" w:cs="Arial"/>
        </w:rPr>
      </w:pPr>
      <w:r w:rsidRPr="00290C45">
        <w:rPr>
          <w:rFonts w:ascii="Arial" w:hAnsi="Arial" w:cs="Arial"/>
        </w:rPr>
        <w:t xml:space="preserve">La Sala decide la impugnación presentada por </w:t>
      </w:r>
      <w:r w:rsidR="0061635A" w:rsidRPr="00290C45">
        <w:rPr>
          <w:rFonts w:ascii="Arial" w:hAnsi="Arial" w:cs="Arial"/>
        </w:rPr>
        <w:t>l</w:t>
      </w:r>
      <w:r w:rsidR="00516D4A" w:rsidRPr="00290C45">
        <w:rPr>
          <w:rFonts w:ascii="Arial" w:hAnsi="Arial" w:cs="Arial"/>
        </w:rPr>
        <w:t>a parte</w:t>
      </w:r>
      <w:r w:rsidR="0061635A" w:rsidRPr="00290C45">
        <w:rPr>
          <w:rFonts w:ascii="Arial" w:hAnsi="Arial" w:cs="Arial"/>
        </w:rPr>
        <w:t xml:space="preserve"> accionante </w:t>
      </w:r>
      <w:r w:rsidRPr="00290C45">
        <w:rPr>
          <w:rFonts w:ascii="Arial" w:hAnsi="Arial" w:cs="Arial"/>
        </w:rPr>
        <w:t xml:space="preserve">en contra del fallo de tutela proferido el </w:t>
      </w:r>
      <w:r w:rsidR="00632F55">
        <w:rPr>
          <w:rFonts w:ascii="Arial" w:hAnsi="Arial" w:cs="Arial"/>
        </w:rPr>
        <w:t>04</w:t>
      </w:r>
      <w:r w:rsidRPr="00290C45">
        <w:rPr>
          <w:rFonts w:ascii="Arial" w:hAnsi="Arial" w:cs="Arial"/>
        </w:rPr>
        <w:t xml:space="preserve"> de </w:t>
      </w:r>
      <w:r w:rsidR="00B37169">
        <w:rPr>
          <w:rFonts w:ascii="Arial" w:hAnsi="Arial" w:cs="Arial"/>
        </w:rPr>
        <w:t>juni</w:t>
      </w:r>
      <w:r w:rsidR="0061635A" w:rsidRPr="00290C45">
        <w:rPr>
          <w:rFonts w:ascii="Arial" w:hAnsi="Arial" w:cs="Arial"/>
        </w:rPr>
        <w:t>o</w:t>
      </w:r>
      <w:r w:rsidRPr="00290C45">
        <w:rPr>
          <w:rFonts w:ascii="Arial" w:hAnsi="Arial" w:cs="Arial"/>
        </w:rPr>
        <w:t xml:space="preserve"> de 20</w:t>
      </w:r>
      <w:r w:rsidR="0061635A" w:rsidRPr="00290C45">
        <w:rPr>
          <w:rFonts w:ascii="Arial" w:hAnsi="Arial" w:cs="Arial"/>
        </w:rPr>
        <w:t>20</w:t>
      </w:r>
      <w:r w:rsidRPr="00290C45">
        <w:rPr>
          <w:rFonts w:ascii="Arial" w:hAnsi="Arial" w:cs="Arial"/>
        </w:rPr>
        <w:t xml:space="preserve"> por l</w:t>
      </w:r>
      <w:r w:rsidR="003C024B" w:rsidRPr="00290C45">
        <w:rPr>
          <w:rFonts w:ascii="Arial" w:hAnsi="Arial" w:cs="Arial"/>
        </w:rPr>
        <w:t xml:space="preserve">a </w:t>
      </w:r>
      <w:r w:rsidR="00632F55">
        <w:rPr>
          <w:rFonts w:ascii="Arial" w:hAnsi="Arial" w:cs="Arial"/>
        </w:rPr>
        <w:t xml:space="preserve">Subsección A de la </w:t>
      </w:r>
      <w:r w:rsidR="003C024B" w:rsidRPr="00290C45">
        <w:rPr>
          <w:rFonts w:ascii="Arial" w:hAnsi="Arial" w:cs="Arial"/>
        </w:rPr>
        <w:t xml:space="preserve">Sección </w:t>
      </w:r>
      <w:r w:rsidR="00632F55">
        <w:rPr>
          <w:rFonts w:ascii="Arial" w:hAnsi="Arial" w:cs="Arial"/>
        </w:rPr>
        <w:t>Segund</w:t>
      </w:r>
      <w:r w:rsidR="003C024B" w:rsidRPr="00290C45">
        <w:rPr>
          <w:rFonts w:ascii="Arial" w:hAnsi="Arial" w:cs="Arial"/>
        </w:rPr>
        <w:t xml:space="preserve">a </w:t>
      </w:r>
      <w:r w:rsidR="002B666D" w:rsidRPr="00290C45">
        <w:rPr>
          <w:rFonts w:ascii="Arial" w:hAnsi="Arial" w:cs="Arial"/>
        </w:rPr>
        <w:t xml:space="preserve">de la Sala de lo Contencioso Administrativo del </w:t>
      </w:r>
      <w:r w:rsidR="003C024B" w:rsidRPr="00290C45">
        <w:rPr>
          <w:rFonts w:ascii="Arial" w:hAnsi="Arial" w:cs="Arial"/>
        </w:rPr>
        <w:t>Consejo de Estado</w:t>
      </w:r>
      <w:r w:rsidRPr="00290C45">
        <w:rPr>
          <w:rFonts w:ascii="Arial" w:hAnsi="Arial" w:cs="Arial"/>
        </w:rPr>
        <w:t xml:space="preserve">, </w:t>
      </w:r>
      <w:r w:rsidR="003C024B" w:rsidRPr="00290C45">
        <w:rPr>
          <w:rFonts w:ascii="Arial" w:hAnsi="Arial" w:cs="Arial"/>
        </w:rPr>
        <w:t xml:space="preserve">que </w:t>
      </w:r>
      <w:r w:rsidR="00B37169">
        <w:rPr>
          <w:rFonts w:ascii="Arial" w:hAnsi="Arial" w:cs="Arial"/>
        </w:rPr>
        <w:t>de</w:t>
      </w:r>
      <w:r w:rsidR="00632F55">
        <w:rPr>
          <w:rFonts w:ascii="Arial" w:hAnsi="Arial" w:cs="Arial"/>
        </w:rPr>
        <w:t>neg</w:t>
      </w:r>
      <w:r w:rsidR="00B37169">
        <w:rPr>
          <w:rFonts w:ascii="Arial" w:hAnsi="Arial" w:cs="Arial"/>
        </w:rPr>
        <w:t xml:space="preserve">ó </w:t>
      </w:r>
      <w:r w:rsidR="00632F55">
        <w:rPr>
          <w:rFonts w:ascii="Arial" w:hAnsi="Arial" w:cs="Arial"/>
        </w:rPr>
        <w:t>e</w:t>
      </w:r>
      <w:r w:rsidR="00745B9E">
        <w:rPr>
          <w:rFonts w:ascii="Arial" w:hAnsi="Arial" w:cs="Arial"/>
        </w:rPr>
        <w:t>l</w:t>
      </w:r>
      <w:r w:rsidR="00B37169">
        <w:rPr>
          <w:rFonts w:ascii="Arial" w:hAnsi="Arial" w:cs="Arial"/>
        </w:rPr>
        <w:t xml:space="preserve"> </w:t>
      </w:r>
      <w:r w:rsidR="00745B9E">
        <w:rPr>
          <w:rFonts w:ascii="Arial" w:hAnsi="Arial" w:cs="Arial"/>
        </w:rPr>
        <w:t>amparo</w:t>
      </w:r>
      <w:r w:rsidR="00B37169">
        <w:rPr>
          <w:rFonts w:ascii="Arial" w:hAnsi="Arial" w:cs="Arial"/>
        </w:rPr>
        <w:t xml:space="preserve"> </w:t>
      </w:r>
      <w:r w:rsidR="00745B9E">
        <w:rPr>
          <w:rFonts w:ascii="Arial" w:hAnsi="Arial" w:cs="Arial"/>
        </w:rPr>
        <w:t>impetrado</w:t>
      </w:r>
      <w:r w:rsidRPr="00290C45">
        <w:rPr>
          <w:rFonts w:ascii="Arial" w:hAnsi="Arial" w:cs="Arial"/>
        </w:rPr>
        <w:t xml:space="preserve"> en contra de</w:t>
      </w:r>
      <w:r w:rsidR="00632F55">
        <w:rPr>
          <w:rFonts w:ascii="Arial" w:hAnsi="Arial" w:cs="Arial"/>
        </w:rPr>
        <w:t xml:space="preserve"> </w:t>
      </w:r>
      <w:r w:rsidR="00B37169">
        <w:rPr>
          <w:rFonts w:ascii="Arial" w:hAnsi="Arial" w:cs="Arial"/>
        </w:rPr>
        <w:t>l</w:t>
      </w:r>
      <w:r w:rsidR="00632F55">
        <w:rPr>
          <w:rFonts w:ascii="Arial" w:hAnsi="Arial" w:cs="Arial"/>
        </w:rPr>
        <w:t>a</w:t>
      </w:r>
      <w:r w:rsidR="00646DC3" w:rsidRPr="00290C45">
        <w:rPr>
          <w:rFonts w:ascii="Arial" w:hAnsi="Arial" w:cs="Arial"/>
        </w:rPr>
        <w:t xml:space="preserve"> </w:t>
      </w:r>
      <w:r w:rsidR="00632F55">
        <w:rPr>
          <w:rFonts w:ascii="Arial" w:hAnsi="Arial" w:cs="Arial"/>
        </w:rPr>
        <w:t>Sección Cuarta de esta Corporación</w:t>
      </w:r>
      <w:r w:rsidR="00B66938" w:rsidRPr="00290C45">
        <w:rPr>
          <w:rFonts w:ascii="Arial" w:hAnsi="Arial" w:cs="Arial"/>
        </w:rPr>
        <w:t>, de acuerdo con el Decreto 1983 de 2017</w:t>
      </w:r>
      <w:r w:rsidR="00B66938" w:rsidRPr="00290C45">
        <w:rPr>
          <w:rStyle w:val="Refdenotaalpie"/>
          <w:rFonts w:ascii="Arial" w:hAnsi="Arial" w:cs="Arial"/>
        </w:rPr>
        <w:footnoteReference w:id="1"/>
      </w:r>
      <w:r w:rsidR="00B66938" w:rsidRPr="00290C45">
        <w:rPr>
          <w:rFonts w:ascii="Arial" w:hAnsi="Arial" w:cs="Arial"/>
        </w:rPr>
        <w:t>.</w:t>
      </w:r>
    </w:p>
    <w:p w14:paraId="65E1319B" w14:textId="77777777" w:rsidR="00096400" w:rsidRPr="00290C45" w:rsidRDefault="00096400" w:rsidP="00290C45">
      <w:pPr>
        <w:pStyle w:val="Cuadrculamedia21"/>
        <w:spacing w:line="360" w:lineRule="auto"/>
        <w:jc w:val="center"/>
        <w:rPr>
          <w:rFonts w:ascii="Arial" w:hAnsi="Arial" w:cs="Arial"/>
          <w:b/>
          <w:sz w:val="24"/>
          <w:szCs w:val="24"/>
        </w:rPr>
      </w:pPr>
    </w:p>
    <w:p w14:paraId="0B38FFF2" w14:textId="77777777" w:rsidR="00096400" w:rsidRPr="00290C45" w:rsidRDefault="00096400" w:rsidP="00290C45">
      <w:pPr>
        <w:pStyle w:val="Cuadrculamedia21"/>
        <w:spacing w:line="360" w:lineRule="auto"/>
        <w:jc w:val="center"/>
        <w:rPr>
          <w:rFonts w:ascii="Arial" w:hAnsi="Arial" w:cs="Arial"/>
          <w:b/>
          <w:sz w:val="24"/>
          <w:szCs w:val="24"/>
        </w:rPr>
      </w:pPr>
      <w:r w:rsidRPr="00290C45">
        <w:rPr>
          <w:rFonts w:ascii="Arial" w:hAnsi="Arial" w:cs="Arial"/>
          <w:b/>
          <w:sz w:val="24"/>
          <w:szCs w:val="24"/>
        </w:rPr>
        <w:t>I.- ANTECEDENTES</w:t>
      </w:r>
    </w:p>
    <w:p w14:paraId="24BFAB53" w14:textId="77777777" w:rsidR="00096400" w:rsidRPr="00290C45" w:rsidRDefault="00096400" w:rsidP="00096400">
      <w:pPr>
        <w:pStyle w:val="Cuadrculamedia21"/>
        <w:spacing w:line="360" w:lineRule="auto"/>
        <w:jc w:val="both"/>
        <w:rPr>
          <w:rFonts w:ascii="Arial" w:hAnsi="Arial" w:cs="Arial"/>
          <w:b/>
          <w:sz w:val="24"/>
          <w:szCs w:val="24"/>
        </w:rPr>
      </w:pPr>
    </w:p>
    <w:p w14:paraId="681C62C5" w14:textId="77777777" w:rsidR="00096400" w:rsidRPr="00290C45" w:rsidRDefault="00096400" w:rsidP="00096400">
      <w:pPr>
        <w:pStyle w:val="Cuadrculamedia21"/>
        <w:spacing w:line="360" w:lineRule="auto"/>
        <w:jc w:val="both"/>
        <w:rPr>
          <w:rFonts w:ascii="Arial" w:hAnsi="Arial" w:cs="Arial"/>
          <w:b/>
          <w:sz w:val="24"/>
          <w:szCs w:val="24"/>
        </w:rPr>
      </w:pPr>
      <w:r w:rsidRPr="00290C45">
        <w:rPr>
          <w:rFonts w:ascii="Arial" w:hAnsi="Arial" w:cs="Arial"/>
          <w:b/>
          <w:sz w:val="24"/>
          <w:szCs w:val="24"/>
        </w:rPr>
        <w:t>1.- La solicitud de amparo constitucional</w:t>
      </w:r>
    </w:p>
    <w:p w14:paraId="240614AE" w14:textId="77777777" w:rsidR="00096400" w:rsidRPr="00290C45" w:rsidRDefault="00096400" w:rsidP="00096400">
      <w:pPr>
        <w:pStyle w:val="Cuadrculamedia21"/>
        <w:spacing w:line="360" w:lineRule="auto"/>
        <w:jc w:val="both"/>
        <w:rPr>
          <w:rFonts w:ascii="Arial" w:hAnsi="Arial" w:cs="Arial"/>
          <w:sz w:val="24"/>
          <w:szCs w:val="24"/>
        </w:rPr>
      </w:pPr>
    </w:p>
    <w:p w14:paraId="18542D62" w14:textId="77777777" w:rsidR="001F6761" w:rsidRDefault="00096400" w:rsidP="00290C45">
      <w:pPr>
        <w:pStyle w:val="Cuadrculamedia21"/>
        <w:spacing w:line="360" w:lineRule="auto"/>
        <w:jc w:val="both"/>
        <w:rPr>
          <w:rFonts w:ascii="Arial" w:hAnsi="Arial" w:cs="Arial"/>
          <w:sz w:val="24"/>
          <w:szCs w:val="24"/>
        </w:rPr>
      </w:pPr>
      <w:r w:rsidRPr="00290C45">
        <w:rPr>
          <w:rFonts w:ascii="Arial" w:hAnsi="Arial" w:cs="Arial"/>
          <w:sz w:val="24"/>
          <w:szCs w:val="24"/>
        </w:rPr>
        <w:t xml:space="preserve">El </w:t>
      </w:r>
      <w:r w:rsidR="00632F55">
        <w:rPr>
          <w:rFonts w:ascii="Arial" w:hAnsi="Arial" w:cs="Arial"/>
          <w:sz w:val="24"/>
          <w:szCs w:val="24"/>
        </w:rPr>
        <w:t>2</w:t>
      </w:r>
      <w:r w:rsidR="00516D4A" w:rsidRPr="00290C45">
        <w:rPr>
          <w:rFonts w:ascii="Arial" w:hAnsi="Arial" w:cs="Arial"/>
          <w:sz w:val="24"/>
          <w:szCs w:val="24"/>
        </w:rPr>
        <w:t>4</w:t>
      </w:r>
      <w:r w:rsidRPr="00290C45">
        <w:rPr>
          <w:rFonts w:ascii="Arial" w:hAnsi="Arial" w:cs="Arial"/>
          <w:sz w:val="24"/>
          <w:szCs w:val="24"/>
        </w:rPr>
        <w:t xml:space="preserve"> de </w:t>
      </w:r>
      <w:r w:rsidR="00632F55">
        <w:rPr>
          <w:rFonts w:ascii="Arial" w:hAnsi="Arial" w:cs="Arial"/>
          <w:sz w:val="24"/>
          <w:szCs w:val="24"/>
        </w:rPr>
        <w:t>febrer</w:t>
      </w:r>
      <w:r w:rsidR="00516D4A" w:rsidRPr="00290C45">
        <w:rPr>
          <w:rFonts w:ascii="Arial" w:hAnsi="Arial" w:cs="Arial"/>
          <w:sz w:val="24"/>
          <w:szCs w:val="24"/>
        </w:rPr>
        <w:t>o</w:t>
      </w:r>
      <w:r w:rsidR="00646DC3" w:rsidRPr="00290C45">
        <w:rPr>
          <w:rFonts w:ascii="Arial" w:hAnsi="Arial" w:cs="Arial"/>
          <w:sz w:val="24"/>
          <w:szCs w:val="24"/>
        </w:rPr>
        <w:t xml:space="preserve"> </w:t>
      </w:r>
      <w:r w:rsidRPr="00290C45">
        <w:rPr>
          <w:rFonts w:ascii="Arial" w:hAnsi="Arial" w:cs="Arial"/>
          <w:sz w:val="24"/>
          <w:szCs w:val="24"/>
        </w:rPr>
        <w:t>de 20</w:t>
      </w:r>
      <w:r w:rsidR="00516D4A" w:rsidRPr="00290C45">
        <w:rPr>
          <w:rFonts w:ascii="Arial" w:hAnsi="Arial" w:cs="Arial"/>
          <w:sz w:val="24"/>
          <w:szCs w:val="24"/>
        </w:rPr>
        <w:t>20,</w:t>
      </w:r>
      <w:r w:rsidRPr="00290C45">
        <w:rPr>
          <w:rFonts w:ascii="Arial" w:hAnsi="Arial" w:cs="Arial"/>
          <w:sz w:val="24"/>
          <w:szCs w:val="24"/>
        </w:rPr>
        <w:t xml:space="preserve"> </w:t>
      </w:r>
      <w:r w:rsidR="00222C38">
        <w:rPr>
          <w:rFonts w:ascii="Arial" w:hAnsi="Arial" w:cs="Arial"/>
          <w:sz w:val="24"/>
          <w:szCs w:val="24"/>
        </w:rPr>
        <w:t xml:space="preserve">la </w:t>
      </w:r>
      <w:r w:rsidR="00632F55">
        <w:rPr>
          <w:rFonts w:ascii="Arial" w:hAnsi="Arial" w:cs="Arial"/>
          <w:sz w:val="24"/>
          <w:szCs w:val="24"/>
        </w:rPr>
        <w:t>DIAN</w:t>
      </w:r>
      <w:r w:rsidR="00516D4A">
        <w:rPr>
          <w:rFonts w:ascii="Arial" w:hAnsi="Arial" w:cs="Arial"/>
          <w:sz w:val="24"/>
          <w:szCs w:val="24"/>
        </w:rPr>
        <w:t>, a través de apoderad</w:t>
      </w:r>
      <w:r w:rsidR="00632F55">
        <w:rPr>
          <w:rFonts w:ascii="Arial" w:hAnsi="Arial" w:cs="Arial"/>
          <w:sz w:val="24"/>
          <w:szCs w:val="24"/>
        </w:rPr>
        <w:t>a</w:t>
      </w:r>
      <w:r w:rsidR="00516D4A">
        <w:rPr>
          <w:rFonts w:ascii="Arial" w:hAnsi="Arial" w:cs="Arial"/>
          <w:sz w:val="24"/>
          <w:szCs w:val="24"/>
        </w:rPr>
        <w:t xml:space="preserve"> judicial,</w:t>
      </w:r>
      <w:r w:rsidRPr="00742627">
        <w:rPr>
          <w:rFonts w:ascii="Arial" w:hAnsi="Arial" w:cs="Arial"/>
          <w:sz w:val="24"/>
          <w:szCs w:val="24"/>
        </w:rPr>
        <w:t xml:space="preserve"> present</w:t>
      </w:r>
      <w:r w:rsidR="00222C38">
        <w:rPr>
          <w:rFonts w:ascii="Arial" w:hAnsi="Arial" w:cs="Arial"/>
          <w:sz w:val="24"/>
          <w:szCs w:val="24"/>
        </w:rPr>
        <w:t>ó</w:t>
      </w:r>
      <w:r w:rsidRPr="00742627">
        <w:rPr>
          <w:rFonts w:ascii="Arial" w:hAnsi="Arial" w:cs="Arial"/>
          <w:sz w:val="24"/>
          <w:szCs w:val="24"/>
        </w:rPr>
        <w:t xml:space="preserve"> acción de</w:t>
      </w:r>
      <w:r w:rsidR="00290C45">
        <w:rPr>
          <w:rFonts w:ascii="Arial" w:hAnsi="Arial" w:cs="Arial"/>
          <w:sz w:val="24"/>
          <w:szCs w:val="24"/>
        </w:rPr>
        <w:t xml:space="preserve"> tutela</w:t>
      </w:r>
      <w:r w:rsidRPr="00742627">
        <w:rPr>
          <w:rFonts w:ascii="Arial" w:hAnsi="Arial" w:cs="Arial"/>
          <w:sz w:val="24"/>
          <w:szCs w:val="24"/>
        </w:rPr>
        <w:t xml:space="preserve"> en procura de la protección de su derecho fundamental al debido proceso</w:t>
      </w:r>
      <w:r w:rsidR="00222C38">
        <w:rPr>
          <w:rFonts w:ascii="Arial" w:hAnsi="Arial" w:cs="Arial"/>
          <w:sz w:val="24"/>
          <w:szCs w:val="24"/>
        </w:rPr>
        <w:t xml:space="preserve"> y </w:t>
      </w:r>
      <w:r w:rsidR="004C4CEC">
        <w:rPr>
          <w:rFonts w:ascii="Arial" w:hAnsi="Arial" w:cs="Arial"/>
          <w:sz w:val="24"/>
          <w:szCs w:val="24"/>
        </w:rPr>
        <w:t>de los principios de buena fe, confianza legítima y seguridad jurídica</w:t>
      </w:r>
      <w:r w:rsidR="00222C38">
        <w:rPr>
          <w:rFonts w:ascii="Arial" w:hAnsi="Arial" w:cs="Arial"/>
          <w:sz w:val="24"/>
          <w:szCs w:val="24"/>
        </w:rPr>
        <w:t>,</w:t>
      </w:r>
      <w:r w:rsidRPr="00742627">
        <w:rPr>
          <w:rFonts w:ascii="Arial" w:hAnsi="Arial" w:cs="Arial"/>
          <w:sz w:val="24"/>
          <w:szCs w:val="24"/>
        </w:rPr>
        <w:t xml:space="preserve"> </w:t>
      </w:r>
      <w:r w:rsidR="00E33FC4">
        <w:rPr>
          <w:rFonts w:ascii="Arial" w:hAnsi="Arial" w:cs="Arial"/>
          <w:sz w:val="24"/>
          <w:szCs w:val="24"/>
        </w:rPr>
        <w:t xml:space="preserve">que </w:t>
      </w:r>
      <w:r w:rsidRPr="00742627">
        <w:rPr>
          <w:rFonts w:ascii="Arial" w:hAnsi="Arial" w:cs="Arial"/>
          <w:sz w:val="24"/>
          <w:szCs w:val="24"/>
        </w:rPr>
        <w:t>consider</w:t>
      </w:r>
      <w:r w:rsidR="004C4CEC">
        <w:rPr>
          <w:rFonts w:ascii="Arial" w:hAnsi="Arial" w:cs="Arial"/>
          <w:sz w:val="24"/>
          <w:szCs w:val="24"/>
        </w:rPr>
        <w:t>ó</w:t>
      </w:r>
      <w:r w:rsidRPr="00742627">
        <w:rPr>
          <w:rFonts w:ascii="Arial" w:hAnsi="Arial" w:cs="Arial"/>
          <w:sz w:val="24"/>
          <w:szCs w:val="24"/>
        </w:rPr>
        <w:t xml:space="preserve"> </w:t>
      </w:r>
      <w:r w:rsidRPr="00646DC3">
        <w:rPr>
          <w:rFonts w:ascii="Arial" w:hAnsi="Arial" w:cs="Arial"/>
          <w:sz w:val="24"/>
          <w:szCs w:val="24"/>
        </w:rPr>
        <w:t xml:space="preserve">vulnerados por </w:t>
      </w:r>
      <w:r w:rsidR="004C4CEC">
        <w:rPr>
          <w:rFonts w:ascii="Arial" w:hAnsi="Arial" w:cs="Arial"/>
          <w:sz w:val="24"/>
          <w:szCs w:val="24"/>
        </w:rPr>
        <w:t xml:space="preserve">la Sección Cuarta de la Sala de lo Contencioso Administrativo del Consejo de Estado </w:t>
      </w:r>
      <w:r w:rsidRPr="00646DC3">
        <w:rPr>
          <w:rFonts w:ascii="Arial" w:hAnsi="Arial" w:cs="Arial"/>
          <w:sz w:val="24"/>
          <w:szCs w:val="24"/>
        </w:rPr>
        <w:t xml:space="preserve">al proferir </w:t>
      </w:r>
      <w:r w:rsidR="00A07A85">
        <w:rPr>
          <w:rFonts w:ascii="Arial" w:hAnsi="Arial" w:cs="Arial"/>
          <w:sz w:val="24"/>
          <w:szCs w:val="24"/>
        </w:rPr>
        <w:t>la providencia</w:t>
      </w:r>
      <w:r w:rsidR="00646DC3">
        <w:rPr>
          <w:rFonts w:ascii="Arial" w:hAnsi="Arial" w:cs="Arial"/>
          <w:sz w:val="24"/>
          <w:szCs w:val="24"/>
        </w:rPr>
        <w:t xml:space="preserve"> del</w:t>
      </w:r>
      <w:r w:rsidR="00A07A85">
        <w:rPr>
          <w:rFonts w:ascii="Arial" w:hAnsi="Arial" w:cs="Arial"/>
          <w:sz w:val="24"/>
          <w:szCs w:val="24"/>
        </w:rPr>
        <w:t xml:space="preserve"> </w:t>
      </w:r>
      <w:r w:rsidR="004C4CEC">
        <w:rPr>
          <w:rFonts w:ascii="Arial" w:hAnsi="Arial" w:cs="Arial"/>
          <w:sz w:val="24"/>
          <w:szCs w:val="24"/>
        </w:rPr>
        <w:t>25</w:t>
      </w:r>
      <w:r w:rsidR="00A07A85">
        <w:rPr>
          <w:rFonts w:ascii="Arial" w:hAnsi="Arial" w:cs="Arial"/>
          <w:sz w:val="24"/>
          <w:szCs w:val="24"/>
        </w:rPr>
        <w:t xml:space="preserve"> de </w:t>
      </w:r>
      <w:r w:rsidR="004C4CEC">
        <w:rPr>
          <w:rFonts w:ascii="Arial" w:hAnsi="Arial" w:cs="Arial"/>
          <w:sz w:val="24"/>
          <w:szCs w:val="24"/>
        </w:rPr>
        <w:t>juli</w:t>
      </w:r>
      <w:r w:rsidR="00A07A85">
        <w:rPr>
          <w:rFonts w:ascii="Arial" w:hAnsi="Arial" w:cs="Arial"/>
          <w:sz w:val="24"/>
          <w:szCs w:val="24"/>
        </w:rPr>
        <w:t xml:space="preserve">o </w:t>
      </w:r>
      <w:r w:rsidR="00646DC3">
        <w:rPr>
          <w:rFonts w:ascii="Arial" w:hAnsi="Arial" w:cs="Arial"/>
          <w:sz w:val="24"/>
          <w:szCs w:val="24"/>
        </w:rPr>
        <w:t>de 20</w:t>
      </w:r>
      <w:r w:rsidR="004C4CEC">
        <w:rPr>
          <w:rFonts w:ascii="Arial" w:hAnsi="Arial" w:cs="Arial"/>
          <w:sz w:val="24"/>
          <w:szCs w:val="24"/>
        </w:rPr>
        <w:t>19</w:t>
      </w:r>
      <w:r w:rsidRPr="00742627">
        <w:rPr>
          <w:rFonts w:ascii="Arial" w:hAnsi="Arial" w:cs="Arial"/>
          <w:sz w:val="24"/>
          <w:szCs w:val="24"/>
        </w:rPr>
        <w:t xml:space="preserve"> </w:t>
      </w:r>
      <w:r w:rsidR="00D07940">
        <w:rPr>
          <w:rFonts w:ascii="Arial" w:hAnsi="Arial" w:cs="Arial"/>
          <w:sz w:val="24"/>
          <w:szCs w:val="24"/>
        </w:rPr>
        <w:t>que</w:t>
      </w:r>
      <w:r w:rsidR="00222C38">
        <w:rPr>
          <w:rFonts w:ascii="Arial" w:hAnsi="Arial" w:cs="Arial"/>
          <w:sz w:val="24"/>
          <w:szCs w:val="24"/>
        </w:rPr>
        <w:t xml:space="preserve"> </w:t>
      </w:r>
      <w:r w:rsidR="004C4CEC">
        <w:rPr>
          <w:rFonts w:ascii="Arial" w:hAnsi="Arial" w:cs="Arial"/>
          <w:sz w:val="24"/>
          <w:szCs w:val="24"/>
        </w:rPr>
        <w:t>revoc</w:t>
      </w:r>
      <w:r w:rsidR="00222C38">
        <w:rPr>
          <w:rFonts w:ascii="Arial" w:hAnsi="Arial" w:cs="Arial"/>
          <w:sz w:val="24"/>
          <w:szCs w:val="24"/>
        </w:rPr>
        <w:t xml:space="preserve">ó la decisión del </w:t>
      </w:r>
      <w:r w:rsidR="004C4CEC">
        <w:rPr>
          <w:rFonts w:ascii="Arial" w:hAnsi="Arial" w:cs="Arial"/>
          <w:sz w:val="24"/>
          <w:szCs w:val="24"/>
        </w:rPr>
        <w:t>Tribunal</w:t>
      </w:r>
      <w:r w:rsidR="00222C38">
        <w:rPr>
          <w:rFonts w:ascii="Arial" w:hAnsi="Arial" w:cs="Arial"/>
          <w:sz w:val="24"/>
          <w:szCs w:val="24"/>
        </w:rPr>
        <w:t xml:space="preserve"> Administrativo de</w:t>
      </w:r>
      <w:r w:rsidR="004C4CEC">
        <w:rPr>
          <w:rFonts w:ascii="Arial" w:hAnsi="Arial" w:cs="Arial"/>
          <w:sz w:val="24"/>
          <w:szCs w:val="24"/>
        </w:rPr>
        <w:t>l</w:t>
      </w:r>
      <w:r w:rsidR="00222C38">
        <w:rPr>
          <w:rFonts w:ascii="Arial" w:hAnsi="Arial" w:cs="Arial"/>
          <w:sz w:val="24"/>
          <w:szCs w:val="24"/>
        </w:rPr>
        <w:t xml:space="preserve"> </w:t>
      </w:r>
      <w:r w:rsidR="004C4CEC">
        <w:rPr>
          <w:rFonts w:ascii="Arial" w:hAnsi="Arial" w:cs="Arial"/>
          <w:sz w:val="24"/>
          <w:szCs w:val="24"/>
        </w:rPr>
        <w:t>Tolima</w:t>
      </w:r>
      <w:r w:rsidR="00222C38">
        <w:rPr>
          <w:rFonts w:ascii="Arial" w:hAnsi="Arial" w:cs="Arial"/>
          <w:sz w:val="24"/>
          <w:szCs w:val="24"/>
        </w:rPr>
        <w:t xml:space="preserve"> expedida el </w:t>
      </w:r>
      <w:r w:rsidR="004C4CEC">
        <w:rPr>
          <w:rFonts w:ascii="Arial" w:hAnsi="Arial" w:cs="Arial"/>
          <w:sz w:val="24"/>
          <w:szCs w:val="24"/>
        </w:rPr>
        <w:t>11</w:t>
      </w:r>
      <w:r w:rsidR="00222C38">
        <w:rPr>
          <w:rFonts w:ascii="Arial" w:hAnsi="Arial" w:cs="Arial"/>
          <w:sz w:val="24"/>
          <w:szCs w:val="24"/>
        </w:rPr>
        <w:t xml:space="preserve"> de </w:t>
      </w:r>
      <w:r w:rsidR="004C4CEC">
        <w:rPr>
          <w:rFonts w:ascii="Arial" w:hAnsi="Arial" w:cs="Arial"/>
          <w:sz w:val="24"/>
          <w:szCs w:val="24"/>
        </w:rPr>
        <w:t>diciembre</w:t>
      </w:r>
      <w:r w:rsidR="00222C38">
        <w:rPr>
          <w:rFonts w:ascii="Arial" w:hAnsi="Arial" w:cs="Arial"/>
          <w:sz w:val="24"/>
          <w:szCs w:val="24"/>
        </w:rPr>
        <w:t xml:space="preserve"> de </w:t>
      </w:r>
      <w:r w:rsidR="001E1779">
        <w:rPr>
          <w:rFonts w:ascii="Arial" w:hAnsi="Arial" w:cs="Arial"/>
          <w:sz w:val="24"/>
          <w:szCs w:val="24"/>
        </w:rPr>
        <w:t>2014</w:t>
      </w:r>
      <w:r w:rsidR="00222C38">
        <w:rPr>
          <w:rFonts w:ascii="Arial" w:hAnsi="Arial" w:cs="Arial"/>
          <w:sz w:val="24"/>
          <w:szCs w:val="24"/>
        </w:rPr>
        <w:t xml:space="preserve">, </w:t>
      </w:r>
      <w:r w:rsidR="00A92765">
        <w:rPr>
          <w:rFonts w:ascii="Arial" w:hAnsi="Arial" w:cs="Arial"/>
          <w:sz w:val="24"/>
          <w:szCs w:val="24"/>
        </w:rPr>
        <w:t>a través</w:t>
      </w:r>
      <w:r w:rsidRPr="00742627">
        <w:rPr>
          <w:rFonts w:ascii="Arial" w:hAnsi="Arial" w:cs="Arial"/>
          <w:sz w:val="24"/>
          <w:szCs w:val="24"/>
        </w:rPr>
        <w:t xml:space="preserve"> de</w:t>
      </w:r>
      <w:r w:rsidR="00A07A85">
        <w:rPr>
          <w:rFonts w:ascii="Arial" w:hAnsi="Arial" w:cs="Arial"/>
          <w:sz w:val="24"/>
          <w:szCs w:val="24"/>
        </w:rPr>
        <w:t xml:space="preserve"> </w:t>
      </w:r>
      <w:r>
        <w:rPr>
          <w:rFonts w:ascii="Arial" w:hAnsi="Arial" w:cs="Arial"/>
          <w:sz w:val="24"/>
          <w:szCs w:val="24"/>
        </w:rPr>
        <w:t>l</w:t>
      </w:r>
      <w:r w:rsidR="00A07A85">
        <w:rPr>
          <w:rFonts w:ascii="Arial" w:hAnsi="Arial" w:cs="Arial"/>
          <w:sz w:val="24"/>
          <w:szCs w:val="24"/>
        </w:rPr>
        <w:t xml:space="preserve">a cual </w:t>
      </w:r>
      <w:r w:rsidR="004B2929">
        <w:rPr>
          <w:rFonts w:ascii="Arial" w:hAnsi="Arial" w:cs="Arial"/>
          <w:sz w:val="24"/>
          <w:szCs w:val="24"/>
        </w:rPr>
        <w:t xml:space="preserve">se habían </w:t>
      </w:r>
      <w:r w:rsidR="004C4CEC">
        <w:rPr>
          <w:rFonts w:ascii="Arial" w:hAnsi="Arial" w:cs="Arial"/>
          <w:sz w:val="24"/>
          <w:szCs w:val="24"/>
        </w:rPr>
        <w:t>neg</w:t>
      </w:r>
      <w:r w:rsidR="004B2929">
        <w:rPr>
          <w:rFonts w:ascii="Arial" w:hAnsi="Arial" w:cs="Arial"/>
          <w:sz w:val="24"/>
          <w:szCs w:val="24"/>
        </w:rPr>
        <w:t>ado</w:t>
      </w:r>
      <w:r w:rsidR="00222C38">
        <w:rPr>
          <w:rFonts w:ascii="Arial" w:hAnsi="Arial" w:cs="Arial"/>
          <w:sz w:val="24"/>
          <w:szCs w:val="24"/>
        </w:rPr>
        <w:t xml:space="preserve"> las pretensiones de la demanda de </w:t>
      </w:r>
      <w:r w:rsidR="004C4CEC">
        <w:rPr>
          <w:rFonts w:ascii="Arial" w:hAnsi="Arial" w:cs="Arial"/>
          <w:sz w:val="24"/>
          <w:szCs w:val="24"/>
        </w:rPr>
        <w:t>nulidad y restablecimiento del derecho</w:t>
      </w:r>
      <w:r w:rsidR="00222C38">
        <w:rPr>
          <w:rFonts w:ascii="Arial" w:hAnsi="Arial" w:cs="Arial"/>
          <w:sz w:val="24"/>
          <w:szCs w:val="24"/>
        </w:rPr>
        <w:t xml:space="preserve"> promovida por</w:t>
      </w:r>
      <w:r w:rsidR="00745B9E">
        <w:rPr>
          <w:rFonts w:ascii="Arial" w:hAnsi="Arial" w:cs="Arial"/>
          <w:sz w:val="24"/>
          <w:szCs w:val="24"/>
        </w:rPr>
        <w:t xml:space="preserve"> </w:t>
      </w:r>
      <w:r w:rsidR="00222C38">
        <w:rPr>
          <w:rFonts w:ascii="Arial" w:hAnsi="Arial" w:cs="Arial"/>
          <w:sz w:val="24"/>
          <w:szCs w:val="24"/>
        </w:rPr>
        <w:t xml:space="preserve">la </w:t>
      </w:r>
      <w:r w:rsidR="004C4CEC">
        <w:rPr>
          <w:rFonts w:ascii="Arial" w:hAnsi="Arial" w:cs="Arial"/>
          <w:sz w:val="24"/>
          <w:szCs w:val="24"/>
        </w:rPr>
        <w:t>sociedad Gaseosas de Córdoba</w:t>
      </w:r>
      <w:r w:rsidR="004B2929">
        <w:rPr>
          <w:rFonts w:ascii="Arial" w:hAnsi="Arial" w:cs="Arial"/>
          <w:sz w:val="24"/>
          <w:szCs w:val="24"/>
        </w:rPr>
        <w:t xml:space="preserve"> S.A.</w:t>
      </w:r>
      <w:r w:rsidR="004C4CEC">
        <w:rPr>
          <w:rFonts w:ascii="Arial" w:hAnsi="Arial" w:cs="Arial"/>
          <w:sz w:val="24"/>
          <w:szCs w:val="24"/>
        </w:rPr>
        <w:t xml:space="preserve"> </w:t>
      </w:r>
      <w:r w:rsidR="004B2929">
        <w:rPr>
          <w:rFonts w:ascii="Arial" w:hAnsi="Arial" w:cs="Arial"/>
          <w:sz w:val="24"/>
          <w:szCs w:val="24"/>
        </w:rPr>
        <w:t xml:space="preserve">en contra de la entidad </w:t>
      </w:r>
      <w:r w:rsidR="00745B9E">
        <w:rPr>
          <w:rFonts w:ascii="Arial" w:hAnsi="Arial" w:cs="Arial"/>
          <w:sz w:val="24"/>
          <w:szCs w:val="24"/>
        </w:rPr>
        <w:t>accionante</w:t>
      </w:r>
      <w:r w:rsidR="00A07A85">
        <w:rPr>
          <w:rFonts w:ascii="Arial" w:hAnsi="Arial" w:cs="Arial"/>
          <w:sz w:val="24"/>
          <w:szCs w:val="24"/>
        </w:rPr>
        <w:t>,</w:t>
      </w:r>
      <w:r w:rsidR="00C55A6B">
        <w:rPr>
          <w:rFonts w:ascii="Arial" w:hAnsi="Arial" w:cs="Arial"/>
          <w:sz w:val="24"/>
          <w:szCs w:val="24"/>
        </w:rPr>
        <w:t xml:space="preserve"> </w:t>
      </w:r>
      <w:r w:rsidR="00A07A85">
        <w:rPr>
          <w:rFonts w:ascii="Arial" w:hAnsi="Arial" w:cs="Arial"/>
          <w:sz w:val="24"/>
          <w:szCs w:val="24"/>
        </w:rPr>
        <w:t>bajo el</w:t>
      </w:r>
      <w:r w:rsidR="00C55A6B">
        <w:rPr>
          <w:rFonts w:ascii="Arial" w:hAnsi="Arial" w:cs="Arial"/>
          <w:sz w:val="24"/>
          <w:szCs w:val="24"/>
        </w:rPr>
        <w:t xml:space="preserve"> radicado No. </w:t>
      </w:r>
      <w:r w:rsidR="004B2929">
        <w:rPr>
          <w:rFonts w:ascii="Arial" w:hAnsi="Arial" w:cs="Arial"/>
          <w:sz w:val="24"/>
          <w:szCs w:val="24"/>
        </w:rPr>
        <w:t>73001</w:t>
      </w:r>
      <w:r w:rsidR="00745B9E">
        <w:rPr>
          <w:rFonts w:ascii="Arial" w:hAnsi="Arial" w:cs="Arial"/>
          <w:sz w:val="24"/>
          <w:szCs w:val="24"/>
        </w:rPr>
        <w:t>-</w:t>
      </w:r>
      <w:r w:rsidR="004B2929">
        <w:rPr>
          <w:rFonts w:ascii="Arial" w:hAnsi="Arial" w:cs="Arial"/>
          <w:sz w:val="24"/>
          <w:szCs w:val="24"/>
        </w:rPr>
        <w:t>2</w:t>
      </w:r>
      <w:r w:rsidR="00C55A6B">
        <w:rPr>
          <w:rFonts w:ascii="Arial" w:hAnsi="Arial" w:cs="Arial"/>
          <w:sz w:val="24"/>
          <w:szCs w:val="24"/>
        </w:rPr>
        <w:t>3</w:t>
      </w:r>
      <w:r w:rsidR="00745B9E">
        <w:rPr>
          <w:rFonts w:ascii="Arial" w:hAnsi="Arial" w:cs="Arial"/>
          <w:sz w:val="24"/>
          <w:szCs w:val="24"/>
        </w:rPr>
        <w:t>-</w:t>
      </w:r>
      <w:r w:rsidR="00A07A85">
        <w:rPr>
          <w:rFonts w:ascii="Arial" w:hAnsi="Arial" w:cs="Arial"/>
          <w:sz w:val="24"/>
          <w:szCs w:val="24"/>
        </w:rPr>
        <w:t>3</w:t>
      </w:r>
      <w:r w:rsidR="004B2929">
        <w:rPr>
          <w:rFonts w:ascii="Arial" w:hAnsi="Arial" w:cs="Arial"/>
          <w:sz w:val="24"/>
          <w:szCs w:val="24"/>
        </w:rPr>
        <w:t>1</w:t>
      </w:r>
      <w:r w:rsidR="00745B9E">
        <w:rPr>
          <w:rFonts w:ascii="Arial" w:hAnsi="Arial" w:cs="Arial"/>
          <w:sz w:val="24"/>
          <w:szCs w:val="24"/>
        </w:rPr>
        <w:t>-</w:t>
      </w:r>
      <w:r w:rsidR="00C55A6B">
        <w:rPr>
          <w:rFonts w:ascii="Arial" w:hAnsi="Arial" w:cs="Arial"/>
          <w:sz w:val="24"/>
          <w:szCs w:val="24"/>
        </w:rPr>
        <w:t>0</w:t>
      </w:r>
      <w:r w:rsidR="00745B9E">
        <w:rPr>
          <w:rFonts w:ascii="Arial" w:hAnsi="Arial" w:cs="Arial"/>
          <w:sz w:val="24"/>
          <w:szCs w:val="24"/>
        </w:rPr>
        <w:t>0</w:t>
      </w:r>
      <w:r w:rsidR="004B2929">
        <w:rPr>
          <w:rFonts w:ascii="Arial" w:hAnsi="Arial" w:cs="Arial"/>
          <w:sz w:val="24"/>
          <w:szCs w:val="24"/>
        </w:rPr>
        <w:t>0</w:t>
      </w:r>
      <w:r w:rsidR="00745B9E">
        <w:rPr>
          <w:rFonts w:ascii="Arial" w:hAnsi="Arial" w:cs="Arial"/>
          <w:sz w:val="24"/>
          <w:szCs w:val="24"/>
        </w:rPr>
        <w:t>-</w:t>
      </w:r>
      <w:r w:rsidR="00A07A85">
        <w:rPr>
          <w:rFonts w:ascii="Arial" w:hAnsi="Arial" w:cs="Arial"/>
          <w:sz w:val="24"/>
          <w:szCs w:val="24"/>
        </w:rPr>
        <w:t>201</w:t>
      </w:r>
      <w:r w:rsidR="004B2929">
        <w:rPr>
          <w:rFonts w:ascii="Arial" w:hAnsi="Arial" w:cs="Arial"/>
          <w:sz w:val="24"/>
          <w:szCs w:val="24"/>
        </w:rPr>
        <w:t>2</w:t>
      </w:r>
      <w:r w:rsidR="00745B9E">
        <w:rPr>
          <w:rFonts w:ascii="Arial" w:hAnsi="Arial" w:cs="Arial"/>
          <w:sz w:val="24"/>
          <w:szCs w:val="24"/>
        </w:rPr>
        <w:t>-</w:t>
      </w:r>
      <w:r w:rsidR="00C55A6B">
        <w:rPr>
          <w:rFonts w:ascii="Arial" w:hAnsi="Arial" w:cs="Arial"/>
          <w:sz w:val="24"/>
          <w:szCs w:val="24"/>
        </w:rPr>
        <w:t>00</w:t>
      </w:r>
      <w:r w:rsidR="00745B9E">
        <w:rPr>
          <w:rFonts w:ascii="Arial" w:hAnsi="Arial" w:cs="Arial"/>
          <w:sz w:val="24"/>
          <w:szCs w:val="24"/>
        </w:rPr>
        <w:t>32</w:t>
      </w:r>
      <w:r w:rsidR="004B2929">
        <w:rPr>
          <w:rFonts w:ascii="Arial" w:hAnsi="Arial" w:cs="Arial"/>
          <w:sz w:val="24"/>
          <w:szCs w:val="24"/>
        </w:rPr>
        <w:t>3</w:t>
      </w:r>
      <w:r w:rsidR="00745B9E">
        <w:rPr>
          <w:rFonts w:ascii="Arial" w:hAnsi="Arial" w:cs="Arial"/>
          <w:sz w:val="24"/>
          <w:szCs w:val="24"/>
        </w:rPr>
        <w:t>-</w:t>
      </w:r>
      <w:r w:rsidR="00C55A6B">
        <w:rPr>
          <w:rFonts w:ascii="Arial" w:hAnsi="Arial" w:cs="Arial"/>
          <w:sz w:val="24"/>
          <w:szCs w:val="24"/>
        </w:rPr>
        <w:t>0</w:t>
      </w:r>
      <w:r w:rsidR="00A07A85">
        <w:rPr>
          <w:rFonts w:ascii="Arial" w:hAnsi="Arial" w:cs="Arial"/>
          <w:sz w:val="24"/>
          <w:szCs w:val="24"/>
        </w:rPr>
        <w:t>1</w:t>
      </w:r>
      <w:r w:rsidR="00C55A6B">
        <w:rPr>
          <w:rFonts w:ascii="Arial" w:hAnsi="Arial" w:cs="Arial"/>
          <w:sz w:val="24"/>
          <w:szCs w:val="24"/>
        </w:rPr>
        <w:t xml:space="preserve">. </w:t>
      </w:r>
    </w:p>
    <w:p w14:paraId="705DB7BB" w14:textId="77777777" w:rsidR="00096400" w:rsidRDefault="00A83587" w:rsidP="00290C45">
      <w:pPr>
        <w:pStyle w:val="Cuadrculamedia21"/>
        <w:spacing w:line="360" w:lineRule="auto"/>
        <w:jc w:val="both"/>
        <w:rPr>
          <w:rFonts w:ascii="Arial" w:hAnsi="Arial" w:cs="Arial"/>
          <w:b/>
          <w:sz w:val="24"/>
          <w:szCs w:val="24"/>
        </w:rPr>
      </w:pPr>
      <w:r>
        <w:rPr>
          <w:rFonts w:ascii="Arial" w:hAnsi="Arial" w:cs="Arial"/>
          <w:b/>
          <w:sz w:val="24"/>
          <w:szCs w:val="24"/>
        </w:rPr>
        <w:lastRenderedPageBreak/>
        <w:t>1.</w:t>
      </w:r>
      <w:r w:rsidR="00096400" w:rsidRPr="00742627">
        <w:rPr>
          <w:rFonts w:ascii="Arial" w:hAnsi="Arial" w:cs="Arial"/>
          <w:b/>
          <w:sz w:val="24"/>
          <w:szCs w:val="24"/>
        </w:rPr>
        <w:t>2</w:t>
      </w:r>
      <w:r w:rsidR="001331EB">
        <w:rPr>
          <w:rFonts w:ascii="Arial" w:hAnsi="Arial" w:cs="Arial"/>
          <w:b/>
          <w:sz w:val="24"/>
          <w:szCs w:val="24"/>
        </w:rPr>
        <w:t>.</w:t>
      </w:r>
      <w:r w:rsidR="00096400" w:rsidRPr="00742627">
        <w:rPr>
          <w:rFonts w:ascii="Arial" w:hAnsi="Arial" w:cs="Arial"/>
          <w:b/>
          <w:sz w:val="24"/>
          <w:szCs w:val="24"/>
        </w:rPr>
        <w:t>- Hechos</w:t>
      </w:r>
    </w:p>
    <w:p w14:paraId="565E6470" w14:textId="77777777" w:rsidR="00EB42A8" w:rsidRPr="00742627" w:rsidRDefault="00EB42A8" w:rsidP="00290C45">
      <w:pPr>
        <w:pStyle w:val="Cuadrculamedia21"/>
        <w:spacing w:line="360" w:lineRule="auto"/>
        <w:jc w:val="both"/>
        <w:rPr>
          <w:rFonts w:ascii="Arial" w:hAnsi="Arial" w:cs="Arial"/>
          <w:b/>
          <w:sz w:val="24"/>
          <w:szCs w:val="24"/>
        </w:rPr>
      </w:pPr>
    </w:p>
    <w:p w14:paraId="7E3FFEEA" w14:textId="77777777" w:rsidR="008D2700" w:rsidRDefault="00A83587" w:rsidP="00290C45">
      <w:pPr>
        <w:pStyle w:val="Cuadrculamedia21"/>
        <w:spacing w:line="360" w:lineRule="auto"/>
        <w:jc w:val="both"/>
        <w:rPr>
          <w:rFonts w:ascii="Arial" w:hAnsi="Arial" w:cs="Arial"/>
          <w:sz w:val="24"/>
          <w:szCs w:val="24"/>
        </w:rPr>
      </w:pPr>
      <w:r>
        <w:rPr>
          <w:rFonts w:ascii="Arial" w:hAnsi="Arial" w:cs="Arial"/>
          <w:sz w:val="24"/>
          <w:szCs w:val="24"/>
        </w:rPr>
        <w:t>1.</w:t>
      </w:r>
      <w:r w:rsidR="00096400">
        <w:rPr>
          <w:rFonts w:ascii="Arial" w:hAnsi="Arial" w:cs="Arial"/>
          <w:sz w:val="24"/>
          <w:szCs w:val="24"/>
        </w:rPr>
        <w:t>2</w:t>
      </w:r>
      <w:r w:rsidR="00096400" w:rsidRPr="000A4E79">
        <w:rPr>
          <w:rFonts w:ascii="Arial" w:hAnsi="Arial" w:cs="Arial"/>
          <w:sz w:val="24"/>
          <w:szCs w:val="24"/>
        </w:rPr>
        <w:t>.1.-</w:t>
      </w:r>
      <w:r w:rsidR="009D301E">
        <w:rPr>
          <w:rFonts w:ascii="Arial" w:hAnsi="Arial" w:cs="Arial"/>
          <w:sz w:val="24"/>
          <w:szCs w:val="24"/>
        </w:rPr>
        <w:t xml:space="preserve"> </w:t>
      </w:r>
      <w:r w:rsidR="003F4933">
        <w:rPr>
          <w:rFonts w:ascii="Arial" w:hAnsi="Arial" w:cs="Arial"/>
          <w:sz w:val="24"/>
          <w:szCs w:val="24"/>
        </w:rPr>
        <w:t>Gaseosas de Córdoba S.A.</w:t>
      </w:r>
      <w:r w:rsidR="002A2433">
        <w:rPr>
          <w:rStyle w:val="Refdenotaalpie"/>
          <w:rFonts w:ascii="Arial" w:hAnsi="Arial" w:cs="Arial"/>
          <w:sz w:val="24"/>
          <w:szCs w:val="24"/>
        </w:rPr>
        <w:footnoteReference w:id="2"/>
      </w:r>
      <w:r w:rsidR="003F4933">
        <w:rPr>
          <w:rFonts w:ascii="Arial" w:hAnsi="Arial" w:cs="Arial"/>
          <w:sz w:val="24"/>
          <w:szCs w:val="24"/>
        </w:rPr>
        <w:t xml:space="preserve"> promovió demanda en ejercicio del medio de control de nulidad y restablecimiento del derecho</w:t>
      </w:r>
      <w:r w:rsidR="001331EB">
        <w:rPr>
          <w:rFonts w:ascii="Arial" w:hAnsi="Arial" w:cs="Arial"/>
          <w:sz w:val="24"/>
          <w:szCs w:val="24"/>
        </w:rPr>
        <w:t xml:space="preserve"> </w:t>
      </w:r>
      <w:r w:rsidR="003F4933">
        <w:rPr>
          <w:rFonts w:ascii="Arial" w:hAnsi="Arial" w:cs="Arial"/>
          <w:sz w:val="24"/>
          <w:szCs w:val="24"/>
        </w:rPr>
        <w:t xml:space="preserve">en contra de la DIAN, en aras de declarar la nulidad de la Liquidación Oficial de Revisión </w:t>
      </w:r>
      <w:r w:rsidR="002A2433">
        <w:rPr>
          <w:rFonts w:ascii="Arial" w:hAnsi="Arial" w:cs="Arial"/>
          <w:sz w:val="24"/>
          <w:szCs w:val="24"/>
        </w:rPr>
        <w:t xml:space="preserve">del 23 de diciembre de 2010 </w:t>
      </w:r>
      <w:r w:rsidR="003F4933">
        <w:rPr>
          <w:rFonts w:ascii="Arial" w:hAnsi="Arial" w:cs="Arial"/>
          <w:sz w:val="24"/>
          <w:szCs w:val="24"/>
        </w:rPr>
        <w:t xml:space="preserve">y de la </w:t>
      </w:r>
      <w:r w:rsidR="002A2433">
        <w:rPr>
          <w:rFonts w:ascii="Arial" w:hAnsi="Arial" w:cs="Arial"/>
          <w:sz w:val="24"/>
          <w:szCs w:val="24"/>
        </w:rPr>
        <w:t>R</w:t>
      </w:r>
      <w:r w:rsidR="003F4933">
        <w:rPr>
          <w:rFonts w:ascii="Arial" w:hAnsi="Arial" w:cs="Arial"/>
          <w:sz w:val="24"/>
          <w:szCs w:val="24"/>
        </w:rPr>
        <w:t xml:space="preserve">esolución </w:t>
      </w:r>
      <w:r w:rsidR="002A2433">
        <w:rPr>
          <w:rFonts w:ascii="Arial" w:hAnsi="Arial" w:cs="Arial"/>
          <w:sz w:val="24"/>
          <w:szCs w:val="24"/>
        </w:rPr>
        <w:t xml:space="preserve">No. 900.025 del 23 de enero de 2012 que la confirmó en sede del recurso de </w:t>
      </w:r>
      <w:r w:rsidR="000B78BF">
        <w:rPr>
          <w:rFonts w:ascii="Arial" w:hAnsi="Arial" w:cs="Arial"/>
          <w:sz w:val="24"/>
          <w:szCs w:val="24"/>
        </w:rPr>
        <w:t>re</w:t>
      </w:r>
      <w:r w:rsidR="002A2433">
        <w:rPr>
          <w:rFonts w:ascii="Arial" w:hAnsi="Arial" w:cs="Arial"/>
          <w:sz w:val="24"/>
          <w:szCs w:val="24"/>
        </w:rPr>
        <w:t>consideración</w:t>
      </w:r>
      <w:r w:rsidR="00B67723">
        <w:rPr>
          <w:rFonts w:ascii="Arial" w:hAnsi="Arial" w:cs="Arial"/>
          <w:sz w:val="24"/>
          <w:szCs w:val="24"/>
        </w:rPr>
        <w:t>, por medio de las cuales la Administración desconoció unas deducciones en la declaración de renta e impuso sanciones por inexactitud y rechazo de pérdidas fiscales</w:t>
      </w:r>
      <w:r w:rsidR="00BF6DB1">
        <w:rPr>
          <w:rFonts w:ascii="Arial" w:hAnsi="Arial" w:cs="Arial"/>
          <w:sz w:val="24"/>
          <w:szCs w:val="24"/>
        </w:rPr>
        <w:t>, conforme</w:t>
      </w:r>
      <w:r w:rsidR="00586BB8">
        <w:rPr>
          <w:rFonts w:ascii="Arial" w:hAnsi="Arial" w:cs="Arial"/>
          <w:sz w:val="24"/>
          <w:szCs w:val="24"/>
        </w:rPr>
        <w:t xml:space="preserve"> a</w:t>
      </w:r>
      <w:r w:rsidR="00BF6DB1">
        <w:rPr>
          <w:rFonts w:ascii="Arial" w:hAnsi="Arial" w:cs="Arial"/>
          <w:sz w:val="24"/>
          <w:szCs w:val="24"/>
        </w:rPr>
        <w:t xml:space="preserve"> los artículos 647 y 647-1 del Estatuto Tributario</w:t>
      </w:r>
      <w:r w:rsidR="008127EF">
        <w:rPr>
          <w:rStyle w:val="Refdenotaalpie"/>
          <w:rFonts w:ascii="Arial" w:hAnsi="Arial" w:cs="Arial"/>
          <w:sz w:val="24"/>
          <w:szCs w:val="24"/>
        </w:rPr>
        <w:footnoteReference w:id="3"/>
      </w:r>
      <w:r w:rsidR="00BF6DB1">
        <w:rPr>
          <w:rFonts w:ascii="Arial" w:hAnsi="Arial" w:cs="Arial"/>
          <w:sz w:val="24"/>
          <w:szCs w:val="24"/>
        </w:rPr>
        <w:t xml:space="preserve"> (E.T.)</w:t>
      </w:r>
      <w:r w:rsidR="00A362D6">
        <w:rPr>
          <w:rFonts w:ascii="Arial" w:hAnsi="Arial" w:cs="Arial"/>
          <w:sz w:val="24"/>
          <w:szCs w:val="24"/>
        </w:rPr>
        <w:t xml:space="preserve">. </w:t>
      </w:r>
      <w:r w:rsidR="002A2433">
        <w:rPr>
          <w:rFonts w:ascii="Arial" w:hAnsi="Arial" w:cs="Arial"/>
          <w:sz w:val="24"/>
          <w:szCs w:val="24"/>
        </w:rPr>
        <w:t>A</w:t>
      </w:r>
      <w:r w:rsidR="002A2433" w:rsidRPr="002A2433">
        <w:rPr>
          <w:rFonts w:ascii="Arial" w:hAnsi="Arial" w:cs="Arial"/>
          <w:sz w:val="24"/>
          <w:szCs w:val="24"/>
        </w:rPr>
        <w:t xml:space="preserve"> título de restablecimiento solicitó dejar en firme la declaración presentada el 24 de marzo de 2010</w:t>
      </w:r>
      <w:r w:rsidR="002A2433">
        <w:rPr>
          <w:rFonts w:ascii="Arial" w:hAnsi="Arial" w:cs="Arial"/>
          <w:sz w:val="24"/>
          <w:szCs w:val="24"/>
        </w:rPr>
        <w:t xml:space="preserve"> y </w:t>
      </w:r>
      <w:r w:rsidR="002A2433" w:rsidRPr="002A2433">
        <w:rPr>
          <w:rFonts w:ascii="Arial" w:hAnsi="Arial" w:cs="Arial"/>
          <w:sz w:val="24"/>
          <w:szCs w:val="24"/>
        </w:rPr>
        <w:t>ordenar la devolución de</w:t>
      </w:r>
      <w:r w:rsidR="002A2433">
        <w:rPr>
          <w:rFonts w:ascii="Arial" w:hAnsi="Arial" w:cs="Arial"/>
          <w:sz w:val="24"/>
          <w:szCs w:val="24"/>
        </w:rPr>
        <w:t>l</w:t>
      </w:r>
      <w:r w:rsidR="002A2433" w:rsidRPr="002A2433">
        <w:rPr>
          <w:rFonts w:ascii="Arial" w:hAnsi="Arial" w:cs="Arial"/>
          <w:sz w:val="24"/>
          <w:szCs w:val="24"/>
        </w:rPr>
        <w:t xml:space="preserve"> saldo a favor junto con los intereses </w:t>
      </w:r>
      <w:r w:rsidR="002B09E1">
        <w:rPr>
          <w:rFonts w:ascii="Arial" w:hAnsi="Arial" w:cs="Arial"/>
          <w:sz w:val="24"/>
          <w:szCs w:val="24"/>
        </w:rPr>
        <w:t>respectivos</w:t>
      </w:r>
      <w:r w:rsidR="001331EB">
        <w:rPr>
          <w:rFonts w:ascii="Arial" w:hAnsi="Arial" w:cs="Arial"/>
          <w:sz w:val="24"/>
          <w:szCs w:val="24"/>
        </w:rPr>
        <w:t>.</w:t>
      </w:r>
      <w:r w:rsidR="00B96BB4" w:rsidRPr="00B96BB4">
        <w:rPr>
          <w:rFonts w:ascii="Arial" w:hAnsi="Arial" w:cs="Arial"/>
          <w:sz w:val="24"/>
          <w:szCs w:val="24"/>
        </w:rPr>
        <w:t xml:space="preserve"> </w:t>
      </w:r>
    </w:p>
    <w:p w14:paraId="78235C3A" w14:textId="77777777" w:rsidR="009E5CF4" w:rsidRPr="00EB42A8" w:rsidRDefault="00184963" w:rsidP="00184963">
      <w:pPr>
        <w:pStyle w:val="Cuadrculamedia21"/>
        <w:tabs>
          <w:tab w:val="left" w:pos="5207"/>
        </w:tabs>
        <w:spacing w:line="360" w:lineRule="auto"/>
        <w:jc w:val="both"/>
        <w:rPr>
          <w:rFonts w:ascii="Arial" w:hAnsi="Arial" w:cs="Arial"/>
          <w:sz w:val="20"/>
          <w:szCs w:val="20"/>
        </w:rPr>
      </w:pPr>
      <w:r>
        <w:rPr>
          <w:rFonts w:ascii="Arial" w:hAnsi="Arial" w:cs="Arial"/>
          <w:sz w:val="20"/>
          <w:szCs w:val="20"/>
        </w:rPr>
        <w:tab/>
      </w:r>
    </w:p>
    <w:p w14:paraId="7F961BC5" w14:textId="77777777" w:rsidR="005229E4" w:rsidRPr="005229E4" w:rsidRDefault="00A83587" w:rsidP="00E618BA">
      <w:pPr>
        <w:pStyle w:val="Cuadrculamedia21"/>
        <w:spacing w:line="360" w:lineRule="auto"/>
        <w:jc w:val="both"/>
        <w:rPr>
          <w:rFonts w:ascii="Arial" w:hAnsi="Arial" w:cs="Arial"/>
          <w:sz w:val="24"/>
          <w:szCs w:val="24"/>
        </w:rPr>
      </w:pPr>
      <w:r>
        <w:rPr>
          <w:rFonts w:ascii="Arial" w:hAnsi="Arial" w:cs="Arial"/>
          <w:sz w:val="24"/>
          <w:szCs w:val="24"/>
        </w:rPr>
        <w:t>1.</w:t>
      </w:r>
      <w:r w:rsidR="008D2700">
        <w:rPr>
          <w:rFonts w:ascii="Arial" w:hAnsi="Arial" w:cs="Arial"/>
          <w:sz w:val="24"/>
          <w:szCs w:val="24"/>
        </w:rPr>
        <w:t>2.2.-</w:t>
      </w:r>
      <w:r w:rsidR="00A5477F">
        <w:rPr>
          <w:rFonts w:ascii="Arial" w:hAnsi="Arial" w:cs="Arial"/>
          <w:sz w:val="24"/>
          <w:szCs w:val="24"/>
        </w:rPr>
        <w:t xml:space="preserve"> </w:t>
      </w:r>
      <w:r w:rsidR="002A1D3E">
        <w:rPr>
          <w:rFonts w:ascii="Arial" w:hAnsi="Arial" w:cs="Arial"/>
          <w:sz w:val="24"/>
          <w:szCs w:val="24"/>
        </w:rPr>
        <w:t>Por reparto, el conocimiento del asunto le correspondió al Tribunal Administrativo del Tolima, el cual, por sentencia del 11 de diciembre de 2014, negó las pretensiones de la demanda.</w:t>
      </w:r>
    </w:p>
    <w:p w14:paraId="3CB45AC3" w14:textId="77777777" w:rsidR="005229E4" w:rsidRDefault="005229E4" w:rsidP="005229E4">
      <w:pPr>
        <w:pStyle w:val="Cuadrculamedia21"/>
        <w:spacing w:line="360" w:lineRule="auto"/>
        <w:jc w:val="both"/>
        <w:rPr>
          <w:rFonts w:ascii="Arial" w:hAnsi="Arial" w:cs="Arial"/>
          <w:sz w:val="24"/>
          <w:szCs w:val="24"/>
        </w:rPr>
      </w:pPr>
    </w:p>
    <w:p w14:paraId="6E0AD0F7" w14:textId="77777777" w:rsidR="00F77FFB" w:rsidRDefault="00A83587" w:rsidP="00BB654C">
      <w:pPr>
        <w:pStyle w:val="Cuadrculamedia21"/>
        <w:spacing w:line="360" w:lineRule="auto"/>
        <w:jc w:val="both"/>
        <w:rPr>
          <w:rFonts w:ascii="Arial" w:hAnsi="Arial" w:cs="Arial"/>
          <w:sz w:val="24"/>
          <w:szCs w:val="24"/>
        </w:rPr>
      </w:pPr>
      <w:r>
        <w:rPr>
          <w:rFonts w:ascii="Arial" w:hAnsi="Arial" w:cs="Arial"/>
          <w:sz w:val="24"/>
          <w:szCs w:val="24"/>
        </w:rPr>
        <w:t>1.</w:t>
      </w:r>
      <w:r w:rsidR="007236D7">
        <w:rPr>
          <w:rFonts w:ascii="Arial" w:hAnsi="Arial" w:cs="Arial"/>
          <w:sz w:val="24"/>
          <w:szCs w:val="24"/>
        </w:rPr>
        <w:t>2.</w:t>
      </w:r>
      <w:r w:rsidR="00586BB8">
        <w:rPr>
          <w:rFonts w:ascii="Arial" w:hAnsi="Arial" w:cs="Arial"/>
          <w:sz w:val="24"/>
          <w:szCs w:val="24"/>
        </w:rPr>
        <w:t>3</w:t>
      </w:r>
      <w:r w:rsidR="007236D7">
        <w:rPr>
          <w:rFonts w:ascii="Arial" w:hAnsi="Arial" w:cs="Arial"/>
          <w:sz w:val="24"/>
          <w:szCs w:val="24"/>
        </w:rPr>
        <w:t xml:space="preserve">.- </w:t>
      </w:r>
      <w:r w:rsidR="002A1D3E">
        <w:rPr>
          <w:rFonts w:ascii="Arial" w:hAnsi="Arial" w:cs="Arial"/>
          <w:sz w:val="24"/>
          <w:szCs w:val="24"/>
        </w:rPr>
        <w:t>Apelada la anterior decisión por la parte demandante, la Sección Cuarta de la Sala</w:t>
      </w:r>
      <w:r w:rsidR="001E1779">
        <w:rPr>
          <w:rFonts w:ascii="Arial" w:hAnsi="Arial" w:cs="Arial"/>
          <w:sz w:val="24"/>
          <w:szCs w:val="24"/>
        </w:rPr>
        <w:t xml:space="preserve"> de lo</w:t>
      </w:r>
      <w:r w:rsidR="002A1D3E">
        <w:rPr>
          <w:rFonts w:ascii="Arial" w:hAnsi="Arial" w:cs="Arial"/>
          <w:sz w:val="24"/>
          <w:szCs w:val="24"/>
        </w:rPr>
        <w:t xml:space="preserve"> Contencioso Administrativo del Consejo de Estado, mediante sentencia del 25 de julio de 2019</w:t>
      </w:r>
      <w:r w:rsidR="007033F3">
        <w:rPr>
          <w:rStyle w:val="Refdenotaalpie"/>
          <w:rFonts w:ascii="Arial" w:hAnsi="Arial" w:cs="Arial"/>
          <w:sz w:val="24"/>
          <w:szCs w:val="24"/>
        </w:rPr>
        <w:footnoteReference w:id="4"/>
      </w:r>
      <w:r w:rsidR="002A1D3E">
        <w:rPr>
          <w:rFonts w:ascii="Arial" w:hAnsi="Arial" w:cs="Arial"/>
          <w:sz w:val="24"/>
          <w:szCs w:val="24"/>
        </w:rPr>
        <w:t>,</w:t>
      </w:r>
      <w:r w:rsidR="002741FB">
        <w:rPr>
          <w:rFonts w:ascii="Arial" w:hAnsi="Arial" w:cs="Arial"/>
          <w:sz w:val="24"/>
          <w:szCs w:val="24"/>
        </w:rPr>
        <w:t xml:space="preserve"> revocó el fallo del </w:t>
      </w:r>
      <w:r w:rsidR="002741FB">
        <w:rPr>
          <w:rFonts w:ascii="Arial" w:hAnsi="Arial" w:cs="Arial"/>
          <w:i/>
          <w:iCs/>
          <w:sz w:val="24"/>
          <w:szCs w:val="24"/>
        </w:rPr>
        <w:t xml:space="preserve">a quo </w:t>
      </w:r>
      <w:r w:rsidR="002741FB">
        <w:rPr>
          <w:rFonts w:ascii="Arial" w:hAnsi="Arial" w:cs="Arial"/>
          <w:sz w:val="24"/>
          <w:szCs w:val="24"/>
        </w:rPr>
        <w:t>y, en su lugar, anuló parcialmente los actos administrativos enjuiciados</w:t>
      </w:r>
      <w:r w:rsidR="000B78BF">
        <w:rPr>
          <w:rFonts w:ascii="Arial" w:hAnsi="Arial" w:cs="Arial"/>
          <w:sz w:val="24"/>
          <w:szCs w:val="24"/>
        </w:rPr>
        <w:t>,</w:t>
      </w:r>
      <w:r w:rsidR="007033F3">
        <w:rPr>
          <w:rFonts w:ascii="Arial" w:hAnsi="Arial" w:cs="Arial"/>
          <w:sz w:val="24"/>
          <w:szCs w:val="24"/>
        </w:rPr>
        <w:t xml:space="preserve"> en cuanto (i) al valor liquidado por concepto de “anticipo por el año gravable siguiente”, para mantener el que declaró la contribuyente y (ii) a la imposición de la sanción por rechazo o disminución de pérdidas estipulada </w:t>
      </w:r>
      <w:r w:rsidR="002B09E1">
        <w:rPr>
          <w:rFonts w:ascii="Arial" w:hAnsi="Arial" w:cs="Arial"/>
          <w:sz w:val="24"/>
          <w:szCs w:val="24"/>
        </w:rPr>
        <w:t xml:space="preserve">en </w:t>
      </w:r>
      <w:r w:rsidR="007033F3">
        <w:rPr>
          <w:rFonts w:ascii="Arial" w:hAnsi="Arial" w:cs="Arial"/>
          <w:sz w:val="24"/>
          <w:szCs w:val="24"/>
        </w:rPr>
        <w:t xml:space="preserve">el artículo 647-1 </w:t>
      </w:r>
      <w:r w:rsidR="00184963">
        <w:rPr>
          <w:rFonts w:ascii="Arial" w:hAnsi="Arial" w:cs="Arial"/>
          <w:sz w:val="24"/>
          <w:szCs w:val="24"/>
        </w:rPr>
        <w:t>del E.T.</w:t>
      </w:r>
      <w:r w:rsidR="007033F3">
        <w:rPr>
          <w:rFonts w:ascii="Arial" w:hAnsi="Arial" w:cs="Arial"/>
          <w:sz w:val="24"/>
          <w:szCs w:val="24"/>
        </w:rPr>
        <w:t>. Así</w:t>
      </w:r>
      <w:r w:rsidR="00CF751B">
        <w:rPr>
          <w:rFonts w:ascii="Arial" w:hAnsi="Arial" w:cs="Arial"/>
          <w:sz w:val="24"/>
          <w:szCs w:val="24"/>
        </w:rPr>
        <w:t>, a título de restablecimiento del derecho dispuso que el impuesto de renta y complementarios</w:t>
      </w:r>
      <w:r w:rsidR="00833B17">
        <w:rPr>
          <w:rFonts w:ascii="Arial" w:hAnsi="Arial" w:cs="Arial"/>
          <w:sz w:val="24"/>
          <w:szCs w:val="24"/>
        </w:rPr>
        <w:t xml:space="preserve"> a cargo de </w:t>
      </w:r>
      <w:r w:rsidR="000B78BF">
        <w:rPr>
          <w:rFonts w:ascii="Arial" w:hAnsi="Arial" w:cs="Arial"/>
          <w:sz w:val="24"/>
          <w:szCs w:val="24"/>
        </w:rPr>
        <w:t>Gaseosas de Córdoba S.A.</w:t>
      </w:r>
      <w:r w:rsidR="00CF751B">
        <w:rPr>
          <w:rFonts w:ascii="Arial" w:hAnsi="Arial" w:cs="Arial"/>
          <w:sz w:val="24"/>
          <w:szCs w:val="24"/>
        </w:rPr>
        <w:t xml:space="preserve">, por el </w:t>
      </w:r>
      <w:r w:rsidR="00CF751B">
        <w:rPr>
          <w:rFonts w:ascii="Arial" w:hAnsi="Arial" w:cs="Arial"/>
          <w:sz w:val="24"/>
          <w:szCs w:val="24"/>
        </w:rPr>
        <w:lastRenderedPageBreak/>
        <w:t>periodo gravable del año 2008, correspondía a la suma liquidada en la parte motiva de la providencia</w:t>
      </w:r>
      <w:r w:rsidR="00E50A86">
        <w:rPr>
          <w:rFonts w:ascii="Arial" w:hAnsi="Arial" w:cs="Arial"/>
          <w:sz w:val="24"/>
          <w:szCs w:val="24"/>
        </w:rPr>
        <w:t xml:space="preserve"> aludida.</w:t>
      </w:r>
    </w:p>
    <w:p w14:paraId="2FFF83AD" w14:textId="77777777" w:rsidR="004A36D3" w:rsidRDefault="004A36D3" w:rsidP="00BB654C">
      <w:pPr>
        <w:pStyle w:val="Cuadrculamedia21"/>
        <w:spacing w:line="360" w:lineRule="auto"/>
        <w:jc w:val="both"/>
        <w:rPr>
          <w:rFonts w:ascii="Arial" w:hAnsi="Arial" w:cs="Arial"/>
          <w:sz w:val="24"/>
          <w:szCs w:val="24"/>
        </w:rPr>
      </w:pPr>
    </w:p>
    <w:p w14:paraId="786B45B5" w14:textId="77777777" w:rsidR="004A36D3" w:rsidRDefault="004A36D3" w:rsidP="00BB654C">
      <w:pPr>
        <w:pStyle w:val="Cuadrculamedia21"/>
        <w:spacing w:line="360" w:lineRule="auto"/>
        <w:jc w:val="both"/>
        <w:rPr>
          <w:rFonts w:ascii="Arial" w:hAnsi="Arial" w:cs="Arial"/>
          <w:sz w:val="24"/>
          <w:szCs w:val="24"/>
        </w:rPr>
      </w:pPr>
      <w:r>
        <w:rPr>
          <w:rFonts w:ascii="Arial" w:hAnsi="Arial" w:cs="Arial"/>
          <w:sz w:val="24"/>
          <w:szCs w:val="24"/>
        </w:rPr>
        <w:t>1.2.</w:t>
      </w:r>
      <w:r w:rsidR="003D5C6C">
        <w:rPr>
          <w:rFonts w:ascii="Arial" w:hAnsi="Arial" w:cs="Arial"/>
          <w:sz w:val="24"/>
          <w:szCs w:val="24"/>
        </w:rPr>
        <w:t>4</w:t>
      </w:r>
      <w:r>
        <w:rPr>
          <w:rFonts w:ascii="Arial" w:hAnsi="Arial" w:cs="Arial"/>
          <w:sz w:val="24"/>
          <w:szCs w:val="24"/>
        </w:rPr>
        <w:t xml:space="preserve">.- </w:t>
      </w:r>
      <w:r w:rsidR="000B78BF">
        <w:rPr>
          <w:rFonts w:ascii="Arial" w:hAnsi="Arial" w:cs="Arial"/>
          <w:sz w:val="24"/>
          <w:szCs w:val="24"/>
        </w:rPr>
        <w:t>Al respecto, sostuvo la</w:t>
      </w:r>
      <w:r w:rsidR="002B09E1">
        <w:rPr>
          <w:rFonts w:ascii="Arial" w:hAnsi="Arial" w:cs="Arial"/>
          <w:sz w:val="24"/>
          <w:szCs w:val="24"/>
        </w:rPr>
        <w:t xml:space="preserve"> entidad</w:t>
      </w:r>
      <w:r w:rsidR="000B78BF">
        <w:rPr>
          <w:rFonts w:ascii="Arial" w:hAnsi="Arial" w:cs="Arial"/>
          <w:sz w:val="24"/>
          <w:szCs w:val="24"/>
        </w:rPr>
        <w:t xml:space="preserve"> tutelante </w:t>
      </w:r>
      <w:r>
        <w:rPr>
          <w:rFonts w:ascii="Arial" w:hAnsi="Arial" w:cs="Arial"/>
          <w:sz w:val="24"/>
          <w:szCs w:val="24"/>
        </w:rPr>
        <w:t xml:space="preserve">que </w:t>
      </w:r>
      <w:r w:rsidR="00AD48E2" w:rsidRPr="00AD48E2">
        <w:rPr>
          <w:rFonts w:ascii="Arial" w:hAnsi="Arial" w:cs="Arial"/>
          <w:sz w:val="24"/>
          <w:szCs w:val="24"/>
        </w:rPr>
        <w:t>el fallo</w:t>
      </w:r>
      <w:r w:rsidR="000B78BF">
        <w:rPr>
          <w:rFonts w:ascii="Arial" w:hAnsi="Arial" w:cs="Arial"/>
          <w:sz w:val="24"/>
          <w:szCs w:val="24"/>
        </w:rPr>
        <w:t xml:space="preserve"> enjuiciado</w:t>
      </w:r>
      <w:r w:rsidR="00AD48E2" w:rsidRPr="00AD48E2">
        <w:rPr>
          <w:rFonts w:ascii="Arial" w:hAnsi="Arial" w:cs="Arial"/>
          <w:sz w:val="24"/>
          <w:szCs w:val="24"/>
        </w:rPr>
        <w:t xml:space="preserve"> i) </w:t>
      </w:r>
      <w:r w:rsidR="00177BE4" w:rsidRPr="00AD48E2">
        <w:rPr>
          <w:rFonts w:ascii="Arial" w:hAnsi="Arial" w:cs="Arial"/>
          <w:sz w:val="24"/>
          <w:szCs w:val="24"/>
        </w:rPr>
        <w:t>conservó</w:t>
      </w:r>
      <w:r w:rsidR="00AD48E2" w:rsidRPr="00AD48E2">
        <w:rPr>
          <w:rFonts w:ascii="Arial" w:hAnsi="Arial" w:cs="Arial"/>
          <w:sz w:val="24"/>
          <w:szCs w:val="24"/>
        </w:rPr>
        <w:t xml:space="preserve"> el desconocimiento de la deducción por pérdidas en la </w:t>
      </w:r>
      <w:r w:rsidR="001E1779">
        <w:rPr>
          <w:rFonts w:ascii="Arial" w:hAnsi="Arial" w:cs="Arial"/>
          <w:sz w:val="24"/>
          <w:szCs w:val="24"/>
        </w:rPr>
        <w:t>transferencia</w:t>
      </w:r>
      <w:r w:rsidR="00AD48E2" w:rsidRPr="00AD48E2">
        <w:rPr>
          <w:rFonts w:ascii="Arial" w:hAnsi="Arial" w:cs="Arial"/>
          <w:sz w:val="24"/>
          <w:szCs w:val="24"/>
        </w:rPr>
        <w:t xml:space="preserve"> de acciones</w:t>
      </w:r>
      <w:r w:rsidR="000B78BF">
        <w:rPr>
          <w:rFonts w:ascii="Arial" w:hAnsi="Arial" w:cs="Arial"/>
          <w:sz w:val="24"/>
          <w:szCs w:val="24"/>
        </w:rPr>
        <w:t xml:space="preserve"> por parte de Gaseosas de Córdoba S.A.</w:t>
      </w:r>
      <w:r w:rsidR="00AD48E2" w:rsidRPr="00AD48E2">
        <w:rPr>
          <w:rFonts w:ascii="Arial" w:hAnsi="Arial" w:cs="Arial"/>
          <w:sz w:val="24"/>
          <w:szCs w:val="24"/>
        </w:rPr>
        <w:t>; ii) consideró improcedente el análisis frente al reconocimiento de la deducción en el impuesto de renta de los ajustes por infracción realizados a activos enajenados; iii) mantuvo el valor liquidado por el contribuyente por concepto de «anticipo por el año gravable siguiente»</w:t>
      </w:r>
      <w:r w:rsidR="00177BE4">
        <w:rPr>
          <w:rFonts w:ascii="Arial" w:hAnsi="Arial" w:cs="Arial"/>
          <w:sz w:val="24"/>
          <w:szCs w:val="24"/>
        </w:rPr>
        <w:t>;</w:t>
      </w:r>
      <w:r w:rsidR="00AD48E2" w:rsidRPr="00AD48E2">
        <w:rPr>
          <w:rFonts w:ascii="Arial" w:hAnsi="Arial" w:cs="Arial"/>
          <w:sz w:val="24"/>
          <w:szCs w:val="24"/>
        </w:rPr>
        <w:t xml:space="preserve"> y iv) levantó la sanción por rechazo de pérdidas prevista en el artículo 647-1 </w:t>
      </w:r>
      <w:r w:rsidR="00184963">
        <w:rPr>
          <w:rFonts w:ascii="Arial" w:hAnsi="Arial" w:cs="Arial"/>
          <w:sz w:val="24"/>
          <w:szCs w:val="24"/>
        </w:rPr>
        <w:t xml:space="preserve">del </w:t>
      </w:r>
      <w:r w:rsidR="00AD48E2" w:rsidRPr="00AD48E2">
        <w:rPr>
          <w:rFonts w:ascii="Arial" w:hAnsi="Arial" w:cs="Arial"/>
          <w:sz w:val="24"/>
          <w:szCs w:val="24"/>
        </w:rPr>
        <w:t>E</w:t>
      </w:r>
      <w:r w:rsidR="00184963">
        <w:rPr>
          <w:rFonts w:ascii="Arial" w:hAnsi="Arial" w:cs="Arial"/>
          <w:sz w:val="24"/>
          <w:szCs w:val="24"/>
        </w:rPr>
        <w:t>.</w:t>
      </w:r>
      <w:r w:rsidR="00AD48E2" w:rsidRPr="00AD48E2">
        <w:rPr>
          <w:rFonts w:ascii="Arial" w:hAnsi="Arial" w:cs="Arial"/>
          <w:sz w:val="24"/>
          <w:szCs w:val="24"/>
        </w:rPr>
        <w:t>T</w:t>
      </w:r>
      <w:r w:rsidR="00184963">
        <w:rPr>
          <w:rFonts w:ascii="Arial" w:hAnsi="Arial" w:cs="Arial"/>
          <w:sz w:val="24"/>
          <w:szCs w:val="24"/>
        </w:rPr>
        <w:t>.</w:t>
      </w:r>
      <w:r w:rsidR="00AD48E2" w:rsidRPr="00AD48E2">
        <w:rPr>
          <w:rFonts w:ascii="Arial" w:hAnsi="Arial" w:cs="Arial"/>
          <w:sz w:val="24"/>
          <w:szCs w:val="24"/>
        </w:rPr>
        <w:t xml:space="preserve">, al considerar que era excluyente con la señalada en el artículo 647 </w:t>
      </w:r>
      <w:r w:rsidR="00184963">
        <w:rPr>
          <w:rFonts w:ascii="Arial" w:hAnsi="Arial" w:cs="Arial"/>
          <w:i/>
          <w:iCs/>
          <w:sz w:val="24"/>
          <w:szCs w:val="24"/>
        </w:rPr>
        <w:t>ejusdem</w:t>
      </w:r>
      <w:r w:rsidR="002B09E1">
        <w:rPr>
          <w:rFonts w:ascii="Arial" w:hAnsi="Arial" w:cs="Arial"/>
          <w:sz w:val="24"/>
          <w:szCs w:val="24"/>
        </w:rPr>
        <w:t>.</w:t>
      </w:r>
      <w:r w:rsidR="00873D04">
        <w:rPr>
          <w:rFonts w:ascii="Arial" w:hAnsi="Arial" w:cs="Arial"/>
          <w:sz w:val="24"/>
          <w:szCs w:val="24"/>
        </w:rPr>
        <w:t xml:space="preserve"> </w:t>
      </w:r>
      <w:r w:rsidR="00184963">
        <w:rPr>
          <w:rFonts w:ascii="Arial" w:hAnsi="Arial" w:cs="Arial"/>
          <w:sz w:val="24"/>
          <w:szCs w:val="24"/>
        </w:rPr>
        <w:t xml:space="preserve">Destacó que </w:t>
      </w:r>
      <w:r w:rsidR="00AD48E2" w:rsidRPr="00AD48E2">
        <w:rPr>
          <w:rFonts w:ascii="Arial" w:hAnsi="Arial" w:cs="Arial"/>
          <w:sz w:val="24"/>
          <w:szCs w:val="24"/>
        </w:rPr>
        <w:t>esta última</w:t>
      </w:r>
      <w:r w:rsidR="00184963">
        <w:rPr>
          <w:rFonts w:ascii="Arial" w:hAnsi="Arial" w:cs="Arial"/>
          <w:sz w:val="24"/>
          <w:szCs w:val="24"/>
        </w:rPr>
        <w:t xml:space="preserve"> </w:t>
      </w:r>
      <w:r w:rsidR="00177BE4">
        <w:rPr>
          <w:rFonts w:ascii="Arial" w:hAnsi="Arial" w:cs="Arial"/>
          <w:sz w:val="24"/>
          <w:szCs w:val="24"/>
        </w:rPr>
        <w:t>disposición</w:t>
      </w:r>
      <w:r w:rsidR="00184963">
        <w:rPr>
          <w:rFonts w:ascii="Arial" w:hAnsi="Arial" w:cs="Arial"/>
          <w:sz w:val="24"/>
          <w:szCs w:val="24"/>
        </w:rPr>
        <w:t xml:space="preserve"> de </w:t>
      </w:r>
      <w:r w:rsidR="00BF6DB1">
        <w:rPr>
          <w:rFonts w:ascii="Arial" w:hAnsi="Arial" w:cs="Arial"/>
          <w:sz w:val="24"/>
          <w:szCs w:val="24"/>
        </w:rPr>
        <w:t>quit</w:t>
      </w:r>
      <w:r w:rsidR="00184963">
        <w:rPr>
          <w:rFonts w:ascii="Arial" w:hAnsi="Arial" w:cs="Arial"/>
          <w:sz w:val="24"/>
          <w:szCs w:val="24"/>
        </w:rPr>
        <w:t>ar la</w:t>
      </w:r>
      <w:r w:rsidR="00AD48E2" w:rsidRPr="00AD48E2">
        <w:rPr>
          <w:rFonts w:ascii="Arial" w:hAnsi="Arial" w:cs="Arial"/>
          <w:sz w:val="24"/>
          <w:szCs w:val="24"/>
        </w:rPr>
        <w:t xml:space="preserve"> sanción</w:t>
      </w:r>
      <w:r w:rsidR="00E50A86">
        <w:rPr>
          <w:rFonts w:ascii="Arial" w:hAnsi="Arial" w:cs="Arial"/>
          <w:sz w:val="24"/>
          <w:szCs w:val="24"/>
        </w:rPr>
        <w:t xml:space="preserve"> por disminución de pérdida</w:t>
      </w:r>
      <w:r w:rsidR="00873D04">
        <w:rPr>
          <w:rFonts w:ascii="Arial" w:hAnsi="Arial" w:cs="Arial"/>
          <w:sz w:val="24"/>
          <w:szCs w:val="24"/>
        </w:rPr>
        <w:t>,</w:t>
      </w:r>
      <w:r w:rsidR="00AD48E2" w:rsidRPr="00AD48E2">
        <w:rPr>
          <w:rFonts w:ascii="Arial" w:hAnsi="Arial" w:cs="Arial"/>
          <w:sz w:val="24"/>
          <w:szCs w:val="24"/>
        </w:rPr>
        <w:t xml:space="preserve"> es</w:t>
      </w:r>
      <w:r w:rsidR="00184963">
        <w:rPr>
          <w:rFonts w:ascii="Arial" w:hAnsi="Arial" w:cs="Arial"/>
          <w:sz w:val="24"/>
          <w:szCs w:val="24"/>
        </w:rPr>
        <w:t xml:space="preserve"> por</w:t>
      </w:r>
      <w:r w:rsidR="00AD48E2" w:rsidRPr="00AD48E2">
        <w:rPr>
          <w:rFonts w:ascii="Arial" w:hAnsi="Arial" w:cs="Arial"/>
          <w:sz w:val="24"/>
          <w:szCs w:val="24"/>
        </w:rPr>
        <w:t xml:space="preserve"> la que se</w:t>
      </w:r>
      <w:r w:rsidR="00184963">
        <w:rPr>
          <w:rFonts w:ascii="Arial" w:hAnsi="Arial" w:cs="Arial"/>
          <w:sz w:val="24"/>
          <w:szCs w:val="24"/>
        </w:rPr>
        <w:t xml:space="preserve"> promueve la</w:t>
      </w:r>
      <w:r w:rsidR="00AD48E2" w:rsidRPr="00AD48E2">
        <w:rPr>
          <w:rFonts w:ascii="Arial" w:hAnsi="Arial" w:cs="Arial"/>
          <w:sz w:val="24"/>
          <w:szCs w:val="24"/>
        </w:rPr>
        <w:t xml:space="preserve"> tutela.</w:t>
      </w:r>
    </w:p>
    <w:p w14:paraId="465E23FE" w14:textId="77777777" w:rsidR="00177BE4" w:rsidRDefault="00177BE4" w:rsidP="00BB654C">
      <w:pPr>
        <w:pStyle w:val="Cuadrculamedia21"/>
        <w:spacing w:line="360" w:lineRule="auto"/>
        <w:jc w:val="both"/>
        <w:rPr>
          <w:rFonts w:ascii="Arial" w:hAnsi="Arial" w:cs="Arial"/>
          <w:sz w:val="24"/>
          <w:szCs w:val="24"/>
        </w:rPr>
      </w:pPr>
    </w:p>
    <w:p w14:paraId="2497AF33" w14:textId="77777777" w:rsidR="00177BE4" w:rsidRDefault="00177BE4" w:rsidP="00BB654C">
      <w:pPr>
        <w:pStyle w:val="Cuadrculamedia21"/>
        <w:spacing w:line="360" w:lineRule="auto"/>
        <w:jc w:val="both"/>
        <w:rPr>
          <w:rFonts w:ascii="Arial" w:hAnsi="Arial" w:cs="Arial"/>
          <w:sz w:val="24"/>
          <w:szCs w:val="24"/>
        </w:rPr>
      </w:pPr>
      <w:r>
        <w:rPr>
          <w:rFonts w:ascii="Arial" w:hAnsi="Arial" w:cs="Arial"/>
          <w:sz w:val="24"/>
          <w:szCs w:val="24"/>
        </w:rPr>
        <w:t>1.2.</w:t>
      </w:r>
      <w:r w:rsidR="003D5C6C">
        <w:rPr>
          <w:rFonts w:ascii="Arial" w:hAnsi="Arial" w:cs="Arial"/>
          <w:sz w:val="24"/>
          <w:szCs w:val="24"/>
        </w:rPr>
        <w:t>5</w:t>
      </w:r>
      <w:r>
        <w:rPr>
          <w:rFonts w:ascii="Arial" w:hAnsi="Arial" w:cs="Arial"/>
          <w:sz w:val="24"/>
          <w:szCs w:val="24"/>
        </w:rPr>
        <w:t xml:space="preserve">.- </w:t>
      </w:r>
      <w:r w:rsidR="00873D04">
        <w:rPr>
          <w:rFonts w:ascii="Arial" w:hAnsi="Arial" w:cs="Arial"/>
          <w:sz w:val="24"/>
          <w:szCs w:val="24"/>
        </w:rPr>
        <w:t>En c</w:t>
      </w:r>
      <w:r>
        <w:rPr>
          <w:rFonts w:ascii="Arial" w:hAnsi="Arial" w:cs="Arial"/>
          <w:sz w:val="24"/>
          <w:szCs w:val="24"/>
        </w:rPr>
        <w:t xml:space="preserve">ontra </w:t>
      </w:r>
      <w:r w:rsidR="00873D04">
        <w:rPr>
          <w:rFonts w:ascii="Arial" w:hAnsi="Arial" w:cs="Arial"/>
          <w:sz w:val="24"/>
          <w:szCs w:val="24"/>
        </w:rPr>
        <w:t>d</w:t>
      </w:r>
      <w:r>
        <w:rPr>
          <w:rFonts w:ascii="Arial" w:hAnsi="Arial" w:cs="Arial"/>
          <w:sz w:val="24"/>
          <w:szCs w:val="24"/>
        </w:rPr>
        <w:t xml:space="preserve">el fallo de segunda instancia se presentó solicitud de adición, la cual fue negada por proveído del 26 de septiembre de 2019. </w:t>
      </w:r>
    </w:p>
    <w:p w14:paraId="6A290EE4" w14:textId="77777777" w:rsidR="004F63A3" w:rsidRDefault="004F63A3" w:rsidP="00CF7AF8">
      <w:pPr>
        <w:pStyle w:val="Cuadrculamedia21"/>
        <w:spacing w:line="360" w:lineRule="auto"/>
        <w:jc w:val="both"/>
        <w:rPr>
          <w:rFonts w:ascii="Arial" w:hAnsi="Arial" w:cs="Arial"/>
          <w:b/>
          <w:sz w:val="24"/>
          <w:szCs w:val="24"/>
        </w:rPr>
      </w:pPr>
    </w:p>
    <w:p w14:paraId="442D3917" w14:textId="77777777" w:rsidR="00CF7AF8" w:rsidRDefault="004603ED" w:rsidP="00CF7AF8">
      <w:pPr>
        <w:pStyle w:val="Cuadrculamedia21"/>
        <w:spacing w:line="360" w:lineRule="auto"/>
        <w:jc w:val="both"/>
        <w:rPr>
          <w:rFonts w:ascii="Arial" w:hAnsi="Arial" w:cs="Arial"/>
          <w:b/>
          <w:sz w:val="24"/>
          <w:szCs w:val="24"/>
        </w:rPr>
      </w:pPr>
      <w:r>
        <w:rPr>
          <w:rFonts w:ascii="Arial" w:hAnsi="Arial" w:cs="Arial"/>
          <w:b/>
          <w:sz w:val="24"/>
          <w:szCs w:val="24"/>
        </w:rPr>
        <w:t>1.</w:t>
      </w:r>
      <w:r w:rsidR="00CF7AF8" w:rsidRPr="000C2AC8">
        <w:rPr>
          <w:rFonts w:ascii="Arial" w:hAnsi="Arial" w:cs="Arial"/>
          <w:b/>
          <w:sz w:val="24"/>
          <w:szCs w:val="24"/>
        </w:rPr>
        <w:t>3.- Fundamento</w:t>
      </w:r>
      <w:r w:rsidR="00CE5FDF">
        <w:rPr>
          <w:rFonts w:ascii="Arial" w:hAnsi="Arial" w:cs="Arial"/>
          <w:b/>
          <w:sz w:val="24"/>
          <w:szCs w:val="24"/>
        </w:rPr>
        <w:t>s</w:t>
      </w:r>
      <w:r w:rsidR="00CF7AF8" w:rsidRPr="000C2AC8">
        <w:rPr>
          <w:rFonts w:ascii="Arial" w:hAnsi="Arial" w:cs="Arial"/>
          <w:b/>
          <w:sz w:val="24"/>
          <w:szCs w:val="24"/>
        </w:rPr>
        <w:t xml:space="preserve"> de la acción de tutela</w:t>
      </w:r>
    </w:p>
    <w:p w14:paraId="15F3EF4A" w14:textId="77777777" w:rsidR="00EB42A8" w:rsidRDefault="00EB42A8" w:rsidP="00CF7AF8">
      <w:pPr>
        <w:pStyle w:val="Sinespaciado1"/>
        <w:spacing w:line="360" w:lineRule="auto"/>
        <w:jc w:val="both"/>
        <w:rPr>
          <w:rFonts w:ascii="Arial" w:hAnsi="Arial" w:cs="Arial"/>
          <w:lang w:val="es-ES"/>
        </w:rPr>
      </w:pPr>
    </w:p>
    <w:p w14:paraId="4A2FABBF" w14:textId="77777777" w:rsidR="006806D7" w:rsidRDefault="0011398C" w:rsidP="00CF7AF8">
      <w:pPr>
        <w:pStyle w:val="Sinespaciado1"/>
        <w:spacing w:line="360" w:lineRule="auto"/>
        <w:jc w:val="both"/>
        <w:rPr>
          <w:rFonts w:ascii="Arial" w:hAnsi="Arial" w:cs="Arial"/>
          <w:lang w:val="es-ES"/>
        </w:rPr>
      </w:pPr>
      <w:r>
        <w:rPr>
          <w:rFonts w:ascii="Arial" w:hAnsi="Arial" w:cs="Arial"/>
          <w:lang w:val="es-ES"/>
        </w:rPr>
        <w:t>L</w:t>
      </w:r>
      <w:r w:rsidR="006806D7">
        <w:rPr>
          <w:rFonts w:ascii="Arial" w:hAnsi="Arial" w:cs="Arial"/>
          <w:lang w:val="es-ES"/>
        </w:rPr>
        <w:t xml:space="preserve">a </w:t>
      </w:r>
      <w:r w:rsidR="00586BB8">
        <w:rPr>
          <w:rFonts w:ascii="Arial" w:hAnsi="Arial" w:cs="Arial"/>
          <w:lang w:val="es-ES"/>
        </w:rPr>
        <w:t>DIAN</w:t>
      </w:r>
      <w:r w:rsidR="006806D7">
        <w:rPr>
          <w:rFonts w:ascii="Arial" w:hAnsi="Arial" w:cs="Arial"/>
          <w:lang w:val="es-ES"/>
        </w:rPr>
        <w:t xml:space="preserve"> </w:t>
      </w:r>
      <w:r w:rsidR="00CF7AF8" w:rsidRPr="006B0E81">
        <w:rPr>
          <w:rFonts w:ascii="Arial" w:hAnsi="Arial" w:cs="Arial"/>
          <w:lang w:val="es-ES"/>
        </w:rPr>
        <w:t xml:space="preserve">adujo que </w:t>
      </w:r>
      <w:r w:rsidR="00CF7AF8" w:rsidRPr="006B0E81">
        <w:rPr>
          <w:rFonts w:ascii="Arial" w:hAnsi="Arial" w:cs="Arial"/>
          <w:color w:val="000000"/>
        </w:rPr>
        <w:t>la entidad judicial accionada</w:t>
      </w:r>
      <w:r w:rsidR="00CF7AF8" w:rsidRPr="006B0E81">
        <w:rPr>
          <w:rFonts w:ascii="Arial" w:hAnsi="Arial" w:cs="Arial"/>
          <w:lang w:val="es-ES"/>
        </w:rPr>
        <w:t xml:space="preserve"> vulner</w:t>
      </w:r>
      <w:r w:rsidR="004603ED">
        <w:rPr>
          <w:rFonts w:ascii="Arial" w:hAnsi="Arial" w:cs="Arial"/>
          <w:lang w:val="es-ES"/>
        </w:rPr>
        <w:t>ó</w:t>
      </w:r>
      <w:r w:rsidR="00CF7AF8" w:rsidRPr="006B0E81">
        <w:rPr>
          <w:rFonts w:ascii="Arial" w:hAnsi="Arial" w:cs="Arial"/>
          <w:lang w:val="es-ES"/>
        </w:rPr>
        <w:t xml:space="preserve"> sus derechos fundamentales</w:t>
      </w:r>
      <w:r w:rsidR="006806D7">
        <w:rPr>
          <w:rFonts w:ascii="Arial" w:hAnsi="Arial" w:cs="Arial"/>
          <w:lang w:val="es-ES"/>
        </w:rPr>
        <w:t>,</w:t>
      </w:r>
      <w:r w:rsidR="00CF7AF8" w:rsidRPr="006B0E81">
        <w:rPr>
          <w:rFonts w:ascii="Arial" w:hAnsi="Arial" w:cs="Arial"/>
        </w:rPr>
        <w:t xml:space="preserve"> </w:t>
      </w:r>
      <w:r w:rsidR="006806D7">
        <w:rPr>
          <w:rFonts w:ascii="Arial" w:hAnsi="Arial" w:cs="Arial"/>
        </w:rPr>
        <w:t>al incurrir</w:t>
      </w:r>
      <w:r w:rsidR="00CF7AF8">
        <w:rPr>
          <w:rFonts w:ascii="Arial" w:hAnsi="Arial" w:cs="Arial"/>
          <w:lang w:val="es-ES"/>
        </w:rPr>
        <w:t xml:space="preserve"> </w:t>
      </w:r>
      <w:r w:rsidR="006806D7">
        <w:rPr>
          <w:rFonts w:ascii="Arial" w:hAnsi="Arial" w:cs="Arial"/>
          <w:lang w:val="es-ES"/>
        </w:rPr>
        <w:t xml:space="preserve">con </w:t>
      </w:r>
      <w:r w:rsidR="00CF7AF8">
        <w:rPr>
          <w:rFonts w:ascii="Arial" w:hAnsi="Arial" w:cs="Arial"/>
          <w:lang w:val="es-ES"/>
        </w:rPr>
        <w:t xml:space="preserve">la providencia </w:t>
      </w:r>
      <w:r w:rsidR="0019224C">
        <w:rPr>
          <w:rFonts w:ascii="Arial" w:hAnsi="Arial" w:cs="Arial"/>
          <w:lang w:val="es-ES"/>
        </w:rPr>
        <w:t xml:space="preserve">dictada </w:t>
      </w:r>
      <w:r w:rsidR="006806D7">
        <w:rPr>
          <w:rFonts w:ascii="Arial" w:hAnsi="Arial" w:cs="Arial"/>
          <w:lang w:val="es-ES"/>
        </w:rPr>
        <w:t>en</w:t>
      </w:r>
      <w:r w:rsidR="004C4F37">
        <w:rPr>
          <w:rFonts w:ascii="Arial" w:hAnsi="Arial" w:cs="Arial"/>
          <w:lang w:val="es-ES"/>
        </w:rPr>
        <w:t xml:space="preserve"> un</w:t>
      </w:r>
      <w:r w:rsidR="004603ED">
        <w:rPr>
          <w:rFonts w:ascii="Arial" w:hAnsi="Arial" w:cs="Arial"/>
          <w:lang w:val="es-ES"/>
        </w:rPr>
        <w:t>:</w:t>
      </w:r>
    </w:p>
    <w:p w14:paraId="21DC8B44" w14:textId="77777777" w:rsidR="008E05D6" w:rsidRDefault="008E05D6" w:rsidP="00CF7AF8">
      <w:pPr>
        <w:pStyle w:val="Sinespaciado1"/>
        <w:spacing w:line="360" w:lineRule="auto"/>
        <w:jc w:val="both"/>
        <w:rPr>
          <w:rFonts w:ascii="Arial" w:hAnsi="Arial" w:cs="Arial"/>
          <w:lang w:val="es-ES"/>
        </w:rPr>
      </w:pPr>
    </w:p>
    <w:p w14:paraId="24D7711E" w14:textId="77777777" w:rsidR="00094328" w:rsidRPr="00410043" w:rsidRDefault="004603ED" w:rsidP="00184963">
      <w:pPr>
        <w:pStyle w:val="Sinespaciado1"/>
        <w:spacing w:line="360" w:lineRule="auto"/>
        <w:jc w:val="both"/>
        <w:rPr>
          <w:rFonts w:ascii="Arial" w:eastAsia="Dotum" w:hAnsi="Arial"/>
          <w:bCs/>
        </w:rPr>
      </w:pPr>
      <w:r>
        <w:rPr>
          <w:rFonts w:ascii="Arial" w:hAnsi="Arial" w:cs="Arial"/>
          <w:lang w:val="es-ES"/>
        </w:rPr>
        <w:t>1.</w:t>
      </w:r>
      <w:r w:rsidR="006806D7">
        <w:rPr>
          <w:rFonts w:ascii="Arial" w:hAnsi="Arial" w:cs="Arial"/>
          <w:lang w:val="es-ES"/>
        </w:rPr>
        <w:t>3.</w:t>
      </w:r>
      <w:r w:rsidR="008E05D6">
        <w:rPr>
          <w:rFonts w:ascii="Arial" w:hAnsi="Arial" w:cs="Arial"/>
          <w:lang w:val="es-ES"/>
        </w:rPr>
        <w:t>1.</w:t>
      </w:r>
      <w:r w:rsidR="006806D7">
        <w:rPr>
          <w:rFonts w:ascii="Arial" w:hAnsi="Arial" w:cs="Arial"/>
          <w:lang w:val="es-ES"/>
        </w:rPr>
        <w:t xml:space="preserve">- </w:t>
      </w:r>
      <w:r w:rsidRPr="00B53ADD">
        <w:rPr>
          <w:rFonts w:ascii="Arial" w:hAnsi="Arial" w:cs="Arial"/>
          <w:i/>
          <w:iCs/>
          <w:lang w:val="es-ES"/>
        </w:rPr>
        <w:t xml:space="preserve">Defecto </w:t>
      </w:r>
      <w:bookmarkStart w:id="0" w:name="_Hlk47424138"/>
      <w:r w:rsidRPr="00B53ADD">
        <w:rPr>
          <w:rFonts w:ascii="Arial" w:hAnsi="Arial" w:cs="Arial"/>
          <w:i/>
          <w:iCs/>
          <w:lang w:val="es-ES"/>
        </w:rPr>
        <w:t>sustantivo</w:t>
      </w:r>
      <w:r>
        <w:rPr>
          <w:rFonts w:ascii="Arial" w:hAnsi="Arial" w:cs="Arial"/>
          <w:lang w:val="es-ES"/>
        </w:rPr>
        <w:t xml:space="preserve"> </w:t>
      </w:r>
      <w:bookmarkEnd w:id="0"/>
      <w:r w:rsidR="00184963">
        <w:rPr>
          <w:rFonts w:ascii="Arial" w:hAnsi="Arial" w:cs="Arial"/>
          <w:lang w:val="es-ES"/>
        </w:rPr>
        <w:t>por realizar una interpretación</w:t>
      </w:r>
      <w:r w:rsidR="00B53ADD">
        <w:rPr>
          <w:rFonts w:ascii="Arial" w:hAnsi="Arial" w:cs="Arial"/>
          <w:lang w:val="es-ES"/>
        </w:rPr>
        <w:t xml:space="preserve"> y aplicación</w:t>
      </w:r>
      <w:r w:rsidR="00184963">
        <w:rPr>
          <w:rFonts w:ascii="Arial" w:hAnsi="Arial" w:cs="Arial"/>
          <w:lang w:val="es-ES"/>
        </w:rPr>
        <w:t xml:space="preserve"> irrazonable de</w:t>
      </w:r>
      <w:r w:rsidR="00177BE4">
        <w:rPr>
          <w:rFonts w:ascii="Arial" w:hAnsi="Arial" w:cs="Arial"/>
          <w:lang w:val="es-ES"/>
        </w:rPr>
        <w:t xml:space="preserve"> </w:t>
      </w:r>
      <w:r w:rsidR="00184963">
        <w:rPr>
          <w:rFonts w:ascii="Arial" w:hAnsi="Arial" w:cs="Arial"/>
          <w:lang w:val="es-ES"/>
        </w:rPr>
        <w:t>l</w:t>
      </w:r>
      <w:r w:rsidR="00177BE4">
        <w:rPr>
          <w:rFonts w:ascii="Arial" w:hAnsi="Arial" w:cs="Arial"/>
          <w:lang w:val="es-ES"/>
        </w:rPr>
        <w:t>os</w:t>
      </w:r>
      <w:r w:rsidR="00184963">
        <w:rPr>
          <w:rFonts w:ascii="Arial" w:hAnsi="Arial" w:cs="Arial"/>
          <w:lang w:val="es-ES"/>
        </w:rPr>
        <w:t xml:space="preserve"> artículo</w:t>
      </w:r>
      <w:r w:rsidR="00177BE4">
        <w:rPr>
          <w:rFonts w:ascii="Arial" w:hAnsi="Arial" w:cs="Arial"/>
          <w:lang w:val="es-ES"/>
        </w:rPr>
        <w:t>s 647</w:t>
      </w:r>
      <w:r w:rsidR="00B53ADD">
        <w:rPr>
          <w:rFonts w:ascii="Arial" w:hAnsi="Arial" w:cs="Arial"/>
          <w:lang w:val="es-ES"/>
        </w:rPr>
        <w:t xml:space="preserve"> (inexactitud en las declaraciones tributarias)</w:t>
      </w:r>
      <w:r w:rsidR="00177BE4">
        <w:rPr>
          <w:rFonts w:ascii="Arial" w:hAnsi="Arial" w:cs="Arial"/>
          <w:lang w:val="es-ES"/>
        </w:rPr>
        <w:t xml:space="preserve"> y</w:t>
      </w:r>
      <w:r w:rsidR="00184963">
        <w:rPr>
          <w:rFonts w:ascii="Arial" w:hAnsi="Arial" w:cs="Arial"/>
          <w:lang w:val="es-ES"/>
        </w:rPr>
        <w:t xml:space="preserve"> 647-1 </w:t>
      </w:r>
      <w:r w:rsidR="00B53ADD">
        <w:rPr>
          <w:rFonts w:ascii="Arial" w:hAnsi="Arial" w:cs="Arial"/>
          <w:lang w:val="es-ES"/>
        </w:rPr>
        <w:t>(</w:t>
      </w:r>
      <w:r w:rsidR="00586BB8">
        <w:rPr>
          <w:rFonts w:ascii="Arial" w:hAnsi="Arial" w:cs="Arial"/>
          <w:lang w:val="es-ES"/>
        </w:rPr>
        <w:t>rechazo o</w:t>
      </w:r>
      <w:r w:rsidR="00B53ADD">
        <w:rPr>
          <w:rFonts w:ascii="Arial" w:hAnsi="Arial" w:cs="Arial"/>
          <w:lang w:val="es-ES"/>
        </w:rPr>
        <w:t xml:space="preserve"> disminución de pérdidas) </w:t>
      </w:r>
      <w:r w:rsidR="00184963">
        <w:rPr>
          <w:rFonts w:ascii="Arial" w:hAnsi="Arial" w:cs="Arial"/>
          <w:lang w:val="es-ES"/>
        </w:rPr>
        <w:t>de</w:t>
      </w:r>
      <w:r w:rsidR="00177BE4">
        <w:rPr>
          <w:rFonts w:ascii="Arial" w:hAnsi="Arial" w:cs="Arial"/>
          <w:lang w:val="es-ES"/>
        </w:rPr>
        <w:t>l</w:t>
      </w:r>
      <w:r w:rsidR="00184963">
        <w:rPr>
          <w:rFonts w:ascii="Arial" w:hAnsi="Arial" w:cs="Arial"/>
          <w:lang w:val="es-ES"/>
        </w:rPr>
        <w:t xml:space="preserve"> E.T</w:t>
      </w:r>
      <w:r w:rsidR="00B677F8">
        <w:rPr>
          <w:rFonts w:ascii="Arial" w:hAnsi="Arial" w:cs="Arial"/>
          <w:lang w:val="es-ES"/>
        </w:rPr>
        <w:t>.</w:t>
      </w:r>
      <w:r w:rsidR="00B53ADD">
        <w:rPr>
          <w:rFonts w:ascii="Arial" w:hAnsi="Arial" w:cs="Arial"/>
          <w:lang w:val="es-ES"/>
        </w:rPr>
        <w:t xml:space="preserve">, al considerar que ambas </w:t>
      </w:r>
      <w:r w:rsidR="00586BB8">
        <w:rPr>
          <w:rFonts w:ascii="Arial" w:hAnsi="Arial" w:cs="Arial"/>
          <w:lang w:val="es-ES"/>
        </w:rPr>
        <w:t>norma</w:t>
      </w:r>
      <w:r w:rsidR="00B53ADD">
        <w:rPr>
          <w:rFonts w:ascii="Arial" w:hAnsi="Arial" w:cs="Arial"/>
          <w:lang w:val="es-ES"/>
        </w:rPr>
        <w:t>s son excluyentes</w:t>
      </w:r>
      <w:r w:rsidR="00094328">
        <w:rPr>
          <w:rFonts w:ascii="Arial" w:hAnsi="Arial" w:cs="Arial"/>
          <w:lang w:val="es-ES"/>
        </w:rPr>
        <w:t>,</w:t>
      </w:r>
      <w:r w:rsidR="00B53ADD">
        <w:rPr>
          <w:rFonts w:ascii="Arial" w:hAnsi="Arial" w:cs="Arial"/>
          <w:lang w:val="es-ES"/>
        </w:rPr>
        <w:t xml:space="preserve"> contraviniendo el objetivo de tales preceptos legales y </w:t>
      </w:r>
      <w:r w:rsidR="00D03FFD">
        <w:rPr>
          <w:rFonts w:ascii="Arial" w:hAnsi="Arial" w:cs="Arial"/>
          <w:lang w:val="es-ES"/>
        </w:rPr>
        <w:t>lo señalado en la sentencia C-910 de 2004 que declaró la constitucionalidad de este último</w:t>
      </w:r>
      <w:r w:rsidR="002E3CFD">
        <w:rPr>
          <w:rStyle w:val="Refdenotaalpie"/>
          <w:rFonts w:ascii="Arial" w:eastAsia="Dotum" w:hAnsi="Arial"/>
          <w:bCs/>
          <w:i/>
          <w:iCs/>
        </w:rPr>
        <w:footnoteReference w:id="5"/>
      </w:r>
      <w:r w:rsidR="00094328">
        <w:rPr>
          <w:rFonts w:ascii="Arial" w:hAnsi="Arial" w:cs="Arial"/>
          <w:lang w:val="es-ES"/>
        </w:rPr>
        <w:t>, en tanto las conductas reprochables de</w:t>
      </w:r>
      <w:r w:rsidR="00586BB8">
        <w:rPr>
          <w:rFonts w:ascii="Arial" w:hAnsi="Arial" w:cs="Arial"/>
          <w:lang w:val="es-ES"/>
        </w:rPr>
        <w:t>l</w:t>
      </w:r>
      <w:r w:rsidR="00094328">
        <w:rPr>
          <w:rFonts w:ascii="Arial" w:hAnsi="Arial" w:cs="Arial"/>
          <w:lang w:val="es-ES"/>
        </w:rPr>
        <w:t xml:space="preserve"> contribuyente son disímiles y </w:t>
      </w:r>
      <w:r w:rsidR="00094328" w:rsidRPr="0082708F">
        <w:rPr>
          <w:rFonts w:ascii="Arial" w:hAnsi="Arial" w:cs="Arial"/>
          <w:i/>
          <w:iCs/>
          <w:lang w:val="es-ES"/>
        </w:rPr>
        <w:t xml:space="preserve">“las bases para calcular una y otra son </w:t>
      </w:r>
      <w:r w:rsidR="00094328" w:rsidRPr="0082708F">
        <w:rPr>
          <w:rFonts w:ascii="Arial" w:hAnsi="Arial" w:cs="Arial"/>
          <w:i/>
          <w:iCs/>
          <w:lang w:val="es-ES"/>
        </w:rPr>
        <w:lastRenderedPageBreak/>
        <w:t>diferentes”</w:t>
      </w:r>
      <w:r w:rsidR="00094328" w:rsidRPr="005D5129">
        <w:rPr>
          <w:rStyle w:val="Refdenotaalpie"/>
          <w:rFonts w:ascii="Arial" w:hAnsi="Arial" w:cs="Arial"/>
          <w:lang w:val="es-ES"/>
        </w:rPr>
        <w:footnoteReference w:id="6"/>
      </w:r>
      <w:r w:rsidR="00D03FFD" w:rsidRPr="005D5129">
        <w:rPr>
          <w:rFonts w:ascii="Arial" w:hAnsi="Arial" w:cs="Arial"/>
          <w:lang w:val="es-ES"/>
        </w:rPr>
        <w:t>.</w:t>
      </w:r>
      <w:r w:rsidR="00873D04" w:rsidRPr="005D5129">
        <w:rPr>
          <w:rFonts w:ascii="Arial" w:hAnsi="Arial" w:cs="Arial"/>
          <w:lang w:val="es-ES"/>
        </w:rPr>
        <w:t xml:space="preserve"> </w:t>
      </w:r>
      <w:r w:rsidR="00094328">
        <w:rPr>
          <w:rFonts w:ascii="Arial" w:eastAsia="Dotum" w:hAnsi="Arial"/>
          <w:bCs/>
        </w:rPr>
        <w:t>A</w:t>
      </w:r>
      <w:r w:rsidR="00B677F8" w:rsidRPr="0082708F">
        <w:rPr>
          <w:rFonts w:ascii="Arial" w:eastAsia="Dotum" w:hAnsi="Arial"/>
          <w:bCs/>
        </w:rPr>
        <w:t>ñadió</w:t>
      </w:r>
      <w:r w:rsidR="00094328">
        <w:rPr>
          <w:rFonts w:ascii="Arial" w:eastAsia="Dotum" w:hAnsi="Arial"/>
          <w:bCs/>
        </w:rPr>
        <w:t xml:space="preserve"> que</w:t>
      </w:r>
      <w:r w:rsidR="00410043">
        <w:rPr>
          <w:rFonts w:ascii="Arial" w:eastAsia="Dotum" w:hAnsi="Arial"/>
          <w:bCs/>
        </w:rPr>
        <w:t>, por eso,</w:t>
      </w:r>
      <w:r w:rsidR="00410043" w:rsidRPr="00410043">
        <w:rPr>
          <w:rFonts w:ascii="Arial" w:eastAsia="Dotum" w:hAnsi="Arial"/>
          <w:bCs/>
        </w:rPr>
        <w:t xml:space="preserve"> </w:t>
      </w:r>
      <w:r w:rsidR="00410043">
        <w:rPr>
          <w:rFonts w:ascii="Arial" w:eastAsia="Dotum" w:hAnsi="Arial"/>
          <w:bCs/>
        </w:rPr>
        <w:t xml:space="preserve">no puede entenderse como una violación </w:t>
      </w:r>
      <w:r w:rsidR="00BF6DB1">
        <w:rPr>
          <w:rFonts w:ascii="Arial" w:eastAsia="Dotum" w:hAnsi="Arial"/>
          <w:bCs/>
        </w:rPr>
        <w:t>a</w:t>
      </w:r>
      <w:r w:rsidR="00410043">
        <w:rPr>
          <w:rFonts w:ascii="Arial" w:eastAsia="Dotum" w:hAnsi="Arial"/>
          <w:bCs/>
        </w:rPr>
        <w:t xml:space="preserve">l principio </w:t>
      </w:r>
      <w:r w:rsidR="00410043">
        <w:rPr>
          <w:rFonts w:ascii="Arial" w:eastAsia="Dotum" w:hAnsi="Arial"/>
          <w:bCs/>
          <w:i/>
          <w:iCs/>
        </w:rPr>
        <w:t>non bis in ídem</w:t>
      </w:r>
      <w:r w:rsidR="0082708F" w:rsidRPr="0082708F">
        <w:rPr>
          <w:rFonts w:ascii="Arial" w:eastAsia="Dotum" w:hAnsi="Arial"/>
          <w:bCs/>
        </w:rPr>
        <w:t xml:space="preserve"> e</w:t>
      </w:r>
      <w:r w:rsidR="00094328">
        <w:rPr>
          <w:rFonts w:ascii="Arial" w:eastAsia="Dotum" w:hAnsi="Arial"/>
          <w:bCs/>
        </w:rPr>
        <w:t xml:space="preserve">l hecho de </w:t>
      </w:r>
      <w:r w:rsidR="0082708F">
        <w:rPr>
          <w:rFonts w:ascii="Arial" w:eastAsia="Dotum" w:hAnsi="Arial"/>
          <w:bCs/>
        </w:rPr>
        <w:t>comprobar</w:t>
      </w:r>
      <w:r w:rsidR="00094328">
        <w:rPr>
          <w:rFonts w:ascii="Arial" w:eastAsia="Dotum" w:hAnsi="Arial"/>
          <w:bCs/>
        </w:rPr>
        <w:t>se</w:t>
      </w:r>
      <w:r w:rsidR="00114C5A">
        <w:rPr>
          <w:rFonts w:ascii="Arial" w:eastAsia="Dotum" w:hAnsi="Arial"/>
          <w:bCs/>
        </w:rPr>
        <w:t xml:space="preserve"> </w:t>
      </w:r>
      <w:r w:rsidR="00094328">
        <w:rPr>
          <w:rFonts w:ascii="Arial" w:eastAsia="Dotum" w:hAnsi="Arial"/>
          <w:bCs/>
        </w:rPr>
        <w:t>en una misma declaración</w:t>
      </w:r>
      <w:r w:rsidR="00114C5A">
        <w:rPr>
          <w:rFonts w:ascii="Arial" w:eastAsia="Dotum" w:hAnsi="Arial"/>
          <w:bCs/>
        </w:rPr>
        <w:t xml:space="preserve"> de renta </w:t>
      </w:r>
      <w:r w:rsidR="00094328">
        <w:rPr>
          <w:rFonts w:ascii="Arial" w:eastAsia="Dotum" w:hAnsi="Arial"/>
          <w:bCs/>
        </w:rPr>
        <w:t>la inclusión de conceptos inexistentes, falsos o desfigurados</w:t>
      </w:r>
      <w:r w:rsidR="00114C5A">
        <w:rPr>
          <w:rFonts w:ascii="Arial" w:eastAsia="Dotum" w:hAnsi="Arial"/>
          <w:bCs/>
        </w:rPr>
        <w:t xml:space="preserve">, que redundan tanto </w:t>
      </w:r>
      <w:r w:rsidR="00410043">
        <w:rPr>
          <w:rFonts w:ascii="Arial" w:eastAsia="Dotum" w:hAnsi="Arial"/>
          <w:bCs/>
        </w:rPr>
        <w:t>en</w:t>
      </w:r>
      <w:r w:rsidR="00114C5A">
        <w:rPr>
          <w:rFonts w:ascii="Arial" w:eastAsia="Dotum" w:hAnsi="Arial"/>
          <w:bCs/>
        </w:rPr>
        <w:t xml:space="preserve"> un menor impuesto a pagar o mayor saldo a favor, como </w:t>
      </w:r>
      <w:r w:rsidR="00410043">
        <w:rPr>
          <w:rFonts w:ascii="Arial" w:eastAsia="Dotum" w:hAnsi="Arial"/>
          <w:bCs/>
        </w:rPr>
        <w:t>en</w:t>
      </w:r>
      <w:r w:rsidR="00114C5A">
        <w:rPr>
          <w:rFonts w:ascii="Arial" w:eastAsia="Dotum" w:hAnsi="Arial"/>
          <w:bCs/>
        </w:rPr>
        <w:t xml:space="preserve"> una pérdida fiscal susceptible de compensación</w:t>
      </w:r>
      <w:r w:rsidR="008C75FD">
        <w:rPr>
          <w:rFonts w:ascii="Arial" w:eastAsia="Dotum" w:hAnsi="Arial"/>
          <w:bCs/>
        </w:rPr>
        <w:t xml:space="preserve"> en años gravables posteriores</w:t>
      </w:r>
      <w:r w:rsidR="00114C5A">
        <w:rPr>
          <w:rFonts w:ascii="Arial" w:eastAsia="Dotum" w:hAnsi="Arial"/>
          <w:bCs/>
        </w:rPr>
        <w:t xml:space="preserve">, </w:t>
      </w:r>
      <w:r w:rsidR="00410043">
        <w:rPr>
          <w:rFonts w:ascii="Arial" w:eastAsia="Dotum" w:hAnsi="Arial"/>
          <w:bCs/>
        </w:rPr>
        <w:t xml:space="preserve">por cuanto se sancionan dos </w:t>
      </w:r>
      <w:r w:rsidR="008C75FD">
        <w:rPr>
          <w:rFonts w:ascii="Arial" w:eastAsia="Dotum" w:hAnsi="Arial"/>
          <w:bCs/>
        </w:rPr>
        <w:t xml:space="preserve">infracciones tributarias </w:t>
      </w:r>
      <w:r w:rsidR="00410043">
        <w:rPr>
          <w:rFonts w:ascii="Arial" w:eastAsia="Dotum" w:hAnsi="Arial"/>
          <w:bCs/>
        </w:rPr>
        <w:t>por dos situaciones opuestas</w:t>
      </w:r>
      <w:r w:rsidR="00462F82">
        <w:rPr>
          <w:rStyle w:val="Refdenotaalpie"/>
          <w:rFonts w:ascii="Arial" w:eastAsia="Dotum" w:hAnsi="Arial"/>
          <w:bCs/>
        </w:rPr>
        <w:footnoteReference w:id="7"/>
      </w:r>
      <w:r w:rsidR="004B13DD">
        <w:rPr>
          <w:rFonts w:ascii="Arial" w:eastAsia="Dotum" w:hAnsi="Arial"/>
          <w:bCs/>
        </w:rPr>
        <w:t>,</w:t>
      </w:r>
      <w:r w:rsidR="008C75FD">
        <w:rPr>
          <w:rFonts w:ascii="Arial" w:eastAsia="Dotum" w:hAnsi="Arial"/>
          <w:bCs/>
        </w:rPr>
        <w:t xml:space="preserve"> que producen efectos nocivos para el fisco</w:t>
      </w:r>
      <w:r w:rsidR="00410043">
        <w:rPr>
          <w:rFonts w:ascii="Arial" w:eastAsia="Dotum" w:hAnsi="Arial"/>
          <w:bCs/>
        </w:rPr>
        <w:t>.</w:t>
      </w:r>
    </w:p>
    <w:p w14:paraId="781B5553" w14:textId="77777777" w:rsidR="00345626" w:rsidRDefault="0082708F" w:rsidP="00345626">
      <w:pPr>
        <w:pStyle w:val="Sinespaciado1"/>
        <w:spacing w:line="360" w:lineRule="auto"/>
        <w:jc w:val="both"/>
        <w:rPr>
          <w:rFonts w:ascii="Arial" w:hAnsi="Arial" w:cs="Arial"/>
          <w:lang w:val="es-ES"/>
        </w:rPr>
      </w:pPr>
      <w:r>
        <w:rPr>
          <w:rFonts w:ascii="Arial" w:eastAsia="Dotum" w:hAnsi="Arial"/>
          <w:bCs/>
        </w:rPr>
        <w:t xml:space="preserve"> </w:t>
      </w:r>
    </w:p>
    <w:p w14:paraId="4BA551A7" w14:textId="77777777" w:rsidR="00345626" w:rsidRDefault="004603ED" w:rsidP="00345626">
      <w:pPr>
        <w:pStyle w:val="Sinespaciado1"/>
        <w:spacing w:line="360" w:lineRule="auto"/>
        <w:jc w:val="both"/>
        <w:rPr>
          <w:rFonts w:ascii="Arial" w:hAnsi="Arial" w:cs="Arial"/>
          <w:lang w:val="es-ES"/>
        </w:rPr>
      </w:pPr>
      <w:r>
        <w:rPr>
          <w:rFonts w:ascii="Arial" w:hAnsi="Arial" w:cs="Arial"/>
          <w:lang w:val="es-ES"/>
        </w:rPr>
        <w:t>1.</w:t>
      </w:r>
      <w:r w:rsidR="00345626">
        <w:rPr>
          <w:rFonts w:ascii="Arial" w:hAnsi="Arial" w:cs="Arial"/>
          <w:lang w:val="es-ES"/>
        </w:rPr>
        <w:t>3.2.</w:t>
      </w:r>
      <w:r>
        <w:rPr>
          <w:rFonts w:ascii="Arial" w:hAnsi="Arial" w:cs="Arial"/>
          <w:lang w:val="es-ES"/>
        </w:rPr>
        <w:t>-</w:t>
      </w:r>
      <w:r w:rsidR="00345626">
        <w:rPr>
          <w:rFonts w:ascii="Arial" w:hAnsi="Arial" w:cs="Arial"/>
          <w:lang w:val="es-ES"/>
        </w:rPr>
        <w:t xml:space="preserve"> </w:t>
      </w:r>
      <w:r w:rsidRPr="004B13DD">
        <w:rPr>
          <w:rFonts w:ascii="Arial" w:hAnsi="Arial" w:cs="Arial"/>
          <w:i/>
          <w:iCs/>
          <w:lang w:val="es-ES"/>
        </w:rPr>
        <w:t>Desconocimiento del precedente</w:t>
      </w:r>
      <w:r w:rsidR="00EE66BF">
        <w:rPr>
          <w:rFonts w:ascii="Arial" w:hAnsi="Arial" w:cs="Arial"/>
          <w:lang w:val="es-ES"/>
        </w:rPr>
        <w:t xml:space="preserve">, por cuanto en la </w:t>
      </w:r>
      <w:r w:rsidR="00070896">
        <w:rPr>
          <w:rFonts w:ascii="Arial" w:hAnsi="Arial" w:cs="Arial"/>
          <w:lang w:val="es-ES"/>
        </w:rPr>
        <w:t>decisión enjuiciada l</w:t>
      </w:r>
      <w:r w:rsidR="000528E5">
        <w:rPr>
          <w:rFonts w:ascii="Arial" w:hAnsi="Arial" w:cs="Arial"/>
          <w:lang w:val="es-ES"/>
        </w:rPr>
        <w:t>a Sección Cuarta del</w:t>
      </w:r>
      <w:r w:rsidR="00070896">
        <w:rPr>
          <w:rFonts w:ascii="Arial" w:hAnsi="Arial" w:cs="Arial"/>
          <w:lang w:val="es-ES"/>
        </w:rPr>
        <w:t xml:space="preserve"> Consejo de Estado desatiende lo dispuesto por la Corte Constitucional en la sentencia C-910 de 2004, la cual encontró que el artículo 647-1 sanciona una conducta actual, consistente en incluir dentro de la declaración de renta valores mayores que los reales por concepto de pérdidas.</w:t>
      </w:r>
    </w:p>
    <w:p w14:paraId="203A614A" w14:textId="77777777" w:rsidR="00070896" w:rsidRDefault="00070896" w:rsidP="00345626">
      <w:pPr>
        <w:pStyle w:val="Sinespaciado1"/>
        <w:spacing w:line="360" w:lineRule="auto"/>
        <w:jc w:val="both"/>
        <w:rPr>
          <w:rFonts w:ascii="Arial" w:hAnsi="Arial" w:cs="Arial"/>
          <w:lang w:val="es-ES"/>
        </w:rPr>
      </w:pPr>
    </w:p>
    <w:p w14:paraId="7AB323C1" w14:textId="77777777" w:rsidR="00086EC1" w:rsidRDefault="00070896" w:rsidP="003844C4">
      <w:pPr>
        <w:pStyle w:val="Sinespaciado1"/>
        <w:spacing w:line="360" w:lineRule="auto"/>
        <w:jc w:val="both"/>
        <w:rPr>
          <w:rFonts w:ascii="Arial" w:hAnsi="Arial" w:cs="Arial"/>
          <w:lang w:val="es-ES"/>
        </w:rPr>
      </w:pPr>
      <w:r>
        <w:rPr>
          <w:rFonts w:ascii="Arial" w:hAnsi="Arial" w:cs="Arial"/>
          <w:lang w:val="es-ES"/>
        </w:rPr>
        <w:t xml:space="preserve">Adicionalmente, señaló que </w:t>
      </w:r>
      <w:r w:rsidR="000528E5">
        <w:rPr>
          <w:rFonts w:ascii="Arial" w:hAnsi="Arial" w:cs="Arial"/>
          <w:lang w:val="es-ES"/>
        </w:rPr>
        <w:t>se desconoce</w:t>
      </w:r>
      <w:r w:rsidR="00086EC1">
        <w:rPr>
          <w:rFonts w:ascii="Arial" w:hAnsi="Arial" w:cs="Arial"/>
          <w:lang w:val="es-ES"/>
        </w:rPr>
        <w:t xml:space="preserve"> la</w:t>
      </w:r>
      <w:r w:rsidR="000528E5">
        <w:rPr>
          <w:rFonts w:ascii="Arial" w:hAnsi="Arial" w:cs="Arial"/>
          <w:lang w:val="es-ES"/>
        </w:rPr>
        <w:t xml:space="preserve"> jurisprudencia que la misma Colegiatura ha emitido sobre la materia, como son las sentencias (i) del </w:t>
      </w:r>
      <w:r w:rsidR="000528E5">
        <w:rPr>
          <w:rFonts w:ascii="Arial" w:hAnsi="Arial"/>
          <w:lang w:val="es-ES_tradnl"/>
        </w:rPr>
        <w:t xml:space="preserve">13 de octubre de 2016, radicado No. 25000-23-27-000-2009-00206-01(19456); y (ii) del 05 de octubre de 2016, radicado </w:t>
      </w:r>
      <w:r w:rsidR="00086EC1">
        <w:rPr>
          <w:rFonts w:ascii="Arial" w:hAnsi="Arial"/>
          <w:lang w:val="es-ES_tradnl"/>
        </w:rPr>
        <w:t>No</w:t>
      </w:r>
      <w:r w:rsidR="000528E5">
        <w:rPr>
          <w:rFonts w:ascii="Arial" w:hAnsi="Arial"/>
          <w:lang w:val="es-ES_tradnl"/>
        </w:rPr>
        <w:t>. 76001-23-31-000-2010-00127-01</w:t>
      </w:r>
      <w:r w:rsidR="00086EC1">
        <w:rPr>
          <w:rFonts w:ascii="Arial" w:hAnsi="Arial"/>
          <w:lang w:val="es-ES_tradnl"/>
        </w:rPr>
        <w:t>(21051)</w:t>
      </w:r>
      <w:r w:rsidR="000528E5">
        <w:rPr>
          <w:rFonts w:ascii="Arial" w:hAnsi="Arial"/>
          <w:lang w:val="es-ES_tradnl"/>
        </w:rPr>
        <w:t xml:space="preserve">. </w:t>
      </w:r>
      <w:r w:rsidR="003844C4">
        <w:rPr>
          <w:rFonts w:ascii="Arial" w:hAnsi="Arial" w:cs="Arial"/>
          <w:lang w:val="es-ES"/>
        </w:rPr>
        <w:t>Proveídos en los cuales se</w:t>
      </w:r>
      <w:r w:rsidR="00086EC1" w:rsidRPr="00086EC1">
        <w:rPr>
          <w:rFonts w:ascii="Arial" w:hAnsi="Arial" w:cs="Arial"/>
          <w:lang w:val="es-ES"/>
        </w:rPr>
        <w:t xml:space="preserve"> ha</w:t>
      </w:r>
      <w:r w:rsidR="003844C4">
        <w:rPr>
          <w:rFonts w:ascii="Arial" w:hAnsi="Arial" w:cs="Arial"/>
          <w:lang w:val="es-ES"/>
        </w:rPr>
        <w:t xml:space="preserve"> </w:t>
      </w:r>
      <w:r w:rsidR="00873D04">
        <w:rPr>
          <w:rFonts w:ascii="Arial" w:hAnsi="Arial" w:cs="Arial"/>
          <w:lang w:val="es-ES"/>
        </w:rPr>
        <w:t>definido</w:t>
      </w:r>
      <w:r w:rsidR="003844C4">
        <w:rPr>
          <w:rFonts w:ascii="Arial" w:hAnsi="Arial" w:cs="Arial"/>
          <w:lang w:val="es-ES"/>
        </w:rPr>
        <w:t xml:space="preserve"> que</w:t>
      </w:r>
      <w:r w:rsidR="00086EC1" w:rsidRPr="00086EC1">
        <w:rPr>
          <w:rFonts w:ascii="Arial" w:hAnsi="Arial" w:cs="Arial"/>
          <w:lang w:val="es-ES"/>
        </w:rPr>
        <w:t xml:space="preserve"> la conducta sancionada en el artículo 647-1 </w:t>
      </w:r>
      <w:r w:rsidR="003844C4">
        <w:rPr>
          <w:rFonts w:ascii="Arial" w:hAnsi="Arial" w:cs="Arial"/>
          <w:lang w:val="es-ES"/>
        </w:rPr>
        <w:t xml:space="preserve">del </w:t>
      </w:r>
      <w:r w:rsidR="00086EC1" w:rsidRPr="00086EC1">
        <w:rPr>
          <w:rFonts w:ascii="Arial" w:hAnsi="Arial" w:cs="Arial"/>
          <w:lang w:val="es-ES"/>
        </w:rPr>
        <w:t>E</w:t>
      </w:r>
      <w:r w:rsidR="003844C4">
        <w:rPr>
          <w:rFonts w:ascii="Arial" w:hAnsi="Arial" w:cs="Arial"/>
          <w:lang w:val="es-ES"/>
        </w:rPr>
        <w:t>.</w:t>
      </w:r>
      <w:r w:rsidR="00086EC1" w:rsidRPr="00086EC1">
        <w:rPr>
          <w:rFonts w:ascii="Arial" w:hAnsi="Arial" w:cs="Arial"/>
          <w:lang w:val="es-ES"/>
        </w:rPr>
        <w:t>T</w:t>
      </w:r>
      <w:r w:rsidR="003844C4">
        <w:rPr>
          <w:rFonts w:ascii="Arial" w:hAnsi="Arial" w:cs="Arial"/>
          <w:lang w:val="es-ES"/>
        </w:rPr>
        <w:t>.</w:t>
      </w:r>
      <w:r w:rsidR="00086EC1" w:rsidRPr="00086EC1">
        <w:rPr>
          <w:rFonts w:ascii="Arial" w:hAnsi="Arial" w:cs="Arial"/>
          <w:lang w:val="es-ES"/>
        </w:rPr>
        <w:t xml:space="preserve"> es el hecho de declarar un mayor valor por concepto de pérdidas, </w:t>
      </w:r>
      <w:r w:rsidR="003844C4">
        <w:rPr>
          <w:rFonts w:ascii="Arial" w:hAnsi="Arial" w:cs="Arial"/>
          <w:lang w:val="es-ES"/>
        </w:rPr>
        <w:t>de modo que según</w:t>
      </w:r>
      <w:r w:rsidR="00086EC1" w:rsidRPr="00086EC1">
        <w:rPr>
          <w:rFonts w:ascii="Arial" w:hAnsi="Arial" w:cs="Arial"/>
          <w:lang w:val="es-ES"/>
        </w:rPr>
        <w:t xml:space="preserve"> el artículo 230 </w:t>
      </w:r>
      <w:r w:rsidR="003844C4">
        <w:rPr>
          <w:rFonts w:ascii="Arial" w:hAnsi="Arial" w:cs="Arial"/>
          <w:lang w:val="es-ES"/>
        </w:rPr>
        <w:t>constitucional</w:t>
      </w:r>
      <w:r w:rsidR="00086EC1" w:rsidRPr="00086EC1">
        <w:rPr>
          <w:rFonts w:ascii="Arial" w:hAnsi="Arial" w:cs="Arial"/>
          <w:lang w:val="es-ES"/>
        </w:rPr>
        <w:t xml:space="preserve"> y el respeto </w:t>
      </w:r>
      <w:r w:rsidR="003844C4">
        <w:rPr>
          <w:rFonts w:ascii="Arial" w:hAnsi="Arial" w:cs="Arial"/>
          <w:lang w:val="es-ES"/>
        </w:rPr>
        <w:t>por</w:t>
      </w:r>
      <w:r w:rsidR="00086EC1" w:rsidRPr="00086EC1">
        <w:rPr>
          <w:rFonts w:ascii="Arial" w:hAnsi="Arial" w:cs="Arial"/>
          <w:lang w:val="es-ES"/>
        </w:rPr>
        <w:t xml:space="preserve"> la seguridad jurídica y la igualdad, se debe decidir conforme a la regla </w:t>
      </w:r>
      <w:r w:rsidR="003844C4">
        <w:rPr>
          <w:rFonts w:ascii="Arial" w:hAnsi="Arial" w:cs="Arial"/>
          <w:lang w:val="es-ES"/>
        </w:rPr>
        <w:t>defin</w:t>
      </w:r>
      <w:r w:rsidR="00086EC1" w:rsidRPr="00086EC1">
        <w:rPr>
          <w:rFonts w:ascii="Arial" w:hAnsi="Arial" w:cs="Arial"/>
          <w:lang w:val="es-ES"/>
        </w:rPr>
        <w:t>ida en ellas</w:t>
      </w:r>
      <w:r w:rsidR="003844C4">
        <w:rPr>
          <w:rFonts w:ascii="Arial" w:hAnsi="Arial" w:cs="Arial"/>
          <w:lang w:val="es-ES"/>
        </w:rPr>
        <w:t>, pues a casos iguales similares consecuencias jurídicas</w:t>
      </w:r>
      <w:r w:rsidR="00086EC1" w:rsidRPr="00086EC1">
        <w:rPr>
          <w:rFonts w:ascii="Arial" w:hAnsi="Arial" w:cs="Arial"/>
          <w:lang w:val="es-ES"/>
        </w:rPr>
        <w:t xml:space="preserve">.  </w:t>
      </w:r>
    </w:p>
    <w:p w14:paraId="456F9514" w14:textId="77777777" w:rsidR="003844C4" w:rsidRDefault="003844C4" w:rsidP="00F65BA8">
      <w:pPr>
        <w:pStyle w:val="Sinespaciado1"/>
        <w:spacing w:line="360" w:lineRule="auto"/>
        <w:jc w:val="both"/>
        <w:rPr>
          <w:lang w:val="es-ES"/>
        </w:rPr>
      </w:pPr>
    </w:p>
    <w:p w14:paraId="64B704BE" w14:textId="77777777" w:rsidR="0011398C" w:rsidRDefault="006F0397" w:rsidP="00F65BA8">
      <w:pPr>
        <w:pStyle w:val="Cuadrculamedia21"/>
        <w:spacing w:line="360" w:lineRule="auto"/>
        <w:jc w:val="both"/>
        <w:rPr>
          <w:rFonts w:ascii="Arial" w:hAnsi="Arial" w:cs="Arial"/>
          <w:b/>
          <w:sz w:val="24"/>
          <w:szCs w:val="24"/>
        </w:rPr>
      </w:pPr>
      <w:r>
        <w:rPr>
          <w:rFonts w:ascii="Arial" w:hAnsi="Arial" w:cs="Arial"/>
          <w:b/>
          <w:sz w:val="24"/>
          <w:szCs w:val="24"/>
          <w:lang w:val="es-ES"/>
        </w:rPr>
        <w:t>1.</w:t>
      </w:r>
      <w:r w:rsidR="00C675FF">
        <w:rPr>
          <w:rFonts w:ascii="Arial" w:hAnsi="Arial" w:cs="Arial"/>
          <w:b/>
          <w:sz w:val="24"/>
          <w:szCs w:val="24"/>
          <w:lang w:val="es-ES"/>
        </w:rPr>
        <w:t>4</w:t>
      </w:r>
      <w:r w:rsidR="00096400" w:rsidRPr="00974846">
        <w:rPr>
          <w:rFonts w:ascii="Arial" w:hAnsi="Arial" w:cs="Arial"/>
          <w:b/>
          <w:sz w:val="24"/>
          <w:szCs w:val="24"/>
        </w:rPr>
        <w:t xml:space="preserve">.- </w:t>
      </w:r>
      <w:r w:rsidR="0011398C">
        <w:rPr>
          <w:rFonts w:ascii="Arial" w:hAnsi="Arial" w:cs="Arial"/>
          <w:b/>
          <w:sz w:val="24"/>
          <w:szCs w:val="24"/>
        </w:rPr>
        <w:t>Pretensi</w:t>
      </w:r>
      <w:r w:rsidR="00CE5FDF">
        <w:rPr>
          <w:rFonts w:ascii="Arial" w:hAnsi="Arial" w:cs="Arial"/>
          <w:b/>
          <w:sz w:val="24"/>
          <w:szCs w:val="24"/>
        </w:rPr>
        <w:t>o</w:t>
      </w:r>
      <w:r w:rsidR="0011398C">
        <w:rPr>
          <w:rFonts w:ascii="Arial" w:hAnsi="Arial" w:cs="Arial"/>
          <w:b/>
          <w:sz w:val="24"/>
          <w:szCs w:val="24"/>
        </w:rPr>
        <w:t>n</w:t>
      </w:r>
      <w:r w:rsidR="00CE5FDF">
        <w:rPr>
          <w:rFonts w:ascii="Arial" w:hAnsi="Arial" w:cs="Arial"/>
          <w:b/>
          <w:sz w:val="24"/>
          <w:szCs w:val="24"/>
        </w:rPr>
        <w:t>es</w:t>
      </w:r>
      <w:r w:rsidR="0011398C">
        <w:rPr>
          <w:rFonts w:ascii="Arial" w:hAnsi="Arial" w:cs="Arial"/>
          <w:b/>
          <w:sz w:val="24"/>
          <w:szCs w:val="24"/>
        </w:rPr>
        <w:t xml:space="preserve"> de la acción de tutela</w:t>
      </w:r>
    </w:p>
    <w:p w14:paraId="5C3DDD1D" w14:textId="77777777" w:rsidR="0011398C" w:rsidRPr="002D1D82" w:rsidRDefault="0011398C" w:rsidP="00F65BA8">
      <w:pPr>
        <w:pStyle w:val="Cuadrculamedia21"/>
        <w:spacing w:line="360" w:lineRule="auto"/>
        <w:jc w:val="both"/>
        <w:rPr>
          <w:rFonts w:ascii="Arial" w:hAnsi="Arial" w:cs="Arial"/>
          <w:b/>
          <w:sz w:val="24"/>
          <w:szCs w:val="24"/>
        </w:rPr>
      </w:pPr>
    </w:p>
    <w:p w14:paraId="4C58978C" w14:textId="77777777" w:rsidR="002D1D82" w:rsidRPr="002D1D82" w:rsidRDefault="00AB043D" w:rsidP="00C53BC5">
      <w:pPr>
        <w:pStyle w:val="Cuadrculamedia210"/>
        <w:spacing w:line="360" w:lineRule="auto"/>
        <w:jc w:val="both"/>
        <w:rPr>
          <w:rFonts w:ascii="Arial" w:hAnsi="Arial" w:cs="Arial"/>
          <w:sz w:val="24"/>
          <w:szCs w:val="24"/>
        </w:rPr>
      </w:pPr>
      <w:r w:rsidRPr="002D1D82">
        <w:rPr>
          <w:rFonts w:ascii="Arial" w:hAnsi="Arial" w:cs="Arial"/>
          <w:sz w:val="24"/>
          <w:szCs w:val="24"/>
        </w:rPr>
        <w:t>La</w:t>
      </w:r>
      <w:r w:rsidR="002D1D82" w:rsidRPr="002D1D82">
        <w:rPr>
          <w:rFonts w:ascii="Arial" w:hAnsi="Arial" w:cs="Arial"/>
          <w:sz w:val="24"/>
          <w:szCs w:val="24"/>
        </w:rPr>
        <w:t xml:space="preserve"> apoderada de la</w:t>
      </w:r>
      <w:r w:rsidRPr="002D1D82">
        <w:rPr>
          <w:rFonts w:ascii="Arial" w:hAnsi="Arial" w:cs="Arial"/>
          <w:sz w:val="24"/>
          <w:szCs w:val="24"/>
        </w:rPr>
        <w:t xml:space="preserve"> parte actora solicitó</w:t>
      </w:r>
      <w:r w:rsidR="002D1D82" w:rsidRPr="002D1D82">
        <w:rPr>
          <w:rFonts w:ascii="Arial" w:hAnsi="Arial" w:cs="Arial"/>
          <w:sz w:val="24"/>
          <w:szCs w:val="24"/>
        </w:rPr>
        <w:t>:</w:t>
      </w:r>
    </w:p>
    <w:p w14:paraId="7DBAB2EB" w14:textId="77777777" w:rsidR="002D1D82" w:rsidRPr="002D1D82" w:rsidRDefault="002D1D82" w:rsidP="00C53BC5">
      <w:pPr>
        <w:pStyle w:val="Cuadrculamedia210"/>
        <w:spacing w:line="360" w:lineRule="auto"/>
        <w:jc w:val="both"/>
        <w:rPr>
          <w:rFonts w:ascii="Arial" w:hAnsi="Arial" w:cs="Arial"/>
          <w:sz w:val="24"/>
          <w:szCs w:val="24"/>
        </w:rPr>
      </w:pPr>
    </w:p>
    <w:p w14:paraId="7E6ED222" w14:textId="77777777" w:rsidR="002D1D82" w:rsidRPr="002D1D82" w:rsidRDefault="002D1D82" w:rsidP="002D1D82">
      <w:pPr>
        <w:pStyle w:val="Cuadrculamedia21"/>
        <w:spacing w:line="276" w:lineRule="auto"/>
        <w:ind w:left="708" w:right="617"/>
        <w:jc w:val="both"/>
        <w:rPr>
          <w:rFonts w:ascii="Arial" w:hAnsi="Arial" w:cs="Arial"/>
        </w:rPr>
      </w:pPr>
      <w:r>
        <w:rPr>
          <w:rFonts w:ascii="Arial" w:hAnsi="Arial" w:cs="Arial"/>
        </w:rPr>
        <w:t>“</w:t>
      </w:r>
      <w:r w:rsidRPr="002D1D82">
        <w:rPr>
          <w:rFonts w:ascii="Arial" w:hAnsi="Arial" w:cs="Arial"/>
        </w:rPr>
        <w:t xml:space="preserve">6.1 Se tutele en favor de mi representada los derechos fundamentales al debido proceso, igualdad y los principios de buena fe, confianza legítima y seguridad jurídica, vulnerados con la sentencia proferida por parte del accionado, al incurrir </w:t>
      </w:r>
      <w:r w:rsidRPr="002D1D82">
        <w:rPr>
          <w:rFonts w:ascii="Arial" w:hAnsi="Arial" w:cs="Arial"/>
        </w:rPr>
        <w:lastRenderedPageBreak/>
        <w:t>en el defecto material o sustantivo por interpretación errónea de la ley y al desconocer los precedentes jurisprudencia</w:t>
      </w:r>
      <w:r>
        <w:rPr>
          <w:rFonts w:ascii="Arial" w:hAnsi="Arial" w:cs="Arial"/>
        </w:rPr>
        <w:t>l</w:t>
      </w:r>
      <w:r w:rsidRPr="002D1D82">
        <w:rPr>
          <w:rFonts w:ascii="Arial" w:hAnsi="Arial" w:cs="Arial"/>
        </w:rPr>
        <w:t xml:space="preserve">es. </w:t>
      </w:r>
    </w:p>
    <w:p w14:paraId="7C8070C9" w14:textId="77777777" w:rsidR="002D1D82" w:rsidRPr="002D1D82" w:rsidRDefault="002D1D82" w:rsidP="002D1D82">
      <w:pPr>
        <w:pStyle w:val="Cuadrculamedia21"/>
        <w:spacing w:line="276" w:lineRule="auto"/>
        <w:ind w:left="708" w:right="617"/>
        <w:jc w:val="both"/>
        <w:rPr>
          <w:rFonts w:ascii="Arial" w:hAnsi="Arial" w:cs="Arial"/>
        </w:rPr>
      </w:pPr>
    </w:p>
    <w:p w14:paraId="6673DAC2" w14:textId="77777777" w:rsidR="005C1912" w:rsidRPr="002D1D82" w:rsidRDefault="002D1D82" w:rsidP="002D1D82">
      <w:pPr>
        <w:pStyle w:val="Cuadrculamedia21"/>
        <w:spacing w:line="276" w:lineRule="auto"/>
        <w:ind w:left="708" w:right="617"/>
        <w:jc w:val="both"/>
        <w:rPr>
          <w:rFonts w:ascii="Arial" w:hAnsi="Arial" w:cs="Arial"/>
        </w:rPr>
      </w:pPr>
      <w:r w:rsidRPr="002D1D82">
        <w:rPr>
          <w:rFonts w:ascii="Arial" w:hAnsi="Arial" w:cs="Arial"/>
        </w:rPr>
        <w:t xml:space="preserve">6.2 Como consecuencia de lo anterior, solicito se ordene al Consejo de Estado - Sección Cuarta, que dentro del término de cuarenta y ocho horas (48) siguientes a la notificación de </w:t>
      </w:r>
      <w:r>
        <w:rPr>
          <w:rFonts w:ascii="Arial" w:hAnsi="Arial" w:cs="Arial"/>
        </w:rPr>
        <w:t xml:space="preserve">[la] </w:t>
      </w:r>
      <w:r w:rsidRPr="002D1D82">
        <w:rPr>
          <w:rFonts w:ascii="Arial" w:hAnsi="Arial" w:cs="Arial"/>
        </w:rPr>
        <w:t xml:space="preserve">sentencia de la presente acción, proceda a revocar la sentencia de segunda instancia proferida dentro del proceso judicial No. 73001233100020120032301 (21703) instaurado por GASEOSAS DE CÓRDOBA S.A., y en su lugar profiera un nuevo fallo con fundamento en la Constitución y atendiendo el marco estricto y taxativo legal dispuesto en los artículos 647 y 647-1 del ET, teniendo en cuenta los precedentes jurisprudenciales, en los términos señalados en la presente tutela; declarando que, en el caso bajo estudió </w:t>
      </w:r>
      <w:r>
        <w:rPr>
          <w:rFonts w:ascii="Arial" w:hAnsi="Arial" w:cs="Arial"/>
        </w:rPr>
        <w:t xml:space="preserve">[sic] </w:t>
      </w:r>
      <w:r w:rsidRPr="002D1D82">
        <w:rPr>
          <w:rFonts w:ascii="Arial" w:hAnsi="Arial" w:cs="Arial"/>
        </w:rPr>
        <w:t>con el actuar de la sociedad contribuyente se incurrió en las conductas sancionables descritas en los citados artículos</w:t>
      </w:r>
      <w:r>
        <w:rPr>
          <w:rFonts w:ascii="Arial" w:hAnsi="Arial" w:cs="Arial"/>
        </w:rPr>
        <w:t>”</w:t>
      </w:r>
      <w:r>
        <w:rPr>
          <w:rStyle w:val="Refdenotaalpie"/>
          <w:rFonts w:ascii="Arial" w:hAnsi="Arial" w:cs="Arial"/>
        </w:rPr>
        <w:footnoteReference w:id="8"/>
      </w:r>
      <w:r w:rsidR="004D039B">
        <w:rPr>
          <w:rFonts w:ascii="Arial" w:hAnsi="Arial" w:cs="Arial"/>
        </w:rPr>
        <w:t>.</w:t>
      </w:r>
    </w:p>
    <w:p w14:paraId="059C3B8B" w14:textId="77777777" w:rsidR="002D1D82" w:rsidRPr="002D1D82" w:rsidRDefault="002D1D82" w:rsidP="00C34182">
      <w:pPr>
        <w:pStyle w:val="Cuadrculamedia21"/>
        <w:spacing w:line="360" w:lineRule="auto"/>
        <w:jc w:val="both"/>
        <w:rPr>
          <w:rFonts w:ascii="Arial" w:hAnsi="Arial" w:cs="Arial"/>
          <w:b/>
          <w:sz w:val="24"/>
          <w:szCs w:val="24"/>
        </w:rPr>
      </w:pPr>
    </w:p>
    <w:p w14:paraId="55A4E8A9" w14:textId="77777777" w:rsidR="00096400" w:rsidRPr="002D1D82" w:rsidRDefault="006F0397" w:rsidP="00C34182">
      <w:pPr>
        <w:pStyle w:val="Cuadrculamedia21"/>
        <w:spacing w:line="360" w:lineRule="auto"/>
        <w:jc w:val="both"/>
        <w:rPr>
          <w:rFonts w:ascii="Arial" w:hAnsi="Arial" w:cs="Arial"/>
          <w:b/>
          <w:sz w:val="24"/>
          <w:szCs w:val="24"/>
        </w:rPr>
      </w:pPr>
      <w:r w:rsidRPr="002D1D82">
        <w:rPr>
          <w:rFonts w:ascii="Arial" w:hAnsi="Arial" w:cs="Arial"/>
          <w:b/>
          <w:sz w:val="24"/>
          <w:szCs w:val="24"/>
        </w:rPr>
        <w:t>2</w:t>
      </w:r>
      <w:r w:rsidR="0011398C" w:rsidRPr="002D1D82">
        <w:rPr>
          <w:rFonts w:ascii="Arial" w:hAnsi="Arial" w:cs="Arial"/>
          <w:b/>
          <w:sz w:val="24"/>
          <w:szCs w:val="24"/>
        </w:rPr>
        <w:t xml:space="preserve">.- </w:t>
      </w:r>
      <w:r w:rsidR="00096400" w:rsidRPr="002D1D82">
        <w:rPr>
          <w:rFonts w:ascii="Arial" w:hAnsi="Arial" w:cs="Arial"/>
          <w:b/>
          <w:sz w:val="24"/>
          <w:szCs w:val="24"/>
        </w:rPr>
        <w:t>Trámite de la acción de tutela en primera instancia</w:t>
      </w:r>
    </w:p>
    <w:p w14:paraId="327E78D5" w14:textId="77777777" w:rsidR="005A7C32" w:rsidRDefault="005A7C32" w:rsidP="00C34182">
      <w:pPr>
        <w:pStyle w:val="Sinespaciado1"/>
        <w:spacing w:line="360" w:lineRule="auto"/>
        <w:jc w:val="both"/>
        <w:rPr>
          <w:rFonts w:ascii="Arial" w:hAnsi="Arial" w:cs="Arial"/>
        </w:rPr>
      </w:pPr>
    </w:p>
    <w:p w14:paraId="38EE4A43" w14:textId="77777777" w:rsidR="006F0397" w:rsidRDefault="006F0397" w:rsidP="00C34182">
      <w:pPr>
        <w:pStyle w:val="Sinespaciado1"/>
        <w:spacing w:line="360" w:lineRule="auto"/>
        <w:jc w:val="both"/>
        <w:rPr>
          <w:rFonts w:ascii="Arial" w:hAnsi="Arial" w:cs="Arial"/>
        </w:rPr>
      </w:pPr>
      <w:r>
        <w:rPr>
          <w:rFonts w:ascii="Arial" w:hAnsi="Arial" w:cs="Arial"/>
        </w:rPr>
        <w:t>2</w:t>
      </w:r>
      <w:r w:rsidR="00096400" w:rsidRPr="00974846">
        <w:rPr>
          <w:rFonts w:ascii="Arial" w:hAnsi="Arial" w:cs="Arial"/>
        </w:rPr>
        <w:t xml:space="preserve">.1.- </w:t>
      </w:r>
      <w:r w:rsidR="00DA72F4">
        <w:rPr>
          <w:rFonts w:ascii="Arial" w:hAnsi="Arial" w:cs="Arial"/>
        </w:rPr>
        <w:t xml:space="preserve">Mediante </w:t>
      </w:r>
      <w:r w:rsidR="00096400" w:rsidRPr="00974846">
        <w:rPr>
          <w:rFonts w:ascii="Arial" w:hAnsi="Arial" w:cs="Arial"/>
        </w:rPr>
        <w:t>auto de</w:t>
      </w:r>
      <w:r w:rsidR="00DA72F4">
        <w:rPr>
          <w:rFonts w:ascii="Arial" w:hAnsi="Arial" w:cs="Arial"/>
        </w:rPr>
        <w:t>l</w:t>
      </w:r>
      <w:r w:rsidR="00096400" w:rsidRPr="00974846">
        <w:rPr>
          <w:rFonts w:ascii="Arial" w:hAnsi="Arial" w:cs="Arial"/>
        </w:rPr>
        <w:t xml:space="preserve"> </w:t>
      </w:r>
      <w:r>
        <w:rPr>
          <w:rFonts w:ascii="Arial" w:hAnsi="Arial" w:cs="Arial"/>
        </w:rPr>
        <w:t>0</w:t>
      </w:r>
      <w:r w:rsidR="002D1D82">
        <w:rPr>
          <w:rFonts w:ascii="Arial" w:hAnsi="Arial" w:cs="Arial"/>
        </w:rPr>
        <w:t>2</w:t>
      </w:r>
      <w:r w:rsidR="00533D58" w:rsidRPr="00D660C6">
        <w:rPr>
          <w:rFonts w:ascii="Arial" w:hAnsi="Arial" w:cs="Arial"/>
        </w:rPr>
        <w:t xml:space="preserve"> de </w:t>
      </w:r>
      <w:r>
        <w:rPr>
          <w:rFonts w:ascii="Arial" w:hAnsi="Arial" w:cs="Arial"/>
        </w:rPr>
        <w:t>ma</w:t>
      </w:r>
      <w:r w:rsidR="002D1D82">
        <w:rPr>
          <w:rFonts w:ascii="Arial" w:hAnsi="Arial" w:cs="Arial"/>
        </w:rPr>
        <w:t>rz</w:t>
      </w:r>
      <w:r w:rsidR="00533D58" w:rsidRPr="00D660C6">
        <w:rPr>
          <w:rFonts w:ascii="Arial" w:hAnsi="Arial" w:cs="Arial"/>
        </w:rPr>
        <w:t>o de 2020</w:t>
      </w:r>
      <w:r w:rsidR="00533D58">
        <w:rPr>
          <w:rFonts w:ascii="Arial" w:hAnsi="Arial" w:cs="Arial"/>
        </w:rPr>
        <w:t xml:space="preserve"> </w:t>
      </w:r>
      <w:r w:rsidR="00096400" w:rsidRPr="00974846">
        <w:rPr>
          <w:rFonts w:ascii="Arial" w:hAnsi="Arial" w:cs="Arial"/>
        </w:rPr>
        <w:t>l</w:t>
      </w:r>
      <w:r w:rsidR="00AB034F">
        <w:rPr>
          <w:rFonts w:ascii="Arial" w:hAnsi="Arial" w:cs="Arial"/>
        </w:rPr>
        <w:t xml:space="preserve">a </w:t>
      </w:r>
      <w:r w:rsidR="002D1D82">
        <w:rPr>
          <w:rFonts w:ascii="Arial" w:hAnsi="Arial" w:cs="Arial"/>
        </w:rPr>
        <w:t xml:space="preserve">Subsección A de la </w:t>
      </w:r>
      <w:r w:rsidR="00AB034F">
        <w:rPr>
          <w:rFonts w:ascii="Arial" w:hAnsi="Arial" w:cs="Arial"/>
        </w:rPr>
        <w:t xml:space="preserve">Sección </w:t>
      </w:r>
      <w:r w:rsidR="002D1D82">
        <w:rPr>
          <w:rFonts w:ascii="Arial" w:hAnsi="Arial" w:cs="Arial"/>
        </w:rPr>
        <w:t>Segund</w:t>
      </w:r>
      <w:r w:rsidR="00AB034F">
        <w:rPr>
          <w:rFonts w:ascii="Arial" w:hAnsi="Arial" w:cs="Arial"/>
        </w:rPr>
        <w:t>a del Consejo de Estado</w:t>
      </w:r>
      <w:r w:rsidR="00096400">
        <w:rPr>
          <w:rFonts w:ascii="Arial" w:hAnsi="Arial" w:cs="Arial"/>
        </w:rPr>
        <w:t xml:space="preserve"> </w:t>
      </w:r>
      <w:r w:rsidR="00096400" w:rsidRPr="00974846">
        <w:rPr>
          <w:rFonts w:ascii="Arial" w:hAnsi="Arial" w:cs="Arial"/>
        </w:rPr>
        <w:t>admitió la acción de tutela</w:t>
      </w:r>
      <w:r>
        <w:rPr>
          <w:rFonts w:ascii="Arial" w:hAnsi="Arial" w:cs="Arial"/>
        </w:rPr>
        <w:t xml:space="preserve"> y ordenó </w:t>
      </w:r>
      <w:r w:rsidR="00096400" w:rsidRPr="00081D5D">
        <w:rPr>
          <w:rFonts w:ascii="Arial" w:hAnsi="Arial" w:cs="Arial"/>
        </w:rPr>
        <w:t>notifica</w:t>
      </w:r>
      <w:r>
        <w:rPr>
          <w:rFonts w:ascii="Arial" w:hAnsi="Arial" w:cs="Arial"/>
        </w:rPr>
        <w:t>r</w:t>
      </w:r>
      <w:r w:rsidR="00096400" w:rsidRPr="00081D5D">
        <w:rPr>
          <w:rFonts w:ascii="Arial" w:hAnsi="Arial" w:cs="Arial"/>
        </w:rPr>
        <w:t xml:space="preserve"> a</w:t>
      </w:r>
      <w:r w:rsidR="00533D58">
        <w:rPr>
          <w:rFonts w:ascii="Arial" w:hAnsi="Arial" w:cs="Arial"/>
        </w:rPr>
        <w:t xml:space="preserve"> l</w:t>
      </w:r>
      <w:r w:rsidR="002D1D82">
        <w:rPr>
          <w:rFonts w:ascii="Arial" w:hAnsi="Arial" w:cs="Arial"/>
        </w:rPr>
        <w:t>a Sección Cuarta de esta Corporación y, como terceros interesados</w:t>
      </w:r>
      <w:r w:rsidR="00BF6DB1">
        <w:rPr>
          <w:rFonts w:ascii="Arial" w:hAnsi="Arial" w:cs="Arial"/>
        </w:rPr>
        <w:t>,</w:t>
      </w:r>
      <w:r w:rsidR="002D1D82">
        <w:rPr>
          <w:rFonts w:ascii="Arial" w:hAnsi="Arial" w:cs="Arial"/>
        </w:rPr>
        <w:t xml:space="preserve"> a Gaseosas de Córdoba S.A.</w:t>
      </w:r>
      <w:r w:rsidR="00533D58">
        <w:rPr>
          <w:rFonts w:ascii="Arial" w:hAnsi="Arial" w:cs="Arial"/>
        </w:rPr>
        <w:t xml:space="preserve"> </w:t>
      </w:r>
      <w:r w:rsidR="002D1D82">
        <w:rPr>
          <w:rFonts w:ascii="Arial" w:hAnsi="Arial" w:cs="Arial"/>
        </w:rPr>
        <w:t xml:space="preserve">y </w:t>
      </w:r>
      <w:r w:rsidR="002D1D82">
        <w:rPr>
          <w:rFonts w:ascii="Arial" w:hAnsi="Arial"/>
          <w:lang w:val="es-MX" w:bidi="en-US"/>
        </w:rPr>
        <w:t>a todas las demás personas que actuaron como demandadas, demandantes, coadyuvantes, litisconsortes necesarios, terceros interesados y demás intervinientes</w:t>
      </w:r>
      <w:r w:rsidR="00A11E4F">
        <w:rPr>
          <w:rFonts w:ascii="Arial" w:hAnsi="Arial" w:cs="Arial"/>
        </w:rPr>
        <w:t xml:space="preserve"> </w:t>
      </w:r>
      <w:r w:rsidR="002D1D82">
        <w:rPr>
          <w:rFonts w:ascii="Arial" w:hAnsi="Arial" w:cs="Arial"/>
        </w:rPr>
        <w:t>en el proceso de nulidad y restablecimiento del derecho.</w:t>
      </w:r>
    </w:p>
    <w:p w14:paraId="28A3BFBD" w14:textId="77777777" w:rsidR="005A7C32" w:rsidRDefault="005A7C32" w:rsidP="00C34182">
      <w:pPr>
        <w:pStyle w:val="Cuadrculamedia21"/>
        <w:spacing w:line="360" w:lineRule="auto"/>
        <w:jc w:val="both"/>
        <w:rPr>
          <w:rFonts w:ascii="Arial" w:hAnsi="Arial" w:cs="Arial"/>
          <w:sz w:val="24"/>
          <w:szCs w:val="24"/>
        </w:rPr>
      </w:pPr>
    </w:p>
    <w:p w14:paraId="2CFF6F82" w14:textId="77777777" w:rsidR="006D3A96" w:rsidRDefault="006F0397" w:rsidP="00D10092">
      <w:pPr>
        <w:pStyle w:val="Cuadrculamedia21"/>
        <w:spacing w:line="360" w:lineRule="auto"/>
        <w:jc w:val="both"/>
        <w:rPr>
          <w:rFonts w:ascii="Arial" w:hAnsi="Arial" w:cs="Arial"/>
          <w:sz w:val="24"/>
          <w:szCs w:val="24"/>
        </w:rPr>
      </w:pPr>
      <w:r>
        <w:rPr>
          <w:rFonts w:ascii="Arial" w:hAnsi="Arial" w:cs="Arial"/>
          <w:sz w:val="24"/>
          <w:szCs w:val="24"/>
        </w:rPr>
        <w:t>2</w:t>
      </w:r>
      <w:r w:rsidR="00096400">
        <w:rPr>
          <w:rFonts w:ascii="Arial" w:hAnsi="Arial" w:cs="Arial"/>
          <w:sz w:val="24"/>
          <w:szCs w:val="24"/>
        </w:rPr>
        <w:t>.</w:t>
      </w:r>
      <w:r w:rsidR="00C302D1">
        <w:rPr>
          <w:rFonts w:ascii="Arial" w:hAnsi="Arial" w:cs="Arial"/>
          <w:sz w:val="24"/>
          <w:szCs w:val="24"/>
        </w:rPr>
        <w:t>2.</w:t>
      </w:r>
      <w:r w:rsidR="00096400" w:rsidRPr="005D0B7E">
        <w:rPr>
          <w:rFonts w:ascii="Arial" w:hAnsi="Arial" w:cs="Arial"/>
          <w:sz w:val="24"/>
          <w:szCs w:val="24"/>
        </w:rPr>
        <w:t xml:space="preserve">- </w:t>
      </w:r>
      <w:r w:rsidR="002D1D82">
        <w:rPr>
          <w:rFonts w:ascii="Arial" w:hAnsi="Arial" w:cs="Arial"/>
          <w:sz w:val="24"/>
          <w:szCs w:val="24"/>
        </w:rPr>
        <w:t>La Sección Cuarta del Consejo de Estado</w:t>
      </w:r>
      <w:r w:rsidR="001A17C0">
        <w:rPr>
          <w:rFonts w:ascii="Arial" w:hAnsi="Arial" w:cs="Arial"/>
          <w:sz w:val="24"/>
          <w:szCs w:val="24"/>
        </w:rPr>
        <w:t xml:space="preserve"> </w:t>
      </w:r>
      <w:r w:rsidR="001A17C0" w:rsidRPr="00900EDA">
        <w:rPr>
          <w:rFonts w:ascii="Arial" w:hAnsi="Arial" w:cs="Arial"/>
          <w:sz w:val="24"/>
          <w:szCs w:val="24"/>
        </w:rPr>
        <w:t>solicitó</w:t>
      </w:r>
      <w:r w:rsidR="001A17C0">
        <w:rPr>
          <w:rFonts w:ascii="Arial" w:hAnsi="Arial" w:cs="Arial"/>
          <w:sz w:val="24"/>
          <w:szCs w:val="24"/>
        </w:rPr>
        <w:t xml:space="preserve"> </w:t>
      </w:r>
      <w:r w:rsidR="00D10092">
        <w:rPr>
          <w:rFonts w:ascii="Arial" w:hAnsi="Arial" w:cs="Arial"/>
          <w:sz w:val="24"/>
          <w:szCs w:val="24"/>
        </w:rPr>
        <w:t xml:space="preserve">declarar improcedente el </w:t>
      </w:r>
      <w:r w:rsidR="001A17C0">
        <w:rPr>
          <w:rFonts w:ascii="Arial" w:hAnsi="Arial" w:cs="Arial"/>
          <w:sz w:val="24"/>
          <w:szCs w:val="24"/>
        </w:rPr>
        <w:t xml:space="preserve">amparo </w:t>
      </w:r>
      <w:r w:rsidR="00D10092">
        <w:rPr>
          <w:rFonts w:ascii="Arial" w:hAnsi="Arial" w:cs="Arial"/>
          <w:sz w:val="24"/>
          <w:szCs w:val="24"/>
        </w:rPr>
        <w:t xml:space="preserve">o, en su defecto, negar las súplicas de la demanda. </w:t>
      </w:r>
      <w:r w:rsidR="006D4680">
        <w:rPr>
          <w:rFonts w:ascii="Arial" w:hAnsi="Arial" w:cs="Arial"/>
          <w:sz w:val="24"/>
          <w:szCs w:val="24"/>
        </w:rPr>
        <w:t xml:space="preserve">Ello en razón </w:t>
      </w:r>
      <w:r w:rsidR="006D3A96">
        <w:rPr>
          <w:rFonts w:ascii="Arial" w:hAnsi="Arial" w:cs="Arial"/>
          <w:sz w:val="24"/>
          <w:szCs w:val="24"/>
        </w:rPr>
        <w:t>a</w:t>
      </w:r>
      <w:r w:rsidR="006D4680">
        <w:rPr>
          <w:rFonts w:ascii="Arial" w:hAnsi="Arial" w:cs="Arial"/>
          <w:sz w:val="24"/>
          <w:szCs w:val="24"/>
        </w:rPr>
        <w:t xml:space="preserve"> </w:t>
      </w:r>
      <w:r w:rsidR="00D10092">
        <w:rPr>
          <w:rFonts w:ascii="Arial" w:hAnsi="Arial" w:cs="Arial"/>
          <w:sz w:val="24"/>
          <w:szCs w:val="24"/>
        </w:rPr>
        <w:t>que</w:t>
      </w:r>
      <w:r w:rsidR="001A17C0">
        <w:rPr>
          <w:rFonts w:ascii="Arial" w:hAnsi="Arial" w:cs="Arial"/>
          <w:sz w:val="24"/>
          <w:szCs w:val="24"/>
        </w:rPr>
        <w:t xml:space="preserve"> (i) no se </w:t>
      </w:r>
      <w:r w:rsidR="00D10092">
        <w:rPr>
          <w:rFonts w:ascii="Arial" w:hAnsi="Arial" w:cs="Arial"/>
          <w:sz w:val="24"/>
          <w:szCs w:val="24"/>
        </w:rPr>
        <w:t>vulnera</w:t>
      </w:r>
      <w:r w:rsidR="009A42E1">
        <w:rPr>
          <w:rFonts w:ascii="Arial" w:hAnsi="Arial" w:cs="Arial"/>
          <w:sz w:val="24"/>
          <w:szCs w:val="24"/>
        </w:rPr>
        <w:t>r</w:t>
      </w:r>
      <w:r w:rsidR="00D10092">
        <w:rPr>
          <w:rFonts w:ascii="Arial" w:hAnsi="Arial" w:cs="Arial"/>
          <w:sz w:val="24"/>
          <w:szCs w:val="24"/>
        </w:rPr>
        <w:t>o</w:t>
      </w:r>
      <w:r w:rsidR="009A42E1">
        <w:rPr>
          <w:rFonts w:ascii="Arial" w:hAnsi="Arial" w:cs="Arial"/>
          <w:sz w:val="24"/>
          <w:szCs w:val="24"/>
        </w:rPr>
        <w:t>n</w:t>
      </w:r>
      <w:r w:rsidR="00D10092">
        <w:rPr>
          <w:rFonts w:ascii="Arial" w:hAnsi="Arial" w:cs="Arial"/>
          <w:sz w:val="24"/>
          <w:szCs w:val="24"/>
        </w:rPr>
        <w:t xml:space="preserve"> derechos fundamentales y, por el contrario, la actuación se ajust</w:t>
      </w:r>
      <w:r w:rsidR="009A42E1">
        <w:rPr>
          <w:rFonts w:ascii="Arial" w:hAnsi="Arial" w:cs="Arial"/>
          <w:sz w:val="24"/>
          <w:szCs w:val="24"/>
        </w:rPr>
        <w:t>ó</w:t>
      </w:r>
      <w:r w:rsidR="00D10092">
        <w:rPr>
          <w:rFonts w:ascii="Arial" w:hAnsi="Arial" w:cs="Arial"/>
          <w:sz w:val="24"/>
          <w:szCs w:val="24"/>
        </w:rPr>
        <w:t xml:space="preserve"> a lo dispuesto por la ley;</w:t>
      </w:r>
      <w:r w:rsidR="006D3A96">
        <w:rPr>
          <w:rFonts w:ascii="Arial" w:hAnsi="Arial" w:cs="Arial"/>
          <w:sz w:val="24"/>
          <w:szCs w:val="24"/>
        </w:rPr>
        <w:t xml:space="preserve"> </w:t>
      </w:r>
      <w:r w:rsidR="00D10092">
        <w:rPr>
          <w:rFonts w:ascii="Arial" w:hAnsi="Arial" w:cs="Arial"/>
          <w:sz w:val="24"/>
          <w:szCs w:val="24"/>
        </w:rPr>
        <w:t>(ii) el asunto planteado carece de relevancia constitucional y no puede emplearse como una instancia adicional para discutir discrepancias o</w:t>
      </w:r>
      <w:r w:rsidR="001A17C0">
        <w:rPr>
          <w:rFonts w:ascii="Arial" w:hAnsi="Arial" w:cs="Arial"/>
          <w:sz w:val="24"/>
          <w:szCs w:val="24"/>
        </w:rPr>
        <w:t xml:space="preserve"> inconformidad</w:t>
      </w:r>
      <w:r w:rsidR="00D10092">
        <w:rPr>
          <w:rFonts w:ascii="Arial" w:hAnsi="Arial" w:cs="Arial"/>
          <w:sz w:val="24"/>
          <w:szCs w:val="24"/>
        </w:rPr>
        <w:t>es</w:t>
      </w:r>
      <w:r w:rsidR="001A17C0">
        <w:rPr>
          <w:rFonts w:ascii="Arial" w:hAnsi="Arial" w:cs="Arial"/>
          <w:sz w:val="24"/>
          <w:szCs w:val="24"/>
        </w:rPr>
        <w:t xml:space="preserve"> con la decisión</w:t>
      </w:r>
      <w:r w:rsidR="008E56FF">
        <w:rPr>
          <w:rFonts w:ascii="Arial" w:hAnsi="Arial" w:cs="Arial"/>
          <w:sz w:val="24"/>
          <w:szCs w:val="24"/>
        </w:rPr>
        <w:t>;</w:t>
      </w:r>
      <w:r w:rsidR="006D3A96">
        <w:rPr>
          <w:rFonts w:ascii="Arial" w:hAnsi="Arial" w:cs="Arial"/>
          <w:sz w:val="24"/>
          <w:szCs w:val="24"/>
        </w:rPr>
        <w:t xml:space="preserve"> y (iii) la </w:t>
      </w:r>
      <w:r w:rsidR="001E1779">
        <w:rPr>
          <w:rFonts w:ascii="Arial" w:hAnsi="Arial" w:cs="Arial"/>
          <w:sz w:val="24"/>
          <w:szCs w:val="24"/>
        </w:rPr>
        <w:t>providencia</w:t>
      </w:r>
      <w:r w:rsidR="006D3A96">
        <w:rPr>
          <w:rFonts w:ascii="Arial" w:hAnsi="Arial" w:cs="Arial"/>
          <w:sz w:val="24"/>
          <w:szCs w:val="24"/>
        </w:rPr>
        <w:t xml:space="preserve"> no realizó una interpretación contrari</w:t>
      </w:r>
      <w:r w:rsidR="009A42E1">
        <w:rPr>
          <w:rFonts w:ascii="Arial" w:hAnsi="Arial" w:cs="Arial"/>
          <w:sz w:val="24"/>
          <w:szCs w:val="24"/>
        </w:rPr>
        <w:t>a</w:t>
      </w:r>
      <w:r w:rsidR="006D3A96">
        <w:rPr>
          <w:rFonts w:ascii="Arial" w:hAnsi="Arial" w:cs="Arial"/>
          <w:sz w:val="24"/>
          <w:szCs w:val="24"/>
        </w:rPr>
        <w:t xml:space="preserve"> a los postulados mínimos de la razonabilidad jurídica o que result</w:t>
      </w:r>
      <w:r w:rsidR="00BF6DB1">
        <w:rPr>
          <w:rFonts w:ascii="Arial" w:hAnsi="Arial" w:cs="Arial"/>
          <w:sz w:val="24"/>
          <w:szCs w:val="24"/>
        </w:rPr>
        <w:t>e</w:t>
      </w:r>
      <w:r w:rsidR="006D3A96">
        <w:rPr>
          <w:rFonts w:ascii="Arial" w:hAnsi="Arial" w:cs="Arial"/>
          <w:sz w:val="24"/>
          <w:szCs w:val="24"/>
        </w:rPr>
        <w:t xml:space="preserve"> incompatible con la Constitución, pues lo concluido obedeció a un estudio juicioso de las normas aplicables al caso, en ejercicio de la autonomía e independencia de los jueces. Frente a este último aspecto, </w:t>
      </w:r>
      <w:r w:rsidR="006D3A96" w:rsidRPr="006D3A96">
        <w:rPr>
          <w:rFonts w:ascii="Arial" w:hAnsi="Arial" w:cs="Arial"/>
          <w:sz w:val="24"/>
          <w:szCs w:val="24"/>
        </w:rPr>
        <w:t>enfatizó</w:t>
      </w:r>
      <w:r w:rsidR="006D3A96">
        <w:rPr>
          <w:rFonts w:ascii="Arial" w:hAnsi="Arial" w:cs="Arial"/>
          <w:sz w:val="24"/>
          <w:szCs w:val="24"/>
        </w:rPr>
        <w:t xml:space="preserve"> que:</w:t>
      </w:r>
    </w:p>
    <w:p w14:paraId="5E658A64" w14:textId="77777777" w:rsidR="006D3A96" w:rsidRDefault="006D3A96" w:rsidP="00D10092">
      <w:pPr>
        <w:pStyle w:val="Cuadrculamedia21"/>
        <w:spacing w:line="360" w:lineRule="auto"/>
        <w:jc w:val="both"/>
        <w:rPr>
          <w:rFonts w:ascii="Arial" w:hAnsi="Arial" w:cs="Arial"/>
          <w:sz w:val="24"/>
          <w:szCs w:val="24"/>
        </w:rPr>
      </w:pPr>
    </w:p>
    <w:p w14:paraId="787B190F" w14:textId="77777777" w:rsidR="006F0397" w:rsidRPr="006D3A96" w:rsidRDefault="006D3A96" w:rsidP="006D3A96">
      <w:pPr>
        <w:pStyle w:val="Cuadrculamedia21"/>
        <w:spacing w:line="276" w:lineRule="auto"/>
        <w:ind w:left="708" w:right="617"/>
        <w:jc w:val="both"/>
        <w:rPr>
          <w:rFonts w:ascii="Arial" w:hAnsi="Arial" w:cs="Arial"/>
        </w:rPr>
      </w:pPr>
      <w:r>
        <w:rPr>
          <w:rFonts w:ascii="Arial" w:hAnsi="Arial" w:cs="Arial"/>
        </w:rPr>
        <w:lastRenderedPageBreak/>
        <w:t>“(…)</w:t>
      </w:r>
      <w:r w:rsidRPr="006D3A96">
        <w:rPr>
          <w:rFonts w:ascii="Arial" w:hAnsi="Arial" w:cs="Arial"/>
        </w:rPr>
        <w:t xml:space="preserve"> a la luz del artículo 647 del ET, la circunstancia descrita tipificaba, </w:t>
      </w:r>
      <w:r w:rsidRPr="006D3A96">
        <w:rPr>
          <w:rFonts w:ascii="Arial" w:hAnsi="Arial" w:cs="Arial"/>
          <w:i/>
          <w:iCs/>
        </w:rPr>
        <w:t>per se</w:t>
      </w:r>
      <w:r w:rsidRPr="006D3A96">
        <w:rPr>
          <w:rFonts w:ascii="Arial" w:hAnsi="Arial" w:cs="Arial"/>
        </w:rPr>
        <w:t>, uno de los presupuestos de hecho de la sanción por inexactitud</w:t>
      </w:r>
      <w:r>
        <w:rPr>
          <w:rFonts w:ascii="Arial" w:hAnsi="Arial" w:cs="Arial"/>
        </w:rPr>
        <w:t>[</w:t>
      </w:r>
      <w:r>
        <w:rPr>
          <w:rStyle w:val="Refdenotaalpie"/>
          <w:rFonts w:ascii="Arial" w:hAnsi="Arial" w:cs="Arial"/>
        </w:rPr>
        <w:footnoteReference w:id="9"/>
      </w:r>
      <w:r>
        <w:rPr>
          <w:rFonts w:ascii="Arial" w:hAnsi="Arial" w:cs="Arial"/>
        </w:rPr>
        <w:t>]</w:t>
      </w:r>
      <w:r w:rsidRPr="006D3A96">
        <w:rPr>
          <w:rFonts w:ascii="Arial" w:hAnsi="Arial" w:cs="Arial"/>
        </w:rPr>
        <w:t xml:space="preserve"> y, con fundamento en el análisis de constitucionalidad de dicha norma, mediante la sentencia C-910 de 2004, concluyó que la aplicación de esa norma era excluyente con la del articulo 647-1 ib</w:t>
      </w:r>
      <w:r w:rsidR="009A42E1">
        <w:rPr>
          <w:rFonts w:ascii="Arial" w:hAnsi="Arial" w:cs="Arial"/>
        </w:rPr>
        <w:t>í</w:t>
      </w:r>
      <w:r w:rsidRPr="006D3A96">
        <w:rPr>
          <w:rFonts w:ascii="Arial" w:hAnsi="Arial" w:cs="Arial"/>
        </w:rPr>
        <w:t xml:space="preserve">dem, porque </w:t>
      </w:r>
      <w:r w:rsidR="00873D04">
        <w:rPr>
          <w:rFonts w:ascii="Arial" w:hAnsi="Arial" w:cs="Arial"/>
        </w:rPr>
        <w:t>[e]</w:t>
      </w:r>
      <w:r w:rsidRPr="006D3A96">
        <w:rPr>
          <w:rFonts w:ascii="Arial" w:hAnsi="Arial" w:cs="Arial"/>
        </w:rPr>
        <w:t xml:space="preserve">ste no consagraba una sanción autónoma sino la base para liquidar la sanción de inexactitud o de corrección, en caso de rechazo o disminución de pérdidas que </w:t>
      </w:r>
      <w:r w:rsidRPr="009A42E1">
        <w:rPr>
          <w:rFonts w:ascii="Arial" w:hAnsi="Arial" w:cs="Arial"/>
          <w:b/>
          <w:bCs/>
          <w:u w:val="single"/>
        </w:rPr>
        <w:t>no</w:t>
      </w:r>
      <w:r w:rsidRPr="006D3A96">
        <w:rPr>
          <w:rFonts w:ascii="Arial" w:hAnsi="Arial" w:cs="Arial"/>
        </w:rPr>
        <w:t xml:space="preserve"> modificaran el saldo a favor o el saldo a pagar declarad</w:t>
      </w:r>
      <w:r w:rsidR="009A42E1">
        <w:rPr>
          <w:rFonts w:ascii="Arial" w:hAnsi="Arial" w:cs="Arial"/>
        </w:rPr>
        <w:t>o[</w:t>
      </w:r>
      <w:r w:rsidR="009A42E1">
        <w:rPr>
          <w:rStyle w:val="Refdenotaalpie"/>
          <w:rFonts w:ascii="Arial" w:hAnsi="Arial" w:cs="Arial"/>
        </w:rPr>
        <w:footnoteReference w:id="10"/>
      </w:r>
      <w:r w:rsidR="009A42E1">
        <w:rPr>
          <w:rFonts w:ascii="Arial" w:hAnsi="Arial" w:cs="Arial"/>
        </w:rPr>
        <w:t>]</w:t>
      </w:r>
      <w:r w:rsidRPr="006D3A96">
        <w:rPr>
          <w:rFonts w:ascii="Arial" w:hAnsi="Arial" w:cs="Arial"/>
        </w:rPr>
        <w:t xml:space="preserve">, precisando que si esa modificación ocurría cobraría aplicación el referido artículo 647 ET, que castiga las conductas inexactas de las que </w:t>
      </w:r>
      <w:r w:rsidRPr="009A42E1">
        <w:rPr>
          <w:rFonts w:ascii="Arial" w:hAnsi="Arial" w:cs="Arial"/>
          <w:i/>
          <w:iCs/>
        </w:rPr>
        <w:t>"se derive un menor impuesto o saldo a pagar, o un mayor saldo a favor para el contribuyente o responsable"</w:t>
      </w:r>
      <w:r w:rsidRPr="006D3A96">
        <w:rPr>
          <w:rFonts w:ascii="Arial" w:hAnsi="Arial" w:cs="Arial"/>
        </w:rPr>
        <w:t>.</w:t>
      </w:r>
    </w:p>
    <w:p w14:paraId="257D4285" w14:textId="77777777" w:rsidR="006F0397" w:rsidRDefault="006F0397" w:rsidP="00C34182">
      <w:pPr>
        <w:pStyle w:val="Cuadrculamedia21"/>
        <w:spacing w:line="360" w:lineRule="auto"/>
        <w:jc w:val="both"/>
        <w:rPr>
          <w:rFonts w:ascii="Arial" w:hAnsi="Arial" w:cs="Arial"/>
          <w:sz w:val="24"/>
          <w:szCs w:val="24"/>
        </w:rPr>
      </w:pPr>
    </w:p>
    <w:p w14:paraId="516DBBB6" w14:textId="77777777" w:rsidR="00D72AC2" w:rsidRDefault="006F0397" w:rsidP="00C34182">
      <w:pPr>
        <w:pStyle w:val="Cuadrculamedia21"/>
        <w:spacing w:line="360" w:lineRule="auto"/>
        <w:jc w:val="both"/>
        <w:rPr>
          <w:rFonts w:ascii="Arial" w:hAnsi="Arial" w:cs="Arial"/>
          <w:sz w:val="24"/>
          <w:szCs w:val="24"/>
        </w:rPr>
      </w:pPr>
      <w:r>
        <w:rPr>
          <w:rFonts w:ascii="Arial" w:hAnsi="Arial" w:cs="Arial"/>
          <w:sz w:val="24"/>
          <w:szCs w:val="24"/>
        </w:rPr>
        <w:t xml:space="preserve">2.3.- </w:t>
      </w:r>
      <w:r w:rsidR="001A17C0">
        <w:rPr>
          <w:rFonts w:ascii="Arial" w:hAnsi="Arial" w:cs="Arial"/>
          <w:sz w:val="24"/>
          <w:szCs w:val="24"/>
        </w:rPr>
        <w:t xml:space="preserve">La sociedad </w:t>
      </w:r>
      <w:r w:rsidR="009A42E1">
        <w:rPr>
          <w:rFonts w:ascii="Arial" w:hAnsi="Arial" w:cs="Arial"/>
          <w:sz w:val="24"/>
          <w:szCs w:val="24"/>
        </w:rPr>
        <w:t>Gaseosas de Córdoba S.A.</w:t>
      </w:r>
      <w:r w:rsidR="00C302D1">
        <w:rPr>
          <w:rFonts w:ascii="Arial" w:hAnsi="Arial" w:cs="Arial"/>
          <w:sz w:val="24"/>
          <w:szCs w:val="24"/>
        </w:rPr>
        <w:t xml:space="preserve"> guardó silenci</w:t>
      </w:r>
      <w:r w:rsidR="009A42E1">
        <w:rPr>
          <w:rFonts w:ascii="Arial" w:hAnsi="Arial" w:cs="Arial"/>
          <w:sz w:val="24"/>
          <w:szCs w:val="24"/>
        </w:rPr>
        <w:t>o</w:t>
      </w:r>
      <w:r w:rsidR="00C302D1">
        <w:rPr>
          <w:rFonts w:ascii="Arial" w:hAnsi="Arial" w:cs="Arial"/>
          <w:sz w:val="24"/>
          <w:szCs w:val="24"/>
        </w:rPr>
        <w:t>.</w:t>
      </w:r>
      <w:r w:rsidR="00FB7B39">
        <w:rPr>
          <w:rFonts w:ascii="Arial" w:hAnsi="Arial" w:cs="Arial"/>
          <w:sz w:val="24"/>
          <w:szCs w:val="24"/>
        </w:rPr>
        <w:t xml:space="preserve"> </w:t>
      </w:r>
    </w:p>
    <w:p w14:paraId="79C71552" w14:textId="77777777" w:rsidR="005A7C32" w:rsidRPr="00313854" w:rsidRDefault="005A7C32" w:rsidP="00C34182">
      <w:pPr>
        <w:pStyle w:val="Sinespaciado1"/>
        <w:spacing w:line="360" w:lineRule="auto"/>
        <w:jc w:val="both"/>
        <w:rPr>
          <w:rFonts w:ascii="Arial" w:hAnsi="Arial" w:cs="Arial"/>
        </w:rPr>
      </w:pPr>
    </w:p>
    <w:p w14:paraId="6589F3AE" w14:textId="77777777" w:rsidR="00096400" w:rsidRDefault="006F0397" w:rsidP="00C34182">
      <w:pPr>
        <w:pStyle w:val="Cuadrculamedia21"/>
        <w:spacing w:line="360" w:lineRule="auto"/>
        <w:jc w:val="both"/>
        <w:rPr>
          <w:rFonts w:ascii="Arial" w:hAnsi="Arial" w:cs="Arial"/>
          <w:b/>
          <w:sz w:val="24"/>
          <w:szCs w:val="24"/>
        </w:rPr>
      </w:pPr>
      <w:r>
        <w:rPr>
          <w:rFonts w:ascii="Arial" w:hAnsi="Arial" w:cs="Arial"/>
          <w:b/>
          <w:sz w:val="24"/>
          <w:szCs w:val="24"/>
        </w:rPr>
        <w:t>3</w:t>
      </w:r>
      <w:r w:rsidR="00096400" w:rsidRPr="00974846">
        <w:rPr>
          <w:rFonts w:ascii="Arial" w:hAnsi="Arial" w:cs="Arial"/>
          <w:b/>
          <w:sz w:val="24"/>
          <w:szCs w:val="24"/>
        </w:rPr>
        <w:t xml:space="preserve">.- Fallo de tutela de primera instancia </w:t>
      </w:r>
    </w:p>
    <w:p w14:paraId="78565504" w14:textId="77777777" w:rsidR="009E5CF4" w:rsidRDefault="009E5CF4" w:rsidP="00C34182">
      <w:pPr>
        <w:pStyle w:val="Cuadrculamedia21"/>
        <w:spacing w:line="360" w:lineRule="auto"/>
        <w:jc w:val="both"/>
        <w:rPr>
          <w:rFonts w:ascii="Arial" w:hAnsi="Arial" w:cs="Arial"/>
          <w:b/>
          <w:sz w:val="24"/>
          <w:szCs w:val="24"/>
        </w:rPr>
      </w:pPr>
    </w:p>
    <w:p w14:paraId="23086F7E" w14:textId="77777777" w:rsidR="00096400" w:rsidRPr="00974846" w:rsidRDefault="00437F52" w:rsidP="00C34182">
      <w:pPr>
        <w:pStyle w:val="Cuadrculamedia21"/>
        <w:spacing w:line="360" w:lineRule="auto"/>
        <w:jc w:val="both"/>
        <w:rPr>
          <w:rFonts w:ascii="Arial" w:hAnsi="Arial" w:cs="Arial"/>
          <w:sz w:val="24"/>
          <w:szCs w:val="24"/>
        </w:rPr>
      </w:pPr>
      <w:r>
        <w:rPr>
          <w:rFonts w:ascii="Arial" w:hAnsi="Arial" w:cs="Arial"/>
          <w:sz w:val="24"/>
          <w:szCs w:val="24"/>
        </w:rPr>
        <w:t xml:space="preserve">3.1.- </w:t>
      </w:r>
      <w:r w:rsidR="00CF7AF8">
        <w:rPr>
          <w:rFonts w:ascii="Arial" w:hAnsi="Arial" w:cs="Arial"/>
          <w:sz w:val="24"/>
          <w:szCs w:val="24"/>
        </w:rPr>
        <w:t xml:space="preserve">La </w:t>
      </w:r>
      <w:r w:rsidR="00801D44">
        <w:rPr>
          <w:rFonts w:ascii="Arial" w:hAnsi="Arial" w:cs="Arial"/>
          <w:sz w:val="24"/>
          <w:szCs w:val="24"/>
        </w:rPr>
        <w:t xml:space="preserve">Subsección A de la </w:t>
      </w:r>
      <w:r w:rsidR="00CF7AF8">
        <w:rPr>
          <w:rFonts w:ascii="Arial" w:hAnsi="Arial" w:cs="Arial"/>
          <w:sz w:val="24"/>
          <w:szCs w:val="24"/>
        </w:rPr>
        <w:t xml:space="preserve">Sección </w:t>
      </w:r>
      <w:r w:rsidR="00801D44">
        <w:rPr>
          <w:rFonts w:ascii="Arial" w:hAnsi="Arial" w:cs="Arial"/>
          <w:sz w:val="24"/>
          <w:szCs w:val="24"/>
        </w:rPr>
        <w:t>Segunda</w:t>
      </w:r>
      <w:r w:rsidR="00C675FF">
        <w:rPr>
          <w:rFonts w:ascii="Arial" w:hAnsi="Arial" w:cs="Arial"/>
          <w:sz w:val="24"/>
          <w:szCs w:val="24"/>
        </w:rPr>
        <w:t xml:space="preserve"> de esta Corporación</w:t>
      </w:r>
      <w:r w:rsidR="00096400" w:rsidRPr="00974846">
        <w:rPr>
          <w:rFonts w:ascii="Arial" w:hAnsi="Arial" w:cs="Arial"/>
          <w:sz w:val="24"/>
          <w:szCs w:val="24"/>
        </w:rPr>
        <w:t xml:space="preserve">, mediante el fallo del </w:t>
      </w:r>
      <w:r w:rsidR="00801D44">
        <w:rPr>
          <w:rFonts w:ascii="Arial" w:hAnsi="Arial" w:cs="Arial"/>
          <w:sz w:val="24"/>
          <w:szCs w:val="24"/>
        </w:rPr>
        <w:t>04</w:t>
      </w:r>
      <w:r w:rsidR="00096400" w:rsidRPr="00974846">
        <w:rPr>
          <w:rFonts w:ascii="Arial" w:hAnsi="Arial" w:cs="Arial"/>
          <w:sz w:val="24"/>
          <w:szCs w:val="24"/>
        </w:rPr>
        <w:t xml:space="preserve"> de </w:t>
      </w:r>
      <w:r w:rsidR="008437E0">
        <w:rPr>
          <w:rFonts w:ascii="Arial" w:hAnsi="Arial" w:cs="Arial"/>
          <w:sz w:val="24"/>
          <w:szCs w:val="24"/>
        </w:rPr>
        <w:t>juni</w:t>
      </w:r>
      <w:r w:rsidR="00FB7B39">
        <w:rPr>
          <w:rFonts w:ascii="Arial" w:hAnsi="Arial" w:cs="Arial"/>
          <w:sz w:val="24"/>
          <w:szCs w:val="24"/>
        </w:rPr>
        <w:t>o</w:t>
      </w:r>
      <w:r w:rsidR="00C675FF">
        <w:rPr>
          <w:rFonts w:ascii="Arial" w:hAnsi="Arial" w:cs="Arial"/>
          <w:sz w:val="24"/>
          <w:szCs w:val="24"/>
        </w:rPr>
        <w:t xml:space="preserve"> </w:t>
      </w:r>
      <w:r w:rsidR="00096400" w:rsidRPr="00974846">
        <w:rPr>
          <w:rFonts w:ascii="Arial" w:hAnsi="Arial" w:cs="Arial"/>
          <w:sz w:val="24"/>
          <w:szCs w:val="24"/>
        </w:rPr>
        <w:t>de 20</w:t>
      </w:r>
      <w:r w:rsidR="00FB7B39">
        <w:rPr>
          <w:rFonts w:ascii="Arial" w:hAnsi="Arial" w:cs="Arial"/>
          <w:sz w:val="24"/>
          <w:szCs w:val="24"/>
        </w:rPr>
        <w:t>20</w:t>
      </w:r>
      <w:r w:rsidR="00096400" w:rsidRPr="00974846">
        <w:rPr>
          <w:rFonts w:ascii="Arial" w:hAnsi="Arial" w:cs="Arial"/>
          <w:sz w:val="24"/>
          <w:szCs w:val="24"/>
        </w:rPr>
        <w:t xml:space="preserve">, </w:t>
      </w:r>
      <w:r w:rsidR="008437E0">
        <w:rPr>
          <w:rFonts w:ascii="Arial" w:hAnsi="Arial" w:cs="Arial"/>
          <w:sz w:val="24"/>
          <w:szCs w:val="24"/>
        </w:rPr>
        <w:t>de</w:t>
      </w:r>
      <w:r w:rsidR="00C52C63">
        <w:rPr>
          <w:rFonts w:ascii="Arial" w:hAnsi="Arial" w:cs="Arial"/>
          <w:sz w:val="24"/>
          <w:szCs w:val="24"/>
        </w:rPr>
        <w:t>neg</w:t>
      </w:r>
      <w:r w:rsidR="008437E0">
        <w:rPr>
          <w:rFonts w:ascii="Arial" w:hAnsi="Arial" w:cs="Arial"/>
          <w:sz w:val="24"/>
          <w:szCs w:val="24"/>
        </w:rPr>
        <w:t xml:space="preserve">ó </w:t>
      </w:r>
      <w:r w:rsidR="003E06F2">
        <w:rPr>
          <w:rFonts w:ascii="Arial" w:hAnsi="Arial" w:cs="Arial"/>
          <w:sz w:val="24"/>
          <w:szCs w:val="24"/>
        </w:rPr>
        <w:t>la acción de tutela</w:t>
      </w:r>
      <w:r w:rsidR="00C52C63">
        <w:rPr>
          <w:rFonts w:ascii="Arial" w:hAnsi="Arial" w:cs="Arial"/>
          <w:sz w:val="24"/>
          <w:szCs w:val="24"/>
        </w:rPr>
        <w:t xml:space="preserve"> al encontrar la decisión enjuiciada debidamente justificada y ajustada a derecho</w:t>
      </w:r>
      <w:r w:rsidR="00345626">
        <w:rPr>
          <w:rFonts w:ascii="Arial" w:hAnsi="Arial" w:cs="Arial"/>
          <w:sz w:val="24"/>
          <w:szCs w:val="24"/>
        </w:rPr>
        <w:t xml:space="preserve">. Para </w:t>
      </w:r>
      <w:r w:rsidR="00554328">
        <w:rPr>
          <w:rFonts w:ascii="Arial" w:hAnsi="Arial" w:cs="Arial"/>
          <w:sz w:val="24"/>
          <w:szCs w:val="24"/>
        </w:rPr>
        <w:t xml:space="preserve">ello, </w:t>
      </w:r>
      <w:r w:rsidR="00096400" w:rsidRPr="00974846">
        <w:rPr>
          <w:rFonts w:ascii="Arial" w:hAnsi="Arial" w:cs="Arial"/>
          <w:sz w:val="24"/>
          <w:szCs w:val="24"/>
        </w:rPr>
        <w:t>expuso las razones que a continuación se anotan:</w:t>
      </w:r>
    </w:p>
    <w:p w14:paraId="15AA0420" w14:textId="77777777" w:rsidR="005A7C32" w:rsidRDefault="005A7C32" w:rsidP="00C34182">
      <w:pPr>
        <w:pStyle w:val="Cuadrculamedia21"/>
        <w:spacing w:line="360" w:lineRule="auto"/>
        <w:jc w:val="both"/>
        <w:rPr>
          <w:rFonts w:ascii="Arial" w:hAnsi="Arial" w:cs="Arial"/>
          <w:sz w:val="24"/>
          <w:szCs w:val="24"/>
        </w:rPr>
      </w:pPr>
    </w:p>
    <w:p w14:paraId="366D00D0" w14:textId="77777777" w:rsidR="00EC48FF" w:rsidRDefault="00437F52" w:rsidP="00096400">
      <w:pPr>
        <w:pStyle w:val="Cuadrculamedia21"/>
        <w:spacing w:line="360" w:lineRule="auto"/>
        <w:jc w:val="both"/>
        <w:rPr>
          <w:rFonts w:ascii="Arial" w:hAnsi="Arial" w:cs="Arial"/>
          <w:sz w:val="24"/>
          <w:szCs w:val="24"/>
        </w:rPr>
      </w:pPr>
      <w:r>
        <w:rPr>
          <w:rFonts w:ascii="Arial" w:hAnsi="Arial" w:cs="Arial"/>
          <w:sz w:val="24"/>
          <w:szCs w:val="24"/>
        </w:rPr>
        <w:t>3</w:t>
      </w:r>
      <w:r w:rsidR="000753E1">
        <w:rPr>
          <w:rFonts w:ascii="Arial" w:hAnsi="Arial" w:cs="Arial"/>
          <w:sz w:val="24"/>
          <w:szCs w:val="24"/>
        </w:rPr>
        <w:t>.1.1.</w:t>
      </w:r>
      <w:r w:rsidR="00096400" w:rsidRPr="00974846">
        <w:rPr>
          <w:rFonts w:ascii="Arial" w:hAnsi="Arial" w:cs="Arial"/>
          <w:sz w:val="24"/>
          <w:szCs w:val="24"/>
        </w:rPr>
        <w:t xml:space="preserve">- </w:t>
      </w:r>
      <w:r w:rsidR="00067589">
        <w:rPr>
          <w:rFonts w:ascii="Arial" w:hAnsi="Arial" w:cs="Arial"/>
          <w:sz w:val="24"/>
          <w:szCs w:val="24"/>
        </w:rPr>
        <w:t>En relación con el defecto sustantivo por interpretación errónea de la ley, s</w:t>
      </w:r>
      <w:r w:rsidR="00C52C63">
        <w:rPr>
          <w:rFonts w:ascii="Arial" w:hAnsi="Arial" w:cs="Arial"/>
          <w:sz w:val="24"/>
          <w:szCs w:val="24"/>
        </w:rPr>
        <w:t>ostuvo que, contrario a lo alegado por la entidad accionante,</w:t>
      </w:r>
      <w:r w:rsidR="003E06F2">
        <w:rPr>
          <w:rFonts w:ascii="Arial" w:hAnsi="Arial" w:cs="Arial"/>
          <w:sz w:val="24"/>
          <w:szCs w:val="24"/>
        </w:rPr>
        <w:t xml:space="preserve"> esta Corporación</w:t>
      </w:r>
      <w:r w:rsidR="00067589">
        <w:rPr>
          <w:rFonts w:ascii="Arial" w:hAnsi="Arial" w:cs="Arial"/>
          <w:sz w:val="24"/>
          <w:szCs w:val="24"/>
        </w:rPr>
        <w:t>, conforme a la sentencia C-910 de 2004,</w:t>
      </w:r>
      <w:r w:rsidR="00C52C63">
        <w:rPr>
          <w:rFonts w:ascii="Arial" w:hAnsi="Arial" w:cs="Arial"/>
          <w:sz w:val="24"/>
          <w:szCs w:val="24"/>
        </w:rPr>
        <w:t xml:space="preserve"> reafirmó </w:t>
      </w:r>
      <w:r w:rsidR="005E04C1">
        <w:rPr>
          <w:rFonts w:ascii="Arial" w:hAnsi="Arial" w:cs="Arial"/>
          <w:sz w:val="24"/>
          <w:szCs w:val="24"/>
        </w:rPr>
        <w:t xml:space="preserve">su posición sobre el alcance de los artículos 647 y 647-1 de manera argumentada y razonada, en el entendido </w:t>
      </w:r>
      <w:r w:rsidR="00D67F0C">
        <w:rPr>
          <w:rFonts w:ascii="Arial" w:hAnsi="Arial" w:cs="Arial"/>
          <w:sz w:val="24"/>
          <w:szCs w:val="24"/>
        </w:rPr>
        <w:t xml:space="preserve">de </w:t>
      </w:r>
      <w:r w:rsidR="005E04C1">
        <w:rPr>
          <w:rFonts w:ascii="Arial" w:hAnsi="Arial" w:cs="Arial"/>
          <w:sz w:val="24"/>
          <w:szCs w:val="24"/>
        </w:rPr>
        <w:t>que su aplicación resulta</w:t>
      </w:r>
      <w:r w:rsidR="00067589">
        <w:rPr>
          <w:rFonts w:ascii="Arial" w:hAnsi="Arial" w:cs="Arial"/>
          <w:sz w:val="24"/>
          <w:szCs w:val="24"/>
        </w:rPr>
        <w:t>ba</w:t>
      </w:r>
      <w:r w:rsidR="005E04C1">
        <w:rPr>
          <w:rFonts w:ascii="Arial" w:hAnsi="Arial" w:cs="Arial"/>
          <w:sz w:val="24"/>
          <w:szCs w:val="24"/>
        </w:rPr>
        <w:t xml:space="preserve"> excluyente pues e</w:t>
      </w:r>
      <w:r w:rsidR="00067589">
        <w:rPr>
          <w:rFonts w:ascii="Arial" w:hAnsi="Arial" w:cs="Arial"/>
          <w:sz w:val="24"/>
          <w:szCs w:val="24"/>
        </w:rPr>
        <w:t>sta ú</w:t>
      </w:r>
      <w:r w:rsidR="005E04C1">
        <w:rPr>
          <w:rFonts w:ascii="Arial" w:hAnsi="Arial" w:cs="Arial"/>
          <w:sz w:val="24"/>
          <w:szCs w:val="24"/>
        </w:rPr>
        <w:t>ltim</w:t>
      </w:r>
      <w:r w:rsidR="00067589">
        <w:rPr>
          <w:rFonts w:ascii="Arial" w:hAnsi="Arial" w:cs="Arial"/>
          <w:sz w:val="24"/>
          <w:szCs w:val="24"/>
        </w:rPr>
        <w:t>a</w:t>
      </w:r>
      <w:r w:rsidR="005E04C1">
        <w:rPr>
          <w:rFonts w:ascii="Arial" w:hAnsi="Arial" w:cs="Arial"/>
          <w:sz w:val="24"/>
          <w:szCs w:val="24"/>
        </w:rPr>
        <w:t xml:space="preserve"> </w:t>
      </w:r>
      <w:r w:rsidR="00067589">
        <w:rPr>
          <w:rFonts w:ascii="Arial" w:hAnsi="Arial" w:cs="Arial"/>
          <w:sz w:val="24"/>
          <w:szCs w:val="24"/>
        </w:rPr>
        <w:t>norma</w:t>
      </w:r>
      <w:r w:rsidR="005E04C1">
        <w:rPr>
          <w:rFonts w:ascii="Arial" w:hAnsi="Arial" w:cs="Arial"/>
          <w:sz w:val="24"/>
          <w:szCs w:val="24"/>
        </w:rPr>
        <w:t xml:space="preserve"> no contempla una sanción autónoma, sino </w:t>
      </w:r>
      <w:r w:rsidR="005E04C1" w:rsidRPr="00067589">
        <w:rPr>
          <w:rFonts w:ascii="Arial" w:hAnsi="Arial" w:cs="Arial"/>
          <w:i/>
          <w:iCs/>
          <w:sz w:val="24"/>
          <w:szCs w:val="24"/>
        </w:rPr>
        <w:t xml:space="preserve">“la base para liquidar la sanción de inexactitud o de corrección, en caso de rechazo o </w:t>
      </w:r>
      <w:r w:rsidR="005E04C1" w:rsidRPr="00067589">
        <w:rPr>
          <w:rFonts w:ascii="Arial" w:hAnsi="Arial" w:cs="Arial"/>
          <w:i/>
          <w:iCs/>
          <w:sz w:val="24"/>
          <w:szCs w:val="24"/>
        </w:rPr>
        <w:lastRenderedPageBreak/>
        <w:t>disminución de pérdidas que no modifiquen el saldo a favor o el saldo a pagar declarado</w:t>
      </w:r>
      <w:r w:rsidR="009C5A66">
        <w:rPr>
          <w:rFonts w:ascii="Arial" w:hAnsi="Arial" w:cs="Arial"/>
          <w:i/>
          <w:iCs/>
          <w:sz w:val="24"/>
          <w:szCs w:val="24"/>
        </w:rPr>
        <w:t>, tal como acontece en el caso bajo examen</w:t>
      </w:r>
      <w:r w:rsidR="005E04C1" w:rsidRPr="00067589">
        <w:rPr>
          <w:rFonts w:ascii="Arial" w:hAnsi="Arial" w:cs="Arial"/>
          <w:i/>
          <w:iCs/>
          <w:sz w:val="24"/>
          <w:szCs w:val="24"/>
        </w:rPr>
        <w:t>”</w:t>
      </w:r>
      <w:r w:rsidR="00067589" w:rsidRPr="005D5129">
        <w:rPr>
          <w:rStyle w:val="Refdenotaalpie"/>
          <w:rFonts w:ascii="Arial" w:hAnsi="Arial" w:cs="Arial"/>
          <w:sz w:val="24"/>
          <w:szCs w:val="24"/>
        </w:rPr>
        <w:footnoteReference w:id="11"/>
      </w:r>
      <w:r w:rsidR="003E06F2" w:rsidRPr="005D5129">
        <w:rPr>
          <w:rFonts w:ascii="Arial" w:hAnsi="Arial" w:cs="Arial"/>
          <w:sz w:val="24"/>
          <w:szCs w:val="24"/>
        </w:rPr>
        <w:t>.</w:t>
      </w:r>
    </w:p>
    <w:p w14:paraId="0EC50674" w14:textId="77777777" w:rsidR="005A7C32" w:rsidRDefault="005A7C32" w:rsidP="00096400">
      <w:pPr>
        <w:pStyle w:val="Cuadrculamedia21"/>
        <w:spacing w:line="360" w:lineRule="auto"/>
        <w:jc w:val="both"/>
        <w:rPr>
          <w:rFonts w:ascii="Arial" w:hAnsi="Arial" w:cs="Arial"/>
          <w:sz w:val="24"/>
          <w:szCs w:val="24"/>
        </w:rPr>
      </w:pPr>
    </w:p>
    <w:p w14:paraId="37955048" w14:textId="77777777" w:rsidR="007B3B5E" w:rsidRDefault="00437F52" w:rsidP="00096400">
      <w:pPr>
        <w:pStyle w:val="Cuadrculamedia21"/>
        <w:spacing w:line="360" w:lineRule="auto"/>
        <w:jc w:val="both"/>
        <w:rPr>
          <w:rFonts w:ascii="Arial" w:hAnsi="Arial" w:cs="Arial"/>
          <w:sz w:val="24"/>
          <w:szCs w:val="24"/>
        </w:rPr>
      </w:pPr>
      <w:r>
        <w:rPr>
          <w:rFonts w:ascii="Arial" w:hAnsi="Arial" w:cs="Arial"/>
          <w:sz w:val="24"/>
          <w:szCs w:val="24"/>
        </w:rPr>
        <w:t>3</w:t>
      </w:r>
      <w:r w:rsidR="007B3B5E">
        <w:rPr>
          <w:rFonts w:ascii="Arial" w:hAnsi="Arial" w:cs="Arial"/>
          <w:sz w:val="24"/>
          <w:szCs w:val="24"/>
        </w:rPr>
        <w:t xml:space="preserve">.1.2.- </w:t>
      </w:r>
      <w:r w:rsidR="003E06F2">
        <w:rPr>
          <w:rFonts w:ascii="Arial" w:hAnsi="Arial" w:cs="Arial"/>
          <w:sz w:val="24"/>
          <w:szCs w:val="24"/>
        </w:rPr>
        <w:t>En cuanto al desconocimiento del precedente</w:t>
      </w:r>
      <w:r w:rsidR="009C5A66">
        <w:rPr>
          <w:rFonts w:ascii="Arial" w:hAnsi="Arial" w:cs="Arial"/>
          <w:sz w:val="24"/>
          <w:szCs w:val="24"/>
        </w:rPr>
        <w:t xml:space="preserve"> de la Corte Constitucional</w:t>
      </w:r>
      <w:r w:rsidR="003E06F2">
        <w:rPr>
          <w:rFonts w:ascii="Arial" w:hAnsi="Arial" w:cs="Arial"/>
          <w:sz w:val="24"/>
          <w:szCs w:val="24"/>
        </w:rPr>
        <w:t xml:space="preserve">, </w:t>
      </w:r>
      <w:r w:rsidR="009C5A66">
        <w:rPr>
          <w:rFonts w:ascii="Arial" w:hAnsi="Arial" w:cs="Arial"/>
          <w:sz w:val="24"/>
          <w:szCs w:val="24"/>
        </w:rPr>
        <w:t xml:space="preserve">expuso </w:t>
      </w:r>
      <w:r w:rsidR="003E06F2">
        <w:rPr>
          <w:rFonts w:ascii="Arial" w:hAnsi="Arial" w:cs="Arial"/>
          <w:sz w:val="24"/>
          <w:szCs w:val="24"/>
        </w:rPr>
        <w:t>que no le asiste razón a l</w:t>
      </w:r>
      <w:r w:rsidR="0053230A">
        <w:rPr>
          <w:rFonts w:ascii="Arial" w:hAnsi="Arial" w:cs="Arial"/>
          <w:sz w:val="24"/>
          <w:szCs w:val="24"/>
        </w:rPr>
        <w:t>a</w:t>
      </w:r>
      <w:r w:rsidR="003E06F2">
        <w:rPr>
          <w:rFonts w:ascii="Arial" w:hAnsi="Arial" w:cs="Arial"/>
          <w:sz w:val="24"/>
          <w:szCs w:val="24"/>
        </w:rPr>
        <w:t xml:space="preserve"> tutelante, </w:t>
      </w:r>
      <w:r w:rsidR="00B57110">
        <w:rPr>
          <w:rFonts w:ascii="Arial" w:hAnsi="Arial" w:cs="Arial"/>
          <w:sz w:val="24"/>
          <w:szCs w:val="24"/>
        </w:rPr>
        <w:t>toda vez</w:t>
      </w:r>
      <w:r w:rsidR="003E06F2">
        <w:rPr>
          <w:rFonts w:ascii="Arial" w:hAnsi="Arial" w:cs="Arial"/>
          <w:sz w:val="24"/>
          <w:szCs w:val="24"/>
        </w:rPr>
        <w:t xml:space="preserve"> que</w:t>
      </w:r>
      <w:r>
        <w:rPr>
          <w:rFonts w:ascii="Arial" w:hAnsi="Arial" w:cs="Arial"/>
          <w:sz w:val="24"/>
          <w:szCs w:val="24"/>
        </w:rPr>
        <w:t xml:space="preserve"> </w:t>
      </w:r>
      <w:r w:rsidR="009C5A66">
        <w:rPr>
          <w:rFonts w:ascii="Arial" w:hAnsi="Arial" w:cs="Arial"/>
          <w:sz w:val="24"/>
          <w:szCs w:val="24"/>
        </w:rPr>
        <w:t>la decisión</w:t>
      </w:r>
      <w:r w:rsidR="007716E0">
        <w:rPr>
          <w:rFonts w:ascii="Arial" w:hAnsi="Arial" w:cs="Arial"/>
          <w:sz w:val="24"/>
          <w:szCs w:val="24"/>
        </w:rPr>
        <w:t xml:space="preserve"> se soportó</w:t>
      </w:r>
      <w:r w:rsidR="009C5A66">
        <w:rPr>
          <w:rFonts w:ascii="Arial" w:hAnsi="Arial" w:cs="Arial"/>
          <w:sz w:val="24"/>
          <w:szCs w:val="24"/>
        </w:rPr>
        <w:t xml:space="preserve"> en la interpretación que ese Alto Tribunal</w:t>
      </w:r>
      <w:r w:rsidR="007716E0">
        <w:rPr>
          <w:rFonts w:ascii="Arial" w:hAnsi="Arial" w:cs="Arial"/>
          <w:sz w:val="24"/>
          <w:szCs w:val="24"/>
        </w:rPr>
        <w:t>,</w:t>
      </w:r>
      <w:r w:rsidR="009C5A66">
        <w:rPr>
          <w:rFonts w:ascii="Arial" w:hAnsi="Arial" w:cs="Arial"/>
          <w:sz w:val="24"/>
          <w:szCs w:val="24"/>
        </w:rPr>
        <w:t xml:space="preserve"> como guardián e intérprete auténtico de la Carta</w:t>
      </w:r>
      <w:r w:rsidR="007716E0">
        <w:rPr>
          <w:rFonts w:ascii="Arial" w:hAnsi="Arial" w:cs="Arial"/>
          <w:sz w:val="24"/>
          <w:szCs w:val="24"/>
        </w:rPr>
        <w:t>, hizo del artículo 647-1 del E.T., de modo que no se logró demostrar la arbitrariedad alegada.</w:t>
      </w:r>
    </w:p>
    <w:p w14:paraId="7635A036" w14:textId="77777777" w:rsidR="005A7C32" w:rsidRDefault="005A7C32" w:rsidP="00096400">
      <w:pPr>
        <w:pStyle w:val="Cuadrculamedia21"/>
        <w:spacing w:line="360" w:lineRule="auto"/>
        <w:jc w:val="both"/>
        <w:rPr>
          <w:rFonts w:ascii="Arial" w:hAnsi="Arial" w:cs="Arial"/>
          <w:sz w:val="24"/>
          <w:szCs w:val="24"/>
        </w:rPr>
      </w:pPr>
    </w:p>
    <w:p w14:paraId="02503174" w14:textId="77777777" w:rsidR="007B3B5E" w:rsidRPr="00555A89" w:rsidRDefault="00437F52" w:rsidP="00096400">
      <w:pPr>
        <w:pStyle w:val="Cuadrculamedia21"/>
        <w:spacing w:line="360" w:lineRule="auto"/>
        <w:jc w:val="both"/>
        <w:rPr>
          <w:rFonts w:ascii="Arial" w:hAnsi="Arial" w:cs="Arial"/>
          <w:sz w:val="24"/>
          <w:szCs w:val="24"/>
        </w:rPr>
      </w:pPr>
      <w:r w:rsidRPr="00B57110">
        <w:rPr>
          <w:rFonts w:ascii="Arial" w:hAnsi="Arial" w:cs="Arial"/>
          <w:sz w:val="24"/>
          <w:szCs w:val="24"/>
        </w:rPr>
        <w:t>3</w:t>
      </w:r>
      <w:r w:rsidR="007B3B5E" w:rsidRPr="00B57110">
        <w:rPr>
          <w:rFonts w:ascii="Arial" w:hAnsi="Arial" w:cs="Arial"/>
          <w:sz w:val="24"/>
          <w:szCs w:val="24"/>
        </w:rPr>
        <w:t xml:space="preserve">.1.3.- </w:t>
      </w:r>
      <w:r w:rsidR="00B57110">
        <w:rPr>
          <w:rFonts w:ascii="Arial" w:hAnsi="Arial" w:cs="Arial"/>
          <w:sz w:val="24"/>
          <w:szCs w:val="24"/>
        </w:rPr>
        <w:t xml:space="preserve">Por último, </w:t>
      </w:r>
      <w:r w:rsidR="007716E0">
        <w:rPr>
          <w:rFonts w:ascii="Arial" w:hAnsi="Arial" w:cs="Arial"/>
          <w:sz w:val="24"/>
          <w:szCs w:val="24"/>
        </w:rPr>
        <w:t xml:space="preserve">respecto al presunto desconocimiento del precedente del Consejo de Estado, indicó que se siguió la línea decantada en la sentencia </w:t>
      </w:r>
      <w:r w:rsidR="007716E0" w:rsidRPr="007716E0">
        <w:rPr>
          <w:rFonts w:ascii="Arial" w:hAnsi="Arial" w:cs="Arial"/>
          <w:sz w:val="24"/>
          <w:szCs w:val="24"/>
        </w:rPr>
        <w:t>del 05 de octubre de 2016, radicado No. 76001-23-31-000-2010-00127-01 (21051)</w:t>
      </w:r>
      <w:r w:rsidR="007716E0">
        <w:rPr>
          <w:rFonts w:ascii="Arial" w:hAnsi="Arial" w:cs="Arial"/>
          <w:sz w:val="24"/>
          <w:szCs w:val="24"/>
        </w:rPr>
        <w:t xml:space="preserve">, C.P. </w:t>
      </w:r>
      <w:r w:rsidR="007716E0" w:rsidRPr="007716E0">
        <w:rPr>
          <w:rFonts w:ascii="Arial" w:hAnsi="Arial" w:cs="Arial"/>
          <w:sz w:val="24"/>
          <w:szCs w:val="24"/>
        </w:rPr>
        <w:t>Martha Teresa Briceño de Valencia</w:t>
      </w:r>
      <w:r w:rsidR="007716E0">
        <w:rPr>
          <w:rFonts w:ascii="Arial" w:hAnsi="Arial" w:cs="Arial"/>
          <w:sz w:val="24"/>
          <w:szCs w:val="24"/>
        </w:rPr>
        <w:t xml:space="preserve">, en tanto se aplicó el artículo 647 del E.T. </w:t>
      </w:r>
      <w:r w:rsidR="007716E0" w:rsidRPr="007716E0">
        <w:rPr>
          <w:rFonts w:ascii="Arial" w:hAnsi="Arial" w:cs="Arial"/>
          <w:i/>
          <w:iCs/>
          <w:sz w:val="24"/>
          <w:szCs w:val="24"/>
        </w:rPr>
        <w:t>“por</w:t>
      </w:r>
      <w:r w:rsidR="007716E0" w:rsidRPr="007716E0">
        <w:rPr>
          <w:i/>
          <w:iCs/>
        </w:rPr>
        <w:t xml:space="preserve"> </w:t>
      </w:r>
      <w:r w:rsidR="007716E0" w:rsidRPr="007716E0">
        <w:rPr>
          <w:rFonts w:ascii="Arial" w:hAnsi="Arial" w:cs="Arial"/>
          <w:i/>
          <w:iCs/>
          <w:sz w:val="24"/>
          <w:szCs w:val="24"/>
        </w:rPr>
        <w:t xml:space="preserve">exist[ir] un mismo hecho sancionable, esto es, la adición de ingresos brutos y el rechazo de deducciones, lo que </w:t>
      </w:r>
      <w:r w:rsidR="007716E0" w:rsidRPr="00555A89">
        <w:rPr>
          <w:rFonts w:ascii="Arial" w:hAnsi="Arial" w:cs="Arial"/>
          <w:i/>
          <w:iCs/>
          <w:sz w:val="24"/>
          <w:szCs w:val="24"/>
        </w:rPr>
        <w:t>ocasionó la disminución de las pérdidas liquidas»</w:t>
      </w:r>
      <w:r w:rsidR="007716E0" w:rsidRPr="00555A89">
        <w:rPr>
          <w:rFonts w:ascii="Arial" w:hAnsi="Arial" w:cs="Arial"/>
          <w:sz w:val="24"/>
          <w:szCs w:val="24"/>
        </w:rPr>
        <w:t>”</w:t>
      </w:r>
      <w:r w:rsidR="007716E0" w:rsidRPr="00555A89">
        <w:rPr>
          <w:rStyle w:val="Refdenotaalpie"/>
          <w:rFonts w:ascii="Arial" w:hAnsi="Arial" w:cs="Arial"/>
          <w:sz w:val="24"/>
          <w:szCs w:val="24"/>
        </w:rPr>
        <w:footnoteReference w:id="12"/>
      </w:r>
      <w:r w:rsidR="00B57110" w:rsidRPr="00555A89">
        <w:rPr>
          <w:rFonts w:ascii="Arial" w:hAnsi="Arial" w:cs="Arial"/>
          <w:sz w:val="24"/>
          <w:szCs w:val="24"/>
        </w:rPr>
        <w:t xml:space="preserve">. </w:t>
      </w:r>
      <w:r w:rsidR="00555A89" w:rsidRPr="00555A89">
        <w:rPr>
          <w:rFonts w:ascii="Arial" w:hAnsi="Arial" w:cs="Arial"/>
          <w:sz w:val="24"/>
          <w:szCs w:val="24"/>
        </w:rPr>
        <w:t xml:space="preserve">Ahora, en lo atinente al fallo </w:t>
      </w:r>
      <w:r w:rsidR="00555A89" w:rsidRPr="00555A89">
        <w:rPr>
          <w:rFonts w:ascii="Arial" w:hAnsi="Arial" w:cs="Arial"/>
          <w:sz w:val="24"/>
          <w:szCs w:val="24"/>
          <w:lang w:val="es-ES"/>
        </w:rPr>
        <w:t xml:space="preserve">del </w:t>
      </w:r>
      <w:r w:rsidR="00555A89" w:rsidRPr="00555A89">
        <w:rPr>
          <w:rFonts w:ascii="Arial" w:hAnsi="Arial"/>
          <w:sz w:val="24"/>
          <w:szCs w:val="24"/>
          <w:lang w:val="es-ES_tradnl"/>
        </w:rPr>
        <w:t>13 de octubre de 2016, radicado No. 25000-23-27-000-2009-00206-01 (19456) C.P. Hugo Fernando Bastidas Bárcenas</w:t>
      </w:r>
      <w:r w:rsidR="00555A89">
        <w:rPr>
          <w:rFonts w:ascii="Arial" w:hAnsi="Arial"/>
          <w:sz w:val="24"/>
          <w:szCs w:val="24"/>
          <w:lang w:val="es-ES_tradnl"/>
        </w:rPr>
        <w:t>, advirtió que el tema objeto de estudio no guardaba relación fáctica, de manera tal que no lo tuvo como precedente aplicable.</w:t>
      </w:r>
    </w:p>
    <w:p w14:paraId="5985F01A" w14:textId="77777777" w:rsidR="005A7C32" w:rsidRDefault="005A7C32" w:rsidP="00096400">
      <w:pPr>
        <w:pStyle w:val="Cuadrculamedia21"/>
        <w:spacing w:line="360" w:lineRule="auto"/>
        <w:jc w:val="both"/>
        <w:rPr>
          <w:rFonts w:ascii="Arial" w:hAnsi="Arial" w:cs="Arial"/>
          <w:b/>
          <w:sz w:val="24"/>
          <w:szCs w:val="24"/>
        </w:rPr>
      </w:pPr>
    </w:p>
    <w:p w14:paraId="025901CC" w14:textId="77777777" w:rsidR="00096400" w:rsidRPr="00974846" w:rsidRDefault="006F0397" w:rsidP="00096400">
      <w:pPr>
        <w:pStyle w:val="Cuadrculamedia21"/>
        <w:spacing w:line="360" w:lineRule="auto"/>
        <w:jc w:val="both"/>
        <w:rPr>
          <w:rFonts w:ascii="Arial" w:hAnsi="Arial" w:cs="Arial"/>
          <w:b/>
          <w:sz w:val="24"/>
          <w:szCs w:val="24"/>
        </w:rPr>
      </w:pPr>
      <w:r>
        <w:rPr>
          <w:rFonts w:ascii="Arial" w:hAnsi="Arial" w:cs="Arial"/>
          <w:b/>
          <w:sz w:val="24"/>
          <w:szCs w:val="24"/>
        </w:rPr>
        <w:t>4</w:t>
      </w:r>
      <w:r w:rsidR="00096400" w:rsidRPr="00974846">
        <w:rPr>
          <w:rFonts w:ascii="Arial" w:hAnsi="Arial" w:cs="Arial"/>
          <w:b/>
          <w:sz w:val="24"/>
          <w:szCs w:val="24"/>
        </w:rPr>
        <w:t>.- Razones de la impugnación</w:t>
      </w:r>
    </w:p>
    <w:p w14:paraId="2BA6AC41" w14:textId="77777777" w:rsidR="005A7C32" w:rsidRPr="002F2511" w:rsidRDefault="005A7C32" w:rsidP="00096400">
      <w:pPr>
        <w:pStyle w:val="Cuadrculamedia21"/>
        <w:spacing w:line="360" w:lineRule="auto"/>
        <w:jc w:val="both"/>
        <w:rPr>
          <w:rFonts w:ascii="Arial" w:hAnsi="Arial" w:cs="Arial"/>
          <w:sz w:val="20"/>
          <w:szCs w:val="20"/>
        </w:rPr>
      </w:pPr>
    </w:p>
    <w:p w14:paraId="342AF57C" w14:textId="77777777" w:rsidR="00096400" w:rsidRDefault="009E5CF4" w:rsidP="00B0371B">
      <w:pPr>
        <w:pStyle w:val="Cuadrculamedia21"/>
        <w:spacing w:line="360" w:lineRule="auto"/>
        <w:jc w:val="both"/>
        <w:rPr>
          <w:rFonts w:ascii="Arial" w:hAnsi="Arial" w:cs="Arial"/>
          <w:sz w:val="24"/>
          <w:szCs w:val="24"/>
        </w:rPr>
      </w:pPr>
      <w:r>
        <w:rPr>
          <w:rFonts w:ascii="Arial" w:hAnsi="Arial" w:cs="Arial"/>
          <w:sz w:val="24"/>
          <w:szCs w:val="24"/>
        </w:rPr>
        <w:t>En c</w:t>
      </w:r>
      <w:r w:rsidR="00096400" w:rsidRPr="00974846">
        <w:rPr>
          <w:rFonts w:ascii="Arial" w:hAnsi="Arial" w:cs="Arial"/>
          <w:sz w:val="24"/>
          <w:szCs w:val="24"/>
        </w:rPr>
        <w:t xml:space="preserve">ontra </w:t>
      </w:r>
      <w:r>
        <w:rPr>
          <w:rFonts w:ascii="Arial" w:hAnsi="Arial" w:cs="Arial"/>
          <w:sz w:val="24"/>
          <w:szCs w:val="24"/>
        </w:rPr>
        <w:t xml:space="preserve">de </w:t>
      </w:r>
      <w:r w:rsidR="00096400" w:rsidRPr="00974846">
        <w:rPr>
          <w:rFonts w:ascii="Arial" w:hAnsi="Arial" w:cs="Arial"/>
          <w:sz w:val="24"/>
          <w:szCs w:val="24"/>
        </w:rPr>
        <w:t xml:space="preserve">la decisión antes aludida, </w:t>
      </w:r>
      <w:r w:rsidR="00934660">
        <w:rPr>
          <w:rFonts w:ascii="Arial" w:hAnsi="Arial" w:cs="Arial"/>
          <w:sz w:val="24"/>
          <w:szCs w:val="24"/>
        </w:rPr>
        <w:t>l</w:t>
      </w:r>
      <w:r w:rsidR="00B57110">
        <w:rPr>
          <w:rFonts w:ascii="Arial" w:hAnsi="Arial" w:cs="Arial"/>
          <w:sz w:val="24"/>
          <w:szCs w:val="24"/>
        </w:rPr>
        <w:t>a</w:t>
      </w:r>
      <w:r w:rsidR="00934660">
        <w:rPr>
          <w:rFonts w:ascii="Arial" w:hAnsi="Arial" w:cs="Arial"/>
          <w:sz w:val="24"/>
          <w:szCs w:val="24"/>
        </w:rPr>
        <w:t xml:space="preserve"> </w:t>
      </w:r>
      <w:r w:rsidR="00B57110">
        <w:rPr>
          <w:rFonts w:ascii="Arial" w:hAnsi="Arial" w:cs="Arial"/>
          <w:sz w:val="24"/>
          <w:szCs w:val="24"/>
        </w:rPr>
        <w:t xml:space="preserve">institución </w:t>
      </w:r>
      <w:r w:rsidR="00934660">
        <w:rPr>
          <w:rFonts w:ascii="Arial" w:hAnsi="Arial" w:cs="Arial"/>
          <w:sz w:val="24"/>
          <w:szCs w:val="24"/>
        </w:rPr>
        <w:t>tutelante</w:t>
      </w:r>
      <w:r w:rsidR="00096400" w:rsidRPr="00974846">
        <w:rPr>
          <w:rFonts w:ascii="Arial" w:hAnsi="Arial" w:cs="Arial"/>
          <w:sz w:val="24"/>
          <w:szCs w:val="24"/>
        </w:rPr>
        <w:t xml:space="preserve"> present</w:t>
      </w:r>
      <w:r w:rsidR="00B57110">
        <w:rPr>
          <w:rFonts w:ascii="Arial" w:hAnsi="Arial" w:cs="Arial"/>
          <w:sz w:val="24"/>
          <w:szCs w:val="24"/>
        </w:rPr>
        <w:t>ó</w:t>
      </w:r>
      <w:r w:rsidR="00096400" w:rsidRPr="00974846">
        <w:rPr>
          <w:rFonts w:ascii="Arial" w:hAnsi="Arial" w:cs="Arial"/>
          <w:sz w:val="24"/>
          <w:szCs w:val="24"/>
        </w:rPr>
        <w:t xml:space="preserve"> escrito de impugnación, </w:t>
      </w:r>
      <w:r w:rsidR="00096400">
        <w:rPr>
          <w:rFonts w:ascii="Arial" w:hAnsi="Arial" w:cs="Arial"/>
          <w:sz w:val="24"/>
          <w:szCs w:val="24"/>
        </w:rPr>
        <w:t xml:space="preserve">en </w:t>
      </w:r>
      <w:r w:rsidR="00DD3FE4">
        <w:rPr>
          <w:rFonts w:ascii="Arial" w:hAnsi="Arial" w:cs="Arial"/>
          <w:sz w:val="24"/>
          <w:szCs w:val="24"/>
        </w:rPr>
        <w:t xml:space="preserve">el cual </w:t>
      </w:r>
      <w:r w:rsidR="00A94331">
        <w:rPr>
          <w:rFonts w:ascii="Arial" w:hAnsi="Arial" w:cs="Arial"/>
          <w:sz w:val="24"/>
          <w:szCs w:val="24"/>
        </w:rPr>
        <w:t>reiter</w:t>
      </w:r>
      <w:r w:rsidR="00DD3FE4">
        <w:rPr>
          <w:rFonts w:ascii="Arial" w:hAnsi="Arial" w:cs="Arial"/>
          <w:sz w:val="24"/>
          <w:szCs w:val="24"/>
        </w:rPr>
        <w:t xml:space="preserve">ó que </w:t>
      </w:r>
      <w:r w:rsidR="00A94331">
        <w:rPr>
          <w:rFonts w:ascii="Arial" w:hAnsi="Arial" w:cs="Arial"/>
          <w:sz w:val="24"/>
          <w:szCs w:val="24"/>
        </w:rPr>
        <w:t>el fallo atacado sí vulneró derechos fundamentales por inaplicar lo previsto en el artículo 647-1 del E.T. e interpretar de forma errónea y descontextualizada la sentencia C-910 de 20</w:t>
      </w:r>
      <w:r w:rsidR="008043B1">
        <w:rPr>
          <w:rFonts w:ascii="Arial" w:hAnsi="Arial" w:cs="Arial"/>
          <w:sz w:val="24"/>
          <w:szCs w:val="24"/>
        </w:rPr>
        <w:t>0</w:t>
      </w:r>
      <w:r w:rsidR="00A94331">
        <w:rPr>
          <w:rFonts w:ascii="Arial" w:hAnsi="Arial" w:cs="Arial"/>
          <w:sz w:val="24"/>
          <w:szCs w:val="24"/>
        </w:rPr>
        <w:t>4.</w:t>
      </w:r>
      <w:r w:rsidR="00DD3FE4">
        <w:rPr>
          <w:rFonts w:ascii="Arial" w:hAnsi="Arial" w:cs="Arial"/>
          <w:sz w:val="24"/>
          <w:szCs w:val="24"/>
        </w:rPr>
        <w:t xml:space="preserve"> </w:t>
      </w:r>
    </w:p>
    <w:p w14:paraId="6F18658B" w14:textId="77777777" w:rsidR="009E4932" w:rsidRPr="00C230FB" w:rsidRDefault="009E4932" w:rsidP="00B0371B">
      <w:pPr>
        <w:pStyle w:val="Cuadrculamedia21"/>
        <w:spacing w:line="360" w:lineRule="auto"/>
        <w:jc w:val="both"/>
        <w:rPr>
          <w:rFonts w:ascii="Arial" w:hAnsi="Arial" w:cs="Arial"/>
          <w:sz w:val="21"/>
          <w:szCs w:val="21"/>
        </w:rPr>
      </w:pPr>
    </w:p>
    <w:p w14:paraId="15FC7AFD" w14:textId="77777777" w:rsidR="00096400" w:rsidRPr="00974846" w:rsidRDefault="00096400" w:rsidP="00B0371B">
      <w:pPr>
        <w:pStyle w:val="Sinespaciado1"/>
        <w:spacing w:line="360" w:lineRule="auto"/>
        <w:jc w:val="center"/>
        <w:rPr>
          <w:rFonts w:ascii="Arial" w:hAnsi="Arial" w:cs="Arial"/>
          <w:b/>
        </w:rPr>
      </w:pPr>
      <w:r w:rsidRPr="00974846">
        <w:rPr>
          <w:rFonts w:ascii="Arial" w:hAnsi="Arial" w:cs="Arial"/>
          <w:b/>
        </w:rPr>
        <w:t>II.- CONSIDERACIONES</w:t>
      </w:r>
    </w:p>
    <w:p w14:paraId="1206E832" w14:textId="77777777" w:rsidR="00535E12" w:rsidRPr="002435C4" w:rsidRDefault="00535E12" w:rsidP="00B0371B">
      <w:pPr>
        <w:pStyle w:val="Sinespaciado1"/>
        <w:spacing w:line="360" w:lineRule="auto"/>
        <w:jc w:val="both"/>
        <w:rPr>
          <w:rFonts w:ascii="Arial" w:hAnsi="Arial" w:cs="Arial"/>
          <w:b/>
        </w:rPr>
      </w:pPr>
    </w:p>
    <w:p w14:paraId="2E06870E" w14:textId="77777777" w:rsidR="00096400" w:rsidRDefault="00096400" w:rsidP="00B0371B">
      <w:pPr>
        <w:pStyle w:val="Sinespaciado1"/>
        <w:spacing w:line="360" w:lineRule="auto"/>
        <w:jc w:val="both"/>
        <w:rPr>
          <w:rFonts w:ascii="Arial" w:hAnsi="Arial" w:cs="Arial"/>
          <w:b/>
        </w:rPr>
      </w:pPr>
      <w:r w:rsidRPr="00974846">
        <w:rPr>
          <w:rFonts w:ascii="Arial" w:hAnsi="Arial" w:cs="Arial"/>
          <w:b/>
        </w:rPr>
        <w:t>1.- Competencia</w:t>
      </w:r>
    </w:p>
    <w:p w14:paraId="4B77E31A" w14:textId="77777777" w:rsidR="002F2511" w:rsidRPr="002F2511" w:rsidRDefault="002F2511" w:rsidP="00B0371B">
      <w:pPr>
        <w:pStyle w:val="Sinespaciado1"/>
        <w:spacing w:line="360" w:lineRule="auto"/>
        <w:jc w:val="both"/>
        <w:rPr>
          <w:rFonts w:ascii="Arial" w:hAnsi="Arial" w:cs="Arial"/>
          <w:sz w:val="20"/>
          <w:szCs w:val="20"/>
        </w:rPr>
      </w:pPr>
    </w:p>
    <w:p w14:paraId="51502D11" w14:textId="77777777" w:rsidR="00CE66EA" w:rsidRDefault="00FB7B39" w:rsidP="00B0371B">
      <w:pPr>
        <w:pStyle w:val="Sinespaciado1"/>
        <w:spacing w:line="360" w:lineRule="auto"/>
        <w:jc w:val="both"/>
        <w:rPr>
          <w:rFonts w:ascii="Arial" w:hAnsi="Arial" w:cs="Arial"/>
        </w:rPr>
      </w:pPr>
      <w:r>
        <w:rPr>
          <w:rFonts w:ascii="Arial" w:hAnsi="Arial" w:cs="Arial"/>
        </w:rPr>
        <w:t xml:space="preserve">Esta Sala es competente para conocer de la impugnación presentada en </w:t>
      </w:r>
      <w:r w:rsidRPr="00974846">
        <w:rPr>
          <w:rFonts w:ascii="Arial" w:hAnsi="Arial" w:cs="Arial"/>
        </w:rPr>
        <w:t xml:space="preserve">contra </w:t>
      </w:r>
      <w:r>
        <w:rPr>
          <w:rFonts w:ascii="Arial" w:hAnsi="Arial" w:cs="Arial"/>
        </w:rPr>
        <w:t>d</w:t>
      </w:r>
      <w:r w:rsidRPr="00974846">
        <w:rPr>
          <w:rFonts w:ascii="Arial" w:hAnsi="Arial" w:cs="Arial"/>
        </w:rPr>
        <w:t xml:space="preserve">el </w:t>
      </w:r>
      <w:r>
        <w:rPr>
          <w:rFonts w:ascii="Arial" w:hAnsi="Arial" w:cs="Arial"/>
        </w:rPr>
        <w:t>fallo de tutela proferido</w:t>
      </w:r>
      <w:r w:rsidRPr="00CE66EA">
        <w:rPr>
          <w:rFonts w:ascii="Arial" w:hAnsi="Arial" w:cs="Arial"/>
        </w:rPr>
        <w:t xml:space="preserve"> el </w:t>
      </w:r>
      <w:r w:rsidR="00176813">
        <w:rPr>
          <w:rFonts w:ascii="Arial" w:hAnsi="Arial" w:cs="Arial"/>
        </w:rPr>
        <w:t>04</w:t>
      </w:r>
      <w:r w:rsidRPr="00CE66EA">
        <w:rPr>
          <w:rFonts w:ascii="Arial" w:hAnsi="Arial" w:cs="Arial"/>
        </w:rPr>
        <w:t xml:space="preserve"> </w:t>
      </w:r>
      <w:r w:rsidR="00EC6F52">
        <w:rPr>
          <w:rFonts w:ascii="Arial" w:hAnsi="Arial" w:cs="Arial"/>
        </w:rPr>
        <w:t>juni</w:t>
      </w:r>
      <w:r>
        <w:rPr>
          <w:rFonts w:ascii="Arial" w:hAnsi="Arial" w:cs="Arial"/>
        </w:rPr>
        <w:t>o</w:t>
      </w:r>
      <w:r w:rsidRPr="00CE66EA">
        <w:rPr>
          <w:rFonts w:ascii="Arial" w:hAnsi="Arial" w:cs="Arial"/>
        </w:rPr>
        <w:t xml:space="preserve"> de 20</w:t>
      </w:r>
      <w:r>
        <w:rPr>
          <w:rFonts w:ascii="Arial" w:hAnsi="Arial" w:cs="Arial"/>
        </w:rPr>
        <w:t>20</w:t>
      </w:r>
      <w:r w:rsidRPr="00CE66EA">
        <w:rPr>
          <w:rFonts w:ascii="Arial" w:hAnsi="Arial" w:cs="Arial"/>
        </w:rPr>
        <w:t xml:space="preserve"> por la</w:t>
      </w:r>
      <w:r w:rsidR="00176813">
        <w:rPr>
          <w:rFonts w:ascii="Arial" w:hAnsi="Arial" w:cs="Arial"/>
        </w:rPr>
        <w:t xml:space="preserve"> Subsección A de la</w:t>
      </w:r>
      <w:r w:rsidRPr="00CE66EA">
        <w:rPr>
          <w:rFonts w:ascii="Arial" w:hAnsi="Arial" w:cs="Arial"/>
        </w:rPr>
        <w:t xml:space="preserve"> Sección </w:t>
      </w:r>
      <w:r w:rsidR="00176813">
        <w:rPr>
          <w:rFonts w:ascii="Arial" w:hAnsi="Arial" w:cs="Arial"/>
        </w:rPr>
        <w:t>Segund</w:t>
      </w:r>
      <w:r w:rsidRPr="00CE66EA">
        <w:rPr>
          <w:rFonts w:ascii="Arial" w:hAnsi="Arial" w:cs="Arial"/>
        </w:rPr>
        <w:t xml:space="preserve">a </w:t>
      </w:r>
      <w:r w:rsidR="00211334">
        <w:rPr>
          <w:rFonts w:ascii="Arial" w:hAnsi="Arial" w:cs="Arial"/>
        </w:rPr>
        <w:t>de</w:t>
      </w:r>
      <w:r w:rsidR="001333BF">
        <w:rPr>
          <w:rFonts w:ascii="Arial" w:hAnsi="Arial" w:cs="Arial"/>
        </w:rPr>
        <w:t xml:space="preserve"> </w:t>
      </w:r>
      <w:r w:rsidR="001333BF">
        <w:rPr>
          <w:rFonts w:ascii="Arial" w:hAnsi="Arial" w:cs="Arial"/>
        </w:rPr>
        <w:lastRenderedPageBreak/>
        <w:t>esta</w:t>
      </w:r>
      <w:r w:rsidR="00176813">
        <w:rPr>
          <w:rFonts w:ascii="Arial" w:hAnsi="Arial" w:cs="Arial"/>
        </w:rPr>
        <w:t xml:space="preserve"> Co</w:t>
      </w:r>
      <w:r w:rsidR="001333BF">
        <w:rPr>
          <w:rFonts w:ascii="Arial" w:hAnsi="Arial" w:cs="Arial"/>
        </w:rPr>
        <w:t>legiatura</w:t>
      </w:r>
      <w:r w:rsidRPr="00CE66EA">
        <w:rPr>
          <w:rFonts w:ascii="Arial" w:hAnsi="Arial" w:cs="Arial"/>
        </w:rPr>
        <w:t xml:space="preserve">, que resolvió en primera instancia la acción de tutela interpuesta </w:t>
      </w:r>
      <w:r>
        <w:rPr>
          <w:rFonts w:ascii="Arial" w:hAnsi="Arial" w:cs="Arial"/>
        </w:rPr>
        <w:t xml:space="preserve">por </w:t>
      </w:r>
      <w:r w:rsidR="00EC6F52">
        <w:rPr>
          <w:rFonts w:ascii="Arial" w:hAnsi="Arial" w:cs="Arial"/>
        </w:rPr>
        <w:t xml:space="preserve">la </w:t>
      </w:r>
      <w:r w:rsidR="00176813">
        <w:rPr>
          <w:rFonts w:ascii="Arial" w:hAnsi="Arial" w:cs="Arial"/>
        </w:rPr>
        <w:t>DIAN</w:t>
      </w:r>
      <w:r w:rsidR="00EC6F52">
        <w:rPr>
          <w:rFonts w:ascii="Arial" w:hAnsi="Arial" w:cs="Arial"/>
        </w:rPr>
        <w:t xml:space="preserve"> </w:t>
      </w:r>
      <w:r>
        <w:rPr>
          <w:rFonts w:ascii="Arial" w:hAnsi="Arial" w:cs="Arial"/>
        </w:rPr>
        <w:t>en contra de</w:t>
      </w:r>
      <w:r w:rsidR="00176813">
        <w:rPr>
          <w:rFonts w:ascii="Arial" w:hAnsi="Arial" w:cs="Arial"/>
        </w:rPr>
        <w:t xml:space="preserve"> </w:t>
      </w:r>
      <w:r w:rsidR="00EC6F52">
        <w:rPr>
          <w:rFonts w:ascii="Arial" w:hAnsi="Arial" w:cs="Arial"/>
        </w:rPr>
        <w:t>l</w:t>
      </w:r>
      <w:r w:rsidR="00176813">
        <w:rPr>
          <w:rFonts w:ascii="Arial" w:hAnsi="Arial" w:cs="Arial"/>
        </w:rPr>
        <w:t>a</w:t>
      </w:r>
      <w:r>
        <w:rPr>
          <w:rFonts w:ascii="Arial" w:hAnsi="Arial" w:cs="Arial"/>
        </w:rPr>
        <w:t xml:space="preserve"> </w:t>
      </w:r>
      <w:r w:rsidR="00176813">
        <w:rPr>
          <w:rFonts w:ascii="Arial" w:hAnsi="Arial" w:cs="Arial"/>
        </w:rPr>
        <w:t>Sección Cuarta de esta Corporación</w:t>
      </w:r>
      <w:r w:rsidR="00153247">
        <w:rPr>
          <w:rFonts w:ascii="Arial" w:hAnsi="Arial" w:cs="Arial"/>
        </w:rPr>
        <w:t>, d</w:t>
      </w:r>
      <w:r w:rsidR="008057F3" w:rsidRPr="00974846">
        <w:rPr>
          <w:rFonts w:ascii="Arial" w:hAnsi="Arial" w:cs="Arial"/>
        </w:rPr>
        <w:t>e conformidad con lo establecido en los artículos 86 de la Constitución</w:t>
      </w:r>
      <w:r w:rsidR="008057F3">
        <w:rPr>
          <w:rFonts w:ascii="Arial" w:hAnsi="Arial" w:cs="Arial"/>
        </w:rPr>
        <w:t>,</w:t>
      </w:r>
      <w:r w:rsidR="008057F3" w:rsidRPr="00974846">
        <w:rPr>
          <w:rFonts w:ascii="Arial" w:hAnsi="Arial" w:cs="Arial"/>
        </w:rPr>
        <w:t xml:space="preserve"> 32 del Decreto 2591 de 1991</w:t>
      </w:r>
      <w:r w:rsidR="008057F3">
        <w:rPr>
          <w:rFonts w:ascii="Arial" w:hAnsi="Arial" w:cs="Arial"/>
        </w:rPr>
        <w:t xml:space="preserve"> y 25</w:t>
      </w:r>
      <w:r w:rsidR="008057F3" w:rsidRPr="00974846">
        <w:rPr>
          <w:rFonts w:ascii="Arial" w:hAnsi="Arial" w:cs="Arial"/>
        </w:rPr>
        <w:t xml:space="preserve"> del Acuerdo No. 080 de 2019</w:t>
      </w:r>
      <w:r w:rsidR="00211334">
        <w:rPr>
          <w:rFonts w:ascii="Arial" w:hAnsi="Arial" w:cs="Arial"/>
        </w:rPr>
        <w:t xml:space="preserve"> de la Sala Plena del Consejo de Estado.</w:t>
      </w:r>
      <w:r w:rsidR="008057F3" w:rsidRPr="00974846">
        <w:rPr>
          <w:rFonts w:ascii="Arial" w:hAnsi="Arial" w:cs="Arial"/>
        </w:rPr>
        <w:t xml:space="preserve"> </w:t>
      </w:r>
    </w:p>
    <w:p w14:paraId="0BDDD01A" w14:textId="77777777" w:rsidR="00827C2F" w:rsidRDefault="00827C2F" w:rsidP="00B0371B">
      <w:pPr>
        <w:pStyle w:val="Sinespaciado1"/>
        <w:spacing w:line="360" w:lineRule="auto"/>
        <w:jc w:val="both"/>
        <w:rPr>
          <w:rFonts w:ascii="Arial" w:hAnsi="Arial" w:cs="Arial"/>
        </w:rPr>
      </w:pPr>
    </w:p>
    <w:p w14:paraId="578530A3" w14:textId="77777777" w:rsidR="00DA346B" w:rsidRDefault="00DE000E" w:rsidP="00B0371B">
      <w:pPr>
        <w:pStyle w:val="Sinespaciado1"/>
        <w:spacing w:line="360" w:lineRule="auto"/>
        <w:jc w:val="both"/>
        <w:rPr>
          <w:rFonts w:ascii="Arial" w:hAnsi="Arial" w:cs="Arial"/>
          <w:b/>
        </w:rPr>
      </w:pPr>
      <w:r w:rsidRPr="00CE66EA">
        <w:rPr>
          <w:rFonts w:ascii="Arial" w:hAnsi="Arial" w:cs="Arial"/>
          <w:b/>
        </w:rPr>
        <w:t>2.</w:t>
      </w:r>
      <w:r w:rsidR="00B10742">
        <w:rPr>
          <w:rFonts w:ascii="Arial" w:hAnsi="Arial" w:cs="Arial"/>
          <w:b/>
        </w:rPr>
        <w:t>-</w:t>
      </w:r>
      <w:r w:rsidRPr="00CE66EA">
        <w:rPr>
          <w:rFonts w:ascii="Arial" w:hAnsi="Arial" w:cs="Arial"/>
          <w:b/>
        </w:rPr>
        <w:t xml:space="preserve"> Problema jurídico </w:t>
      </w:r>
    </w:p>
    <w:p w14:paraId="2BA7CA16" w14:textId="77777777" w:rsidR="002F2511" w:rsidRPr="002F2511" w:rsidRDefault="002F2511" w:rsidP="00B0371B">
      <w:pPr>
        <w:pStyle w:val="Sinespaciado1"/>
        <w:spacing w:line="360" w:lineRule="auto"/>
        <w:ind w:right="50"/>
        <w:jc w:val="both"/>
        <w:rPr>
          <w:rFonts w:ascii="Arial" w:hAnsi="Arial" w:cs="Arial"/>
          <w:sz w:val="20"/>
          <w:szCs w:val="20"/>
        </w:rPr>
      </w:pPr>
    </w:p>
    <w:p w14:paraId="5F0084E8" w14:textId="77777777" w:rsidR="00DE000E" w:rsidRDefault="00596CC1" w:rsidP="002435C4">
      <w:pPr>
        <w:pStyle w:val="Sinespaciado1"/>
        <w:spacing w:line="360" w:lineRule="auto"/>
        <w:ind w:right="50"/>
        <w:jc w:val="both"/>
        <w:rPr>
          <w:rFonts w:ascii="Arial" w:hAnsi="Arial" w:cs="Arial"/>
        </w:rPr>
      </w:pPr>
      <w:r w:rsidRPr="002E0B05">
        <w:rPr>
          <w:rFonts w:ascii="Arial" w:hAnsi="Arial" w:cs="Arial"/>
        </w:rPr>
        <w:t xml:space="preserve">Corresponde a la Sala determinar si debe confirmar, modificar o revocar la sentencia del </w:t>
      </w:r>
      <w:r w:rsidR="00176813">
        <w:rPr>
          <w:rFonts w:ascii="Arial" w:hAnsi="Arial" w:cs="Arial"/>
        </w:rPr>
        <w:t>04</w:t>
      </w:r>
      <w:r w:rsidRPr="002E0B05">
        <w:rPr>
          <w:rFonts w:ascii="Arial" w:hAnsi="Arial" w:cs="Arial"/>
        </w:rPr>
        <w:t xml:space="preserve"> de </w:t>
      </w:r>
      <w:r w:rsidR="00EC6F52">
        <w:rPr>
          <w:rFonts w:ascii="Arial" w:hAnsi="Arial" w:cs="Arial"/>
        </w:rPr>
        <w:t>juni</w:t>
      </w:r>
      <w:r>
        <w:rPr>
          <w:rFonts w:ascii="Arial" w:hAnsi="Arial" w:cs="Arial"/>
        </w:rPr>
        <w:t>o</w:t>
      </w:r>
      <w:r w:rsidRPr="002E0B05">
        <w:rPr>
          <w:rFonts w:ascii="Arial" w:hAnsi="Arial" w:cs="Arial"/>
        </w:rPr>
        <w:t xml:space="preserve"> de 2020 dictada por la </w:t>
      </w:r>
      <w:r w:rsidR="00176813">
        <w:rPr>
          <w:rFonts w:ascii="Arial" w:hAnsi="Arial" w:cs="Arial"/>
        </w:rPr>
        <w:t xml:space="preserve">Subsección A de la </w:t>
      </w:r>
      <w:r w:rsidRPr="002E0B05">
        <w:rPr>
          <w:rFonts w:ascii="Arial" w:hAnsi="Arial" w:cs="Arial"/>
        </w:rPr>
        <w:t xml:space="preserve">Sección </w:t>
      </w:r>
      <w:r w:rsidR="00176813">
        <w:rPr>
          <w:rFonts w:ascii="Arial" w:hAnsi="Arial" w:cs="Arial"/>
        </w:rPr>
        <w:t>Segunda</w:t>
      </w:r>
      <w:r w:rsidRPr="002E0B05">
        <w:rPr>
          <w:rFonts w:ascii="Arial" w:hAnsi="Arial" w:cs="Arial"/>
        </w:rPr>
        <w:t xml:space="preserve"> de</w:t>
      </w:r>
      <w:r w:rsidR="00EC6F52">
        <w:rPr>
          <w:rFonts w:ascii="Arial" w:hAnsi="Arial" w:cs="Arial"/>
        </w:rPr>
        <w:t xml:space="preserve"> </w:t>
      </w:r>
      <w:r w:rsidRPr="002E0B05">
        <w:rPr>
          <w:rFonts w:ascii="Arial" w:hAnsi="Arial" w:cs="Arial"/>
        </w:rPr>
        <w:t>l</w:t>
      </w:r>
      <w:r w:rsidR="00EC6F52">
        <w:rPr>
          <w:rFonts w:ascii="Arial" w:hAnsi="Arial" w:cs="Arial"/>
        </w:rPr>
        <w:t>a Sala de lo Contencioso Administrativo del</w:t>
      </w:r>
      <w:r w:rsidRPr="002E0B05">
        <w:rPr>
          <w:rFonts w:ascii="Arial" w:hAnsi="Arial" w:cs="Arial"/>
        </w:rPr>
        <w:t xml:space="preserve"> Consejo de Estado.</w:t>
      </w:r>
      <w:r w:rsidR="00827C2F">
        <w:rPr>
          <w:rFonts w:ascii="Arial" w:hAnsi="Arial" w:cs="Arial"/>
        </w:rPr>
        <w:t xml:space="preserve"> Para ello, </w:t>
      </w:r>
      <w:r>
        <w:rPr>
          <w:rFonts w:ascii="Arial" w:hAnsi="Arial" w:cs="Arial"/>
        </w:rPr>
        <w:t>e</w:t>
      </w:r>
      <w:r w:rsidR="00CE66EA">
        <w:rPr>
          <w:rFonts w:ascii="Arial" w:hAnsi="Arial" w:cs="Arial"/>
        </w:rPr>
        <w:t>n primer lugar, se verificar</w:t>
      </w:r>
      <w:r w:rsidR="009E5CF4">
        <w:rPr>
          <w:rFonts w:ascii="Arial" w:hAnsi="Arial" w:cs="Arial"/>
        </w:rPr>
        <w:t>á</w:t>
      </w:r>
      <w:r w:rsidR="00CE66EA">
        <w:rPr>
          <w:rFonts w:ascii="Arial" w:hAnsi="Arial" w:cs="Arial"/>
        </w:rPr>
        <w:t xml:space="preserve"> </w:t>
      </w:r>
      <w:r w:rsidR="00DE000E" w:rsidRPr="000D798D">
        <w:rPr>
          <w:rFonts w:ascii="Arial" w:hAnsi="Arial" w:cs="Arial"/>
        </w:rPr>
        <w:t xml:space="preserve">si </w:t>
      </w:r>
      <w:r w:rsidR="00CE66EA">
        <w:rPr>
          <w:rFonts w:ascii="Arial" w:hAnsi="Arial" w:cs="Arial"/>
        </w:rPr>
        <w:t xml:space="preserve">la solicitud de amparo constitucional cumple con los requisitos generales de procedibilidad. En caso afirmativo, se </w:t>
      </w:r>
      <w:r w:rsidR="00DE000E" w:rsidRPr="000D798D">
        <w:rPr>
          <w:rFonts w:ascii="Arial" w:hAnsi="Arial" w:cs="Arial"/>
        </w:rPr>
        <w:t>determinar</w:t>
      </w:r>
      <w:r w:rsidR="00CE66EA">
        <w:rPr>
          <w:rFonts w:ascii="Arial" w:hAnsi="Arial" w:cs="Arial"/>
        </w:rPr>
        <w:t>á</w:t>
      </w:r>
      <w:r w:rsidR="00DE000E" w:rsidRPr="000D798D">
        <w:rPr>
          <w:rFonts w:ascii="Arial" w:hAnsi="Arial" w:cs="Arial"/>
        </w:rPr>
        <w:t xml:space="preserve"> si la </w:t>
      </w:r>
      <w:r>
        <w:rPr>
          <w:rFonts w:ascii="Arial" w:hAnsi="Arial" w:cs="Arial"/>
        </w:rPr>
        <w:t>autoridad</w:t>
      </w:r>
      <w:r w:rsidR="00CE66EA">
        <w:rPr>
          <w:rFonts w:ascii="Arial" w:hAnsi="Arial" w:cs="Arial"/>
        </w:rPr>
        <w:t xml:space="preserve"> acusada </w:t>
      </w:r>
      <w:r w:rsidR="00DE000E" w:rsidRPr="000D798D">
        <w:rPr>
          <w:rFonts w:ascii="Arial" w:hAnsi="Arial" w:cs="Arial"/>
        </w:rPr>
        <w:t>incurr</w:t>
      </w:r>
      <w:r>
        <w:rPr>
          <w:rFonts w:ascii="Arial" w:hAnsi="Arial" w:cs="Arial"/>
        </w:rPr>
        <w:t>i</w:t>
      </w:r>
      <w:r w:rsidR="00EC6F52">
        <w:rPr>
          <w:rFonts w:ascii="Arial" w:hAnsi="Arial" w:cs="Arial"/>
        </w:rPr>
        <w:t>ó</w:t>
      </w:r>
      <w:r w:rsidR="00DE000E" w:rsidRPr="000D798D">
        <w:rPr>
          <w:rFonts w:ascii="Arial" w:hAnsi="Arial" w:cs="Arial"/>
        </w:rPr>
        <w:t xml:space="preserve"> en </w:t>
      </w:r>
      <w:r>
        <w:rPr>
          <w:rFonts w:ascii="Arial" w:hAnsi="Arial" w:cs="Arial"/>
        </w:rPr>
        <w:t>los defectos aludidos</w:t>
      </w:r>
      <w:r w:rsidR="00DE000E" w:rsidRPr="000D798D">
        <w:rPr>
          <w:rFonts w:ascii="Arial" w:hAnsi="Arial" w:cs="Arial"/>
        </w:rPr>
        <w:t xml:space="preserve">. </w:t>
      </w:r>
    </w:p>
    <w:p w14:paraId="31F7AD18" w14:textId="77777777" w:rsidR="002F2511" w:rsidRPr="002F2511" w:rsidRDefault="002F2511" w:rsidP="002435C4">
      <w:pPr>
        <w:pStyle w:val="Textosinformato"/>
        <w:spacing w:line="360" w:lineRule="auto"/>
        <w:jc w:val="both"/>
        <w:rPr>
          <w:rFonts w:ascii="Arial" w:hAnsi="Arial" w:cs="Arial"/>
          <w:b/>
          <w:sz w:val="16"/>
          <w:szCs w:val="16"/>
        </w:rPr>
      </w:pPr>
    </w:p>
    <w:p w14:paraId="05B85261" w14:textId="77777777" w:rsidR="008057F3" w:rsidRDefault="008057F3" w:rsidP="002435C4">
      <w:pPr>
        <w:pStyle w:val="Textosinformato"/>
        <w:spacing w:line="360" w:lineRule="auto"/>
        <w:jc w:val="both"/>
        <w:rPr>
          <w:rFonts w:ascii="Arial" w:hAnsi="Arial" w:cs="Arial"/>
          <w:b/>
          <w:sz w:val="24"/>
          <w:szCs w:val="24"/>
        </w:rPr>
      </w:pPr>
      <w:r w:rsidRPr="000C2AC8">
        <w:rPr>
          <w:rFonts w:ascii="Arial" w:hAnsi="Arial" w:cs="Arial"/>
          <w:b/>
          <w:sz w:val="24"/>
          <w:szCs w:val="24"/>
        </w:rPr>
        <w:t>3.</w:t>
      </w:r>
      <w:r w:rsidR="00B10742">
        <w:rPr>
          <w:rFonts w:ascii="Arial" w:hAnsi="Arial" w:cs="Arial"/>
          <w:b/>
          <w:sz w:val="24"/>
          <w:szCs w:val="24"/>
        </w:rPr>
        <w:t>-</w:t>
      </w:r>
      <w:r w:rsidRPr="000C2AC8">
        <w:rPr>
          <w:rFonts w:ascii="Arial" w:hAnsi="Arial" w:cs="Arial"/>
          <w:b/>
          <w:sz w:val="24"/>
          <w:szCs w:val="24"/>
        </w:rPr>
        <w:t xml:space="preserve"> La acción de tutela </w:t>
      </w:r>
      <w:r>
        <w:rPr>
          <w:rFonts w:ascii="Arial" w:hAnsi="Arial" w:cs="Arial"/>
          <w:b/>
          <w:sz w:val="24"/>
          <w:szCs w:val="24"/>
        </w:rPr>
        <w:t xml:space="preserve">en </w:t>
      </w:r>
      <w:r w:rsidRPr="000C2AC8">
        <w:rPr>
          <w:rFonts w:ascii="Arial" w:hAnsi="Arial" w:cs="Arial"/>
          <w:b/>
          <w:sz w:val="24"/>
          <w:szCs w:val="24"/>
        </w:rPr>
        <w:t xml:space="preserve">contra </w:t>
      </w:r>
      <w:r>
        <w:rPr>
          <w:rFonts w:ascii="Arial" w:hAnsi="Arial" w:cs="Arial"/>
          <w:b/>
          <w:sz w:val="24"/>
          <w:szCs w:val="24"/>
        </w:rPr>
        <w:t xml:space="preserve">de </w:t>
      </w:r>
      <w:r w:rsidRPr="000C2AC8">
        <w:rPr>
          <w:rFonts w:ascii="Arial" w:hAnsi="Arial" w:cs="Arial"/>
          <w:b/>
          <w:sz w:val="24"/>
          <w:szCs w:val="24"/>
        </w:rPr>
        <w:t xml:space="preserve">providencias judiciales </w:t>
      </w:r>
    </w:p>
    <w:p w14:paraId="0B3D12DB" w14:textId="77777777" w:rsidR="002F2511" w:rsidRPr="002F2511" w:rsidRDefault="002F2511" w:rsidP="002435C4">
      <w:pPr>
        <w:pStyle w:val="Sinespaciado1"/>
        <w:spacing w:line="360" w:lineRule="auto"/>
        <w:rPr>
          <w:sz w:val="20"/>
          <w:szCs w:val="20"/>
        </w:rPr>
      </w:pPr>
    </w:p>
    <w:p w14:paraId="41091734" w14:textId="77777777" w:rsidR="00ED7575" w:rsidRDefault="00ED7575" w:rsidP="00ED7575">
      <w:pPr>
        <w:pStyle w:val="Cuadrculamedia21"/>
        <w:spacing w:line="360" w:lineRule="auto"/>
        <w:jc w:val="both"/>
        <w:rPr>
          <w:rFonts w:ascii="Arial" w:hAnsi="Arial" w:cs="Arial"/>
          <w:sz w:val="24"/>
          <w:szCs w:val="24"/>
        </w:rPr>
      </w:pPr>
      <w:r w:rsidRPr="00C727AE">
        <w:rPr>
          <w:rFonts w:ascii="Arial" w:hAnsi="Arial" w:cs="Arial"/>
          <w:sz w:val="24"/>
          <w:szCs w:val="24"/>
        </w:rPr>
        <w:t>La Corte Constitucional en sentencia C-590 de 2005 reconoció que la acción de tutela en contra de providencias judiciales está sujet</w:t>
      </w:r>
      <w:r w:rsidR="00D67F0C">
        <w:rPr>
          <w:rFonts w:ascii="Arial" w:hAnsi="Arial" w:cs="Arial"/>
          <w:sz w:val="24"/>
          <w:szCs w:val="24"/>
        </w:rPr>
        <w:t>a</w:t>
      </w:r>
      <w:r w:rsidRPr="00C727AE">
        <w:rPr>
          <w:rFonts w:ascii="Arial" w:hAnsi="Arial" w:cs="Arial"/>
          <w:sz w:val="24"/>
          <w:szCs w:val="24"/>
        </w:rPr>
        <w:t xml:space="preserve"> al cumplimiento de rigurosos requisitos de procedibilidad</w:t>
      </w:r>
      <w:r w:rsidRPr="00C727AE">
        <w:rPr>
          <w:rStyle w:val="Refdenotaalpie"/>
          <w:rFonts w:ascii="Arial" w:hAnsi="Arial" w:cs="Arial"/>
          <w:sz w:val="24"/>
          <w:szCs w:val="24"/>
        </w:rPr>
        <w:footnoteReference w:id="13"/>
      </w:r>
      <w:r w:rsidRPr="00C727AE">
        <w:rPr>
          <w:rFonts w:ascii="Arial" w:hAnsi="Arial" w:cs="Arial"/>
          <w:sz w:val="24"/>
          <w:szCs w:val="24"/>
        </w:rPr>
        <w:t xml:space="preserve"> y de procedencia</w:t>
      </w:r>
      <w:r w:rsidRPr="00C727AE">
        <w:rPr>
          <w:rStyle w:val="Refdenotaalpie"/>
          <w:rFonts w:ascii="Arial" w:hAnsi="Arial" w:cs="Arial"/>
          <w:sz w:val="24"/>
          <w:szCs w:val="24"/>
        </w:rPr>
        <w:footnoteReference w:id="14"/>
      </w:r>
      <w:r w:rsidRPr="00C727AE">
        <w:rPr>
          <w:rFonts w:ascii="Arial" w:hAnsi="Arial" w:cs="Arial"/>
          <w:sz w:val="24"/>
          <w:szCs w:val="24"/>
        </w:rPr>
        <w:t>, con el fin de determinar si se vulneraron o no los derechos de orden superior</w:t>
      </w:r>
      <w:r w:rsidRPr="00C727AE">
        <w:rPr>
          <w:rStyle w:val="Refdenotaalpie"/>
          <w:rFonts w:ascii="Arial" w:hAnsi="Arial" w:cs="Arial"/>
          <w:sz w:val="24"/>
          <w:szCs w:val="24"/>
        </w:rPr>
        <w:footnoteReference w:id="15"/>
      </w:r>
      <w:r w:rsidRPr="00C727AE">
        <w:rPr>
          <w:rFonts w:ascii="Arial" w:hAnsi="Arial" w:cs="Arial"/>
          <w:sz w:val="24"/>
          <w:szCs w:val="24"/>
        </w:rPr>
        <w:t>.</w:t>
      </w:r>
    </w:p>
    <w:p w14:paraId="14CBEFD9" w14:textId="77777777" w:rsidR="00827C2F" w:rsidRPr="00C727AE" w:rsidRDefault="00827C2F" w:rsidP="00ED7575">
      <w:pPr>
        <w:pStyle w:val="Cuadrculamedia21"/>
        <w:spacing w:line="360" w:lineRule="auto"/>
        <w:jc w:val="both"/>
        <w:rPr>
          <w:rFonts w:ascii="Arial" w:hAnsi="Arial" w:cs="Arial"/>
          <w:sz w:val="24"/>
          <w:szCs w:val="24"/>
        </w:rPr>
      </w:pPr>
    </w:p>
    <w:p w14:paraId="6EBD1605" w14:textId="77777777" w:rsidR="005A7C32" w:rsidRDefault="008057F3" w:rsidP="002435C4">
      <w:pPr>
        <w:pStyle w:val="Textosinformato"/>
        <w:spacing w:line="360" w:lineRule="auto"/>
        <w:jc w:val="both"/>
        <w:rPr>
          <w:rFonts w:ascii="Arial" w:eastAsia="Verdana" w:hAnsi="Arial" w:cs="Arial"/>
          <w:b/>
          <w:sz w:val="24"/>
          <w:szCs w:val="24"/>
        </w:rPr>
      </w:pPr>
      <w:r w:rsidRPr="000C2AC8">
        <w:rPr>
          <w:rFonts w:ascii="Arial" w:eastAsia="Verdana" w:hAnsi="Arial" w:cs="Arial"/>
          <w:b/>
          <w:sz w:val="24"/>
          <w:szCs w:val="24"/>
        </w:rPr>
        <w:t>4.</w:t>
      </w:r>
      <w:r w:rsidR="00B10742">
        <w:rPr>
          <w:rFonts w:ascii="Arial" w:eastAsia="Verdana" w:hAnsi="Arial" w:cs="Arial"/>
          <w:b/>
          <w:sz w:val="24"/>
          <w:szCs w:val="24"/>
        </w:rPr>
        <w:t>-</w:t>
      </w:r>
      <w:r w:rsidRPr="000C2AC8">
        <w:rPr>
          <w:rFonts w:ascii="Arial" w:eastAsia="Verdana" w:hAnsi="Arial" w:cs="Arial"/>
          <w:b/>
          <w:sz w:val="24"/>
          <w:szCs w:val="24"/>
        </w:rPr>
        <w:t xml:space="preserve"> El cumplimiento de los requisitos generales de la acción de tutela en el caso concreto </w:t>
      </w:r>
    </w:p>
    <w:p w14:paraId="6702B4E0" w14:textId="77777777" w:rsidR="005A7C32" w:rsidRPr="008962FB" w:rsidRDefault="005A7C32" w:rsidP="002435C4">
      <w:pPr>
        <w:pStyle w:val="Textosinformato"/>
        <w:spacing w:line="360" w:lineRule="auto"/>
        <w:jc w:val="both"/>
        <w:rPr>
          <w:rFonts w:ascii="Arial" w:eastAsia="MS Mincho" w:hAnsi="Arial" w:cs="Arial"/>
          <w:sz w:val="24"/>
          <w:szCs w:val="24"/>
        </w:rPr>
      </w:pPr>
    </w:p>
    <w:p w14:paraId="6DE1E757" w14:textId="77777777" w:rsidR="008057F3" w:rsidRDefault="008057F3" w:rsidP="008057F3">
      <w:pPr>
        <w:pStyle w:val="Textosinformato"/>
        <w:spacing w:line="360" w:lineRule="auto"/>
        <w:jc w:val="both"/>
        <w:rPr>
          <w:rFonts w:ascii="Arial" w:eastAsia="Dotum" w:hAnsi="Arial" w:cs="Arial"/>
          <w:sz w:val="24"/>
          <w:szCs w:val="24"/>
        </w:rPr>
      </w:pPr>
      <w:r w:rsidRPr="000C2AC8">
        <w:rPr>
          <w:rFonts w:ascii="Arial" w:eastAsia="MS Mincho" w:hAnsi="Arial" w:cs="Arial"/>
          <w:sz w:val="24"/>
          <w:szCs w:val="24"/>
        </w:rPr>
        <w:t xml:space="preserve">(i) La tutela cumple con el requisito de </w:t>
      </w:r>
      <w:r w:rsidRPr="00DE2121">
        <w:rPr>
          <w:rFonts w:ascii="Arial" w:eastAsia="MS Mincho" w:hAnsi="Arial" w:cs="Arial"/>
          <w:i/>
          <w:iCs/>
          <w:sz w:val="24"/>
          <w:szCs w:val="24"/>
        </w:rPr>
        <w:t>relevancia constitucional</w:t>
      </w:r>
      <w:r w:rsidRPr="000C2AC8">
        <w:rPr>
          <w:rFonts w:ascii="Arial" w:eastAsia="MS Mincho" w:hAnsi="Arial" w:cs="Arial"/>
          <w:sz w:val="24"/>
          <w:szCs w:val="24"/>
        </w:rPr>
        <w:t xml:space="preserve">, pues en el presente asunto no se discute una situación de índole legal, sino de carácter </w:t>
      </w:r>
      <w:r w:rsidRPr="000C2AC8">
        <w:rPr>
          <w:rFonts w:ascii="Arial" w:eastAsia="MS Mincho" w:hAnsi="Arial" w:cs="Arial"/>
          <w:i/>
          <w:sz w:val="24"/>
          <w:szCs w:val="24"/>
        </w:rPr>
        <w:t>ius fundamental</w:t>
      </w:r>
      <w:r w:rsidRPr="000C2AC8">
        <w:rPr>
          <w:rFonts w:ascii="Arial" w:eastAsia="MS Mincho" w:hAnsi="Arial" w:cs="Arial"/>
          <w:sz w:val="24"/>
          <w:szCs w:val="24"/>
        </w:rPr>
        <w:t xml:space="preserve">, </w:t>
      </w:r>
      <w:r w:rsidRPr="000C2AC8">
        <w:rPr>
          <w:rFonts w:ascii="Arial" w:eastAsia="MS Mincho" w:hAnsi="Arial" w:cs="Arial"/>
          <w:sz w:val="24"/>
          <w:szCs w:val="24"/>
        </w:rPr>
        <w:lastRenderedPageBreak/>
        <w:t xml:space="preserve">sobre la base de que se debe determinar si </w:t>
      </w:r>
      <w:r>
        <w:rPr>
          <w:rFonts w:ascii="Arial" w:hAnsi="Arial" w:cs="Arial"/>
          <w:sz w:val="24"/>
          <w:szCs w:val="24"/>
        </w:rPr>
        <w:t>la</w:t>
      </w:r>
      <w:r w:rsidR="002435C4">
        <w:rPr>
          <w:rFonts w:ascii="Arial" w:hAnsi="Arial" w:cs="Arial"/>
          <w:sz w:val="24"/>
          <w:szCs w:val="24"/>
        </w:rPr>
        <w:t xml:space="preserve"> autoridad judicial accionada</w:t>
      </w:r>
      <w:r w:rsidRPr="000C2AC8">
        <w:rPr>
          <w:rFonts w:ascii="Arial" w:hAnsi="Arial" w:cs="Arial"/>
          <w:sz w:val="24"/>
          <w:szCs w:val="24"/>
        </w:rPr>
        <w:t xml:space="preserve"> </w:t>
      </w:r>
      <w:r w:rsidRPr="000C2AC8">
        <w:rPr>
          <w:rFonts w:ascii="Arial" w:eastAsia="Dotum" w:hAnsi="Arial" w:cs="Arial"/>
          <w:sz w:val="24"/>
          <w:szCs w:val="24"/>
        </w:rPr>
        <w:t>desconoci</w:t>
      </w:r>
      <w:r w:rsidR="00274D2C">
        <w:rPr>
          <w:rFonts w:ascii="Arial" w:eastAsia="Dotum" w:hAnsi="Arial" w:cs="Arial"/>
          <w:sz w:val="24"/>
          <w:szCs w:val="24"/>
        </w:rPr>
        <w:t>ó</w:t>
      </w:r>
      <w:r w:rsidRPr="000C2AC8">
        <w:rPr>
          <w:rFonts w:ascii="Arial" w:eastAsia="Dotum" w:hAnsi="Arial" w:cs="Arial"/>
          <w:sz w:val="24"/>
          <w:szCs w:val="24"/>
        </w:rPr>
        <w:t xml:space="preserve"> los derechos fundamentales invocados por </w:t>
      </w:r>
      <w:r>
        <w:rPr>
          <w:rFonts w:ascii="Arial" w:eastAsia="Dotum" w:hAnsi="Arial" w:cs="Arial"/>
          <w:sz w:val="24"/>
          <w:szCs w:val="24"/>
        </w:rPr>
        <w:t>l</w:t>
      </w:r>
      <w:r w:rsidR="002435C4">
        <w:rPr>
          <w:rFonts w:ascii="Arial" w:eastAsia="Dotum" w:hAnsi="Arial" w:cs="Arial"/>
          <w:sz w:val="24"/>
          <w:szCs w:val="24"/>
        </w:rPr>
        <w:t>a tutelante</w:t>
      </w:r>
      <w:r w:rsidRPr="000C2AC8">
        <w:rPr>
          <w:rFonts w:ascii="Arial" w:eastAsia="Dotum" w:hAnsi="Arial" w:cs="Arial"/>
          <w:sz w:val="24"/>
          <w:szCs w:val="24"/>
        </w:rPr>
        <w:t xml:space="preserve">, al </w:t>
      </w:r>
      <w:r w:rsidR="00176813">
        <w:rPr>
          <w:rFonts w:ascii="Arial" w:eastAsia="Dotum" w:hAnsi="Arial" w:cs="Arial"/>
          <w:sz w:val="24"/>
          <w:szCs w:val="24"/>
        </w:rPr>
        <w:t xml:space="preserve">considerar que no procedía imponerle al contribuyente tanto la sanción por inexactitud en la declaración tributaria (artículo 647 del E.T.) como </w:t>
      </w:r>
      <w:r w:rsidR="003D5C6C">
        <w:rPr>
          <w:rFonts w:ascii="Arial" w:eastAsia="Dotum" w:hAnsi="Arial" w:cs="Arial"/>
          <w:sz w:val="24"/>
          <w:szCs w:val="24"/>
        </w:rPr>
        <w:t xml:space="preserve">otro castigo </w:t>
      </w:r>
      <w:r w:rsidR="00176813">
        <w:rPr>
          <w:rFonts w:ascii="Arial" w:eastAsia="Dotum" w:hAnsi="Arial" w:cs="Arial"/>
          <w:sz w:val="24"/>
          <w:szCs w:val="24"/>
        </w:rPr>
        <w:t>por</w:t>
      </w:r>
      <w:r w:rsidR="003D5C6C">
        <w:rPr>
          <w:rFonts w:ascii="Arial" w:eastAsia="Dotum" w:hAnsi="Arial" w:cs="Arial"/>
          <w:sz w:val="24"/>
          <w:szCs w:val="24"/>
        </w:rPr>
        <w:t xml:space="preserve"> el</w:t>
      </w:r>
      <w:r w:rsidR="00176813">
        <w:rPr>
          <w:rFonts w:ascii="Arial" w:eastAsia="Dotum" w:hAnsi="Arial" w:cs="Arial"/>
          <w:sz w:val="24"/>
          <w:szCs w:val="24"/>
        </w:rPr>
        <w:t xml:space="preserve"> rechazo o disminución de pérdidas fiscales (artículo 647-1 del E.T.), al resultar estas excluyentes</w:t>
      </w:r>
      <w:r w:rsidR="00B65099">
        <w:rPr>
          <w:rFonts w:ascii="Arial" w:eastAsia="Dotum" w:hAnsi="Arial" w:cs="Arial"/>
          <w:sz w:val="24"/>
          <w:szCs w:val="24"/>
        </w:rPr>
        <w:t xml:space="preserve">, </w:t>
      </w:r>
      <w:r w:rsidR="001333BF">
        <w:rPr>
          <w:rFonts w:ascii="Arial" w:eastAsia="Dotum" w:hAnsi="Arial" w:cs="Arial"/>
          <w:sz w:val="24"/>
          <w:szCs w:val="24"/>
        </w:rPr>
        <w:t>según el marco previsto por</w:t>
      </w:r>
      <w:r w:rsidR="00176813">
        <w:rPr>
          <w:rFonts w:ascii="Arial" w:eastAsia="Dotum" w:hAnsi="Arial" w:cs="Arial"/>
          <w:sz w:val="24"/>
          <w:szCs w:val="24"/>
        </w:rPr>
        <w:t xml:space="preserve"> la sentencia C-910 de 2004 de la Corte Constitucional </w:t>
      </w:r>
      <w:r w:rsidR="001333BF">
        <w:rPr>
          <w:rFonts w:ascii="Arial" w:eastAsia="Dotum" w:hAnsi="Arial" w:cs="Arial"/>
          <w:sz w:val="24"/>
          <w:szCs w:val="24"/>
        </w:rPr>
        <w:t>e, incluso, por</w:t>
      </w:r>
      <w:r w:rsidR="00176813">
        <w:rPr>
          <w:rFonts w:ascii="Arial" w:eastAsia="Dotum" w:hAnsi="Arial" w:cs="Arial"/>
          <w:sz w:val="24"/>
          <w:szCs w:val="24"/>
        </w:rPr>
        <w:t xml:space="preserve"> la</w:t>
      </w:r>
      <w:r w:rsidR="001333BF">
        <w:rPr>
          <w:rFonts w:ascii="Arial" w:eastAsia="Dotum" w:hAnsi="Arial" w:cs="Arial"/>
          <w:sz w:val="24"/>
          <w:szCs w:val="24"/>
        </w:rPr>
        <w:t xml:space="preserve"> misma</w:t>
      </w:r>
      <w:r w:rsidR="00176813">
        <w:rPr>
          <w:rFonts w:ascii="Arial" w:eastAsia="Dotum" w:hAnsi="Arial" w:cs="Arial"/>
          <w:sz w:val="24"/>
          <w:szCs w:val="24"/>
        </w:rPr>
        <w:t xml:space="preserve"> Sección Cuarta de esta Colegiatura</w:t>
      </w:r>
      <w:r w:rsidR="002A2A5F">
        <w:rPr>
          <w:rFonts w:ascii="Arial" w:eastAsia="Dotum" w:hAnsi="Arial" w:cs="Arial"/>
          <w:sz w:val="24"/>
          <w:szCs w:val="24"/>
        </w:rPr>
        <w:t>.</w:t>
      </w:r>
    </w:p>
    <w:p w14:paraId="0E74D903" w14:textId="77777777" w:rsidR="005A7C32" w:rsidRDefault="005A7C32" w:rsidP="008057F3">
      <w:pPr>
        <w:pStyle w:val="Textosinformato"/>
        <w:spacing w:line="360" w:lineRule="auto"/>
        <w:jc w:val="both"/>
        <w:rPr>
          <w:rFonts w:ascii="Arial" w:hAnsi="Arial" w:cs="Arial"/>
          <w:sz w:val="24"/>
          <w:szCs w:val="24"/>
        </w:rPr>
      </w:pPr>
    </w:p>
    <w:p w14:paraId="33B60ADA" w14:textId="77777777" w:rsidR="007B14C4" w:rsidRPr="000C2AC8" w:rsidRDefault="008057F3" w:rsidP="008057F3">
      <w:pPr>
        <w:pStyle w:val="Textosinformato"/>
        <w:spacing w:line="360" w:lineRule="auto"/>
        <w:jc w:val="both"/>
        <w:rPr>
          <w:rFonts w:ascii="Arial" w:eastAsia="Dotum" w:hAnsi="Arial" w:cs="Arial"/>
          <w:sz w:val="24"/>
          <w:szCs w:val="24"/>
        </w:rPr>
      </w:pPr>
      <w:r w:rsidRPr="000C2AC8">
        <w:rPr>
          <w:rFonts w:ascii="Arial" w:hAnsi="Arial" w:cs="Arial"/>
          <w:sz w:val="24"/>
          <w:szCs w:val="24"/>
        </w:rPr>
        <w:t xml:space="preserve">(ii) </w:t>
      </w:r>
      <w:r w:rsidR="00C663D7">
        <w:rPr>
          <w:rFonts w:ascii="Arial" w:hAnsi="Arial" w:cs="Arial"/>
          <w:sz w:val="24"/>
          <w:szCs w:val="24"/>
        </w:rPr>
        <w:t>E</w:t>
      </w:r>
      <w:r w:rsidR="007B14C4">
        <w:rPr>
          <w:rFonts w:ascii="Arial" w:hAnsi="Arial" w:cs="Arial"/>
          <w:sz w:val="24"/>
          <w:szCs w:val="24"/>
        </w:rPr>
        <w:t xml:space="preserve">n relación con el requisito de </w:t>
      </w:r>
      <w:r w:rsidR="007B14C4" w:rsidRPr="00DE2121">
        <w:rPr>
          <w:rFonts w:ascii="Arial" w:hAnsi="Arial" w:cs="Arial"/>
          <w:i/>
          <w:iCs/>
          <w:sz w:val="24"/>
          <w:szCs w:val="24"/>
        </w:rPr>
        <w:t>subsidiariedad</w:t>
      </w:r>
      <w:r w:rsidR="007B14C4">
        <w:rPr>
          <w:rFonts w:ascii="Arial" w:hAnsi="Arial" w:cs="Arial"/>
          <w:sz w:val="24"/>
          <w:szCs w:val="24"/>
        </w:rPr>
        <w:t xml:space="preserve">, </w:t>
      </w:r>
      <w:r w:rsidR="00055DCD">
        <w:rPr>
          <w:rFonts w:ascii="Arial" w:hAnsi="Arial" w:cs="Arial"/>
          <w:sz w:val="24"/>
          <w:szCs w:val="24"/>
          <w:shd w:val="clear" w:color="auto" w:fill="FFFFFF"/>
        </w:rPr>
        <w:t xml:space="preserve">se tiene </w:t>
      </w:r>
      <w:r w:rsidR="00853B4F">
        <w:rPr>
          <w:rFonts w:ascii="Arial" w:hAnsi="Arial" w:cs="Arial"/>
          <w:sz w:val="24"/>
          <w:szCs w:val="24"/>
          <w:shd w:val="clear" w:color="auto" w:fill="FFFFFF"/>
        </w:rPr>
        <w:t>por acreditado porque en contra de la sentencia objeto de tutela no existe otro medio de impugnación ni procede el recurso extraordinario de revisión</w:t>
      </w:r>
      <w:r w:rsidR="00853B4F" w:rsidRPr="00B82AD4">
        <w:rPr>
          <w:rStyle w:val="Refdenotaalpie"/>
          <w:rFonts w:ascii="Arial" w:eastAsia="Dotum" w:hAnsi="Arial" w:cs="Arial"/>
        </w:rPr>
        <w:footnoteReference w:id="16"/>
      </w:r>
      <w:r w:rsidR="00853B4F">
        <w:rPr>
          <w:rFonts w:ascii="Arial" w:hAnsi="Arial" w:cs="Arial"/>
          <w:sz w:val="24"/>
          <w:szCs w:val="24"/>
          <w:shd w:val="clear" w:color="auto" w:fill="FFFFFF"/>
        </w:rPr>
        <w:t>.</w:t>
      </w:r>
    </w:p>
    <w:p w14:paraId="69CB20F7" w14:textId="77777777" w:rsidR="005A7C32" w:rsidRDefault="005A7C32" w:rsidP="008057F3">
      <w:pPr>
        <w:pStyle w:val="Textosinformato"/>
        <w:spacing w:line="360" w:lineRule="auto"/>
        <w:jc w:val="both"/>
        <w:rPr>
          <w:rFonts w:ascii="Arial" w:eastAsia="MS Mincho" w:hAnsi="Arial" w:cs="Arial"/>
          <w:sz w:val="24"/>
          <w:szCs w:val="24"/>
        </w:rPr>
      </w:pPr>
    </w:p>
    <w:p w14:paraId="30BC806B" w14:textId="77777777" w:rsidR="008057F3" w:rsidRDefault="008057F3" w:rsidP="008057F3">
      <w:pPr>
        <w:pStyle w:val="Textosinformato"/>
        <w:spacing w:line="360" w:lineRule="auto"/>
        <w:jc w:val="both"/>
        <w:rPr>
          <w:rFonts w:ascii="Arial" w:eastAsia="MS Mincho" w:hAnsi="Arial" w:cs="Arial"/>
          <w:sz w:val="24"/>
          <w:szCs w:val="24"/>
        </w:rPr>
      </w:pPr>
      <w:r w:rsidRPr="000C2AC8">
        <w:rPr>
          <w:rFonts w:ascii="Arial" w:eastAsia="MS Mincho" w:hAnsi="Arial" w:cs="Arial"/>
          <w:sz w:val="24"/>
          <w:szCs w:val="24"/>
        </w:rPr>
        <w:t xml:space="preserve">(iii) El </w:t>
      </w:r>
      <w:r w:rsidR="00B65099">
        <w:rPr>
          <w:rFonts w:ascii="Arial" w:eastAsia="MS Mincho" w:hAnsi="Arial" w:cs="Arial"/>
          <w:sz w:val="24"/>
          <w:szCs w:val="24"/>
        </w:rPr>
        <w:t>presupuesto</w:t>
      </w:r>
      <w:r w:rsidRPr="000C2AC8">
        <w:rPr>
          <w:rFonts w:ascii="Arial" w:eastAsia="MS Mincho" w:hAnsi="Arial" w:cs="Arial"/>
          <w:sz w:val="24"/>
          <w:szCs w:val="24"/>
        </w:rPr>
        <w:t xml:space="preserve"> de </w:t>
      </w:r>
      <w:r w:rsidRPr="00DE2121">
        <w:rPr>
          <w:rFonts w:ascii="Arial" w:eastAsia="MS Mincho" w:hAnsi="Arial" w:cs="Arial"/>
          <w:i/>
          <w:iCs/>
          <w:sz w:val="24"/>
          <w:szCs w:val="24"/>
        </w:rPr>
        <w:t>inmediatez</w:t>
      </w:r>
      <w:r w:rsidRPr="000C2AC8">
        <w:rPr>
          <w:rFonts w:ascii="Arial" w:eastAsia="MS Mincho" w:hAnsi="Arial" w:cs="Arial"/>
          <w:sz w:val="24"/>
          <w:szCs w:val="24"/>
        </w:rPr>
        <w:t xml:space="preserve"> </w:t>
      </w:r>
      <w:r w:rsidR="00B0371B">
        <w:rPr>
          <w:rFonts w:ascii="Arial" w:eastAsia="MS Mincho" w:hAnsi="Arial" w:cs="Arial"/>
          <w:sz w:val="24"/>
          <w:szCs w:val="24"/>
        </w:rPr>
        <w:t>igualmente</w:t>
      </w:r>
      <w:r w:rsidRPr="000C2AC8">
        <w:rPr>
          <w:rFonts w:ascii="Arial" w:eastAsia="MS Mincho" w:hAnsi="Arial" w:cs="Arial"/>
          <w:sz w:val="24"/>
          <w:szCs w:val="24"/>
        </w:rPr>
        <w:t xml:space="preserve"> se encuentra </w:t>
      </w:r>
      <w:r w:rsidR="00B0371B">
        <w:rPr>
          <w:rFonts w:ascii="Arial" w:eastAsia="MS Mincho" w:hAnsi="Arial" w:cs="Arial"/>
          <w:sz w:val="24"/>
          <w:szCs w:val="24"/>
        </w:rPr>
        <w:t>supera</w:t>
      </w:r>
      <w:r w:rsidRPr="000C2AC8">
        <w:rPr>
          <w:rFonts w:ascii="Arial" w:eastAsia="MS Mincho" w:hAnsi="Arial" w:cs="Arial"/>
          <w:sz w:val="24"/>
          <w:szCs w:val="24"/>
        </w:rPr>
        <w:t xml:space="preserve">do. En efecto, </w:t>
      </w:r>
      <w:r w:rsidRPr="000C2AC8">
        <w:rPr>
          <w:rFonts w:ascii="Arial" w:hAnsi="Arial" w:cs="Arial"/>
          <w:sz w:val="24"/>
          <w:szCs w:val="24"/>
        </w:rPr>
        <w:t>l</w:t>
      </w:r>
      <w:r w:rsidR="002435C4">
        <w:rPr>
          <w:rFonts w:ascii="Arial" w:hAnsi="Arial" w:cs="Arial"/>
          <w:sz w:val="24"/>
          <w:szCs w:val="24"/>
        </w:rPr>
        <w:t>a</w:t>
      </w:r>
      <w:r w:rsidRPr="000C2AC8">
        <w:rPr>
          <w:rFonts w:ascii="Arial" w:hAnsi="Arial" w:cs="Arial"/>
          <w:sz w:val="24"/>
          <w:szCs w:val="24"/>
        </w:rPr>
        <w:t xml:space="preserve"> </w:t>
      </w:r>
      <w:r w:rsidR="00055DCD">
        <w:rPr>
          <w:rFonts w:ascii="Arial" w:hAnsi="Arial" w:cs="Arial"/>
          <w:sz w:val="24"/>
          <w:szCs w:val="24"/>
        </w:rPr>
        <w:t>sentenci</w:t>
      </w:r>
      <w:r w:rsidR="002435C4">
        <w:rPr>
          <w:rFonts w:ascii="Arial" w:hAnsi="Arial" w:cs="Arial"/>
          <w:sz w:val="24"/>
          <w:szCs w:val="24"/>
        </w:rPr>
        <w:t>a</w:t>
      </w:r>
      <w:r>
        <w:rPr>
          <w:rFonts w:ascii="Arial" w:hAnsi="Arial" w:cs="Arial"/>
          <w:sz w:val="24"/>
          <w:szCs w:val="24"/>
        </w:rPr>
        <w:t xml:space="preserve"> que se reprocha </w:t>
      </w:r>
      <w:r w:rsidR="006F1F20">
        <w:rPr>
          <w:rFonts w:ascii="Arial" w:hAnsi="Arial" w:cs="Arial"/>
          <w:sz w:val="24"/>
          <w:szCs w:val="24"/>
        </w:rPr>
        <w:t xml:space="preserve">si bien </w:t>
      </w:r>
      <w:r>
        <w:rPr>
          <w:rFonts w:ascii="Arial" w:hAnsi="Arial" w:cs="Arial"/>
          <w:sz w:val="24"/>
          <w:szCs w:val="24"/>
        </w:rPr>
        <w:t>fue proferid</w:t>
      </w:r>
      <w:r w:rsidR="002435C4">
        <w:rPr>
          <w:rFonts w:ascii="Arial" w:hAnsi="Arial" w:cs="Arial"/>
          <w:sz w:val="24"/>
          <w:szCs w:val="24"/>
        </w:rPr>
        <w:t>a</w:t>
      </w:r>
      <w:r>
        <w:rPr>
          <w:rFonts w:ascii="Arial" w:hAnsi="Arial" w:cs="Arial"/>
          <w:sz w:val="24"/>
          <w:szCs w:val="24"/>
        </w:rPr>
        <w:t xml:space="preserve"> el </w:t>
      </w:r>
      <w:r w:rsidR="00853B4F">
        <w:rPr>
          <w:rFonts w:ascii="Arial" w:hAnsi="Arial" w:cs="Arial"/>
          <w:sz w:val="24"/>
          <w:szCs w:val="24"/>
        </w:rPr>
        <w:t>25</w:t>
      </w:r>
      <w:r>
        <w:rPr>
          <w:rFonts w:ascii="Arial" w:hAnsi="Arial" w:cs="Arial"/>
          <w:sz w:val="24"/>
          <w:szCs w:val="24"/>
        </w:rPr>
        <w:t xml:space="preserve"> de </w:t>
      </w:r>
      <w:r w:rsidR="00853B4F">
        <w:rPr>
          <w:rFonts w:ascii="Arial" w:hAnsi="Arial" w:cs="Arial"/>
          <w:sz w:val="24"/>
          <w:szCs w:val="24"/>
        </w:rPr>
        <w:t>juli</w:t>
      </w:r>
      <w:r w:rsidR="002435C4">
        <w:rPr>
          <w:rFonts w:ascii="Arial" w:hAnsi="Arial" w:cs="Arial"/>
          <w:sz w:val="24"/>
          <w:szCs w:val="24"/>
        </w:rPr>
        <w:t xml:space="preserve">o </w:t>
      </w:r>
      <w:r>
        <w:rPr>
          <w:rFonts w:ascii="Arial" w:hAnsi="Arial" w:cs="Arial"/>
          <w:sz w:val="24"/>
          <w:szCs w:val="24"/>
        </w:rPr>
        <w:t>de 20</w:t>
      </w:r>
      <w:r w:rsidR="00853B4F">
        <w:rPr>
          <w:rFonts w:ascii="Arial" w:hAnsi="Arial" w:cs="Arial"/>
          <w:sz w:val="24"/>
          <w:szCs w:val="24"/>
        </w:rPr>
        <w:t>19</w:t>
      </w:r>
      <w:r w:rsidR="00B36434">
        <w:rPr>
          <w:rFonts w:ascii="Arial" w:hAnsi="Arial" w:cs="Arial"/>
          <w:sz w:val="24"/>
          <w:szCs w:val="24"/>
        </w:rPr>
        <w:t xml:space="preserve"> </w:t>
      </w:r>
      <w:r w:rsidRPr="000C2AC8">
        <w:rPr>
          <w:rFonts w:ascii="Arial" w:eastAsia="Dotum" w:hAnsi="Arial" w:cs="Arial"/>
          <w:sz w:val="24"/>
          <w:szCs w:val="24"/>
        </w:rPr>
        <w:t>y</w:t>
      </w:r>
      <w:r w:rsidR="00B36434">
        <w:rPr>
          <w:rFonts w:ascii="Arial" w:eastAsia="Dotum" w:hAnsi="Arial" w:cs="Arial"/>
          <w:sz w:val="24"/>
          <w:szCs w:val="24"/>
        </w:rPr>
        <w:t xml:space="preserve"> notificada mediante edicto desfijado el 22 de agosto del mismo año</w:t>
      </w:r>
      <w:r w:rsidR="006F1F20">
        <w:rPr>
          <w:rFonts w:ascii="Arial" w:eastAsia="Dotum" w:hAnsi="Arial" w:cs="Arial"/>
          <w:sz w:val="24"/>
          <w:szCs w:val="24"/>
        </w:rPr>
        <w:t>, contra esta</w:t>
      </w:r>
      <w:r w:rsidR="00B36434">
        <w:rPr>
          <w:rFonts w:ascii="Arial" w:eastAsia="Dotum" w:hAnsi="Arial" w:cs="Arial"/>
          <w:sz w:val="24"/>
          <w:szCs w:val="24"/>
        </w:rPr>
        <w:t xml:space="preserve"> se elevó solicitud de adición, que fue negada por proveído del </w:t>
      </w:r>
      <w:r w:rsidR="00B36434">
        <w:rPr>
          <w:rFonts w:ascii="Arial" w:hAnsi="Arial" w:cs="Arial"/>
          <w:sz w:val="24"/>
          <w:szCs w:val="24"/>
        </w:rPr>
        <w:t>26 de septiembre de 2019. E</w:t>
      </w:r>
      <w:r w:rsidRPr="000C2AC8">
        <w:rPr>
          <w:rFonts w:ascii="Arial" w:eastAsia="Dotum" w:hAnsi="Arial" w:cs="Arial"/>
          <w:sz w:val="24"/>
          <w:szCs w:val="24"/>
        </w:rPr>
        <w:t xml:space="preserve">l amparo se interpuso el </w:t>
      </w:r>
      <w:r w:rsidR="00B36434">
        <w:rPr>
          <w:rFonts w:ascii="Arial" w:eastAsia="Dotum" w:hAnsi="Arial" w:cs="Arial"/>
          <w:sz w:val="24"/>
          <w:szCs w:val="24"/>
        </w:rPr>
        <w:t>2</w:t>
      </w:r>
      <w:r w:rsidR="002435C4">
        <w:rPr>
          <w:rFonts w:ascii="Arial" w:eastAsia="Dotum" w:hAnsi="Arial" w:cs="Arial"/>
          <w:sz w:val="24"/>
          <w:szCs w:val="24"/>
        </w:rPr>
        <w:t>4</w:t>
      </w:r>
      <w:r w:rsidRPr="000C2AC8">
        <w:rPr>
          <w:rFonts w:ascii="Arial" w:hAnsi="Arial" w:cs="Arial"/>
          <w:sz w:val="24"/>
          <w:szCs w:val="24"/>
        </w:rPr>
        <w:t xml:space="preserve"> de </w:t>
      </w:r>
      <w:r w:rsidR="00B36434">
        <w:rPr>
          <w:rFonts w:ascii="Arial" w:hAnsi="Arial" w:cs="Arial"/>
          <w:sz w:val="24"/>
          <w:szCs w:val="24"/>
        </w:rPr>
        <w:t>febrer</w:t>
      </w:r>
      <w:r w:rsidR="002435C4">
        <w:rPr>
          <w:rFonts w:ascii="Arial" w:hAnsi="Arial" w:cs="Arial"/>
          <w:sz w:val="24"/>
          <w:szCs w:val="24"/>
        </w:rPr>
        <w:t>o</w:t>
      </w:r>
      <w:r w:rsidR="006E5A50">
        <w:rPr>
          <w:rFonts w:ascii="Arial" w:hAnsi="Arial" w:cs="Arial"/>
          <w:sz w:val="24"/>
          <w:szCs w:val="24"/>
        </w:rPr>
        <w:t xml:space="preserve"> </w:t>
      </w:r>
      <w:r w:rsidRPr="000C2AC8">
        <w:rPr>
          <w:rFonts w:ascii="Arial" w:hAnsi="Arial" w:cs="Arial"/>
          <w:sz w:val="24"/>
          <w:szCs w:val="24"/>
        </w:rPr>
        <w:t>de</w:t>
      </w:r>
      <w:r w:rsidR="00055DCD">
        <w:rPr>
          <w:rFonts w:ascii="Arial" w:hAnsi="Arial" w:cs="Arial"/>
          <w:sz w:val="24"/>
          <w:szCs w:val="24"/>
        </w:rPr>
        <w:t xml:space="preserve">l </w:t>
      </w:r>
      <w:r w:rsidR="00B36434">
        <w:rPr>
          <w:rFonts w:ascii="Arial" w:hAnsi="Arial" w:cs="Arial"/>
          <w:sz w:val="24"/>
          <w:szCs w:val="24"/>
        </w:rPr>
        <w:t>2020</w:t>
      </w:r>
      <w:r w:rsidRPr="000C2AC8">
        <w:rPr>
          <w:rFonts w:ascii="Arial" w:eastAsia="Dotum" w:hAnsi="Arial" w:cs="Arial"/>
          <w:sz w:val="24"/>
          <w:szCs w:val="24"/>
        </w:rPr>
        <w:t xml:space="preserve">, </w:t>
      </w:r>
      <w:r w:rsidR="006F1F20">
        <w:rPr>
          <w:rFonts w:ascii="Arial" w:eastAsia="Dotum" w:hAnsi="Arial" w:cs="Arial"/>
          <w:sz w:val="24"/>
          <w:szCs w:val="24"/>
        </w:rPr>
        <w:t>por lo que se hizo</w:t>
      </w:r>
      <w:r w:rsidRPr="000C2AC8">
        <w:rPr>
          <w:rFonts w:ascii="Arial" w:eastAsia="Dotum" w:hAnsi="Arial" w:cs="Arial"/>
          <w:sz w:val="24"/>
          <w:szCs w:val="24"/>
        </w:rPr>
        <w:t xml:space="preserve"> dentro del término razonable señalado por la jurisprudencia</w:t>
      </w:r>
      <w:r w:rsidRPr="000C2AC8">
        <w:rPr>
          <w:rStyle w:val="Refdenotaalpie"/>
          <w:rFonts w:ascii="Arial" w:eastAsia="Dotum" w:hAnsi="Arial" w:cs="Arial"/>
          <w:sz w:val="24"/>
          <w:szCs w:val="24"/>
        </w:rPr>
        <w:footnoteReference w:id="17"/>
      </w:r>
      <w:r w:rsidRPr="000C2AC8">
        <w:rPr>
          <w:rFonts w:ascii="Arial" w:eastAsia="MS Mincho" w:hAnsi="Arial" w:cs="Arial"/>
          <w:sz w:val="24"/>
          <w:szCs w:val="24"/>
        </w:rPr>
        <w:t>.</w:t>
      </w:r>
    </w:p>
    <w:p w14:paraId="4A9756CC" w14:textId="77777777" w:rsidR="005A7C32" w:rsidRDefault="005A7C32" w:rsidP="008057F3">
      <w:pPr>
        <w:pStyle w:val="Textosinformato"/>
        <w:spacing w:line="360" w:lineRule="auto"/>
        <w:jc w:val="both"/>
        <w:rPr>
          <w:rFonts w:ascii="Arial" w:eastAsia="MS Mincho" w:hAnsi="Arial" w:cs="Arial"/>
          <w:sz w:val="24"/>
          <w:szCs w:val="24"/>
        </w:rPr>
      </w:pPr>
    </w:p>
    <w:p w14:paraId="2AE9A65A" w14:textId="77777777" w:rsidR="00B36434" w:rsidRDefault="008057F3" w:rsidP="007562C4">
      <w:pPr>
        <w:pStyle w:val="Textosinformato"/>
        <w:spacing w:line="360" w:lineRule="auto"/>
        <w:jc w:val="both"/>
        <w:rPr>
          <w:rFonts w:ascii="Arial" w:hAnsi="Arial" w:cs="Arial"/>
          <w:sz w:val="24"/>
          <w:szCs w:val="24"/>
        </w:rPr>
      </w:pPr>
      <w:r w:rsidRPr="000C2AC8">
        <w:rPr>
          <w:rFonts w:ascii="Arial" w:eastAsia="MS Mincho" w:hAnsi="Arial" w:cs="Arial"/>
          <w:sz w:val="24"/>
          <w:szCs w:val="24"/>
        </w:rPr>
        <w:t xml:space="preserve">(iv) </w:t>
      </w:r>
      <w:r w:rsidRPr="000C2AC8">
        <w:rPr>
          <w:rFonts w:ascii="Arial" w:hAnsi="Arial" w:cs="Arial"/>
          <w:sz w:val="24"/>
          <w:szCs w:val="24"/>
        </w:rPr>
        <w:t xml:space="preserve">De la misma forma, el escrito de tutela </w:t>
      </w:r>
      <w:r w:rsidR="005E3B3E">
        <w:rPr>
          <w:rFonts w:ascii="Arial" w:hAnsi="Arial" w:cs="Arial"/>
          <w:sz w:val="24"/>
          <w:szCs w:val="24"/>
        </w:rPr>
        <w:t>está</w:t>
      </w:r>
      <w:r w:rsidRPr="000C2AC8">
        <w:rPr>
          <w:rFonts w:ascii="Arial" w:hAnsi="Arial" w:cs="Arial"/>
          <w:sz w:val="24"/>
          <w:szCs w:val="24"/>
        </w:rPr>
        <w:t xml:space="preserve"> </w:t>
      </w:r>
      <w:r w:rsidRPr="000C2AC8">
        <w:rPr>
          <w:rFonts w:ascii="Arial" w:eastAsia="Dotum" w:hAnsi="Arial" w:cs="Arial"/>
          <w:sz w:val="24"/>
          <w:szCs w:val="24"/>
        </w:rPr>
        <w:t xml:space="preserve">debidamente </w:t>
      </w:r>
      <w:r w:rsidRPr="00DE2121">
        <w:rPr>
          <w:rFonts w:ascii="Arial" w:eastAsia="Dotum" w:hAnsi="Arial" w:cs="Arial"/>
          <w:i/>
          <w:iCs/>
          <w:sz w:val="24"/>
          <w:szCs w:val="24"/>
        </w:rPr>
        <w:t>motivado</w:t>
      </w:r>
      <w:r w:rsidRPr="000C2AC8">
        <w:rPr>
          <w:rFonts w:ascii="Arial" w:eastAsia="Dotum" w:hAnsi="Arial" w:cs="Arial"/>
          <w:sz w:val="24"/>
          <w:szCs w:val="24"/>
        </w:rPr>
        <w:t xml:space="preserve"> por cuanto se indicaron de forma razonada los hechos vulneradores y los derechos fundamentales </w:t>
      </w:r>
      <w:r>
        <w:rPr>
          <w:rFonts w:ascii="Arial" w:eastAsia="Dotum" w:hAnsi="Arial" w:cs="Arial"/>
          <w:sz w:val="24"/>
          <w:szCs w:val="24"/>
        </w:rPr>
        <w:t>trasgredidos</w:t>
      </w:r>
      <w:r w:rsidRPr="000C2AC8">
        <w:rPr>
          <w:rFonts w:ascii="Arial" w:hAnsi="Arial" w:cs="Arial"/>
          <w:sz w:val="24"/>
          <w:szCs w:val="24"/>
        </w:rPr>
        <w:t>.</w:t>
      </w:r>
      <w:r w:rsidR="000D2B1C">
        <w:rPr>
          <w:rFonts w:ascii="Arial" w:hAnsi="Arial" w:cs="Arial"/>
          <w:sz w:val="24"/>
          <w:szCs w:val="24"/>
        </w:rPr>
        <w:t xml:space="preserve"> </w:t>
      </w:r>
      <w:r w:rsidR="000E6597">
        <w:rPr>
          <w:rFonts w:ascii="Arial" w:hAnsi="Arial" w:cs="Arial"/>
          <w:sz w:val="24"/>
          <w:szCs w:val="24"/>
        </w:rPr>
        <w:t xml:space="preserve">Así, </w:t>
      </w:r>
      <w:r w:rsidR="000E6597" w:rsidRPr="00392662">
        <w:rPr>
          <w:rFonts w:ascii="Arial" w:hAnsi="Arial" w:cs="Arial"/>
          <w:sz w:val="24"/>
          <w:szCs w:val="24"/>
        </w:rPr>
        <w:t xml:space="preserve">es </w:t>
      </w:r>
      <w:r w:rsidR="007562C4" w:rsidRPr="00392662">
        <w:rPr>
          <w:rFonts w:ascii="Arial" w:hAnsi="Arial" w:cs="Arial"/>
          <w:sz w:val="24"/>
          <w:szCs w:val="24"/>
        </w:rPr>
        <w:t xml:space="preserve">de anotar que </w:t>
      </w:r>
      <w:r w:rsidR="004A03B2" w:rsidRPr="00392662">
        <w:rPr>
          <w:rFonts w:ascii="Arial" w:hAnsi="Arial" w:cs="Arial"/>
          <w:bCs/>
          <w:sz w:val="24"/>
          <w:szCs w:val="24"/>
        </w:rPr>
        <w:t>la parte accionante</w:t>
      </w:r>
      <w:r w:rsidR="004A03B2" w:rsidRPr="00392662">
        <w:rPr>
          <w:rFonts w:ascii="Arial" w:hAnsi="Arial" w:cs="Arial"/>
          <w:sz w:val="24"/>
          <w:szCs w:val="24"/>
        </w:rPr>
        <w:t xml:space="preserve"> </w:t>
      </w:r>
      <w:r w:rsidR="00B36434">
        <w:rPr>
          <w:rFonts w:ascii="Arial" w:hAnsi="Arial" w:cs="Arial"/>
          <w:sz w:val="24"/>
          <w:szCs w:val="24"/>
        </w:rPr>
        <w:t>alegó la configuración de</w:t>
      </w:r>
      <w:r w:rsidR="007562C4" w:rsidRPr="00392662">
        <w:rPr>
          <w:rFonts w:ascii="Arial" w:hAnsi="Arial" w:cs="Arial"/>
          <w:sz w:val="24"/>
          <w:szCs w:val="24"/>
        </w:rPr>
        <w:t xml:space="preserve"> </w:t>
      </w:r>
      <w:r w:rsidR="00C663D7">
        <w:rPr>
          <w:rFonts w:ascii="Arial" w:hAnsi="Arial" w:cs="Arial"/>
          <w:sz w:val="24"/>
          <w:szCs w:val="24"/>
        </w:rPr>
        <w:t>(i)</w:t>
      </w:r>
      <w:r w:rsidR="00B36434">
        <w:rPr>
          <w:rFonts w:ascii="Arial" w:hAnsi="Arial" w:cs="Arial"/>
          <w:sz w:val="24"/>
          <w:szCs w:val="24"/>
        </w:rPr>
        <w:t xml:space="preserve"> un</w:t>
      </w:r>
      <w:r w:rsidR="00C663D7">
        <w:rPr>
          <w:rFonts w:ascii="Arial" w:hAnsi="Arial" w:cs="Arial"/>
          <w:sz w:val="24"/>
          <w:szCs w:val="24"/>
        </w:rPr>
        <w:t xml:space="preserve"> </w:t>
      </w:r>
      <w:r w:rsidR="00B36434">
        <w:rPr>
          <w:rFonts w:ascii="Arial" w:hAnsi="Arial" w:cs="Arial"/>
          <w:sz w:val="24"/>
          <w:szCs w:val="24"/>
        </w:rPr>
        <w:t xml:space="preserve">defecto material o sustantivo por interpretación errónea de la ley; y (ii) un </w:t>
      </w:r>
      <w:r w:rsidR="007562C4" w:rsidRPr="00392662">
        <w:rPr>
          <w:rFonts w:ascii="Arial" w:hAnsi="Arial" w:cs="Arial"/>
          <w:sz w:val="24"/>
          <w:szCs w:val="24"/>
        </w:rPr>
        <w:t>desconocimiento de</w:t>
      </w:r>
      <w:r w:rsidR="00CD626A">
        <w:rPr>
          <w:rFonts w:ascii="Arial" w:hAnsi="Arial" w:cs="Arial"/>
          <w:sz w:val="24"/>
          <w:szCs w:val="24"/>
        </w:rPr>
        <w:t xml:space="preserve"> </w:t>
      </w:r>
      <w:r w:rsidR="007562C4" w:rsidRPr="00392662">
        <w:rPr>
          <w:rFonts w:ascii="Arial" w:hAnsi="Arial" w:cs="Arial"/>
          <w:sz w:val="24"/>
          <w:szCs w:val="24"/>
        </w:rPr>
        <w:t>l</w:t>
      </w:r>
      <w:r w:rsidR="00CD626A">
        <w:rPr>
          <w:rFonts w:ascii="Arial" w:hAnsi="Arial" w:cs="Arial"/>
          <w:sz w:val="24"/>
          <w:szCs w:val="24"/>
        </w:rPr>
        <w:t>os</w:t>
      </w:r>
      <w:r w:rsidR="007562C4" w:rsidRPr="00392662">
        <w:rPr>
          <w:rFonts w:ascii="Arial" w:hAnsi="Arial" w:cs="Arial"/>
          <w:sz w:val="24"/>
          <w:szCs w:val="24"/>
        </w:rPr>
        <w:t xml:space="preserve"> precedente</w:t>
      </w:r>
      <w:r w:rsidR="00CD626A">
        <w:rPr>
          <w:rFonts w:ascii="Arial" w:hAnsi="Arial" w:cs="Arial"/>
          <w:sz w:val="24"/>
          <w:szCs w:val="24"/>
        </w:rPr>
        <w:t>s</w:t>
      </w:r>
      <w:r w:rsidR="00B36434">
        <w:rPr>
          <w:rFonts w:ascii="Arial" w:hAnsi="Arial" w:cs="Arial"/>
          <w:sz w:val="24"/>
          <w:szCs w:val="24"/>
        </w:rPr>
        <w:t xml:space="preserve"> jurisprudencial</w:t>
      </w:r>
      <w:r w:rsidR="00CD626A">
        <w:rPr>
          <w:rFonts w:ascii="Arial" w:hAnsi="Arial" w:cs="Arial"/>
          <w:sz w:val="24"/>
          <w:szCs w:val="24"/>
        </w:rPr>
        <w:t>es</w:t>
      </w:r>
      <w:r w:rsidR="00B36434">
        <w:rPr>
          <w:rFonts w:ascii="Arial" w:hAnsi="Arial" w:cs="Arial"/>
          <w:sz w:val="24"/>
          <w:szCs w:val="24"/>
        </w:rPr>
        <w:t xml:space="preserve"> tanto de</w:t>
      </w:r>
      <w:r w:rsidR="00827C2F">
        <w:rPr>
          <w:rFonts w:ascii="Arial" w:hAnsi="Arial" w:cs="Arial"/>
          <w:sz w:val="24"/>
          <w:szCs w:val="24"/>
        </w:rPr>
        <w:t xml:space="preserve">l </w:t>
      </w:r>
      <w:r w:rsidR="00C663D7">
        <w:rPr>
          <w:rFonts w:ascii="Arial" w:hAnsi="Arial" w:cs="Arial"/>
          <w:sz w:val="24"/>
          <w:szCs w:val="24"/>
        </w:rPr>
        <w:t>Consejo de Estado</w:t>
      </w:r>
      <w:r w:rsidR="00827C2F" w:rsidRPr="00827C2F">
        <w:rPr>
          <w:rFonts w:ascii="Arial" w:hAnsi="Arial" w:cs="Arial"/>
          <w:sz w:val="24"/>
          <w:szCs w:val="24"/>
        </w:rPr>
        <w:t xml:space="preserve"> </w:t>
      </w:r>
      <w:r w:rsidR="00827C2F">
        <w:rPr>
          <w:rFonts w:ascii="Arial" w:hAnsi="Arial" w:cs="Arial"/>
          <w:sz w:val="24"/>
          <w:szCs w:val="24"/>
        </w:rPr>
        <w:t>como de la Corte Constitucional</w:t>
      </w:r>
      <w:r w:rsidR="00B36434">
        <w:rPr>
          <w:rFonts w:ascii="Arial" w:hAnsi="Arial" w:cs="Arial"/>
          <w:sz w:val="24"/>
          <w:szCs w:val="24"/>
        </w:rPr>
        <w:t>.</w:t>
      </w:r>
      <w:r w:rsidR="00C663D7">
        <w:rPr>
          <w:rFonts w:ascii="Arial" w:hAnsi="Arial" w:cs="Arial"/>
          <w:sz w:val="24"/>
          <w:szCs w:val="24"/>
        </w:rPr>
        <w:t xml:space="preserve"> </w:t>
      </w:r>
      <w:r w:rsidR="00CD626A">
        <w:rPr>
          <w:rFonts w:ascii="Arial" w:hAnsi="Arial" w:cs="Arial"/>
          <w:sz w:val="24"/>
          <w:szCs w:val="24"/>
        </w:rPr>
        <w:t>Frente a</w:t>
      </w:r>
      <w:r w:rsidR="00B36434">
        <w:rPr>
          <w:rFonts w:ascii="Arial" w:hAnsi="Arial" w:cs="Arial"/>
          <w:sz w:val="24"/>
          <w:szCs w:val="24"/>
        </w:rPr>
        <w:t xml:space="preserve"> este último</w:t>
      </w:r>
      <w:r w:rsidR="00CD626A">
        <w:rPr>
          <w:rFonts w:ascii="Arial" w:hAnsi="Arial" w:cs="Arial"/>
          <w:sz w:val="24"/>
          <w:szCs w:val="24"/>
        </w:rPr>
        <w:t xml:space="preserve"> cargo</w:t>
      </w:r>
      <w:r w:rsidR="00B36434">
        <w:rPr>
          <w:rFonts w:ascii="Arial" w:hAnsi="Arial" w:cs="Arial"/>
          <w:sz w:val="24"/>
          <w:szCs w:val="24"/>
        </w:rPr>
        <w:t>,</w:t>
      </w:r>
      <w:r w:rsidR="00CD626A">
        <w:rPr>
          <w:rFonts w:ascii="Arial" w:hAnsi="Arial" w:cs="Arial"/>
          <w:sz w:val="24"/>
          <w:szCs w:val="24"/>
        </w:rPr>
        <w:t xml:space="preserve"> la Sala entiende,</w:t>
      </w:r>
      <w:r w:rsidR="00B36434">
        <w:rPr>
          <w:rFonts w:ascii="Arial" w:hAnsi="Arial" w:cs="Arial"/>
          <w:sz w:val="24"/>
          <w:szCs w:val="24"/>
        </w:rPr>
        <w:t xml:space="preserve"> conforme a</w:t>
      </w:r>
      <w:r w:rsidR="00CD626A">
        <w:rPr>
          <w:rFonts w:ascii="Arial" w:hAnsi="Arial" w:cs="Arial"/>
          <w:sz w:val="24"/>
          <w:szCs w:val="24"/>
        </w:rPr>
        <w:t xml:space="preserve"> </w:t>
      </w:r>
      <w:r w:rsidR="00B36434">
        <w:rPr>
          <w:rFonts w:ascii="Arial" w:hAnsi="Arial" w:cs="Arial"/>
          <w:sz w:val="24"/>
          <w:szCs w:val="24"/>
        </w:rPr>
        <w:t>l</w:t>
      </w:r>
      <w:r w:rsidR="00CD626A">
        <w:rPr>
          <w:rFonts w:ascii="Arial" w:hAnsi="Arial" w:cs="Arial"/>
          <w:sz w:val="24"/>
          <w:szCs w:val="24"/>
        </w:rPr>
        <w:t>o pregonado por el</w:t>
      </w:r>
      <w:r w:rsidR="00B36434">
        <w:rPr>
          <w:rFonts w:ascii="Arial" w:hAnsi="Arial" w:cs="Arial"/>
          <w:sz w:val="24"/>
          <w:szCs w:val="24"/>
        </w:rPr>
        <w:t xml:space="preserve"> Alto Tribunal Constitucional, </w:t>
      </w:r>
      <w:r w:rsidR="00CD626A">
        <w:rPr>
          <w:rFonts w:ascii="Arial" w:hAnsi="Arial" w:cs="Arial"/>
          <w:sz w:val="24"/>
          <w:szCs w:val="24"/>
        </w:rPr>
        <w:t xml:space="preserve">que se trata realmente de dos defectos independientes, esto es, </w:t>
      </w:r>
      <w:r w:rsidR="00827C2F">
        <w:rPr>
          <w:rFonts w:ascii="Arial" w:hAnsi="Arial" w:cs="Arial"/>
          <w:sz w:val="24"/>
          <w:szCs w:val="24"/>
        </w:rPr>
        <w:t xml:space="preserve">del defecto sustantivo por desconocimiento del precedente horizontal y </w:t>
      </w:r>
      <w:r w:rsidR="00CD626A">
        <w:rPr>
          <w:rFonts w:ascii="Arial" w:hAnsi="Arial" w:cs="Arial"/>
          <w:sz w:val="24"/>
          <w:szCs w:val="24"/>
        </w:rPr>
        <w:t>del defecto por desconocimiento del precedente constitucional como causal específica de procedibilidad.</w:t>
      </w:r>
      <w:r w:rsidR="00B36434">
        <w:rPr>
          <w:rFonts w:ascii="Arial" w:hAnsi="Arial" w:cs="Arial"/>
          <w:sz w:val="24"/>
          <w:szCs w:val="24"/>
        </w:rPr>
        <w:t xml:space="preserve"> </w:t>
      </w:r>
      <w:r w:rsidR="006F1F20">
        <w:rPr>
          <w:rFonts w:ascii="Arial" w:hAnsi="Arial" w:cs="Arial"/>
          <w:sz w:val="24"/>
          <w:szCs w:val="24"/>
        </w:rPr>
        <w:t>Por lo que, de proceder, así se estudiarán.</w:t>
      </w:r>
      <w:r w:rsidR="00B36434">
        <w:rPr>
          <w:rFonts w:ascii="Arial" w:hAnsi="Arial" w:cs="Arial"/>
          <w:sz w:val="24"/>
          <w:szCs w:val="24"/>
        </w:rPr>
        <w:t xml:space="preserve"> </w:t>
      </w:r>
    </w:p>
    <w:p w14:paraId="609FA728" w14:textId="77777777" w:rsidR="005A7C32" w:rsidRDefault="005A7C32" w:rsidP="008057F3">
      <w:pPr>
        <w:pStyle w:val="Textosinformato"/>
        <w:spacing w:line="360" w:lineRule="auto"/>
        <w:jc w:val="both"/>
        <w:rPr>
          <w:rFonts w:ascii="Arial" w:hAnsi="Arial" w:cs="Arial"/>
          <w:sz w:val="24"/>
          <w:szCs w:val="24"/>
        </w:rPr>
      </w:pPr>
    </w:p>
    <w:p w14:paraId="67DC88EA" w14:textId="77777777" w:rsidR="008057F3" w:rsidRDefault="008057F3" w:rsidP="008057F3">
      <w:pPr>
        <w:pStyle w:val="Textosinformato"/>
        <w:spacing w:line="360" w:lineRule="auto"/>
        <w:jc w:val="both"/>
        <w:rPr>
          <w:rFonts w:ascii="Arial" w:hAnsi="Arial" w:cs="Arial"/>
          <w:sz w:val="24"/>
          <w:szCs w:val="24"/>
        </w:rPr>
      </w:pPr>
      <w:r w:rsidRPr="000C2AC8">
        <w:rPr>
          <w:rFonts w:ascii="Arial" w:hAnsi="Arial" w:cs="Arial"/>
          <w:sz w:val="24"/>
          <w:szCs w:val="24"/>
        </w:rPr>
        <w:lastRenderedPageBreak/>
        <w:t xml:space="preserve">(v) </w:t>
      </w:r>
      <w:r w:rsidRPr="000C2AC8">
        <w:rPr>
          <w:rFonts w:ascii="Arial" w:eastAsia="Dotum" w:hAnsi="Arial" w:cs="Arial"/>
          <w:sz w:val="24"/>
          <w:szCs w:val="24"/>
        </w:rPr>
        <w:t xml:space="preserve">La solicitud de tutela no aduce como argumento central una </w:t>
      </w:r>
      <w:r w:rsidRPr="00DE2121">
        <w:rPr>
          <w:rFonts w:ascii="Arial" w:eastAsia="Dotum" w:hAnsi="Arial" w:cs="Arial"/>
          <w:i/>
          <w:iCs/>
          <w:sz w:val="24"/>
          <w:szCs w:val="24"/>
        </w:rPr>
        <w:t>irregularidad procesal</w:t>
      </w:r>
      <w:r w:rsidR="00CD626A">
        <w:rPr>
          <w:rFonts w:ascii="Arial" w:eastAsia="Dotum" w:hAnsi="Arial" w:cs="Arial"/>
          <w:sz w:val="24"/>
          <w:szCs w:val="24"/>
        </w:rPr>
        <w:t>.</w:t>
      </w:r>
    </w:p>
    <w:p w14:paraId="127D5B9E" w14:textId="77777777" w:rsidR="005A7C32" w:rsidRDefault="005A7C32" w:rsidP="006E5A50">
      <w:pPr>
        <w:pStyle w:val="Cuadrculamedia21"/>
        <w:spacing w:line="360" w:lineRule="auto"/>
        <w:jc w:val="both"/>
        <w:rPr>
          <w:rFonts w:ascii="Arial" w:hAnsi="Arial" w:cs="Arial"/>
          <w:sz w:val="24"/>
          <w:szCs w:val="24"/>
        </w:rPr>
      </w:pPr>
    </w:p>
    <w:p w14:paraId="6E30715F" w14:textId="77777777" w:rsidR="006E5A50" w:rsidRDefault="008057F3" w:rsidP="008962FB">
      <w:pPr>
        <w:pStyle w:val="Cuadrculamedia21"/>
        <w:spacing w:line="360" w:lineRule="auto"/>
        <w:jc w:val="both"/>
        <w:rPr>
          <w:rFonts w:ascii="Arial" w:hAnsi="Arial" w:cs="Arial"/>
          <w:sz w:val="24"/>
          <w:szCs w:val="24"/>
        </w:rPr>
      </w:pPr>
      <w:r w:rsidRPr="000C2AC8">
        <w:rPr>
          <w:rFonts w:ascii="Arial" w:hAnsi="Arial" w:cs="Arial"/>
          <w:sz w:val="24"/>
          <w:szCs w:val="24"/>
        </w:rPr>
        <w:t xml:space="preserve">(vi) Por último, no se ataca una </w:t>
      </w:r>
      <w:r w:rsidRPr="00DE2121">
        <w:rPr>
          <w:rFonts w:ascii="Arial" w:hAnsi="Arial" w:cs="Arial"/>
          <w:i/>
          <w:iCs/>
          <w:sz w:val="24"/>
          <w:szCs w:val="24"/>
        </w:rPr>
        <w:t>decisión de tutela</w:t>
      </w:r>
      <w:r w:rsidRPr="000C2AC8">
        <w:rPr>
          <w:rFonts w:ascii="Arial" w:hAnsi="Arial" w:cs="Arial"/>
          <w:sz w:val="24"/>
          <w:szCs w:val="24"/>
        </w:rPr>
        <w:t>, sino</w:t>
      </w:r>
      <w:r w:rsidRPr="000C2AC8">
        <w:rPr>
          <w:rFonts w:ascii="Arial" w:eastAsia="Dotum" w:hAnsi="Arial" w:cs="Arial"/>
          <w:sz w:val="24"/>
          <w:szCs w:val="24"/>
        </w:rPr>
        <w:t xml:space="preserve"> </w:t>
      </w:r>
      <w:r>
        <w:rPr>
          <w:rFonts w:ascii="Arial" w:eastAsia="Dotum" w:hAnsi="Arial" w:cs="Arial"/>
          <w:sz w:val="24"/>
          <w:szCs w:val="24"/>
        </w:rPr>
        <w:t xml:space="preserve">la </w:t>
      </w:r>
      <w:r w:rsidR="0047418F">
        <w:rPr>
          <w:rFonts w:ascii="Arial" w:eastAsia="Dotum" w:hAnsi="Arial" w:cs="Arial"/>
          <w:sz w:val="24"/>
          <w:szCs w:val="24"/>
        </w:rPr>
        <w:t>sentencia de segunda instancia</w:t>
      </w:r>
      <w:r>
        <w:rPr>
          <w:rFonts w:ascii="Arial" w:eastAsia="Dotum" w:hAnsi="Arial" w:cs="Arial"/>
          <w:sz w:val="24"/>
          <w:szCs w:val="24"/>
        </w:rPr>
        <w:t xml:space="preserve"> proferida</w:t>
      </w:r>
      <w:r w:rsidRPr="000C2AC8">
        <w:rPr>
          <w:rFonts w:ascii="Arial" w:hAnsi="Arial" w:cs="Arial"/>
          <w:sz w:val="24"/>
          <w:szCs w:val="24"/>
        </w:rPr>
        <w:t xml:space="preserve"> </w:t>
      </w:r>
      <w:r w:rsidRPr="000C2AC8">
        <w:rPr>
          <w:rFonts w:ascii="Arial" w:eastAsia="Dotum" w:hAnsi="Arial" w:cs="Arial"/>
          <w:sz w:val="24"/>
          <w:szCs w:val="24"/>
        </w:rPr>
        <w:t xml:space="preserve">dentro </w:t>
      </w:r>
      <w:r w:rsidRPr="000C2AC8">
        <w:rPr>
          <w:rFonts w:ascii="Arial" w:hAnsi="Arial" w:cs="Arial"/>
          <w:sz w:val="24"/>
          <w:szCs w:val="24"/>
        </w:rPr>
        <w:t xml:space="preserve">del medio de control de </w:t>
      </w:r>
      <w:r w:rsidR="00CD626A">
        <w:rPr>
          <w:rFonts w:ascii="Arial" w:hAnsi="Arial" w:cs="Arial"/>
          <w:sz w:val="24"/>
          <w:szCs w:val="24"/>
        </w:rPr>
        <w:t>nulidad y restablecimiento del derecho</w:t>
      </w:r>
      <w:r w:rsidR="002435C4">
        <w:rPr>
          <w:rFonts w:ascii="Arial" w:hAnsi="Arial" w:cs="Arial"/>
          <w:sz w:val="24"/>
          <w:szCs w:val="24"/>
        </w:rPr>
        <w:t xml:space="preserve">, </w:t>
      </w:r>
      <w:r w:rsidR="002435C4" w:rsidRPr="00D660C6">
        <w:rPr>
          <w:rFonts w:ascii="Arial" w:hAnsi="Arial" w:cs="Arial"/>
          <w:sz w:val="24"/>
          <w:szCs w:val="24"/>
        </w:rPr>
        <w:t xml:space="preserve">con radicado No. </w:t>
      </w:r>
      <w:r w:rsidR="00CD626A">
        <w:rPr>
          <w:rFonts w:ascii="Arial" w:hAnsi="Arial" w:cs="Arial"/>
          <w:sz w:val="24"/>
          <w:szCs w:val="24"/>
        </w:rPr>
        <w:t>73001-23-31-000-2012-00323-01</w:t>
      </w:r>
      <w:r w:rsidR="002435C4" w:rsidRPr="00D660C6">
        <w:rPr>
          <w:rFonts w:ascii="Arial" w:hAnsi="Arial" w:cs="Arial"/>
          <w:sz w:val="24"/>
          <w:szCs w:val="24"/>
        </w:rPr>
        <w:t xml:space="preserve">, instaurado </w:t>
      </w:r>
      <w:r w:rsidR="00CD626A">
        <w:rPr>
          <w:rFonts w:ascii="Arial" w:hAnsi="Arial" w:cs="Arial"/>
          <w:sz w:val="24"/>
          <w:szCs w:val="24"/>
        </w:rPr>
        <w:t xml:space="preserve">por Gaseosas de Córdoba S.A. </w:t>
      </w:r>
      <w:r w:rsidR="002435C4">
        <w:rPr>
          <w:rFonts w:ascii="Arial" w:hAnsi="Arial" w:cs="Arial"/>
          <w:sz w:val="24"/>
          <w:szCs w:val="24"/>
        </w:rPr>
        <w:t xml:space="preserve">en </w:t>
      </w:r>
      <w:r w:rsidR="002435C4" w:rsidRPr="00D660C6">
        <w:rPr>
          <w:rFonts w:ascii="Arial" w:hAnsi="Arial" w:cs="Arial"/>
          <w:sz w:val="24"/>
          <w:szCs w:val="24"/>
        </w:rPr>
        <w:t>contra</w:t>
      </w:r>
      <w:r w:rsidR="002435C4">
        <w:rPr>
          <w:rFonts w:ascii="Arial" w:hAnsi="Arial" w:cs="Arial"/>
          <w:sz w:val="24"/>
          <w:szCs w:val="24"/>
        </w:rPr>
        <w:t xml:space="preserve"> </w:t>
      </w:r>
      <w:r w:rsidR="00CD626A">
        <w:rPr>
          <w:rFonts w:ascii="Arial" w:hAnsi="Arial" w:cs="Arial"/>
          <w:sz w:val="24"/>
          <w:szCs w:val="24"/>
        </w:rPr>
        <w:t>de la DIAN.</w:t>
      </w:r>
    </w:p>
    <w:p w14:paraId="537A3376" w14:textId="77777777" w:rsidR="005A7C32" w:rsidRDefault="005A7C32" w:rsidP="008962FB">
      <w:pPr>
        <w:pStyle w:val="Textosinformato"/>
        <w:spacing w:line="360" w:lineRule="auto"/>
        <w:jc w:val="both"/>
        <w:rPr>
          <w:rFonts w:ascii="Arial" w:hAnsi="Arial" w:cs="Arial"/>
          <w:sz w:val="24"/>
          <w:szCs w:val="24"/>
        </w:rPr>
      </w:pPr>
    </w:p>
    <w:p w14:paraId="121509B7" w14:textId="77777777" w:rsidR="008057F3" w:rsidRPr="000C2AC8" w:rsidRDefault="00DE2121" w:rsidP="008962FB">
      <w:pPr>
        <w:pStyle w:val="Textosinformato"/>
        <w:spacing w:line="360" w:lineRule="auto"/>
        <w:jc w:val="both"/>
        <w:rPr>
          <w:rFonts w:ascii="Arial" w:hAnsi="Arial" w:cs="Arial"/>
          <w:sz w:val="24"/>
          <w:szCs w:val="24"/>
        </w:rPr>
      </w:pPr>
      <w:r>
        <w:rPr>
          <w:rFonts w:ascii="Arial" w:hAnsi="Arial" w:cs="Arial"/>
          <w:sz w:val="24"/>
          <w:szCs w:val="24"/>
        </w:rPr>
        <w:t>Así las cosas, v</w:t>
      </w:r>
      <w:r w:rsidR="008057F3" w:rsidRPr="000C2AC8">
        <w:rPr>
          <w:rFonts w:ascii="Arial" w:hAnsi="Arial" w:cs="Arial"/>
          <w:sz w:val="24"/>
          <w:szCs w:val="24"/>
        </w:rPr>
        <w:t>erificado el cumplimiento de los requisitos generales o que garantizan la viabilidad de</w:t>
      </w:r>
      <w:r w:rsidR="00EB42A8">
        <w:rPr>
          <w:rFonts w:ascii="Arial" w:hAnsi="Arial" w:cs="Arial"/>
          <w:sz w:val="24"/>
          <w:szCs w:val="24"/>
        </w:rPr>
        <w:t xml:space="preserve"> </w:t>
      </w:r>
      <w:r w:rsidR="008057F3" w:rsidRPr="000C2AC8">
        <w:rPr>
          <w:rFonts w:ascii="Arial" w:hAnsi="Arial" w:cs="Arial"/>
          <w:sz w:val="24"/>
          <w:szCs w:val="24"/>
        </w:rPr>
        <w:t xml:space="preserve">la tutela en contra de una providencia judicial, </w:t>
      </w:r>
      <w:r w:rsidRPr="00DF19FE">
        <w:rPr>
          <w:rFonts w:ascii="Arial" w:hAnsi="Arial" w:cs="Arial"/>
          <w:sz w:val="24"/>
          <w:szCs w:val="24"/>
        </w:rPr>
        <w:t>la Sala analizará si en el caso de autos se encuentran configurados los defectos alegados.</w:t>
      </w:r>
    </w:p>
    <w:p w14:paraId="4C226EC5" w14:textId="77777777" w:rsidR="00D72BF9" w:rsidRDefault="00D72BF9" w:rsidP="008962FB">
      <w:pPr>
        <w:pStyle w:val="Textosinformato"/>
        <w:spacing w:line="360" w:lineRule="auto"/>
        <w:jc w:val="both"/>
        <w:rPr>
          <w:rFonts w:ascii="Arial" w:hAnsi="Arial" w:cs="Arial"/>
          <w:b/>
          <w:sz w:val="24"/>
          <w:szCs w:val="24"/>
        </w:rPr>
      </w:pPr>
    </w:p>
    <w:p w14:paraId="60006BBC" w14:textId="77777777" w:rsidR="00345626" w:rsidRDefault="008057F3" w:rsidP="008962FB">
      <w:pPr>
        <w:pStyle w:val="Textosinformato"/>
        <w:spacing w:line="360" w:lineRule="auto"/>
        <w:jc w:val="both"/>
        <w:rPr>
          <w:rFonts w:ascii="Arial" w:hAnsi="Arial" w:cs="Arial"/>
          <w:b/>
          <w:sz w:val="24"/>
          <w:szCs w:val="24"/>
        </w:rPr>
      </w:pPr>
      <w:r w:rsidRPr="000C2AC8">
        <w:rPr>
          <w:rFonts w:ascii="Arial" w:hAnsi="Arial" w:cs="Arial"/>
          <w:b/>
          <w:sz w:val="24"/>
          <w:szCs w:val="24"/>
        </w:rPr>
        <w:t>5.- Análisis de la</w:t>
      </w:r>
      <w:r w:rsidR="002435C4">
        <w:rPr>
          <w:rFonts w:ascii="Arial" w:hAnsi="Arial" w:cs="Arial"/>
          <w:b/>
          <w:sz w:val="24"/>
          <w:szCs w:val="24"/>
        </w:rPr>
        <w:t>s</w:t>
      </w:r>
      <w:r w:rsidRPr="000C2AC8">
        <w:rPr>
          <w:rFonts w:ascii="Arial" w:hAnsi="Arial" w:cs="Arial"/>
          <w:b/>
          <w:sz w:val="24"/>
          <w:szCs w:val="24"/>
        </w:rPr>
        <w:t xml:space="preserve"> causal</w:t>
      </w:r>
      <w:r w:rsidR="002435C4">
        <w:rPr>
          <w:rFonts w:ascii="Arial" w:hAnsi="Arial" w:cs="Arial"/>
          <w:b/>
          <w:sz w:val="24"/>
          <w:szCs w:val="24"/>
        </w:rPr>
        <w:t>es</w:t>
      </w:r>
      <w:r w:rsidRPr="000C2AC8">
        <w:rPr>
          <w:rFonts w:ascii="Arial" w:hAnsi="Arial" w:cs="Arial"/>
          <w:b/>
          <w:sz w:val="24"/>
          <w:szCs w:val="24"/>
        </w:rPr>
        <w:t xml:space="preserve"> específica</w:t>
      </w:r>
      <w:r w:rsidR="002435C4">
        <w:rPr>
          <w:rFonts w:ascii="Arial" w:hAnsi="Arial" w:cs="Arial"/>
          <w:b/>
          <w:sz w:val="24"/>
          <w:szCs w:val="24"/>
        </w:rPr>
        <w:t>s</w:t>
      </w:r>
      <w:r w:rsidRPr="000C2AC8">
        <w:rPr>
          <w:rFonts w:ascii="Arial" w:hAnsi="Arial" w:cs="Arial"/>
          <w:b/>
          <w:sz w:val="24"/>
          <w:szCs w:val="24"/>
        </w:rPr>
        <w:t xml:space="preserve"> de procedencia de la acción de tutela</w:t>
      </w:r>
    </w:p>
    <w:p w14:paraId="0B31E1EB" w14:textId="77777777" w:rsidR="005A7C32" w:rsidRDefault="005A7C32" w:rsidP="008962FB">
      <w:pPr>
        <w:pStyle w:val="Textosinformato"/>
        <w:spacing w:line="360" w:lineRule="auto"/>
        <w:jc w:val="both"/>
        <w:rPr>
          <w:rFonts w:ascii="Arial" w:hAnsi="Arial" w:cs="Arial"/>
          <w:b/>
          <w:sz w:val="24"/>
          <w:szCs w:val="24"/>
        </w:rPr>
      </w:pPr>
    </w:p>
    <w:p w14:paraId="13B4A6F3" w14:textId="77777777" w:rsidR="007562C4" w:rsidRDefault="007562C4" w:rsidP="007562C4">
      <w:pPr>
        <w:pStyle w:val="Textosinformato"/>
        <w:spacing w:line="360" w:lineRule="auto"/>
        <w:jc w:val="both"/>
        <w:rPr>
          <w:rFonts w:ascii="Arial" w:hAnsi="Arial" w:cs="Arial"/>
          <w:bCs/>
          <w:sz w:val="24"/>
          <w:szCs w:val="24"/>
        </w:rPr>
      </w:pPr>
      <w:r>
        <w:rPr>
          <w:rFonts w:ascii="Arial" w:hAnsi="Arial" w:cs="Arial"/>
          <w:bCs/>
          <w:sz w:val="24"/>
          <w:szCs w:val="24"/>
        </w:rPr>
        <w:t xml:space="preserve">Conforme al acápite anterior, </w:t>
      </w:r>
      <w:r w:rsidR="00A00DCF">
        <w:rPr>
          <w:rFonts w:ascii="Arial" w:hAnsi="Arial" w:cs="Arial"/>
          <w:bCs/>
          <w:sz w:val="24"/>
          <w:szCs w:val="24"/>
        </w:rPr>
        <w:t>se</w:t>
      </w:r>
      <w:r>
        <w:rPr>
          <w:rFonts w:ascii="Arial" w:hAnsi="Arial" w:cs="Arial"/>
          <w:bCs/>
          <w:sz w:val="24"/>
          <w:szCs w:val="24"/>
        </w:rPr>
        <w:t xml:space="preserve"> abordará en primera medida el estudio del </w:t>
      </w:r>
      <w:r w:rsidR="0047418F">
        <w:rPr>
          <w:rFonts w:ascii="Arial" w:hAnsi="Arial" w:cs="Arial"/>
          <w:bCs/>
          <w:sz w:val="24"/>
          <w:szCs w:val="24"/>
        </w:rPr>
        <w:t>defecto sustantivo por</w:t>
      </w:r>
      <w:r w:rsidR="00CD626A">
        <w:rPr>
          <w:rFonts w:ascii="Arial" w:hAnsi="Arial" w:cs="Arial"/>
          <w:bCs/>
          <w:sz w:val="24"/>
          <w:szCs w:val="24"/>
        </w:rPr>
        <w:t xml:space="preserve"> interpretación errónea de la ley</w:t>
      </w:r>
      <w:r w:rsidR="00254F70">
        <w:rPr>
          <w:rFonts w:ascii="Arial" w:hAnsi="Arial" w:cs="Arial"/>
          <w:bCs/>
          <w:sz w:val="24"/>
          <w:szCs w:val="24"/>
        </w:rPr>
        <w:t xml:space="preserve"> y</w:t>
      </w:r>
      <w:r w:rsidR="00CD626A">
        <w:rPr>
          <w:rFonts w:ascii="Arial" w:hAnsi="Arial" w:cs="Arial"/>
          <w:bCs/>
          <w:sz w:val="24"/>
          <w:szCs w:val="24"/>
        </w:rPr>
        <w:t xml:space="preserve"> por</w:t>
      </w:r>
      <w:r w:rsidR="0047418F">
        <w:rPr>
          <w:rFonts w:ascii="Arial" w:hAnsi="Arial" w:cs="Arial"/>
          <w:bCs/>
          <w:sz w:val="24"/>
          <w:szCs w:val="24"/>
        </w:rPr>
        <w:t xml:space="preserve"> desconocimiento del precedente</w:t>
      </w:r>
      <w:r w:rsidR="00CD626A">
        <w:rPr>
          <w:rFonts w:ascii="Arial" w:hAnsi="Arial" w:cs="Arial"/>
          <w:bCs/>
          <w:sz w:val="24"/>
          <w:szCs w:val="24"/>
        </w:rPr>
        <w:t xml:space="preserve"> </w:t>
      </w:r>
      <w:r w:rsidR="00254F70">
        <w:rPr>
          <w:rFonts w:ascii="Arial" w:hAnsi="Arial" w:cs="Arial"/>
          <w:bCs/>
          <w:sz w:val="24"/>
          <w:szCs w:val="24"/>
        </w:rPr>
        <w:t>horizontal</w:t>
      </w:r>
      <w:r w:rsidR="0047418F">
        <w:rPr>
          <w:rFonts w:ascii="Arial" w:hAnsi="Arial" w:cs="Arial"/>
          <w:bCs/>
          <w:sz w:val="24"/>
          <w:szCs w:val="24"/>
        </w:rPr>
        <w:t xml:space="preserve"> </w:t>
      </w:r>
      <w:r>
        <w:rPr>
          <w:rFonts w:ascii="Arial" w:hAnsi="Arial" w:cs="Arial"/>
          <w:bCs/>
          <w:sz w:val="24"/>
          <w:szCs w:val="24"/>
        </w:rPr>
        <w:t>y, luego, lo correspondiente al</w:t>
      </w:r>
      <w:r w:rsidR="0047418F">
        <w:rPr>
          <w:rFonts w:ascii="Arial" w:hAnsi="Arial" w:cs="Arial"/>
          <w:bCs/>
          <w:sz w:val="24"/>
          <w:szCs w:val="24"/>
        </w:rPr>
        <w:t xml:space="preserve"> </w:t>
      </w:r>
      <w:r w:rsidR="00254F70">
        <w:rPr>
          <w:rFonts w:ascii="Arial" w:hAnsi="Arial" w:cs="Arial"/>
          <w:bCs/>
          <w:sz w:val="24"/>
          <w:szCs w:val="24"/>
        </w:rPr>
        <w:t>desconocimiento del precedente constitucional como causal específica de procedibilidad</w:t>
      </w:r>
      <w:r>
        <w:rPr>
          <w:rFonts w:ascii="Arial" w:hAnsi="Arial" w:cs="Arial"/>
          <w:bCs/>
          <w:sz w:val="24"/>
          <w:szCs w:val="24"/>
        </w:rPr>
        <w:t>.</w:t>
      </w:r>
    </w:p>
    <w:p w14:paraId="1475830F" w14:textId="77777777" w:rsidR="007562C4" w:rsidRDefault="007562C4" w:rsidP="008962FB">
      <w:pPr>
        <w:pStyle w:val="Textosinformato"/>
        <w:spacing w:line="360" w:lineRule="auto"/>
        <w:jc w:val="both"/>
        <w:rPr>
          <w:rFonts w:ascii="Arial" w:hAnsi="Arial" w:cs="Arial"/>
          <w:b/>
          <w:sz w:val="24"/>
          <w:szCs w:val="24"/>
        </w:rPr>
      </w:pPr>
    </w:p>
    <w:p w14:paraId="7B319490" w14:textId="77777777" w:rsidR="0047418F" w:rsidRDefault="0047418F" w:rsidP="0047418F">
      <w:pPr>
        <w:pStyle w:val="Textosinformato"/>
        <w:spacing w:line="360" w:lineRule="auto"/>
        <w:jc w:val="both"/>
        <w:rPr>
          <w:rFonts w:ascii="Arial" w:hAnsi="Arial" w:cs="Arial"/>
          <w:b/>
          <w:sz w:val="24"/>
          <w:szCs w:val="24"/>
        </w:rPr>
      </w:pPr>
      <w:r>
        <w:rPr>
          <w:rFonts w:ascii="Arial" w:hAnsi="Arial" w:cs="Arial"/>
          <w:b/>
          <w:sz w:val="24"/>
          <w:szCs w:val="24"/>
        </w:rPr>
        <w:t xml:space="preserve">5.1.- </w:t>
      </w:r>
      <w:r w:rsidRPr="000C2AC8">
        <w:rPr>
          <w:rFonts w:ascii="Arial" w:hAnsi="Arial" w:cs="Arial"/>
          <w:b/>
          <w:sz w:val="24"/>
          <w:szCs w:val="24"/>
        </w:rPr>
        <w:t xml:space="preserve">Defecto </w:t>
      </w:r>
      <w:r>
        <w:rPr>
          <w:rFonts w:ascii="Arial" w:hAnsi="Arial" w:cs="Arial"/>
          <w:b/>
          <w:sz w:val="24"/>
          <w:szCs w:val="24"/>
        </w:rPr>
        <w:t xml:space="preserve">sustantivo por </w:t>
      </w:r>
      <w:r w:rsidR="00254F70">
        <w:rPr>
          <w:rFonts w:ascii="Arial" w:hAnsi="Arial" w:cs="Arial"/>
          <w:b/>
          <w:sz w:val="24"/>
          <w:szCs w:val="24"/>
        </w:rPr>
        <w:t xml:space="preserve">interpretación errónea de la ley y </w:t>
      </w:r>
      <w:r w:rsidR="001333BF">
        <w:rPr>
          <w:rFonts w:ascii="Arial" w:hAnsi="Arial" w:cs="Arial"/>
          <w:b/>
          <w:sz w:val="24"/>
          <w:szCs w:val="24"/>
        </w:rPr>
        <w:t xml:space="preserve">por </w:t>
      </w:r>
      <w:r>
        <w:rPr>
          <w:rFonts w:ascii="Arial" w:hAnsi="Arial" w:cs="Arial"/>
          <w:b/>
          <w:sz w:val="24"/>
          <w:szCs w:val="24"/>
        </w:rPr>
        <w:t>desconocimiento del precedente</w:t>
      </w:r>
      <w:r w:rsidR="00254F70">
        <w:rPr>
          <w:rFonts w:ascii="Arial" w:hAnsi="Arial" w:cs="Arial"/>
          <w:b/>
          <w:sz w:val="24"/>
          <w:szCs w:val="24"/>
        </w:rPr>
        <w:t xml:space="preserve"> horizontal</w:t>
      </w:r>
    </w:p>
    <w:p w14:paraId="381D4868" w14:textId="77777777" w:rsidR="0047418F" w:rsidRDefault="0047418F" w:rsidP="0047418F">
      <w:pPr>
        <w:pStyle w:val="Textosinformato"/>
        <w:spacing w:line="360" w:lineRule="auto"/>
        <w:jc w:val="both"/>
        <w:rPr>
          <w:rFonts w:ascii="Arial" w:hAnsi="Arial" w:cs="Arial"/>
          <w:b/>
          <w:sz w:val="24"/>
          <w:szCs w:val="24"/>
        </w:rPr>
      </w:pPr>
    </w:p>
    <w:p w14:paraId="566F8D6E" w14:textId="77777777" w:rsidR="005F7889" w:rsidRDefault="005F7889" w:rsidP="0047418F">
      <w:pPr>
        <w:pStyle w:val="Textosinformato"/>
        <w:spacing w:line="360" w:lineRule="auto"/>
        <w:jc w:val="both"/>
        <w:rPr>
          <w:rFonts w:ascii="Arial" w:hAnsi="Arial" w:cs="Arial"/>
          <w:b/>
          <w:sz w:val="24"/>
          <w:szCs w:val="24"/>
        </w:rPr>
      </w:pPr>
      <w:r>
        <w:rPr>
          <w:rFonts w:ascii="Arial" w:hAnsi="Arial" w:cs="Arial"/>
          <w:sz w:val="24"/>
          <w:szCs w:val="24"/>
        </w:rPr>
        <w:t xml:space="preserve">5.1.1.- </w:t>
      </w:r>
      <w:r w:rsidRPr="00C52673">
        <w:rPr>
          <w:rFonts w:ascii="Arial" w:hAnsi="Arial" w:cs="Arial"/>
          <w:sz w:val="24"/>
          <w:szCs w:val="24"/>
        </w:rPr>
        <w:t>Con relación a este defecto la Corte Constitucional</w:t>
      </w:r>
      <w:r w:rsidRPr="00C52673">
        <w:rPr>
          <w:rStyle w:val="Refdenotaalpie"/>
          <w:rFonts w:ascii="Arial" w:hAnsi="Arial" w:cs="Arial"/>
          <w:sz w:val="24"/>
          <w:szCs w:val="24"/>
        </w:rPr>
        <w:footnoteReference w:id="18"/>
      </w:r>
      <w:r w:rsidRPr="00C52673">
        <w:rPr>
          <w:rFonts w:ascii="Arial" w:hAnsi="Arial" w:cs="Arial"/>
          <w:sz w:val="24"/>
          <w:szCs w:val="24"/>
        </w:rPr>
        <w:t xml:space="preserve"> ha explicado que no solo se presenta en aquellos casos en que la autoridad judicial emplea una norma que no corresponde al caso o deja de aplicar la que evidentemente lo es, u opta por una interpretación que contraríe los postulados mínimos de la razonabilidad jurídica</w:t>
      </w:r>
      <w:r w:rsidRPr="00C52673">
        <w:rPr>
          <w:rStyle w:val="Refdenotaalpie"/>
          <w:rFonts w:ascii="Arial" w:hAnsi="Arial" w:cs="Arial"/>
          <w:sz w:val="24"/>
          <w:szCs w:val="24"/>
          <w:shd w:val="clear" w:color="auto" w:fill="FFFFFF"/>
        </w:rPr>
        <w:footnoteReference w:id="19"/>
      </w:r>
      <w:r w:rsidRPr="00C52673">
        <w:rPr>
          <w:rFonts w:ascii="Arial" w:hAnsi="Arial" w:cs="Arial"/>
          <w:sz w:val="24"/>
          <w:szCs w:val="24"/>
        </w:rPr>
        <w:t xml:space="preserve">, sino </w:t>
      </w:r>
      <w:r w:rsidRPr="00C52673">
        <w:rPr>
          <w:rFonts w:ascii="Arial" w:hAnsi="Arial" w:cs="Arial"/>
          <w:sz w:val="24"/>
          <w:szCs w:val="24"/>
        </w:rPr>
        <w:lastRenderedPageBreak/>
        <w:t xml:space="preserve">también cuando la autoridad jurisdiccional se aparta del precedente judicial (horizontal o </w:t>
      </w:r>
      <w:r w:rsidRPr="006C472F">
        <w:rPr>
          <w:rFonts w:ascii="Arial" w:hAnsi="Arial" w:cs="Arial"/>
          <w:sz w:val="24"/>
          <w:szCs w:val="24"/>
        </w:rPr>
        <w:t>vertical</w:t>
      </w:r>
      <w:r w:rsidRPr="006C472F">
        <w:rPr>
          <w:rFonts w:ascii="Arial" w:hAnsi="Arial" w:cs="Arial"/>
          <w:sz w:val="24"/>
          <w:szCs w:val="24"/>
          <w:shd w:val="clear" w:color="auto" w:fill="FFFFFF"/>
          <w:vertAlign w:val="superscript"/>
        </w:rPr>
        <w:footnoteReference w:id="20"/>
      </w:r>
      <w:r w:rsidRPr="006C472F">
        <w:rPr>
          <w:rFonts w:ascii="Arial" w:hAnsi="Arial" w:cs="Arial"/>
          <w:sz w:val="24"/>
          <w:szCs w:val="24"/>
        </w:rPr>
        <w:t>)</w:t>
      </w:r>
      <w:r w:rsidRPr="00C52673">
        <w:rPr>
          <w:rFonts w:ascii="Arial" w:hAnsi="Arial" w:cs="Arial"/>
          <w:sz w:val="24"/>
          <w:szCs w:val="24"/>
        </w:rPr>
        <w:t xml:space="preserve"> sin justificación suficiente, pues el precedente es de carácter obligatorio.</w:t>
      </w:r>
    </w:p>
    <w:p w14:paraId="10919206" w14:textId="77777777" w:rsidR="005F7889" w:rsidRDefault="005F7889" w:rsidP="0047418F">
      <w:pPr>
        <w:pStyle w:val="Textosinformato"/>
        <w:spacing w:line="360" w:lineRule="auto"/>
        <w:jc w:val="both"/>
        <w:rPr>
          <w:rFonts w:ascii="Arial" w:hAnsi="Arial" w:cs="Arial"/>
          <w:b/>
          <w:sz w:val="24"/>
          <w:szCs w:val="24"/>
        </w:rPr>
      </w:pPr>
    </w:p>
    <w:p w14:paraId="3B9BBA96" w14:textId="77777777" w:rsidR="007E5F2D" w:rsidRDefault="005F7889" w:rsidP="0047418F">
      <w:pPr>
        <w:pStyle w:val="Textosinformato"/>
        <w:spacing w:line="360" w:lineRule="auto"/>
        <w:jc w:val="both"/>
        <w:rPr>
          <w:rFonts w:ascii="Arial" w:hAnsi="Arial" w:cs="Arial"/>
          <w:bCs/>
          <w:sz w:val="24"/>
          <w:szCs w:val="24"/>
        </w:rPr>
      </w:pPr>
      <w:r>
        <w:rPr>
          <w:rFonts w:ascii="Arial" w:hAnsi="Arial" w:cs="Arial"/>
          <w:bCs/>
          <w:sz w:val="24"/>
          <w:szCs w:val="24"/>
        </w:rPr>
        <w:t xml:space="preserve">5.1.2.- </w:t>
      </w:r>
      <w:r w:rsidR="006F1F20">
        <w:rPr>
          <w:rFonts w:ascii="Arial" w:hAnsi="Arial" w:cs="Arial"/>
          <w:bCs/>
          <w:sz w:val="24"/>
          <w:szCs w:val="24"/>
        </w:rPr>
        <w:t xml:space="preserve">Así las cosas, consideró la </w:t>
      </w:r>
      <w:r w:rsidR="003D5C6C">
        <w:rPr>
          <w:rFonts w:ascii="Arial" w:hAnsi="Arial" w:cs="Arial"/>
          <w:bCs/>
          <w:sz w:val="24"/>
          <w:szCs w:val="24"/>
        </w:rPr>
        <w:t>entidad</w:t>
      </w:r>
      <w:r w:rsidR="006F1F20">
        <w:rPr>
          <w:rFonts w:ascii="Arial" w:hAnsi="Arial" w:cs="Arial"/>
          <w:bCs/>
          <w:sz w:val="24"/>
          <w:szCs w:val="24"/>
        </w:rPr>
        <w:t xml:space="preserve"> tutelante que el tribunal accionado vulneró sus derechos fundamentales toda vez que</w:t>
      </w:r>
      <w:r w:rsidR="007E5F2D">
        <w:rPr>
          <w:rFonts w:ascii="Arial" w:hAnsi="Arial" w:cs="Arial"/>
          <w:bCs/>
          <w:sz w:val="24"/>
          <w:szCs w:val="24"/>
        </w:rPr>
        <w:t>:</w:t>
      </w:r>
      <w:r w:rsidR="006F1F20">
        <w:rPr>
          <w:rFonts w:ascii="Arial" w:hAnsi="Arial" w:cs="Arial"/>
          <w:bCs/>
          <w:sz w:val="24"/>
          <w:szCs w:val="24"/>
        </w:rPr>
        <w:t xml:space="preserve"> </w:t>
      </w:r>
    </w:p>
    <w:p w14:paraId="6051CE21" w14:textId="77777777" w:rsidR="007E5F2D" w:rsidRDefault="007E5F2D" w:rsidP="0047418F">
      <w:pPr>
        <w:pStyle w:val="Textosinformato"/>
        <w:spacing w:line="360" w:lineRule="auto"/>
        <w:jc w:val="both"/>
        <w:rPr>
          <w:rFonts w:ascii="Arial" w:hAnsi="Arial" w:cs="Arial"/>
          <w:bCs/>
          <w:sz w:val="24"/>
          <w:szCs w:val="24"/>
        </w:rPr>
      </w:pPr>
    </w:p>
    <w:p w14:paraId="3D5DA653" w14:textId="77777777" w:rsidR="00B920C1" w:rsidRDefault="006F1F20" w:rsidP="00B920C1">
      <w:pPr>
        <w:pStyle w:val="Textosinformato"/>
        <w:numPr>
          <w:ilvl w:val="0"/>
          <w:numId w:val="2"/>
        </w:numPr>
        <w:tabs>
          <w:tab w:val="left" w:pos="851"/>
        </w:tabs>
        <w:spacing w:line="360" w:lineRule="auto"/>
        <w:ind w:left="426" w:firstLine="0"/>
        <w:jc w:val="both"/>
        <w:rPr>
          <w:rFonts w:ascii="Arial" w:hAnsi="Arial" w:cs="Arial"/>
          <w:bCs/>
          <w:sz w:val="24"/>
          <w:szCs w:val="24"/>
        </w:rPr>
      </w:pPr>
      <w:r>
        <w:rPr>
          <w:rFonts w:ascii="Arial" w:hAnsi="Arial" w:cs="Arial"/>
          <w:bCs/>
          <w:sz w:val="24"/>
          <w:szCs w:val="24"/>
        </w:rPr>
        <w:t>realizó una interpretación irrazonable de los artículo</w:t>
      </w:r>
      <w:r w:rsidR="00D67F0C">
        <w:rPr>
          <w:rFonts w:ascii="Arial" w:hAnsi="Arial" w:cs="Arial"/>
          <w:bCs/>
          <w:sz w:val="24"/>
          <w:szCs w:val="24"/>
        </w:rPr>
        <w:t>s</w:t>
      </w:r>
      <w:r>
        <w:rPr>
          <w:rFonts w:ascii="Arial" w:hAnsi="Arial" w:cs="Arial"/>
          <w:bCs/>
          <w:sz w:val="24"/>
          <w:szCs w:val="24"/>
        </w:rPr>
        <w:t xml:space="preserve"> 647 y 647-1 del E.T., así como una aplicación equivocada de este último, por considerar que son excluyentes entre sí, de modo </w:t>
      </w:r>
      <w:r w:rsidR="00B920C1">
        <w:rPr>
          <w:rFonts w:ascii="Arial" w:hAnsi="Arial" w:cs="Arial"/>
          <w:bCs/>
          <w:sz w:val="24"/>
          <w:szCs w:val="24"/>
        </w:rPr>
        <w:t xml:space="preserve">que </w:t>
      </w:r>
      <w:r>
        <w:rPr>
          <w:rFonts w:ascii="Arial" w:hAnsi="Arial" w:cs="Arial"/>
          <w:bCs/>
          <w:sz w:val="24"/>
          <w:szCs w:val="24"/>
        </w:rPr>
        <w:t>resulta</w:t>
      </w:r>
      <w:r w:rsidR="00B920C1">
        <w:rPr>
          <w:rFonts w:ascii="Arial" w:hAnsi="Arial" w:cs="Arial"/>
          <w:bCs/>
          <w:sz w:val="24"/>
          <w:szCs w:val="24"/>
        </w:rPr>
        <w:t>ba</w:t>
      </w:r>
      <w:r>
        <w:rPr>
          <w:rFonts w:ascii="Arial" w:hAnsi="Arial" w:cs="Arial"/>
          <w:bCs/>
          <w:sz w:val="24"/>
          <w:szCs w:val="24"/>
        </w:rPr>
        <w:t xml:space="preserve"> prohibi</w:t>
      </w:r>
      <w:r w:rsidR="00D67F0C">
        <w:rPr>
          <w:rFonts w:ascii="Arial" w:hAnsi="Arial" w:cs="Arial"/>
          <w:bCs/>
          <w:sz w:val="24"/>
          <w:szCs w:val="24"/>
        </w:rPr>
        <w:t>do</w:t>
      </w:r>
      <w:r>
        <w:rPr>
          <w:rFonts w:ascii="Arial" w:hAnsi="Arial" w:cs="Arial"/>
          <w:bCs/>
          <w:sz w:val="24"/>
          <w:szCs w:val="24"/>
        </w:rPr>
        <w:t xml:space="preserve"> imponer </w:t>
      </w:r>
      <w:r w:rsidR="003D5C6C">
        <w:rPr>
          <w:rFonts w:ascii="Arial" w:hAnsi="Arial" w:cs="Arial"/>
          <w:bCs/>
          <w:sz w:val="24"/>
          <w:szCs w:val="24"/>
        </w:rPr>
        <w:t>dos</w:t>
      </w:r>
      <w:r>
        <w:rPr>
          <w:rFonts w:ascii="Arial" w:hAnsi="Arial" w:cs="Arial"/>
          <w:bCs/>
          <w:sz w:val="24"/>
          <w:szCs w:val="24"/>
        </w:rPr>
        <w:t xml:space="preserve"> sanciones</w:t>
      </w:r>
      <w:r w:rsidR="003D5C6C">
        <w:rPr>
          <w:rFonts w:ascii="Arial" w:hAnsi="Arial" w:cs="Arial"/>
          <w:bCs/>
          <w:sz w:val="24"/>
          <w:szCs w:val="24"/>
        </w:rPr>
        <w:t xml:space="preserve"> por un mismo hecho</w:t>
      </w:r>
      <w:r>
        <w:rPr>
          <w:rFonts w:ascii="Arial" w:hAnsi="Arial" w:cs="Arial"/>
          <w:bCs/>
          <w:sz w:val="24"/>
          <w:szCs w:val="24"/>
        </w:rPr>
        <w:t xml:space="preserve">; y </w:t>
      </w:r>
    </w:p>
    <w:p w14:paraId="4CC28BED" w14:textId="77777777" w:rsidR="00B920C1" w:rsidRDefault="00B920C1" w:rsidP="00B920C1">
      <w:pPr>
        <w:pStyle w:val="Textosinformato"/>
        <w:spacing w:line="360" w:lineRule="auto"/>
        <w:ind w:left="426"/>
        <w:jc w:val="both"/>
        <w:rPr>
          <w:rFonts w:ascii="Arial" w:hAnsi="Arial" w:cs="Arial"/>
          <w:bCs/>
          <w:sz w:val="24"/>
          <w:szCs w:val="24"/>
        </w:rPr>
      </w:pPr>
    </w:p>
    <w:p w14:paraId="5E7EF1C4" w14:textId="77777777" w:rsidR="006F1F20" w:rsidRPr="00B920C1" w:rsidRDefault="006F1F20" w:rsidP="00B920C1">
      <w:pPr>
        <w:pStyle w:val="Textosinformato"/>
        <w:numPr>
          <w:ilvl w:val="0"/>
          <w:numId w:val="2"/>
        </w:numPr>
        <w:tabs>
          <w:tab w:val="left" w:pos="851"/>
        </w:tabs>
        <w:spacing w:line="360" w:lineRule="auto"/>
        <w:ind w:left="426" w:firstLine="0"/>
        <w:jc w:val="both"/>
        <w:rPr>
          <w:rFonts w:ascii="Arial" w:hAnsi="Arial" w:cs="Arial"/>
          <w:bCs/>
          <w:sz w:val="24"/>
          <w:szCs w:val="24"/>
        </w:rPr>
      </w:pPr>
      <w:r w:rsidRPr="00B920C1">
        <w:rPr>
          <w:rFonts w:ascii="Arial" w:hAnsi="Arial" w:cs="Arial"/>
          <w:bCs/>
          <w:sz w:val="24"/>
          <w:szCs w:val="24"/>
        </w:rPr>
        <w:t xml:space="preserve">se apartó del precedente de la misma Corporación </w:t>
      </w:r>
      <w:r w:rsidR="007E5F2D" w:rsidRPr="00B920C1">
        <w:rPr>
          <w:rFonts w:ascii="Arial" w:hAnsi="Arial" w:cs="Arial"/>
          <w:bCs/>
          <w:sz w:val="24"/>
          <w:szCs w:val="24"/>
        </w:rPr>
        <w:t xml:space="preserve">que ha </w:t>
      </w:r>
      <w:r w:rsidR="007970DC" w:rsidRPr="00B920C1">
        <w:rPr>
          <w:rFonts w:ascii="Arial" w:hAnsi="Arial" w:cs="Arial"/>
          <w:bCs/>
          <w:sz w:val="24"/>
          <w:szCs w:val="24"/>
        </w:rPr>
        <w:t>estimado</w:t>
      </w:r>
      <w:r w:rsidR="007E5F2D" w:rsidRPr="00B920C1">
        <w:rPr>
          <w:rFonts w:ascii="Arial" w:hAnsi="Arial" w:cs="Arial"/>
          <w:bCs/>
          <w:sz w:val="24"/>
          <w:szCs w:val="24"/>
        </w:rPr>
        <w:t xml:space="preserve"> que el artículo 647-1 del E.T. sanciona el hecho de declarar un mayor valor por concepto de pérdidas, para lo cual citó las sentencias </w:t>
      </w:r>
      <w:r w:rsidR="007E5F2D" w:rsidRPr="00B920C1">
        <w:rPr>
          <w:rFonts w:ascii="Arial" w:hAnsi="Arial" w:cs="Arial"/>
          <w:sz w:val="24"/>
          <w:szCs w:val="24"/>
        </w:rPr>
        <w:t xml:space="preserve">del 05 de octubre de 2016, radicado No. 76001-23-31-000-2010-00127-01(21051), y del </w:t>
      </w:r>
      <w:r w:rsidR="007E5F2D" w:rsidRPr="00B920C1">
        <w:rPr>
          <w:rFonts w:ascii="Arial" w:hAnsi="Arial"/>
          <w:sz w:val="24"/>
          <w:szCs w:val="24"/>
          <w:lang w:val="es-ES_tradnl"/>
        </w:rPr>
        <w:t>13 de octubre de 2016, radicado No. 25000-23-27-000-2009-00206-01(19456).</w:t>
      </w:r>
    </w:p>
    <w:p w14:paraId="470DD0E8" w14:textId="77777777" w:rsidR="007E5F2D" w:rsidRDefault="007E5F2D" w:rsidP="0047418F">
      <w:pPr>
        <w:pStyle w:val="Textosinformato"/>
        <w:spacing w:line="360" w:lineRule="auto"/>
        <w:jc w:val="both"/>
        <w:rPr>
          <w:rFonts w:ascii="Arial" w:hAnsi="Arial" w:cs="Arial"/>
          <w:bCs/>
          <w:sz w:val="24"/>
          <w:szCs w:val="24"/>
        </w:rPr>
      </w:pPr>
    </w:p>
    <w:p w14:paraId="781432EA" w14:textId="77777777" w:rsidR="006F1F20" w:rsidRDefault="007E5F2D" w:rsidP="0047418F">
      <w:pPr>
        <w:pStyle w:val="Textosinformato"/>
        <w:spacing w:line="360" w:lineRule="auto"/>
        <w:jc w:val="both"/>
        <w:rPr>
          <w:rFonts w:ascii="Arial" w:hAnsi="Arial" w:cs="Arial"/>
          <w:bCs/>
          <w:sz w:val="24"/>
          <w:szCs w:val="24"/>
        </w:rPr>
      </w:pPr>
      <w:r>
        <w:rPr>
          <w:rFonts w:ascii="Arial" w:hAnsi="Arial" w:cs="Arial"/>
          <w:bCs/>
          <w:sz w:val="24"/>
          <w:szCs w:val="24"/>
        </w:rPr>
        <w:t xml:space="preserve">Así las cosas, esta Subsección procederá a estudiar cada uno conforme al orden expuesto, advirtiendo que no están dados los elementos para </w:t>
      </w:r>
      <w:r w:rsidR="008127EF">
        <w:rPr>
          <w:rFonts w:ascii="Arial" w:hAnsi="Arial" w:cs="Arial"/>
          <w:bCs/>
          <w:sz w:val="24"/>
          <w:szCs w:val="24"/>
        </w:rPr>
        <w:t>su</w:t>
      </w:r>
      <w:r>
        <w:rPr>
          <w:rFonts w:ascii="Arial" w:hAnsi="Arial" w:cs="Arial"/>
          <w:bCs/>
          <w:sz w:val="24"/>
          <w:szCs w:val="24"/>
        </w:rPr>
        <w:t xml:space="preserve"> configuración, por no resultar arbitraria ni caprichosa la decisión de la Sección Cuarta de la Sala de lo Contencioso Administrativo del Consejo de Estado</w:t>
      </w:r>
      <w:r w:rsidR="006C472F">
        <w:rPr>
          <w:rFonts w:ascii="Arial" w:hAnsi="Arial" w:cs="Arial"/>
          <w:bCs/>
          <w:sz w:val="24"/>
          <w:szCs w:val="24"/>
        </w:rPr>
        <w:t>,</w:t>
      </w:r>
      <w:r w:rsidR="008C241A">
        <w:rPr>
          <w:rFonts w:ascii="Arial" w:hAnsi="Arial" w:cs="Arial"/>
          <w:bCs/>
          <w:sz w:val="24"/>
          <w:szCs w:val="24"/>
        </w:rPr>
        <w:t xml:space="preserve"> ni mucho menos desconoce</w:t>
      </w:r>
      <w:r w:rsidR="006C472F">
        <w:rPr>
          <w:rFonts w:ascii="Arial" w:hAnsi="Arial" w:cs="Arial"/>
          <w:bCs/>
          <w:sz w:val="24"/>
          <w:szCs w:val="24"/>
        </w:rPr>
        <w:t xml:space="preserve">dora de </w:t>
      </w:r>
      <w:r w:rsidR="008C241A">
        <w:rPr>
          <w:rFonts w:ascii="Arial" w:hAnsi="Arial" w:cs="Arial"/>
          <w:bCs/>
          <w:sz w:val="24"/>
          <w:szCs w:val="24"/>
        </w:rPr>
        <w:t>la línea jurisprudencial que sobre la materia ha sostenida esta Colegiatura</w:t>
      </w:r>
      <w:r w:rsidR="0071232C">
        <w:rPr>
          <w:rFonts w:ascii="Arial" w:hAnsi="Arial" w:cs="Arial"/>
          <w:bCs/>
          <w:sz w:val="24"/>
          <w:szCs w:val="24"/>
        </w:rPr>
        <w:t>.</w:t>
      </w:r>
    </w:p>
    <w:p w14:paraId="39F224A8" w14:textId="77777777" w:rsidR="00D61EC6" w:rsidRDefault="007E5F2D" w:rsidP="0047418F">
      <w:pPr>
        <w:pStyle w:val="Textosinformato"/>
        <w:spacing w:line="360" w:lineRule="auto"/>
        <w:jc w:val="both"/>
        <w:rPr>
          <w:rFonts w:ascii="Arial" w:hAnsi="Arial" w:cs="Arial"/>
          <w:bCs/>
          <w:sz w:val="24"/>
          <w:szCs w:val="24"/>
        </w:rPr>
      </w:pPr>
      <w:r>
        <w:rPr>
          <w:rFonts w:ascii="Arial" w:hAnsi="Arial" w:cs="Arial"/>
          <w:bCs/>
          <w:sz w:val="24"/>
          <w:szCs w:val="24"/>
        </w:rPr>
        <w:lastRenderedPageBreak/>
        <w:t>5.1.2.1.- En cuanto a la</w:t>
      </w:r>
      <w:r w:rsidR="007836A5">
        <w:rPr>
          <w:rFonts w:ascii="Arial" w:hAnsi="Arial" w:cs="Arial"/>
          <w:bCs/>
          <w:sz w:val="24"/>
          <w:szCs w:val="24"/>
        </w:rPr>
        <w:t xml:space="preserve"> supuesta</w:t>
      </w:r>
      <w:r>
        <w:rPr>
          <w:rFonts w:ascii="Arial" w:hAnsi="Arial" w:cs="Arial"/>
          <w:bCs/>
          <w:sz w:val="24"/>
          <w:szCs w:val="24"/>
        </w:rPr>
        <w:t xml:space="preserve"> interpretación y aplicación </w:t>
      </w:r>
      <w:r w:rsidR="007836A5">
        <w:rPr>
          <w:rFonts w:ascii="Arial" w:hAnsi="Arial" w:cs="Arial"/>
          <w:bCs/>
          <w:sz w:val="24"/>
          <w:szCs w:val="24"/>
        </w:rPr>
        <w:t>contraevidente de las normas del Estatuto Tributario,</w:t>
      </w:r>
      <w:r w:rsidR="00D61EC6">
        <w:rPr>
          <w:rFonts w:ascii="Arial" w:hAnsi="Arial" w:cs="Arial"/>
          <w:bCs/>
          <w:sz w:val="24"/>
          <w:szCs w:val="24"/>
        </w:rPr>
        <w:t xml:space="preserve"> por no permitirse la imposición </w:t>
      </w:r>
      <w:r w:rsidR="00E51D07">
        <w:rPr>
          <w:rFonts w:ascii="Arial" w:hAnsi="Arial" w:cs="Arial"/>
          <w:bCs/>
          <w:sz w:val="24"/>
          <w:szCs w:val="24"/>
        </w:rPr>
        <w:t xml:space="preserve">de </w:t>
      </w:r>
      <w:r w:rsidR="00732070">
        <w:rPr>
          <w:rFonts w:ascii="Arial" w:hAnsi="Arial" w:cs="Arial"/>
          <w:bCs/>
          <w:sz w:val="24"/>
          <w:szCs w:val="24"/>
        </w:rPr>
        <w:t>ambas</w:t>
      </w:r>
      <w:r w:rsidR="00D61EC6">
        <w:rPr>
          <w:rFonts w:ascii="Arial" w:hAnsi="Arial" w:cs="Arial"/>
          <w:bCs/>
          <w:sz w:val="24"/>
          <w:szCs w:val="24"/>
        </w:rPr>
        <w:t xml:space="preserve"> </w:t>
      </w:r>
      <w:r w:rsidR="003D5C6C">
        <w:rPr>
          <w:rFonts w:ascii="Arial" w:hAnsi="Arial" w:cs="Arial"/>
          <w:bCs/>
          <w:sz w:val="24"/>
          <w:szCs w:val="24"/>
        </w:rPr>
        <w:t>“</w:t>
      </w:r>
      <w:r w:rsidR="00D61EC6">
        <w:rPr>
          <w:rFonts w:ascii="Arial" w:hAnsi="Arial" w:cs="Arial"/>
          <w:bCs/>
          <w:sz w:val="24"/>
          <w:szCs w:val="24"/>
        </w:rPr>
        <w:t>sanciones</w:t>
      </w:r>
      <w:r w:rsidR="003D5C6C">
        <w:rPr>
          <w:rFonts w:ascii="Arial" w:hAnsi="Arial" w:cs="Arial"/>
          <w:bCs/>
          <w:sz w:val="24"/>
          <w:szCs w:val="24"/>
        </w:rPr>
        <w:t>”</w:t>
      </w:r>
      <w:r w:rsidR="00D61EC6">
        <w:rPr>
          <w:rFonts w:ascii="Arial" w:hAnsi="Arial" w:cs="Arial"/>
          <w:bCs/>
          <w:sz w:val="24"/>
          <w:szCs w:val="24"/>
        </w:rPr>
        <w:t xml:space="preserve"> </w:t>
      </w:r>
      <w:r w:rsidR="00732070">
        <w:rPr>
          <w:rFonts w:ascii="Arial" w:hAnsi="Arial" w:cs="Arial"/>
          <w:bCs/>
          <w:sz w:val="24"/>
          <w:szCs w:val="24"/>
        </w:rPr>
        <w:t>(a</w:t>
      </w:r>
      <w:r w:rsidR="00D61EC6">
        <w:rPr>
          <w:rFonts w:ascii="Arial" w:hAnsi="Arial" w:cs="Arial"/>
          <w:bCs/>
          <w:sz w:val="24"/>
          <w:szCs w:val="24"/>
        </w:rPr>
        <w:t>rtículo</w:t>
      </w:r>
      <w:r w:rsidR="00732070">
        <w:rPr>
          <w:rFonts w:ascii="Arial" w:hAnsi="Arial" w:cs="Arial"/>
          <w:bCs/>
          <w:sz w:val="24"/>
          <w:szCs w:val="24"/>
        </w:rPr>
        <w:t>s</w:t>
      </w:r>
      <w:r w:rsidR="00D61EC6">
        <w:rPr>
          <w:rFonts w:ascii="Arial" w:hAnsi="Arial" w:cs="Arial"/>
          <w:bCs/>
          <w:sz w:val="24"/>
          <w:szCs w:val="24"/>
        </w:rPr>
        <w:t xml:space="preserve"> 647</w:t>
      </w:r>
      <w:r w:rsidR="00D61EC6">
        <w:rPr>
          <w:rStyle w:val="Refdenotaalpie"/>
          <w:rFonts w:ascii="Arial" w:hAnsi="Arial" w:cs="Arial"/>
          <w:bCs/>
          <w:sz w:val="24"/>
          <w:szCs w:val="24"/>
        </w:rPr>
        <w:footnoteReference w:id="21"/>
      </w:r>
      <w:r w:rsidR="00D61EC6">
        <w:rPr>
          <w:rFonts w:ascii="Arial" w:hAnsi="Arial" w:cs="Arial"/>
          <w:bCs/>
          <w:sz w:val="24"/>
          <w:szCs w:val="24"/>
        </w:rPr>
        <w:t xml:space="preserve"> </w:t>
      </w:r>
      <w:r w:rsidR="00732070">
        <w:rPr>
          <w:rFonts w:ascii="Arial" w:hAnsi="Arial" w:cs="Arial"/>
          <w:bCs/>
          <w:sz w:val="24"/>
          <w:szCs w:val="24"/>
        </w:rPr>
        <w:t>y</w:t>
      </w:r>
      <w:r w:rsidR="00D61EC6">
        <w:rPr>
          <w:rFonts w:ascii="Arial" w:hAnsi="Arial" w:cs="Arial"/>
          <w:bCs/>
          <w:sz w:val="24"/>
          <w:szCs w:val="24"/>
        </w:rPr>
        <w:t xml:space="preserve"> 647-1</w:t>
      </w:r>
      <w:r w:rsidR="00D61EC6">
        <w:rPr>
          <w:rStyle w:val="Refdenotaalpie"/>
          <w:rFonts w:ascii="Arial" w:hAnsi="Arial" w:cs="Arial"/>
          <w:bCs/>
          <w:sz w:val="24"/>
          <w:szCs w:val="24"/>
        </w:rPr>
        <w:footnoteReference w:id="22"/>
      </w:r>
      <w:r w:rsidR="00732070">
        <w:rPr>
          <w:rFonts w:ascii="Arial" w:hAnsi="Arial" w:cs="Arial"/>
          <w:bCs/>
          <w:sz w:val="24"/>
          <w:szCs w:val="24"/>
        </w:rPr>
        <w:t>)</w:t>
      </w:r>
      <w:r w:rsidR="00D61EC6">
        <w:rPr>
          <w:rFonts w:ascii="Arial" w:hAnsi="Arial" w:cs="Arial"/>
          <w:bCs/>
          <w:sz w:val="24"/>
          <w:szCs w:val="24"/>
        </w:rPr>
        <w:t xml:space="preserve">, al configurarse </w:t>
      </w:r>
      <w:r w:rsidR="00D61EC6" w:rsidRPr="00D61EC6">
        <w:rPr>
          <w:rFonts w:ascii="Arial" w:hAnsi="Arial" w:cs="Arial"/>
          <w:bCs/>
          <w:i/>
          <w:iCs/>
          <w:sz w:val="24"/>
          <w:szCs w:val="24"/>
        </w:rPr>
        <w:t>“en forma concurrente los hechos sancionables”</w:t>
      </w:r>
      <w:r w:rsidR="00D61EC6" w:rsidRPr="005D5129">
        <w:rPr>
          <w:rStyle w:val="Refdenotaalpie"/>
          <w:rFonts w:ascii="Arial" w:hAnsi="Arial" w:cs="Arial"/>
          <w:bCs/>
          <w:sz w:val="24"/>
          <w:szCs w:val="24"/>
        </w:rPr>
        <w:footnoteReference w:id="23"/>
      </w:r>
      <w:r w:rsidR="00AE4342" w:rsidRPr="005D5129">
        <w:rPr>
          <w:rFonts w:ascii="Arial" w:hAnsi="Arial" w:cs="Arial"/>
          <w:bCs/>
          <w:sz w:val="24"/>
          <w:szCs w:val="24"/>
        </w:rPr>
        <w:t xml:space="preserve">, </w:t>
      </w:r>
      <w:r w:rsidR="00AE4342">
        <w:rPr>
          <w:rFonts w:ascii="Arial" w:hAnsi="Arial" w:cs="Arial"/>
          <w:bCs/>
          <w:sz w:val="24"/>
          <w:szCs w:val="24"/>
        </w:rPr>
        <w:t xml:space="preserve">es pertinente señalar que es incorrecta tal </w:t>
      </w:r>
      <w:r w:rsidR="008C241A">
        <w:rPr>
          <w:rFonts w:ascii="Arial" w:hAnsi="Arial" w:cs="Arial"/>
          <w:bCs/>
          <w:sz w:val="24"/>
          <w:szCs w:val="24"/>
        </w:rPr>
        <w:t>aprecia</w:t>
      </w:r>
      <w:r w:rsidR="00AE4342">
        <w:rPr>
          <w:rFonts w:ascii="Arial" w:hAnsi="Arial" w:cs="Arial"/>
          <w:bCs/>
          <w:sz w:val="24"/>
          <w:szCs w:val="24"/>
        </w:rPr>
        <w:t>ción.</w:t>
      </w:r>
    </w:p>
    <w:p w14:paraId="19751F5E" w14:textId="77777777" w:rsidR="006C472F" w:rsidRDefault="006C472F" w:rsidP="0047418F">
      <w:pPr>
        <w:pStyle w:val="Textosinformato"/>
        <w:spacing w:line="360" w:lineRule="auto"/>
        <w:jc w:val="both"/>
        <w:rPr>
          <w:rFonts w:ascii="Arial" w:hAnsi="Arial" w:cs="Arial"/>
          <w:bCs/>
          <w:sz w:val="24"/>
          <w:szCs w:val="24"/>
        </w:rPr>
      </w:pPr>
    </w:p>
    <w:p w14:paraId="3D4126ED" w14:textId="77777777" w:rsidR="008C241A" w:rsidRDefault="00AE4342" w:rsidP="008C241A">
      <w:pPr>
        <w:pStyle w:val="Textosinformato"/>
        <w:spacing w:line="360" w:lineRule="auto"/>
        <w:jc w:val="both"/>
        <w:rPr>
          <w:rFonts w:ascii="Arial" w:hAnsi="Arial" w:cs="Arial"/>
          <w:bCs/>
          <w:sz w:val="24"/>
          <w:szCs w:val="24"/>
        </w:rPr>
      </w:pPr>
      <w:r>
        <w:rPr>
          <w:rFonts w:ascii="Arial" w:hAnsi="Arial" w:cs="Arial"/>
          <w:bCs/>
          <w:sz w:val="24"/>
          <w:szCs w:val="24"/>
        </w:rPr>
        <w:t xml:space="preserve">En efecto, </w:t>
      </w:r>
      <w:r w:rsidR="008C241A">
        <w:rPr>
          <w:rFonts w:ascii="Arial" w:hAnsi="Arial" w:cs="Arial"/>
          <w:bCs/>
          <w:sz w:val="24"/>
          <w:szCs w:val="24"/>
        </w:rPr>
        <w:t xml:space="preserve">vale recordar que tanto el artículo 647 como el 647-1, comprenden </w:t>
      </w:r>
      <w:r w:rsidR="003D5C6C">
        <w:rPr>
          <w:rFonts w:ascii="Arial" w:hAnsi="Arial" w:cs="Arial"/>
          <w:bCs/>
          <w:sz w:val="24"/>
          <w:szCs w:val="24"/>
        </w:rPr>
        <w:t>medidas</w:t>
      </w:r>
      <w:r w:rsidR="008C241A">
        <w:rPr>
          <w:rFonts w:ascii="Arial" w:hAnsi="Arial" w:cs="Arial"/>
          <w:bCs/>
          <w:sz w:val="24"/>
          <w:szCs w:val="24"/>
        </w:rPr>
        <w:t xml:space="preserve"> </w:t>
      </w:r>
      <w:r w:rsidR="003D5C6C">
        <w:rPr>
          <w:rFonts w:ascii="Arial" w:hAnsi="Arial" w:cs="Arial"/>
          <w:bCs/>
          <w:sz w:val="24"/>
          <w:szCs w:val="24"/>
        </w:rPr>
        <w:t>fiscalizadoras</w:t>
      </w:r>
      <w:r w:rsidR="008C241A">
        <w:rPr>
          <w:rFonts w:ascii="Arial" w:hAnsi="Arial" w:cs="Arial"/>
          <w:bCs/>
          <w:sz w:val="24"/>
          <w:szCs w:val="24"/>
        </w:rPr>
        <w:t xml:space="preserve"> en cabeza de la Administración, que el legislador </w:t>
      </w:r>
      <w:r w:rsidR="00B920C1">
        <w:rPr>
          <w:rFonts w:ascii="Arial" w:hAnsi="Arial" w:cs="Arial"/>
          <w:bCs/>
          <w:sz w:val="24"/>
          <w:szCs w:val="24"/>
        </w:rPr>
        <w:t>definió</w:t>
      </w:r>
      <w:r w:rsidR="008C241A">
        <w:rPr>
          <w:rFonts w:ascii="Arial" w:hAnsi="Arial" w:cs="Arial"/>
          <w:bCs/>
          <w:sz w:val="24"/>
          <w:szCs w:val="24"/>
        </w:rPr>
        <w:t xml:space="preserve"> a efectos de </w:t>
      </w:r>
      <w:r w:rsidR="008C241A">
        <w:rPr>
          <w:rFonts w:ascii="Arial" w:hAnsi="Arial" w:cs="Arial"/>
          <w:bCs/>
          <w:sz w:val="24"/>
          <w:szCs w:val="24"/>
        </w:rPr>
        <w:lastRenderedPageBreak/>
        <w:t xml:space="preserve">contener y corregir el comportamiento defraudatorio de los contribuyentes en cuanto a las declaraciones tributarias.  </w:t>
      </w:r>
    </w:p>
    <w:p w14:paraId="077F1A68" w14:textId="77777777" w:rsidR="005925D0" w:rsidRDefault="005925D0" w:rsidP="008C241A">
      <w:pPr>
        <w:pStyle w:val="Textosinformato"/>
        <w:spacing w:line="360" w:lineRule="auto"/>
        <w:jc w:val="both"/>
        <w:rPr>
          <w:rFonts w:ascii="Arial" w:hAnsi="Arial" w:cs="Arial"/>
          <w:bCs/>
          <w:sz w:val="24"/>
          <w:szCs w:val="24"/>
        </w:rPr>
      </w:pPr>
    </w:p>
    <w:p w14:paraId="3224C61F" w14:textId="77777777" w:rsidR="005925D0" w:rsidRDefault="00A078ED" w:rsidP="00A078ED">
      <w:pPr>
        <w:pStyle w:val="Textosinformato"/>
        <w:spacing w:line="360" w:lineRule="auto"/>
        <w:jc w:val="both"/>
        <w:rPr>
          <w:rFonts w:ascii="Arial" w:hAnsi="Arial" w:cs="Arial"/>
          <w:bCs/>
          <w:sz w:val="24"/>
          <w:szCs w:val="24"/>
        </w:rPr>
      </w:pPr>
      <w:r>
        <w:rPr>
          <w:rFonts w:ascii="Arial" w:hAnsi="Arial" w:cs="Arial"/>
          <w:bCs/>
          <w:sz w:val="24"/>
          <w:szCs w:val="24"/>
        </w:rPr>
        <w:t>Así, en un principio solo estaba estipulado el artículo 647, que describe cuáles son las conductas que se encuentran tipificadas para efectos de imponer la sanción por inexactitud en las declaraciones</w:t>
      </w:r>
      <w:r w:rsidR="007E37A2">
        <w:rPr>
          <w:rFonts w:ascii="Arial" w:hAnsi="Arial" w:cs="Arial"/>
          <w:bCs/>
          <w:sz w:val="24"/>
          <w:szCs w:val="24"/>
        </w:rPr>
        <w:t xml:space="preserve">, </w:t>
      </w:r>
      <w:r w:rsidR="007E37A2" w:rsidRPr="007E37A2">
        <w:rPr>
          <w:rFonts w:ascii="Arial" w:hAnsi="Arial" w:cs="Arial"/>
          <w:bCs/>
          <w:sz w:val="24"/>
          <w:szCs w:val="24"/>
        </w:rPr>
        <w:t>cuando se reportaba un menor impuesto o saldo a pagar, o un mayor saldo a favor</w:t>
      </w:r>
      <w:r w:rsidR="007E37A2">
        <w:rPr>
          <w:rFonts w:ascii="Arial" w:hAnsi="Arial" w:cs="Arial"/>
          <w:bCs/>
          <w:sz w:val="24"/>
          <w:szCs w:val="24"/>
        </w:rPr>
        <w:t xml:space="preserve"> del contribuyente</w:t>
      </w:r>
      <w:r>
        <w:rPr>
          <w:rFonts w:ascii="Arial" w:hAnsi="Arial" w:cs="Arial"/>
          <w:bCs/>
          <w:sz w:val="24"/>
          <w:szCs w:val="24"/>
        </w:rPr>
        <w:t>. Pero, luego, con el artículo 24 de la Ley 863 de 2003</w:t>
      </w:r>
      <w:r>
        <w:rPr>
          <w:rStyle w:val="Refdenotaalpie"/>
          <w:rFonts w:ascii="Arial" w:hAnsi="Arial" w:cs="Arial"/>
          <w:bCs/>
          <w:sz w:val="24"/>
          <w:szCs w:val="24"/>
        </w:rPr>
        <w:footnoteReference w:id="24"/>
      </w:r>
      <w:r>
        <w:rPr>
          <w:rFonts w:ascii="Arial" w:hAnsi="Arial" w:cs="Arial"/>
          <w:bCs/>
          <w:sz w:val="24"/>
          <w:szCs w:val="24"/>
        </w:rPr>
        <w:t xml:space="preserve">, se adicionó el artículo 647-1, en aras de </w:t>
      </w:r>
      <w:r w:rsidR="005925D0">
        <w:rPr>
          <w:rFonts w:ascii="Arial" w:hAnsi="Arial" w:cs="Arial"/>
          <w:bCs/>
          <w:sz w:val="24"/>
          <w:szCs w:val="24"/>
        </w:rPr>
        <w:t>poder determinar cómo liquidar es</w:t>
      </w:r>
      <w:r>
        <w:rPr>
          <w:rFonts w:ascii="Arial" w:hAnsi="Arial" w:cs="Arial"/>
          <w:bCs/>
          <w:sz w:val="24"/>
          <w:szCs w:val="24"/>
        </w:rPr>
        <w:t xml:space="preserve">a </w:t>
      </w:r>
      <w:r w:rsidR="005925D0">
        <w:rPr>
          <w:rFonts w:ascii="Arial" w:hAnsi="Arial" w:cs="Arial"/>
          <w:bCs/>
          <w:sz w:val="24"/>
          <w:szCs w:val="24"/>
        </w:rPr>
        <w:t xml:space="preserve">misma </w:t>
      </w:r>
      <w:r>
        <w:rPr>
          <w:rFonts w:ascii="Arial" w:hAnsi="Arial" w:cs="Arial"/>
          <w:bCs/>
          <w:sz w:val="24"/>
          <w:szCs w:val="24"/>
        </w:rPr>
        <w:t xml:space="preserve">sanción </w:t>
      </w:r>
      <w:r w:rsidR="005925D0">
        <w:rPr>
          <w:rFonts w:ascii="Arial" w:hAnsi="Arial" w:cs="Arial"/>
          <w:bCs/>
          <w:sz w:val="24"/>
          <w:szCs w:val="24"/>
        </w:rPr>
        <w:t>para los casos en que se produjera un</w:t>
      </w:r>
      <w:r>
        <w:rPr>
          <w:rFonts w:ascii="Arial" w:hAnsi="Arial" w:cs="Arial"/>
          <w:bCs/>
          <w:sz w:val="24"/>
          <w:szCs w:val="24"/>
        </w:rPr>
        <w:t xml:space="preserve"> rechazo o disminución de</w:t>
      </w:r>
      <w:r w:rsidR="005925D0">
        <w:rPr>
          <w:rFonts w:ascii="Arial" w:hAnsi="Arial" w:cs="Arial"/>
          <w:bCs/>
          <w:sz w:val="24"/>
          <w:szCs w:val="24"/>
        </w:rPr>
        <w:t xml:space="preserve"> las</w:t>
      </w:r>
      <w:r>
        <w:rPr>
          <w:rFonts w:ascii="Arial" w:hAnsi="Arial" w:cs="Arial"/>
          <w:bCs/>
          <w:sz w:val="24"/>
          <w:szCs w:val="24"/>
        </w:rPr>
        <w:t xml:space="preserve"> pérdidas</w:t>
      </w:r>
      <w:r w:rsidR="005925D0">
        <w:rPr>
          <w:rFonts w:ascii="Arial" w:hAnsi="Arial" w:cs="Arial"/>
          <w:bCs/>
          <w:sz w:val="24"/>
          <w:szCs w:val="24"/>
        </w:rPr>
        <w:t xml:space="preserve"> fiscales reportadas</w:t>
      </w:r>
      <w:r w:rsidR="00E51D07">
        <w:rPr>
          <w:rFonts w:ascii="Arial" w:hAnsi="Arial" w:cs="Arial"/>
          <w:bCs/>
          <w:sz w:val="24"/>
          <w:szCs w:val="24"/>
        </w:rPr>
        <w:t>,</w:t>
      </w:r>
      <w:r w:rsidR="005925D0">
        <w:rPr>
          <w:rFonts w:ascii="Arial" w:hAnsi="Arial" w:cs="Arial"/>
          <w:bCs/>
          <w:sz w:val="24"/>
          <w:szCs w:val="24"/>
        </w:rPr>
        <w:t xml:space="preserve"> por no </w:t>
      </w:r>
      <w:r w:rsidR="00F40467">
        <w:rPr>
          <w:rFonts w:ascii="Arial" w:hAnsi="Arial" w:cs="Arial"/>
          <w:bCs/>
          <w:sz w:val="24"/>
          <w:szCs w:val="24"/>
        </w:rPr>
        <w:t>resultar</w:t>
      </w:r>
      <w:r w:rsidR="005925D0">
        <w:rPr>
          <w:rFonts w:ascii="Arial" w:hAnsi="Arial" w:cs="Arial"/>
          <w:bCs/>
          <w:sz w:val="24"/>
          <w:szCs w:val="24"/>
        </w:rPr>
        <w:t xml:space="preserve"> reales</w:t>
      </w:r>
      <w:r>
        <w:rPr>
          <w:rFonts w:ascii="Arial" w:hAnsi="Arial" w:cs="Arial"/>
          <w:bCs/>
          <w:sz w:val="24"/>
          <w:szCs w:val="24"/>
        </w:rPr>
        <w:t xml:space="preserve">, en tanto se requería reprender </w:t>
      </w:r>
      <w:r w:rsidR="005925D0">
        <w:rPr>
          <w:rFonts w:ascii="Arial" w:hAnsi="Arial" w:cs="Arial"/>
          <w:bCs/>
          <w:sz w:val="24"/>
          <w:szCs w:val="24"/>
        </w:rPr>
        <w:t>es</w:t>
      </w:r>
      <w:r>
        <w:rPr>
          <w:rFonts w:ascii="Arial" w:hAnsi="Arial" w:cs="Arial"/>
          <w:bCs/>
          <w:sz w:val="24"/>
          <w:szCs w:val="24"/>
        </w:rPr>
        <w:t xml:space="preserve">a nueva </w:t>
      </w:r>
      <w:r w:rsidR="004571BE">
        <w:rPr>
          <w:rFonts w:ascii="Arial" w:hAnsi="Arial" w:cs="Arial"/>
          <w:bCs/>
          <w:sz w:val="24"/>
          <w:szCs w:val="24"/>
        </w:rPr>
        <w:t>práctica adoptada</w:t>
      </w:r>
      <w:r>
        <w:rPr>
          <w:rFonts w:ascii="Arial" w:hAnsi="Arial" w:cs="Arial"/>
          <w:bCs/>
          <w:sz w:val="24"/>
          <w:szCs w:val="24"/>
        </w:rPr>
        <w:t xml:space="preserve"> </w:t>
      </w:r>
      <w:r w:rsidR="004571BE">
        <w:rPr>
          <w:rFonts w:ascii="Arial" w:hAnsi="Arial" w:cs="Arial"/>
          <w:bCs/>
          <w:sz w:val="24"/>
          <w:szCs w:val="24"/>
        </w:rPr>
        <w:t>para</w:t>
      </w:r>
      <w:r>
        <w:rPr>
          <w:rFonts w:ascii="Arial" w:hAnsi="Arial" w:cs="Arial"/>
          <w:bCs/>
          <w:sz w:val="24"/>
          <w:szCs w:val="24"/>
        </w:rPr>
        <w:t xml:space="preserve"> burlar la fiscalización de las autoridades tributarias</w:t>
      </w:r>
      <w:r w:rsidR="007E37A2">
        <w:rPr>
          <w:rFonts w:ascii="Arial" w:hAnsi="Arial" w:cs="Arial"/>
          <w:bCs/>
          <w:sz w:val="24"/>
          <w:szCs w:val="24"/>
        </w:rPr>
        <w:t xml:space="preserve"> en la declaración de renta</w:t>
      </w:r>
      <w:r>
        <w:rPr>
          <w:rFonts w:ascii="Arial" w:hAnsi="Arial" w:cs="Arial"/>
          <w:bCs/>
          <w:sz w:val="24"/>
          <w:szCs w:val="24"/>
        </w:rPr>
        <w:t>.</w:t>
      </w:r>
    </w:p>
    <w:p w14:paraId="47D171E5" w14:textId="77777777" w:rsidR="00C46767" w:rsidRDefault="00A078ED" w:rsidP="0047418F">
      <w:pPr>
        <w:pStyle w:val="Textosinformato"/>
        <w:spacing w:line="360" w:lineRule="auto"/>
        <w:jc w:val="both"/>
        <w:rPr>
          <w:rFonts w:ascii="Arial" w:hAnsi="Arial" w:cs="Arial"/>
          <w:bCs/>
          <w:sz w:val="24"/>
          <w:szCs w:val="24"/>
        </w:rPr>
      </w:pPr>
      <w:r>
        <w:rPr>
          <w:rFonts w:ascii="Arial" w:hAnsi="Arial" w:cs="Arial"/>
          <w:bCs/>
          <w:sz w:val="24"/>
          <w:szCs w:val="24"/>
        </w:rPr>
        <w:t xml:space="preserve"> </w:t>
      </w:r>
    </w:p>
    <w:p w14:paraId="490B47D7" w14:textId="77777777" w:rsidR="003D5C6C" w:rsidRDefault="00CD5F50" w:rsidP="0047418F">
      <w:pPr>
        <w:pStyle w:val="Textosinformato"/>
        <w:spacing w:line="360" w:lineRule="auto"/>
        <w:jc w:val="both"/>
        <w:rPr>
          <w:rFonts w:ascii="Arial" w:hAnsi="Arial" w:cs="Arial"/>
          <w:bCs/>
          <w:sz w:val="24"/>
          <w:szCs w:val="24"/>
        </w:rPr>
      </w:pPr>
      <w:r>
        <w:rPr>
          <w:rFonts w:ascii="Arial" w:hAnsi="Arial" w:cs="Arial"/>
          <w:bCs/>
          <w:sz w:val="24"/>
          <w:szCs w:val="24"/>
        </w:rPr>
        <w:t xml:space="preserve">De esta forma lo interpretó la Corte Constitucional en </w:t>
      </w:r>
      <w:r w:rsidR="00C46767">
        <w:rPr>
          <w:rFonts w:ascii="Arial" w:hAnsi="Arial" w:cs="Arial"/>
          <w:bCs/>
          <w:sz w:val="24"/>
          <w:szCs w:val="24"/>
        </w:rPr>
        <w:t>la sentencia C-910 de 2004</w:t>
      </w:r>
      <w:r w:rsidR="00011511">
        <w:rPr>
          <w:rFonts w:ascii="Arial" w:hAnsi="Arial" w:cs="Arial"/>
          <w:bCs/>
          <w:sz w:val="24"/>
          <w:szCs w:val="24"/>
        </w:rPr>
        <w:t>,</w:t>
      </w:r>
      <w:r w:rsidR="00C46767">
        <w:rPr>
          <w:rFonts w:ascii="Arial" w:hAnsi="Arial" w:cs="Arial"/>
          <w:bCs/>
          <w:sz w:val="24"/>
          <w:szCs w:val="24"/>
        </w:rPr>
        <w:t xml:space="preserve"> </w:t>
      </w:r>
      <w:r>
        <w:rPr>
          <w:rFonts w:ascii="Arial" w:hAnsi="Arial" w:cs="Arial"/>
          <w:bCs/>
          <w:sz w:val="24"/>
          <w:szCs w:val="24"/>
        </w:rPr>
        <w:t>al momento de declarar su exequibilidad</w:t>
      </w:r>
      <w:r w:rsidR="006A7EA2">
        <w:rPr>
          <w:rFonts w:ascii="Arial" w:hAnsi="Arial" w:cs="Arial"/>
          <w:bCs/>
          <w:sz w:val="24"/>
          <w:szCs w:val="24"/>
        </w:rPr>
        <w:t>, al considerar que</w:t>
      </w:r>
      <w:r>
        <w:rPr>
          <w:rFonts w:ascii="Arial" w:hAnsi="Arial" w:cs="Arial"/>
          <w:bCs/>
          <w:sz w:val="24"/>
          <w:szCs w:val="24"/>
        </w:rPr>
        <w:t xml:space="preserve"> </w:t>
      </w:r>
      <w:r w:rsidR="00C46767">
        <w:rPr>
          <w:rFonts w:ascii="Arial" w:hAnsi="Arial" w:cs="Arial"/>
          <w:bCs/>
          <w:sz w:val="24"/>
          <w:szCs w:val="24"/>
        </w:rPr>
        <w:t xml:space="preserve">el artículo 647-1 </w:t>
      </w:r>
      <w:r w:rsidR="00AE4342">
        <w:rPr>
          <w:rFonts w:ascii="Arial" w:hAnsi="Arial" w:cs="Arial"/>
          <w:bCs/>
          <w:sz w:val="24"/>
          <w:szCs w:val="24"/>
        </w:rPr>
        <w:t>no contiene una sanción autónoma</w:t>
      </w:r>
      <w:r>
        <w:rPr>
          <w:rFonts w:ascii="Arial" w:hAnsi="Arial" w:cs="Arial"/>
          <w:bCs/>
          <w:sz w:val="24"/>
          <w:szCs w:val="24"/>
        </w:rPr>
        <w:t xml:space="preserve"> a la del artículo 647</w:t>
      </w:r>
      <w:r w:rsidR="00C46767">
        <w:rPr>
          <w:rFonts w:ascii="Arial" w:hAnsi="Arial" w:cs="Arial"/>
          <w:bCs/>
          <w:sz w:val="24"/>
          <w:szCs w:val="24"/>
        </w:rPr>
        <w:t>,</w:t>
      </w:r>
      <w:r>
        <w:rPr>
          <w:rFonts w:ascii="Arial" w:hAnsi="Arial" w:cs="Arial"/>
          <w:bCs/>
          <w:sz w:val="24"/>
          <w:szCs w:val="24"/>
        </w:rPr>
        <w:t xml:space="preserve"> pues </w:t>
      </w:r>
      <w:r w:rsidRPr="00CD5F50">
        <w:rPr>
          <w:rFonts w:ascii="Arial" w:hAnsi="Arial" w:cs="Arial"/>
          <w:bCs/>
          <w:i/>
          <w:iCs/>
          <w:sz w:val="24"/>
          <w:szCs w:val="24"/>
        </w:rPr>
        <w:t xml:space="preserve">“regula las condiciones en las cuales las sanciones por corrección o por inexactitud habrán de aplicarse en los eventos de </w:t>
      </w:r>
      <w:r w:rsidRPr="00CD5F50">
        <w:rPr>
          <w:rFonts w:ascii="Arial" w:hAnsi="Arial" w:cs="Arial"/>
          <w:b/>
          <w:i/>
          <w:iCs/>
          <w:sz w:val="24"/>
          <w:szCs w:val="24"/>
        </w:rPr>
        <w:t>disminución o rechazo de pérdidas fiscales</w:t>
      </w:r>
      <w:r w:rsidRPr="00CD5F50">
        <w:rPr>
          <w:rFonts w:ascii="Arial" w:hAnsi="Arial" w:cs="Arial"/>
          <w:bCs/>
          <w:i/>
          <w:iCs/>
          <w:sz w:val="24"/>
          <w:szCs w:val="24"/>
        </w:rPr>
        <w:t>”</w:t>
      </w:r>
      <w:r w:rsidRPr="005D5129">
        <w:rPr>
          <w:rStyle w:val="Refdenotaalpie"/>
          <w:rFonts w:ascii="Arial" w:hAnsi="Arial" w:cs="Arial"/>
          <w:bCs/>
          <w:sz w:val="24"/>
          <w:szCs w:val="24"/>
        </w:rPr>
        <w:footnoteReference w:id="25"/>
      </w:r>
      <w:r w:rsidRPr="005D5129">
        <w:rPr>
          <w:rFonts w:ascii="Arial" w:hAnsi="Arial" w:cs="Arial"/>
          <w:bCs/>
          <w:sz w:val="24"/>
          <w:szCs w:val="24"/>
        </w:rPr>
        <w:t>.</w:t>
      </w:r>
      <w:r w:rsidR="006A7EA2">
        <w:rPr>
          <w:rFonts w:ascii="Arial" w:hAnsi="Arial" w:cs="Arial"/>
          <w:bCs/>
          <w:sz w:val="24"/>
          <w:szCs w:val="24"/>
        </w:rPr>
        <w:t xml:space="preserve"> </w:t>
      </w:r>
    </w:p>
    <w:p w14:paraId="50CFE14A" w14:textId="77777777" w:rsidR="003D5C6C" w:rsidRDefault="003D5C6C" w:rsidP="0047418F">
      <w:pPr>
        <w:pStyle w:val="Textosinformato"/>
        <w:spacing w:line="360" w:lineRule="auto"/>
        <w:jc w:val="both"/>
        <w:rPr>
          <w:rFonts w:ascii="Arial" w:hAnsi="Arial" w:cs="Arial"/>
          <w:bCs/>
          <w:sz w:val="24"/>
          <w:szCs w:val="24"/>
        </w:rPr>
      </w:pPr>
    </w:p>
    <w:p w14:paraId="5202BA16" w14:textId="77777777" w:rsidR="00CD5F50" w:rsidRDefault="006A7EA2" w:rsidP="0047418F">
      <w:pPr>
        <w:pStyle w:val="Textosinformato"/>
        <w:spacing w:line="360" w:lineRule="auto"/>
        <w:jc w:val="both"/>
        <w:rPr>
          <w:rFonts w:ascii="Arial" w:hAnsi="Arial" w:cs="Arial"/>
          <w:bCs/>
          <w:sz w:val="24"/>
          <w:szCs w:val="24"/>
        </w:rPr>
      </w:pPr>
      <w:r>
        <w:rPr>
          <w:rFonts w:ascii="Arial" w:hAnsi="Arial" w:cs="Arial"/>
          <w:bCs/>
          <w:sz w:val="24"/>
          <w:szCs w:val="24"/>
        </w:rPr>
        <w:t>En ese mismo sentido se pronunció la Sección Cuarta del Consejo de Estado en el fallo reprochado, cuando sostuvo:</w:t>
      </w:r>
    </w:p>
    <w:p w14:paraId="4DA9AE8A" w14:textId="77777777" w:rsidR="00EF625A" w:rsidRDefault="00EF625A" w:rsidP="0047418F">
      <w:pPr>
        <w:pStyle w:val="Textosinformato"/>
        <w:spacing w:line="360" w:lineRule="auto"/>
        <w:jc w:val="both"/>
        <w:rPr>
          <w:rFonts w:ascii="Arial" w:hAnsi="Arial" w:cs="Arial"/>
          <w:bCs/>
          <w:sz w:val="24"/>
          <w:szCs w:val="24"/>
        </w:rPr>
      </w:pPr>
    </w:p>
    <w:p w14:paraId="0199C817" w14:textId="77777777" w:rsidR="006A7EA2" w:rsidRPr="006A7EA2" w:rsidRDefault="006A7EA2" w:rsidP="006A7EA2">
      <w:pPr>
        <w:pStyle w:val="Textosinformato"/>
        <w:spacing w:line="276" w:lineRule="auto"/>
        <w:ind w:left="708" w:right="617"/>
        <w:jc w:val="both"/>
        <w:rPr>
          <w:rFonts w:ascii="Arial" w:hAnsi="Arial" w:cs="Arial"/>
          <w:bCs/>
          <w:sz w:val="22"/>
          <w:szCs w:val="22"/>
        </w:rPr>
      </w:pPr>
      <w:r w:rsidRPr="006A7EA2">
        <w:rPr>
          <w:rFonts w:ascii="Arial" w:hAnsi="Arial" w:cs="Arial"/>
          <w:sz w:val="22"/>
          <w:szCs w:val="22"/>
        </w:rPr>
        <w:t xml:space="preserve">“De acuerdo con lo anterior, la aplicación del artículo 647-1 del ET es excluyente con la del articulo 647 </w:t>
      </w:r>
      <w:r w:rsidRPr="006A7EA2">
        <w:rPr>
          <w:rFonts w:ascii="Arial" w:hAnsi="Arial" w:cs="Arial"/>
          <w:i/>
          <w:iCs/>
          <w:sz w:val="22"/>
          <w:szCs w:val="22"/>
        </w:rPr>
        <w:t>ibidem</w:t>
      </w:r>
      <w:r w:rsidRPr="006A7EA2">
        <w:rPr>
          <w:rFonts w:ascii="Arial" w:hAnsi="Arial" w:cs="Arial"/>
          <w:sz w:val="22"/>
          <w:szCs w:val="22"/>
        </w:rPr>
        <w:t xml:space="preserve">, porque el primero de ellos no contempla una sanción autónoma sino la base para liquidar la sanción de inexactitud o de corrección, en caso de rechazo o disminución de pérdidas que </w:t>
      </w:r>
      <w:r w:rsidRPr="006A7EA2">
        <w:rPr>
          <w:rFonts w:ascii="Arial" w:hAnsi="Arial" w:cs="Arial"/>
          <w:b/>
          <w:bCs/>
          <w:sz w:val="22"/>
          <w:szCs w:val="22"/>
          <w:u w:val="single"/>
        </w:rPr>
        <w:t>no</w:t>
      </w:r>
      <w:r w:rsidRPr="006A7EA2">
        <w:rPr>
          <w:rFonts w:ascii="Arial" w:hAnsi="Arial" w:cs="Arial"/>
          <w:sz w:val="22"/>
          <w:szCs w:val="22"/>
        </w:rPr>
        <w:t xml:space="preserve"> modifiquen el saldo a favor o el saldo a pagar declarado[</w:t>
      </w:r>
      <w:r w:rsidRPr="006A7EA2">
        <w:rPr>
          <w:rStyle w:val="Refdenotaalpie"/>
          <w:rFonts w:ascii="Arial" w:hAnsi="Arial" w:cs="Arial"/>
          <w:sz w:val="22"/>
          <w:szCs w:val="22"/>
        </w:rPr>
        <w:footnoteReference w:id="26"/>
      </w:r>
      <w:r w:rsidRPr="006A7EA2">
        <w:rPr>
          <w:rFonts w:ascii="Arial" w:hAnsi="Arial" w:cs="Arial"/>
          <w:sz w:val="22"/>
          <w:szCs w:val="22"/>
        </w:rPr>
        <w:t xml:space="preserve">], porque si esa modificación ocurre cobraría aplicación el referido articulo 647 ET, que castiga las conductas inexactas de las que </w:t>
      </w:r>
      <w:r w:rsidRPr="006A7EA2">
        <w:rPr>
          <w:rFonts w:ascii="Arial" w:hAnsi="Arial"/>
          <w:sz w:val="22"/>
          <w:szCs w:val="22"/>
          <w:lang w:val="es-CO" w:eastAsia="es-CO"/>
        </w:rPr>
        <w:t>«</w:t>
      </w:r>
      <w:r w:rsidRPr="006A7EA2">
        <w:rPr>
          <w:rFonts w:ascii="Arial" w:hAnsi="Arial" w:cs="Arial"/>
          <w:i/>
          <w:iCs/>
          <w:sz w:val="22"/>
          <w:szCs w:val="22"/>
        </w:rPr>
        <w:t>se derive un menor impuesto o saldo a pagar, o un mayor saldo a favor para el contribuyente o responsable</w:t>
      </w:r>
      <w:r w:rsidRPr="006A7EA2">
        <w:rPr>
          <w:rFonts w:ascii="Arial" w:hAnsi="Arial"/>
          <w:sz w:val="22"/>
          <w:szCs w:val="22"/>
        </w:rPr>
        <w:t>»</w:t>
      </w:r>
      <w:r w:rsidRPr="006A7EA2">
        <w:rPr>
          <w:rFonts w:ascii="Arial" w:hAnsi="Arial" w:cs="Arial"/>
          <w:sz w:val="22"/>
          <w:szCs w:val="22"/>
        </w:rPr>
        <w:t>”</w:t>
      </w:r>
      <w:r>
        <w:rPr>
          <w:rStyle w:val="Refdenotaalpie"/>
          <w:rFonts w:ascii="Arial" w:hAnsi="Arial" w:cs="Arial"/>
          <w:sz w:val="22"/>
          <w:szCs w:val="22"/>
        </w:rPr>
        <w:footnoteReference w:id="27"/>
      </w:r>
      <w:r w:rsidRPr="006A7EA2">
        <w:rPr>
          <w:rFonts w:ascii="Arial" w:hAnsi="Arial" w:cs="Arial"/>
          <w:sz w:val="22"/>
          <w:szCs w:val="22"/>
        </w:rPr>
        <w:t>.</w:t>
      </w:r>
    </w:p>
    <w:p w14:paraId="039DD9AD" w14:textId="77777777" w:rsidR="006A7EA2" w:rsidRPr="00011511" w:rsidRDefault="006A7EA2" w:rsidP="0047418F">
      <w:pPr>
        <w:pStyle w:val="Textosinformato"/>
        <w:spacing w:line="360" w:lineRule="auto"/>
        <w:jc w:val="both"/>
        <w:rPr>
          <w:rFonts w:ascii="Arial" w:hAnsi="Arial" w:cs="Arial"/>
          <w:bCs/>
          <w:sz w:val="24"/>
          <w:szCs w:val="24"/>
        </w:rPr>
      </w:pPr>
      <w:r>
        <w:rPr>
          <w:rFonts w:ascii="Arial" w:hAnsi="Arial" w:cs="Arial"/>
          <w:bCs/>
          <w:sz w:val="24"/>
          <w:szCs w:val="24"/>
        </w:rPr>
        <w:lastRenderedPageBreak/>
        <w:t xml:space="preserve">Así las cosas, </w:t>
      </w:r>
      <w:r w:rsidR="00011511">
        <w:rPr>
          <w:rFonts w:ascii="Arial" w:hAnsi="Arial" w:cs="Arial"/>
          <w:bCs/>
          <w:sz w:val="24"/>
          <w:szCs w:val="24"/>
        </w:rPr>
        <w:t xml:space="preserve">es claro que </w:t>
      </w:r>
      <w:r w:rsidR="007E37A2">
        <w:rPr>
          <w:rFonts w:ascii="Arial" w:hAnsi="Arial" w:cs="Arial"/>
          <w:bCs/>
          <w:sz w:val="24"/>
          <w:szCs w:val="24"/>
        </w:rPr>
        <w:t xml:space="preserve">el artículo 647 define las conductas fiscalizables de los contribuyentes </w:t>
      </w:r>
      <w:r w:rsidR="00F40467">
        <w:rPr>
          <w:rFonts w:ascii="Arial" w:hAnsi="Arial" w:cs="Arial"/>
          <w:bCs/>
          <w:sz w:val="24"/>
          <w:szCs w:val="24"/>
        </w:rPr>
        <w:t>para efectos de imponer la sanción por inexactitud</w:t>
      </w:r>
      <w:r w:rsidR="007E37A2">
        <w:rPr>
          <w:rFonts w:ascii="Arial" w:hAnsi="Arial" w:cs="Arial"/>
          <w:bCs/>
          <w:sz w:val="24"/>
          <w:szCs w:val="24"/>
        </w:rPr>
        <w:t>; mientras que el artículo 647-1 determina</w:t>
      </w:r>
      <w:r w:rsidR="00F40467">
        <w:rPr>
          <w:rFonts w:ascii="Arial" w:hAnsi="Arial" w:cs="Arial"/>
          <w:bCs/>
          <w:sz w:val="24"/>
          <w:szCs w:val="24"/>
        </w:rPr>
        <w:t>, no un hecho sancionable, sino</w:t>
      </w:r>
      <w:r w:rsidR="007E37A2">
        <w:rPr>
          <w:rFonts w:ascii="Arial" w:hAnsi="Arial" w:cs="Arial"/>
          <w:bCs/>
          <w:sz w:val="24"/>
          <w:szCs w:val="24"/>
        </w:rPr>
        <w:t xml:space="preserve"> la forma de liquidar </w:t>
      </w:r>
      <w:r w:rsidR="00F40467">
        <w:rPr>
          <w:rFonts w:ascii="Arial" w:hAnsi="Arial" w:cs="Arial"/>
          <w:bCs/>
          <w:sz w:val="24"/>
          <w:szCs w:val="24"/>
        </w:rPr>
        <w:t xml:space="preserve">la sanción tributaria, en aquellos casos en que no exista una base para </w:t>
      </w:r>
      <w:r w:rsidR="00F40467" w:rsidRPr="00C50060">
        <w:rPr>
          <w:rFonts w:ascii="Arial" w:hAnsi="Arial" w:cs="Arial"/>
          <w:bCs/>
          <w:sz w:val="24"/>
          <w:szCs w:val="24"/>
        </w:rPr>
        <w:t>hacerlo</w:t>
      </w:r>
      <w:r w:rsidR="00362B51" w:rsidRPr="00C50060">
        <w:rPr>
          <w:rStyle w:val="Refdenotaalpie"/>
          <w:rFonts w:ascii="Arial" w:hAnsi="Arial" w:cs="Arial"/>
          <w:bCs/>
          <w:sz w:val="24"/>
          <w:szCs w:val="24"/>
        </w:rPr>
        <w:footnoteReference w:id="28"/>
      </w:r>
      <w:r w:rsidR="00362B51" w:rsidRPr="00C50060">
        <w:rPr>
          <w:rFonts w:ascii="Arial" w:hAnsi="Arial" w:cs="Arial"/>
          <w:bCs/>
          <w:sz w:val="24"/>
          <w:szCs w:val="24"/>
        </w:rPr>
        <w:t>.</w:t>
      </w:r>
      <w:r w:rsidR="00F40467">
        <w:rPr>
          <w:rFonts w:ascii="Arial" w:hAnsi="Arial" w:cs="Arial"/>
          <w:bCs/>
          <w:sz w:val="24"/>
          <w:szCs w:val="24"/>
        </w:rPr>
        <w:t xml:space="preserve"> </w:t>
      </w:r>
    </w:p>
    <w:p w14:paraId="59B4619E" w14:textId="77777777" w:rsidR="006A7EA2" w:rsidRDefault="006A7EA2" w:rsidP="0047418F">
      <w:pPr>
        <w:pStyle w:val="Textosinformato"/>
        <w:spacing w:line="360" w:lineRule="auto"/>
        <w:jc w:val="both"/>
        <w:rPr>
          <w:rFonts w:ascii="Arial" w:hAnsi="Arial" w:cs="Arial"/>
          <w:bCs/>
          <w:sz w:val="24"/>
          <w:szCs w:val="24"/>
        </w:rPr>
      </w:pPr>
    </w:p>
    <w:p w14:paraId="7811D055" w14:textId="77777777" w:rsidR="00AE4342" w:rsidRDefault="00362B51" w:rsidP="0047418F">
      <w:pPr>
        <w:pStyle w:val="Textosinformato"/>
        <w:spacing w:line="360" w:lineRule="auto"/>
        <w:jc w:val="both"/>
        <w:rPr>
          <w:rFonts w:ascii="Arial" w:hAnsi="Arial" w:cs="Arial"/>
          <w:bCs/>
          <w:sz w:val="24"/>
          <w:szCs w:val="24"/>
        </w:rPr>
      </w:pPr>
      <w:r>
        <w:rPr>
          <w:rFonts w:ascii="Arial" w:hAnsi="Arial" w:cs="Arial"/>
          <w:bCs/>
          <w:sz w:val="24"/>
          <w:szCs w:val="24"/>
        </w:rPr>
        <w:t>De ahí que</w:t>
      </w:r>
      <w:r w:rsidR="00540D78">
        <w:rPr>
          <w:rFonts w:ascii="Arial" w:hAnsi="Arial" w:cs="Arial"/>
          <w:bCs/>
          <w:sz w:val="24"/>
          <w:szCs w:val="24"/>
        </w:rPr>
        <w:t xml:space="preserve"> lo argumentado por la actora sea improcedente,</w:t>
      </w:r>
      <w:r>
        <w:rPr>
          <w:rFonts w:ascii="Arial" w:hAnsi="Arial" w:cs="Arial"/>
          <w:bCs/>
          <w:sz w:val="24"/>
          <w:szCs w:val="24"/>
        </w:rPr>
        <w:t xml:space="preserve"> </w:t>
      </w:r>
      <w:r w:rsidR="007970DC">
        <w:rPr>
          <w:rFonts w:ascii="Arial" w:hAnsi="Arial" w:cs="Arial"/>
          <w:bCs/>
          <w:sz w:val="24"/>
          <w:szCs w:val="24"/>
        </w:rPr>
        <w:t>en tanto</w:t>
      </w:r>
      <w:r w:rsidR="00540D78">
        <w:rPr>
          <w:rFonts w:ascii="Arial" w:hAnsi="Arial" w:cs="Arial"/>
          <w:bCs/>
          <w:sz w:val="24"/>
          <w:szCs w:val="24"/>
        </w:rPr>
        <w:t xml:space="preserve"> no se trata de la concurrencia de dos</w:t>
      </w:r>
      <w:r w:rsidR="00663017">
        <w:rPr>
          <w:rFonts w:ascii="Arial" w:hAnsi="Arial" w:cs="Arial"/>
          <w:bCs/>
          <w:sz w:val="24"/>
          <w:szCs w:val="24"/>
        </w:rPr>
        <w:t xml:space="preserve"> conductas o</w:t>
      </w:r>
      <w:r w:rsidR="00540D78">
        <w:rPr>
          <w:rFonts w:ascii="Arial" w:hAnsi="Arial" w:cs="Arial"/>
          <w:bCs/>
          <w:sz w:val="24"/>
          <w:szCs w:val="24"/>
        </w:rPr>
        <w:t xml:space="preserve"> hechos sancionables, </w:t>
      </w:r>
      <w:r w:rsidR="007970DC">
        <w:rPr>
          <w:rFonts w:ascii="Arial" w:hAnsi="Arial" w:cs="Arial"/>
          <w:bCs/>
          <w:sz w:val="24"/>
          <w:szCs w:val="24"/>
        </w:rPr>
        <w:t>antes bien corresponde</w:t>
      </w:r>
      <w:r w:rsidR="00540D78">
        <w:rPr>
          <w:rFonts w:ascii="Arial" w:hAnsi="Arial" w:cs="Arial"/>
          <w:bCs/>
          <w:sz w:val="24"/>
          <w:szCs w:val="24"/>
        </w:rPr>
        <w:t xml:space="preserve"> </w:t>
      </w:r>
      <w:r w:rsidR="007970DC">
        <w:rPr>
          <w:rFonts w:ascii="Arial" w:hAnsi="Arial" w:cs="Arial"/>
          <w:bCs/>
          <w:sz w:val="24"/>
          <w:szCs w:val="24"/>
        </w:rPr>
        <w:t>a</w:t>
      </w:r>
      <w:r w:rsidR="00540D78">
        <w:rPr>
          <w:rFonts w:ascii="Arial" w:hAnsi="Arial" w:cs="Arial"/>
          <w:bCs/>
          <w:sz w:val="24"/>
          <w:szCs w:val="24"/>
        </w:rPr>
        <w:t xml:space="preserve"> uno</w:t>
      </w:r>
      <w:r w:rsidR="007970DC">
        <w:rPr>
          <w:rFonts w:ascii="Arial" w:hAnsi="Arial" w:cs="Arial"/>
          <w:bCs/>
          <w:sz w:val="24"/>
          <w:szCs w:val="24"/>
        </w:rPr>
        <w:t xml:space="preserve"> solo</w:t>
      </w:r>
      <w:r w:rsidR="00540D78">
        <w:rPr>
          <w:rFonts w:ascii="Arial" w:hAnsi="Arial" w:cs="Arial"/>
          <w:bCs/>
          <w:sz w:val="24"/>
          <w:szCs w:val="24"/>
        </w:rPr>
        <w:t>,</w:t>
      </w:r>
      <w:r w:rsidR="00663017">
        <w:rPr>
          <w:rFonts w:ascii="Arial" w:hAnsi="Arial" w:cs="Arial"/>
          <w:bCs/>
          <w:sz w:val="24"/>
          <w:szCs w:val="24"/>
        </w:rPr>
        <w:t xml:space="preserve"> la inexactitud en la declaración</w:t>
      </w:r>
      <w:r w:rsidR="001046F5">
        <w:rPr>
          <w:rFonts w:ascii="Arial" w:hAnsi="Arial" w:cs="Arial"/>
          <w:bCs/>
          <w:sz w:val="24"/>
          <w:szCs w:val="24"/>
        </w:rPr>
        <w:t>,</w:t>
      </w:r>
      <w:r w:rsidR="00540D78">
        <w:rPr>
          <w:rFonts w:ascii="Arial" w:hAnsi="Arial" w:cs="Arial"/>
          <w:bCs/>
          <w:sz w:val="24"/>
          <w:szCs w:val="24"/>
        </w:rPr>
        <w:t xml:space="preserve"> tal como lo apreció la entidad judicial accionada, en los siguientes términos:</w:t>
      </w:r>
    </w:p>
    <w:p w14:paraId="5E7236FA" w14:textId="77777777" w:rsidR="00D61EC6" w:rsidRDefault="00D61EC6" w:rsidP="0047418F">
      <w:pPr>
        <w:pStyle w:val="Textosinformato"/>
        <w:spacing w:line="360" w:lineRule="auto"/>
        <w:jc w:val="both"/>
        <w:rPr>
          <w:rFonts w:ascii="Arial" w:hAnsi="Arial" w:cs="Arial"/>
          <w:bCs/>
          <w:sz w:val="24"/>
          <w:szCs w:val="24"/>
        </w:rPr>
      </w:pPr>
    </w:p>
    <w:p w14:paraId="5EB3F673" w14:textId="77777777" w:rsidR="004571BE" w:rsidRPr="005D0622" w:rsidRDefault="004571BE" w:rsidP="005D0622">
      <w:pPr>
        <w:spacing w:after="0"/>
        <w:ind w:left="708" w:right="618"/>
        <w:jc w:val="both"/>
        <w:rPr>
          <w:rFonts w:ascii="Arial" w:hAnsi="Arial"/>
        </w:rPr>
      </w:pPr>
      <w:r w:rsidRPr="005D0622">
        <w:rPr>
          <w:rFonts w:ascii="Arial" w:hAnsi="Arial"/>
        </w:rPr>
        <w:t xml:space="preserve">“La legalidad del rechazo de la deducción por $19.430.725.000, conforme a las consideraciones antes expuestas, constata que la contribuyente declaró datos equivocados y desfigurados respecto de la pérdida originada en la “enajenación de acciones” a través de los patrimonios autónomos constituidos por los contratos de fiducia que celebró. </w:t>
      </w:r>
    </w:p>
    <w:p w14:paraId="39028D9E" w14:textId="77777777" w:rsidR="004571BE" w:rsidRPr="005D0622" w:rsidRDefault="004571BE" w:rsidP="005D0622">
      <w:pPr>
        <w:spacing w:after="0"/>
        <w:ind w:left="1275" w:right="618"/>
        <w:jc w:val="both"/>
        <w:rPr>
          <w:rFonts w:ascii="Arial" w:hAnsi="Arial"/>
        </w:rPr>
      </w:pPr>
    </w:p>
    <w:p w14:paraId="31FFB932" w14:textId="77777777" w:rsidR="004571BE" w:rsidRPr="005D0622" w:rsidRDefault="004571BE" w:rsidP="005D0622">
      <w:pPr>
        <w:spacing w:after="0"/>
        <w:ind w:left="708" w:right="618"/>
        <w:jc w:val="both"/>
        <w:rPr>
          <w:rFonts w:ascii="Arial" w:hAnsi="Arial"/>
        </w:rPr>
      </w:pPr>
      <w:r w:rsidRPr="005D0622">
        <w:rPr>
          <w:rFonts w:ascii="Arial" w:hAnsi="Arial"/>
        </w:rPr>
        <w:t xml:space="preserve">Es así, porque dicha pérdida se reportó como proveniente de la </w:t>
      </w:r>
      <w:r w:rsidRPr="005D0622">
        <w:rPr>
          <w:rFonts w:ascii="Arial" w:hAnsi="Arial"/>
          <w:i/>
        </w:rPr>
        <w:t>“venta de intangibles constituidos por derechos fiduciarios”</w:t>
      </w:r>
      <w:r w:rsidRPr="005D0622">
        <w:rPr>
          <w:rFonts w:ascii="Arial" w:hAnsi="Arial"/>
        </w:rPr>
        <w:t xml:space="preserve"> afectando el total de “otras deducciones”, la liquidación del impuesto y el saldo a cargo con valores inferiores a los determinados oficialmente, al igual que el saldo a favor del periodo. </w:t>
      </w:r>
    </w:p>
    <w:p w14:paraId="3A7081FD" w14:textId="77777777" w:rsidR="004571BE" w:rsidRPr="005D0622" w:rsidRDefault="004571BE" w:rsidP="005D0622">
      <w:pPr>
        <w:spacing w:after="0"/>
        <w:ind w:left="1275" w:right="618"/>
        <w:jc w:val="both"/>
        <w:rPr>
          <w:rFonts w:ascii="Arial" w:hAnsi="Arial"/>
        </w:rPr>
      </w:pPr>
    </w:p>
    <w:p w14:paraId="0937A40D" w14:textId="77777777" w:rsidR="005D0622" w:rsidRPr="005D0622" w:rsidRDefault="004571BE" w:rsidP="005D0622">
      <w:pPr>
        <w:spacing w:after="0"/>
        <w:ind w:left="708" w:right="618"/>
        <w:jc w:val="both"/>
        <w:rPr>
          <w:rFonts w:ascii="Arial" w:hAnsi="Arial" w:cs="Arial"/>
        </w:rPr>
      </w:pPr>
      <w:r w:rsidRPr="005D0622">
        <w:rPr>
          <w:rFonts w:ascii="Arial" w:hAnsi="Arial" w:cs="Arial"/>
        </w:rPr>
        <w:t xml:space="preserve">A la luz del artículo 647 del ET, la circunstancia descrita tipifica, </w:t>
      </w:r>
      <w:r w:rsidRPr="005D0622">
        <w:rPr>
          <w:rFonts w:ascii="Arial" w:hAnsi="Arial" w:cs="Arial"/>
          <w:i/>
          <w:iCs/>
        </w:rPr>
        <w:t>per se</w:t>
      </w:r>
      <w:r w:rsidRPr="005D0622">
        <w:rPr>
          <w:rFonts w:ascii="Arial" w:hAnsi="Arial" w:cs="Arial"/>
        </w:rPr>
        <w:t xml:space="preserve">, uno de los presupuestos de hecho de la sanción por inexactitud </w:t>
      </w:r>
      <w:r w:rsidRPr="005D0622">
        <w:rPr>
          <w:rFonts w:ascii="Arial" w:hAnsi="Arial" w:cs="Arial"/>
          <w:vertAlign w:val="superscript"/>
        </w:rPr>
        <w:t>[</w:t>
      </w:r>
      <w:r w:rsidRPr="005D0622">
        <w:rPr>
          <w:rStyle w:val="Refdenotaalpie"/>
          <w:rFonts w:ascii="Arial" w:hAnsi="Arial" w:cs="Arial"/>
          <w:color w:val="000000"/>
        </w:rPr>
        <w:footnoteReference w:id="29"/>
      </w:r>
      <w:r w:rsidRPr="005D0622">
        <w:rPr>
          <w:rFonts w:ascii="Arial" w:hAnsi="Arial" w:cs="Arial"/>
          <w:vertAlign w:val="superscript"/>
        </w:rPr>
        <w:t>]</w:t>
      </w:r>
      <w:r w:rsidRPr="005D0622">
        <w:rPr>
          <w:rFonts w:ascii="Arial" w:hAnsi="Arial" w:cs="Arial"/>
        </w:rPr>
        <w:t>.</w:t>
      </w:r>
    </w:p>
    <w:p w14:paraId="369D31BB" w14:textId="77777777" w:rsidR="005D0622" w:rsidRPr="005D0622" w:rsidRDefault="005D0622" w:rsidP="005D0622">
      <w:pPr>
        <w:spacing w:after="0"/>
        <w:ind w:left="708" w:right="618"/>
        <w:jc w:val="both"/>
        <w:rPr>
          <w:rFonts w:ascii="Arial" w:hAnsi="Arial" w:cs="Arial"/>
        </w:rPr>
      </w:pPr>
    </w:p>
    <w:p w14:paraId="4789B6D0" w14:textId="77777777" w:rsidR="005D0622" w:rsidRPr="005D0622" w:rsidRDefault="005D0622" w:rsidP="005D0622">
      <w:pPr>
        <w:spacing w:after="0"/>
        <w:ind w:left="708" w:right="618"/>
        <w:jc w:val="both"/>
        <w:rPr>
          <w:rFonts w:ascii="Arial" w:hAnsi="Arial" w:cs="Arial"/>
        </w:rPr>
      </w:pPr>
      <w:r w:rsidRPr="005D0622">
        <w:rPr>
          <w:rFonts w:ascii="Arial" w:hAnsi="Arial" w:cs="Arial"/>
        </w:rPr>
        <w:t>(…)</w:t>
      </w:r>
    </w:p>
    <w:p w14:paraId="09372847" w14:textId="77777777" w:rsidR="005D0622" w:rsidRPr="005D0622" w:rsidRDefault="005D0622" w:rsidP="005D0622">
      <w:pPr>
        <w:spacing w:after="0"/>
        <w:ind w:left="708" w:right="618"/>
        <w:jc w:val="both"/>
        <w:rPr>
          <w:rFonts w:ascii="Arial" w:hAnsi="Arial" w:cs="Arial"/>
        </w:rPr>
      </w:pPr>
    </w:p>
    <w:p w14:paraId="2410CFB0" w14:textId="77777777" w:rsidR="00275CF0" w:rsidRDefault="005D0622" w:rsidP="005D0622">
      <w:pPr>
        <w:spacing w:after="0"/>
        <w:ind w:left="708" w:right="618"/>
        <w:jc w:val="both"/>
        <w:rPr>
          <w:rFonts w:ascii="Arial" w:hAnsi="Arial" w:cs="Arial"/>
          <w:b/>
          <w:bCs/>
        </w:rPr>
      </w:pPr>
      <w:r w:rsidRPr="005D0622">
        <w:rPr>
          <w:rFonts w:ascii="Arial" w:hAnsi="Arial" w:cs="Arial"/>
        </w:rPr>
        <w:t>En esas condiciones, en el caso concreto, si bien la modificación en el renglón de "otras deducciones" generó el rechazo de la pérdida líquida declarada por el contribuyente, no resulta procedente la sanción por rechazo de pérdidas por valor de $967.104.006, en la forma en que se impuso, es decir, como sanción autónoma y concurrente con la del art</w:t>
      </w:r>
      <w:r>
        <w:rPr>
          <w:rFonts w:ascii="Arial" w:hAnsi="Arial" w:cs="Arial"/>
        </w:rPr>
        <w:t>í</w:t>
      </w:r>
      <w:r w:rsidRPr="005D0622">
        <w:rPr>
          <w:rFonts w:ascii="Arial" w:hAnsi="Arial" w:cs="Arial"/>
        </w:rPr>
        <w:t>culo 647 de</w:t>
      </w:r>
      <w:r>
        <w:rPr>
          <w:rFonts w:ascii="Arial" w:hAnsi="Arial" w:cs="Arial"/>
        </w:rPr>
        <w:t>l</w:t>
      </w:r>
      <w:r w:rsidRPr="005D0622">
        <w:rPr>
          <w:rFonts w:ascii="Arial" w:hAnsi="Arial" w:cs="Arial"/>
        </w:rPr>
        <w:t xml:space="preserve"> ET, </w:t>
      </w:r>
      <w:r w:rsidRPr="005D0622">
        <w:rPr>
          <w:rFonts w:ascii="Arial" w:hAnsi="Arial" w:cs="Arial"/>
          <w:b/>
          <w:bCs/>
        </w:rPr>
        <w:t>cuando lo cierto es que dicho rechazo aumentó a $4.859.595.000 el impuesto a cargo declarado en $0, y redujo a $0 el saldo a favor declarado por $404.954.000.</w:t>
      </w:r>
    </w:p>
    <w:p w14:paraId="33FC46A4" w14:textId="77777777" w:rsidR="004571BE" w:rsidRPr="00275CF0" w:rsidRDefault="00275CF0" w:rsidP="005D0622">
      <w:pPr>
        <w:spacing w:after="0"/>
        <w:ind w:left="708" w:right="618"/>
        <w:jc w:val="both"/>
        <w:rPr>
          <w:rFonts w:ascii="Arial" w:hAnsi="Arial" w:cs="Arial"/>
        </w:rPr>
      </w:pPr>
      <w:r w:rsidRPr="00275CF0">
        <w:rPr>
          <w:rFonts w:ascii="Arial" w:hAnsi="Arial" w:cs="Arial"/>
        </w:rPr>
        <w:lastRenderedPageBreak/>
        <w:t xml:space="preserve">Así pues y como dichos efectos sobre el impuesto a cargo y el saldo a favor provinieron de la conducta de haber declarado datos inexactos o desfigurados que originaron pérdidas no deducibles por expresa prohibición legal, la única sanción procedente sería la del artículo 647 </w:t>
      </w:r>
      <w:r w:rsidRPr="00275CF0">
        <w:rPr>
          <w:rFonts w:ascii="Arial" w:hAnsi="Arial" w:cs="Arial"/>
          <w:i/>
          <w:iCs/>
        </w:rPr>
        <w:t>ibidem</w:t>
      </w:r>
      <w:r w:rsidRPr="00275CF0">
        <w:rPr>
          <w:rFonts w:ascii="Arial" w:hAnsi="Arial" w:cs="Arial"/>
        </w:rPr>
        <w:t>, porque la demandante declaró deducciones improcedentes de las cuales se derivó un menor impuesto, en tanto no se configura la "diferencia de criterios" que alega la apelante.</w:t>
      </w:r>
      <w:r w:rsidR="004571BE" w:rsidRPr="00275CF0">
        <w:rPr>
          <w:rFonts w:ascii="Arial" w:hAnsi="Arial" w:cs="Arial"/>
        </w:rPr>
        <w:t>”</w:t>
      </w:r>
      <w:r w:rsidR="004571BE" w:rsidRPr="00275CF0">
        <w:rPr>
          <w:rStyle w:val="Refdenotaalpie"/>
          <w:rFonts w:ascii="Arial" w:hAnsi="Arial" w:cs="Arial"/>
        </w:rPr>
        <w:footnoteReference w:id="30"/>
      </w:r>
      <w:r w:rsidR="004571BE" w:rsidRPr="00275CF0">
        <w:rPr>
          <w:rFonts w:ascii="Arial" w:hAnsi="Arial" w:cs="Arial"/>
        </w:rPr>
        <w:t xml:space="preserve">. </w:t>
      </w:r>
    </w:p>
    <w:p w14:paraId="702EC1CA" w14:textId="77777777" w:rsidR="007836A5" w:rsidRDefault="007836A5" w:rsidP="0047418F">
      <w:pPr>
        <w:pStyle w:val="Textosinformato"/>
        <w:spacing w:line="360" w:lineRule="auto"/>
        <w:jc w:val="both"/>
        <w:rPr>
          <w:rFonts w:ascii="Arial" w:hAnsi="Arial" w:cs="Arial"/>
          <w:bCs/>
          <w:sz w:val="24"/>
          <w:szCs w:val="24"/>
        </w:rPr>
      </w:pPr>
    </w:p>
    <w:p w14:paraId="4CCD55C6" w14:textId="77777777" w:rsidR="005D0622" w:rsidRDefault="005D0622" w:rsidP="0047418F">
      <w:pPr>
        <w:pStyle w:val="Textosinformato"/>
        <w:spacing w:line="360" w:lineRule="auto"/>
        <w:jc w:val="both"/>
        <w:rPr>
          <w:rFonts w:ascii="Arial" w:hAnsi="Arial" w:cs="Arial"/>
          <w:bCs/>
          <w:sz w:val="24"/>
          <w:szCs w:val="24"/>
        </w:rPr>
      </w:pPr>
      <w:r>
        <w:rPr>
          <w:rFonts w:ascii="Arial" w:hAnsi="Arial" w:cs="Arial"/>
          <w:bCs/>
          <w:sz w:val="24"/>
          <w:szCs w:val="24"/>
        </w:rPr>
        <w:t>Véase, entonces, c</w:t>
      </w:r>
      <w:r w:rsidR="0037125B">
        <w:rPr>
          <w:rFonts w:ascii="Arial" w:hAnsi="Arial" w:cs="Arial"/>
          <w:bCs/>
          <w:sz w:val="24"/>
          <w:szCs w:val="24"/>
        </w:rPr>
        <w:t>o</w:t>
      </w:r>
      <w:r>
        <w:rPr>
          <w:rFonts w:ascii="Arial" w:hAnsi="Arial" w:cs="Arial"/>
          <w:bCs/>
          <w:sz w:val="24"/>
          <w:szCs w:val="24"/>
        </w:rPr>
        <w:t xml:space="preserve">mo </w:t>
      </w:r>
      <w:r w:rsidR="007970DC">
        <w:rPr>
          <w:rFonts w:ascii="Arial" w:hAnsi="Arial" w:cs="Arial"/>
          <w:bCs/>
          <w:sz w:val="24"/>
          <w:szCs w:val="24"/>
        </w:rPr>
        <w:t xml:space="preserve">todos </w:t>
      </w:r>
      <w:r>
        <w:rPr>
          <w:rFonts w:ascii="Arial" w:hAnsi="Arial" w:cs="Arial"/>
          <w:bCs/>
          <w:sz w:val="24"/>
          <w:szCs w:val="24"/>
        </w:rPr>
        <w:t xml:space="preserve">los </w:t>
      </w:r>
      <w:r w:rsidR="00FE67E2">
        <w:rPr>
          <w:rFonts w:ascii="Arial" w:hAnsi="Arial" w:cs="Arial"/>
          <w:bCs/>
          <w:sz w:val="24"/>
          <w:szCs w:val="24"/>
        </w:rPr>
        <w:t>d</w:t>
      </w:r>
      <w:r>
        <w:rPr>
          <w:rFonts w:ascii="Arial" w:hAnsi="Arial" w:cs="Arial"/>
          <w:bCs/>
          <w:sz w:val="24"/>
          <w:szCs w:val="24"/>
        </w:rPr>
        <w:t xml:space="preserve">efectos </w:t>
      </w:r>
      <w:r w:rsidR="007970DC">
        <w:rPr>
          <w:rFonts w:ascii="Arial" w:hAnsi="Arial" w:cs="Arial"/>
          <w:bCs/>
          <w:sz w:val="24"/>
          <w:szCs w:val="24"/>
        </w:rPr>
        <w:t>de la declaración</w:t>
      </w:r>
      <w:r w:rsidR="00FE67E2">
        <w:rPr>
          <w:rFonts w:ascii="Arial" w:hAnsi="Arial" w:cs="Arial"/>
          <w:bCs/>
          <w:sz w:val="24"/>
          <w:szCs w:val="24"/>
        </w:rPr>
        <w:t xml:space="preserve"> de renta</w:t>
      </w:r>
      <w:r w:rsidR="007F0A70">
        <w:rPr>
          <w:rFonts w:ascii="Arial" w:hAnsi="Arial" w:cs="Arial"/>
          <w:bCs/>
          <w:sz w:val="24"/>
          <w:szCs w:val="24"/>
        </w:rPr>
        <w:t xml:space="preserve"> sobre el impuesto a cargo</w:t>
      </w:r>
      <w:r w:rsidR="008B3DEF">
        <w:rPr>
          <w:rFonts w:ascii="Arial" w:hAnsi="Arial" w:cs="Arial"/>
          <w:bCs/>
          <w:sz w:val="24"/>
          <w:szCs w:val="24"/>
        </w:rPr>
        <w:t>,</w:t>
      </w:r>
      <w:r w:rsidR="007F0A70">
        <w:rPr>
          <w:rFonts w:ascii="Arial" w:hAnsi="Arial" w:cs="Arial"/>
          <w:bCs/>
          <w:sz w:val="24"/>
          <w:szCs w:val="24"/>
        </w:rPr>
        <w:t xml:space="preserve"> el saldo a favor</w:t>
      </w:r>
      <w:r>
        <w:rPr>
          <w:rFonts w:ascii="Arial" w:hAnsi="Arial" w:cs="Arial"/>
          <w:bCs/>
          <w:sz w:val="24"/>
          <w:szCs w:val="24"/>
        </w:rPr>
        <w:t xml:space="preserve"> </w:t>
      </w:r>
      <w:r w:rsidR="008B3DEF">
        <w:rPr>
          <w:rFonts w:ascii="Arial" w:hAnsi="Arial" w:cs="Arial"/>
          <w:bCs/>
          <w:sz w:val="24"/>
          <w:szCs w:val="24"/>
        </w:rPr>
        <w:t xml:space="preserve">y el rechazo de las pérdidas fiscales, </w:t>
      </w:r>
      <w:r w:rsidR="00FE67E2">
        <w:rPr>
          <w:rFonts w:ascii="Arial" w:hAnsi="Arial" w:cs="Arial"/>
          <w:bCs/>
          <w:sz w:val="24"/>
          <w:szCs w:val="24"/>
        </w:rPr>
        <w:t>tuvieron su génesis en una</w:t>
      </w:r>
      <w:r>
        <w:rPr>
          <w:rFonts w:ascii="Arial" w:hAnsi="Arial" w:cs="Arial"/>
          <w:bCs/>
          <w:sz w:val="24"/>
          <w:szCs w:val="24"/>
        </w:rPr>
        <w:t xml:space="preserve"> única conducta reprochable, cual es, haber declarado datos inexactos</w:t>
      </w:r>
      <w:r w:rsidR="001046F5">
        <w:rPr>
          <w:rFonts w:ascii="Arial" w:hAnsi="Arial" w:cs="Arial"/>
          <w:bCs/>
          <w:sz w:val="24"/>
          <w:szCs w:val="24"/>
        </w:rPr>
        <w:t xml:space="preserve"> como resultado de utilizar factores equivocados</w:t>
      </w:r>
      <w:r w:rsidR="007F0A70">
        <w:rPr>
          <w:rFonts w:ascii="Arial" w:hAnsi="Arial" w:cs="Arial"/>
          <w:bCs/>
          <w:sz w:val="24"/>
          <w:szCs w:val="24"/>
        </w:rPr>
        <w:t xml:space="preserve"> que originaron pérdidas no deducibles por expresa prohibición legal</w:t>
      </w:r>
      <w:r>
        <w:rPr>
          <w:rFonts w:ascii="Arial" w:hAnsi="Arial" w:cs="Arial"/>
          <w:bCs/>
          <w:sz w:val="24"/>
          <w:szCs w:val="24"/>
        </w:rPr>
        <w:t>, contrario a lo esbozado por la DIAN</w:t>
      </w:r>
      <w:r w:rsidR="007F0A70">
        <w:rPr>
          <w:rFonts w:ascii="Arial" w:hAnsi="Arial" w:cs="Arial"/>
          <w:bCs/>
          <w:sz w:val="24"/>
          <w:szCs w:val="24"/>
        </w:rPr>
        <w:t xml:space="preserve">, quien </w:t>
      </w:r>
      <w:r w:rsidR="007F0A70" w:rsidRPr="007F0A70">
        <w:rPr>
          <w:rFonts w:ascii="Arial" w:hAnsi="Arial" w:cs="Arial"/>
          <w:bCs/>
          <w:sz w:val="24"/>
          <w:szCs w:val="24"/>
        </w:rPr>
        <w:t xml:space="preserve">parte de una base </w:t>
      </w:r>
      <w:r w:rsidR="00A740D4">
        <w:rPr>
          <w:rFonts w:ascii="Arial" w:hAnsi="Arial" w:cs="Arial"/>
          <w:bCs/>
          <w:sz w:val="24"/>
          <w:szCs w:val="24"/>
        </w:rPr>
        <w:t>equivocada al considerar</w:t>
      </w:r>
      <w:r w:rsidR="007F0A70" w:rsidRPr="007F0A70">
        <w:rPr>
          <w:rFonts w:ascii="Arial" w:hAnsi="Arial" w:cs="Arial"/>
          <w:bCs/>
          <w:sz w:val="24"/>
          <w:szCs w:val="24"/>
        </w:rPr>
        <w:t xml:space="preserve"> que una es la sanción por inexactitud de los supuestos a partir de los cuales se estableció </w:t>
      </w:r>
      <w:r w:rsidR="008B3DEF">
        <w:rPr>
          <w:rFonts w:ascii="Arial" w:hAnsi="Arial" w:cs="Arial"/>
          <w:bCs/>
          <w:sz w:val="24"/>
          <w:szCs w:val="24"/>
        </w:rPr>
        <w:t>el</w:t>
      </w:r>
      <w:r w:rsidR="007F0A70" w:rsidRPr="007F0A70">
        <w:rPr>
          <w:rFonts w:ascii="Arial" w:hAnsi="Arial" w:cs="Arial"/>
          <w:bCs/>
          <w:sz w:val="24"/>
          <w:szCs w:val="24"/>
        </w:rPr>
        <w:t xml:space="preserve"> menor impuesto a pagar y </w:t>
      </w:r>
      <w:r w:rsidR="008B3DEF">
        <w:rPr>
          <w:rFonts w:ascii="Arial" w:hAnsi="Arial" w:cs="Arial"/>
          <w:bCs/>
          <w:sz w:val="24"/>
          <w:szCs w:val="24"/>
        </w:rPr>
        <w:t>el</w:t>
      </w:r>
      <w:r w:rsidR="007F0A70" w:rsidRPr="007F0A70">
        <w:rPr>
          <w:rFonts w:ascii="Arial" w:hAnsi="Arial" w:cs="Arial"/>
          <w:bCs/>
          <w:sz w:val="24"/>
          <w:szCs w:val="24"/>
        </w:rPr>
        <w:t xml:space="preserve"> mayor saldo a favor</w:t>
      </w:r>
      <w:r w:rsidR="007F0A70">
        <w:rPr>
          <w:rFonts w:ascii="Arial" w:hAnsi="Arial" w:cs="Arial"/>
          <w:bCs/>
          <w:sz w:val="24"/>
          <w:szCs w:val="24"/>
        </w:rPr>
        <w:t xml:space="preserve"> </w:t>
      </w:r>
      <w:r w:rsidR="007F0A70" w:rsidRPr="007F0A70">
        <w:rPr>
          <w:rFonts w:ascii="Arial" w:hAnsi="Arial" w:cs="Arial"/>
          <w:bCs/>
          <w:sz w:val="24"/>
          <w:szCs w:val="24"/>
        </w:rPr>
        <w:t>y otra, distinta e independiente, la que correspondería a la compensación de tal pérdida en declaraciones futuras</w:t>
      </w:r>
      <w:r w:rsidR="008B3DEF">
        <w:rPr>
          <w:rFonts w:ascii="Arial" w:hAnsi="Arial" w:cs="Arial"/>
          <w:bCs/>
          <w:sz w:val="24"/>
          <w:szCs w:val="24"/>
        </w:rPr>
        <w:t xml:space="preserve"> por haberse rechazado</w:t>
      </w:r>
      <w:r w:rsidR="007F0A70" w:rsidRPr="007F0A70">
        <w:rPr>
          <w:rFonts w:ascii="Arial" w:hAnsi="Arial" w:cs="Arial"/>
          <w:bCs/>
          <w:sz w:val="24"/>
          <w:szCs w:val="24"/>
        </w:rPr>
        <w:t>.</w:t>
      </w:r>
    </w:p>
    <w:p w14:paraId="7C605C46" w14:textId="77777777" w:rsidR="005D0622" w:rsidRDefault="005D0622" w:rsidP="0047418F">
      <w:pPr>
        <w:pStyle w:val="Textosinformato"/>
        <w:spacing w:line="360" w:lineRule="auto"/>
        <w:jc w:val="both"/>
        <w:rPr>
          <w:rFonts w:ascii="Arial" w:hAnsi="Arial" w:cs="Arial"/>
          <w:bCs/>
          <w:sz w:val="24"/>
          <w:szCs w:val="24"/>
        </w:rPr>
      </w:pPr>
    </w:p>
    <w:p w14:paraId="17C0F759" w14:textId="77777777" w:rsidR="007E5F2D" w:rsidRDefault="007970DC" w:rsidP="0047418F">
      <w:pPr>
        <w:pStyle w:val="Textosinformato"/>
        <w:spacing w:line="360" w:lineRule="auto"/>
        <w:jc w:val="both"/>
        <w:rPr>
          <w:rFonts w:ascii="Arial" w:hAnsi="Arial" w:cs="Arial"/>
          <w:bCs/>
          <w:sz w:val="24"/>
          <w:szCs w:val="24"/>
        </w:rPr>
      </w:pPr>
      <w:r>
        <w:rPr>
          <w:rFonts w:ascii="Arial" w:hAnsi="Arial" w:cs="Arial"/>
          <w:bCs/>
          <w:sz w:val="24"/>
          <w:szCs w:val="24"/>
        </w:rPr>
        <w:t>Por ello</w:t>
      </w:r>
      <w:r w:rsidR="004571BE">
        <w:rPr>
          <w:rFonts w:ascii="Arial" w:hAnsi="Arial" w:cs="Arial"/>
          <w:bCs/>
          <w:sz w:val="24"/>
          <w:szCs w:val="24"/>
        </w:rPr>
        <w:t xml:space="preserve">, no hay duda </w:t>
      </w:r>
      <w:r w:rsidR="00E51D07">
        <w:rPr>
          <w:rFonts w:ascii="Arial" w:hAnsi="Arial" w:cs="Arial"/>
          <w:bCs/>
          <w:sz w:val="24"/>
          <w:szCs w:val="24"/>
        </w:rPr>
        <w:t xml:space="preserve">de </w:t>
      </w:r>
      <w:r w:rsidR="004571BE">
        <w:rPr>
          <w:rFonts w:ascii="Arial" w:hAnsi="Arial" w:cs="Arial"/>
          <w:bCs/>
          <w:sz w:val="24"/>
          <w:szCs w:val="24"/>
        </w:rPr>
        <w:t>que la interpretación y aplicación que</w:t>
      </w:r>
      <w:r w:rsidR="00E51D07">
        <w:rPr>
          <w:rFonts w:ascii="Arial" w:hAnsi="Arial" w:cs="Arial"/>
          <w:bCs/>
          <w:sz w:val="24"/>
          <w:szCs w:val="24"/>
        </w:rPr>
        <w:t xml:space="preserve"> realizó</w:t>
      </w:r>
      <w:r w:rsidR="004571BE">
        <w:rPr>
          <w:rFonts w:ascii="Arial" w:hAnsi="Arial" w:cs="Arial"/>
          <w:bCs/>
          <w:sz w:val="24"/>
          <w:szCs w:val="24"/>
        </w:rPr>
        <w:t xml:space="preserve"> la Sección Cuarta de esta Colegiatura</w:t>
      </w:r>
      <w:r w:rsidR="00E51D07">
        <w:rPr>
          <w:rFonts w:ascii="Arial" w:hAnsi="Arial" w:cs="Arial"/>
          <w:bCs/>
          <w:sz w:val="24"/>
          <w:szCs w:val="24"/>
        </w:rPr>
        <w:t>, resulta razonable a la luz del ordenamiento jurídico</w:t>
      </w:r>
      <w:r w:rsidR="001046F5">
        <w:rPr>
          <w:rFonts w:ascii="Arial" w:hAnsi="Arial" w:cs="Arial"/>
          <w:bCs/>
          <w:sz w:val="24"/>
          <w:szCs w:val="24"/>
        </w:rPr>
        <w:t xml:space="preserve">, compatible con la Carta </w:t>
      </w:r>
      <w:r w:rsidR="00E51D07">
        <w:rPr>
          <w:rFonts w:ascii="Arial" w:hAnsi="Arial" w:cs="Arial"/>
          <w:bCs/>
          <w:sz w:val="24"/>
          <w:szCs w:val="24"/>
        </w:rPr>
        <w:t>y conforme a la hermenéutica jurídica</w:t>
      </w:r>
      <w:r w:rsidR="00E51D07">
        <w:rPr>
          <w:rStyle w:val="Refdenotaalpie"/>
          <w:rFonts w:ascii="Arial" w:hAnsi="Arial" w:cs="Arial"/>
          <w:bCs/>
          <w:sz w:val="24"/>
          <w:szCs w:val="24"/>
        </w:rPr>
        <w:footnoteReference w:id="31"/>
      </w:r>
      <w:r w:rsidR="00E51D07">
        <w:rPr>
          <w:rFonts w:ascii="Arial" w:hAnsi="Arial" w:cs="Arial"/>
          <w:bCs/>
          <w:sz w:val="24"/>
          <w:szCs w:val="24"/>
        </w:rPr>
        <w:t>.</w:t>
      </w:r>
      <w:r w:rsidR="004571BE">
        <w:rPr>
          <w:rFonts w:ascii="Arial" w:hAnsi="Arial" w:cs="Arial"/>
          <w:bCs/>
          <w:sz w:val="24"/>
          <w:szCs w:val="24"/>
        </w:rPr>
        <w:t xml:space="preserve"> </w:t>
      </w:r>
    </w:p>
    <w:p w14:paraId="60DDC601" w14:textId="77777777" w:rsidR="007E5F2D" w:rsidRDefault="007E5F2D" w:rsidP="0047418F">
      <w:pPr>
        <w:pStyle w:val="Textosinformato"/>
        <w:spacing w:line="360" w:lineRule="auto"/>
        <w:jc w:val="both"/>
        <w:rPr>
          <w:rFonts w:ascii="Arial" w:hAnsi="Arial" w:cs="Arial"/>
          <w:bCs/>
          <w:sz w:val="24"/>
          <w:szCs w:val="24"/>
        </w:rPr>
      </w:pPr>
    </w:p>
    <w:p w14:paraId="370208CD" w14:textId="77777777" w:rsidR="007970DC" w:rsidRDefault="00202613" w:rsidP="0047418F">
      <w:pPr>
        <w:pStyle w:val="Textosinformato"/>
        <w:spacing w:line="360" w:lineRule="auto"/>
        <w:jc w:val="both"/>
        <w:rPr>
          <w:rFonts w:ascii="Arial" w:hAnsi="Arial" w:cs="Arial"/>
          <w:bCs/>
          <w:sz w:val="24"/>
          <w:szCs w:val="24"/>
        </w:rPr>
      </w:pPr>
      <w:r>
        <w:rPr>
          <w:rFonts w:ascii="Arial" w:hAnsi="Arial" w:cs="Arial"/>
          <w:bCs/>
          <w:sz w:val="24"/>
          <w:szCs w:val="24"/>
        </w:rPr>
        <w:t>5.1.</w:t>
      </w:r>
      <w:r w:rsidR="00271B03">
        <w:rPr>
          <w:rFonts w:ascii="Arial" w:hAnsi="Arial" w:cs="Arial"/>
          <w:bCs/>
          <w:sz w:val="24"/>
          <w:szCs w:val="24"/>
        </w:rPr>
        <w:t>2.2</w:t>
      </w:r>
      <w:r>
        <w:rPr>
          <w:rFonts w:ascii="Arial" w:hAnsi="Arial" w:cs="Arial"/>
          <w:bCs/>
          <w:sz w:val="24"/>
          <w:szCs w:val="24"/>
        </w:rPr>
        <w:t xml:space="preserve">.- </w:t>
      </w:r>
      <w:r w:rsidR="007970DC">
        <w:rPr>
          <w:rFonts w:ascii="Arial" w:hAnsi="Arial" w:cs="Arial"/>
          <w:bCs/>
          <w:sz w:val="24"/>
          <w:szCs w:val="24"/>
        </w:rPr>
        <w:t xml:space="preserve">Ahora bien, en relación con el presunto desconocimiento del precedente horizontal de la misma Corporación, consignado en las sentencias </w:t>
      </w:r>
      <w:r w:rsidR="007970DC" w:rsidRPr="00B920C1">
        <w:rPr>
          <w:rFonts w:ascii="Arial" w:hAnsi="Arial" w:cs="Arial"/>
          <w:sz w:val="24"/>
          <w:szCs w:val="24"/>
        </w:rPr>
        <w:t>del 05 de octubre de 2016, radicado No. 76001-23-31-000-2010-00127-01</w:t>
      </w:r>
      <w:r w:rsidR="00777521">
        <w:rPr>
          <w:rFonts w:ascii="Arial" w:hAnsi="Arial" w:cs="Arial"/>
          <w:sz w:val="24"/>
          <w:szCs w:val="24"/>
        </w:rPr>
        <w:t>(</w:t>
      </w:r>
      <w:r w:rsidR="007970DC" w:rsidRPr="00B920C1">
        <w:rPr>
          <w:rFonts w:ascii="Arial" w:hAnsi="Arial" w:cs="Arial"/>
          <w:sz w:val="24"/>
          <w:szCs w:val="24"/>
        </w:rPr>
        <w:t xml:space="preserve">21051), y del </w:t>
      </w:r>
      <w:r w:rsidR="007970DC" w:rsidRPr="00B920C1">
        <w:rPr>
          <w:rFonts w:ascii="Arial" w:hAnsi="Arial"/>
          <w:sz w:val="24"/>
          <w:szCs w:val="24"/>
          <w:lang w:val="es-ES_tradnl"/>
        </w:rPr>
        <w:t>13 de octubre de 2016, radicado No. 25000-23-27-000-2009-00206-01(19456)</w:t>
      </w:r>
      <w:r w:rsidR="007970DC">
        <w:rPr>
          <w:rFonts w:ascii="Arial" w:hAnsi="Arial"/>
          <w:sz w:val="24"/>
          <w:szCs w:val="24"/>
          <w:lang w:val="es-ES_tradnl"/>
        </w:rPr>
        <w:t xml:space="preserve">, vale anotar que </w:t>
      </w:r>
      <w:r w:rsidR="00497FC0">
        <w:rPr>
          <w:rFonts w:ascii="Arial" w:hAnsi="Arial"/>
          <w:sz w:val="24"/>
          <w:szCs w:val="24"/>
          <w:lang w:val="es-ES_tradnl"/>
        </w:rPr>
        <w:t>tales decisiones</w:t>
      </w:r>
      <w:r w:rsidR="007970DC">
        <w:rPr>
          <w:rFonts w:ascii="Arial" w:hAnsi="Arial"/>
          <w:sz w:val="24"/>
          <w:szCs w:val="24"/>
          <w:lang w:val="es-ES_tradnl"/>
        </w:rPr>
        <w:t xml:space="preserve"> no </w:t>
      </w:r>
      <w:r w:rsidR="00497FC0">
        <w:rPr>
          <w:rFonts w:ascii="Arial" w:hAnsi="Arial"/>
          <w:sz w:val="24"/>
          <w:szCs w:val="24"/>
          <w:lang w:val="es-ES_tradnl"/>
        </w:rPr>
        <w:t>son aplicables al</w:t>
      </w:r>
      <w:r w:rsidR="007970DC">
        <w:rPr>
          <w:rFonts w:ascii="Arial" w:hAnsi="Arial"/>
          <w:sz w:val="24"/>
          <w:szCs w:val="24"/>
          <w:lang w:val="es-ES_tradnl"/>
        </w:rPr>
        <w:t xml:space="preserve"> presente caso.</w:t>
      </w:r>
    </w:p>
    <w:p w14:paraId="641884A6" w14:textId="77777777" w:rsidR="007970DC" w:rsidRDefault="007970DC" w:rsidP="0047418F">
      <w:pPr>
        <w:pStyle w:val="Textosinformato"/>
        <w:spacing w:line="360" w:lineRule="auto"/>
        <w:jc w:val="both"/>
        <w:rPr>
          <w:rFonts w:ascii="Arial" w:hAnsi="Arial" w:cs="Arial"/>
          <w:bCs/>
          <w:sz w:val="24"/>
          <w:szCs w:val="24"/>
        </w:rPr>
      </w:pPr>
    </w:p>
    <w:p w14:paraId="1BA5CEE4" w14:textId="77777777" w:rsidR="001D6D41" w:rsidRDefault="007970DC" w:rsidP="0047418F">
      <w:pPr>
        <w:pStyle w:val="Textosinformato"/>
        <w:spacing w:line="360" w:lineRule="auto"/>
        <w:jc w:val="both"/>
        <w:rPr>
          <w:rFonts w:ascii="Arial" w:hAnsi="Arial" w:cs="Arial"/>
          <w:bCs/>
          <w:sz w:val="24"/>
          <w:szCs w:val="24"/>
        </w:rPr>
      </w:pPr>
      <w:r w:rsidRPr="00C52673">
        <w:rPr>
          <w:rFonts w:ascii="Arial" w:hAnsi="Arial" w:cs="Arial"/>
          <w:sz w:val="24"/>
          <w:szCs w:val="24"/>
        </w:rPr>
        <w:t xml:space="preserve">Al respecto, la Sala recuerda que, por regla general, se entiende como precedente aquella sentencia o conjunto de sentencias que presentan similitudes con un caso nuevo objeto de escrutinio en materia de patrones fácticos, problemas jurídicos y </w:t>
      </w:r>
      <w:r w:rsidRPr="00C52673">
        <w:rPr>
          <w:rFonts w:ascii="Arial" w:hAnsi="Arial" w:cs="Arial"/>
          <w:i/>
          <w:iCs/>
          <w:sz w:val="24"/>
          <w:szCs w:val="24"/>
        </w:rPr>
        <w:t xml:space="preserve">ratio </w:t>
      </w:r>
      <w:proofErr w:type="spellStart"/>
      <w:r w:rsidRPr="00C52673">
        <w:rPr>
          <w:rFonts w:ascii="Arial" w:hAnsi="Arial" w:cs="Arial"/>
          <w:i/>
          <w:iCs/>
          <w:sz w:val="24"/>
          <w:szCs w:val="24"/>
        </w:rPr>
        <w:t>decidendi</w:t>
      </w:r>
      <w:proofErr w:type="spellEnd"/>
      <w:r w:rsidRPr="00C52673">
        <w:rPr>
          <w:rFonts w:ascii="Arial" w:hAnsi="Arial" w:cs="Arial"/>
          <w:sz w:val="24"/>
          <w:szCs w:val="24"/>
        </w:rPr>
        <w:t xml:space="preserve"> </w:t>
      </w:r>
      <w:r>
        <w:rPr>
          <w:rFonts w:ascii="Arial" w:hAnsi="Arial" w:cs="Arial"/>
          <w:sz w:val="24"/>
          <w:szCs w:val="24"/>
        </w:rPr>
        <w:t xml:space="preserve">que </w:t>
      </w:r>
      <w:r w:rsidRPr="00C52673">
        <w:rPr>
          <w:rFonts w:ascii="Arial" w:hAnsi="Arial" w:cs="Arial"/>
          <w:sz w:val="24"/>
          <w:szCs w:val="24"/>
        </w:rPr>
        <w:t xml:space="preserve">fija una regla para resolver la controversia, que sirve </w:t>
      </w:r>
      <w:r w:rsidRPr="00663FCC">
        <w:rPr>
          <w:rFonts w:ascii="Arial" w:hAnsi="Arial" w:cs="Arial"/>
          <w:sz w:val="24"/>
          <w:szCs w:val="24"/>
        </w:rPr>
        <w:t xml:space="preserve">también para </w:t>
      </w:r>
      <w:r w:rsidRPr="00663FCC">
        <w:rPr>
          <w:rFonts w:ascii="Arial" w:hAnsi="Arial" w:cs="Arial"/>
          <w:sz w:val="24"/>
          <w:szCs w:val="24"/>
        </w:rPr>
        <w:lastRenderedPageBreak/>
        <w:t>solucionar el caso reciente</w:t>
      </w:r>
      <w:r w:rsidRPr="00663FCC">
        <w:rPr>
          <w:rFonts w:ascii="Arial" w:hAnsi="Arial" w:cs="Arial"/>
          <w:i/>
          <w:iCs/>
          <w:sz w:val="24"/>
          <w:szCs w:val="24"/>
          <w:bdr w:val="none" w:sz="0" w:space="0" w:color="auto" w:frame="1"/>
          <w:vertAlign w:val="superscript"/>
        </w:rPr>
        <w:footnoteReference w:id="32"/>
      </w:r>
      <w:r w:rsidRPr="00663FCC">
        <w:rPr>
          <w:rFonts w:ascii="Arial" w:hAnsi="Arial" w:cs="Arial"/>
          <w:sz w:val="24"/>
          <w:szCs w:val="24"/>
        </w:rPr>
        <w:t>.</w:t>
      </w:r>
      <w:r w:rsidR="001D6D41">
        <w:rPr>
          <w:rFonts w:ascii="Arial" w:hAnsi="Arial" w:cs="Arial"/>
          <w:sz w:val="24"/>
          <w:szCs w:val="24"/>
        </w:rPr>
        <w:t xml:space="preserve"> </w:t>
      </w:r>
      <w:r w:rsidR="001D6D41">
        <w:rPr>
          <w:rFonts w:ascii="Arial" w:hAnsi="Arial" w:cs="Arial"/>
          <w:bCs/>
          <w:sz w:val="24"/>
          <w:szCs w:val="24"/>
        </w:rPr>
        <w:t>Por ello, es menester verificar las características de cada uno de los fallos citados, a efectos de considerar si existió o no el desconocimiento alegado.</w:t>
      </w:r>
    </w:p>
    <w:p w14:paraId="42FEBA99" w14:textId="77777777" w:rsidR="001D6D41" w:rsidRDefault="001D6D41" w:rsidP="0047418F">
      <w:pPr>
        <w:pStyle w:val="Textosinformato"/>
        <w:spacing w:line="360" w:lineRule="auto"/>
        <w:jc w:val="both"/>
        <w:rPr>
          <w:rFonts w:ascii="Arial" w:hAnsi="Arial" w:cs="Arial"/>
          <w:bCs/>
          <w:sz w:val="24"/>
          <w:szCs w:val="24"/>
        </w:rPr>
      </w:pPr>
    </w:p>
    <w:p w14:paraId="41495B25" w14:textId="77777777" w:rsidR="001C4D5C" w:rsidRDefault="001D6D41" w:rsidP="009D2699">
      <w:pPr>
        <w:pStyle w:val="Textosinformato"/>
        <w:spacing w:line="360" w:lineRule="auto"/>
        <w:jc w:val="both"/>
        <w:rPr>
          <w:rFonts w:ascii="Arial" w:hAnsi="Arial" w:cs="Arial"/>
          <w:bCs/>
          <w:sz w:val="24"/>
          <w:szCs w:val="24"/>
        </w:rPr>
      </w:pPr>
      <w:r>
        <w:rPr>
          <w:rFonts w:ascii="Arial" w:hAnsi="Arial" w:cs="Arial"/>
          <w:bCs/>
          <w:sz w:val="24"/>
          <w:szCs w:val="24"/>
        </w:rPr>
        <w:t xml:space="preserve">Así, en cuanto </w:t>
      </w:r>
      <w:r w:rsidR="00777521">
        <w:rPr>
          <w:rFonts w:ascii="Arial" w:hAnsi="Arial" w:cs="Arial"/>
          <w:bCs/>
          <w:sz w:val="24"/>
          <w:szCs w:val="24"/>
        </w:rPr>
        <w:t>a</w:t>
      </w:r>
      <w:r>
        <w:rPr>
          <w:rFonts w:ascii="Arial" w:hAnsi="Arial" w:cs="Arial"/>
          <w:bCs/>
          <w:sz w:val="24"/>
          <w:szCs w:val="24"/>
        </w:rPr>
        <w:t xml:space="preserve"> la sentencia del 05 de octubre de 2016,</w:t>
      </w:r>
      <w:r w:rsidR="00777521">
        <w:rPr>
          <w:rFonts w:ascii="Arial" w:hAnsi="Arial" w:cs="Arial"/>
          <w:bCs/>
          <w:sz w:val="24"/>
          <w:szCs w:val="24"/>
        </w:rPr>
        <w:t xml:space="preserve"> </w:t>
      </w:r>
      <w:r w:rsidR="00777521" w:rsidRPr="00B920C1">
        <w:rPr>
          <w:rFonts w:ascii="Arial" w:hAnsi="Arial" w:cs="Arial"/>
          <w:sz w:val="24"/>
          <w:szCs w:val="24"/>
        </w:rPr>
        <w:t>radicado No. 76001-23-31-000-2010-00127-01 (21051)</w:t>
      </w:r>
      <w:r w:rsidR="009D2699">
        <w:rPr>
          <w:rStyle w:val="Refdenotaalpie"/>
          <w:rFonts w:ascii="Arial" w:hAnsi="Arial" w:cs="Arial"/>
          <w:sz w:val="24"/>
          <w:szCs w:val="24"/>
        </w:rPr>
        <w:footnoteReference w:id="33"/>
      </w:r>
      <w:r w:rsidR="00777521">
        <w:rPr>
          <w:rFonts w:ascii="Arial" w:hAnsi="Arial" w:cs="Arial"/>
          <w:sz w:val="24"/>
          <w:szCs w:val="24"/>
        </w:rPr>
        <w:t>,</w:t>
      </w:r>
      <w:r>
        <w:rPr>
          <w:rFonts w:ascii="Arial" w:hAnsi="Arial" w:cs="Arial"/>
          <w:bCs/>
          <w:sz w:val="24"/>
          <w:szCs w:val="24"/>
        </w:rPr>
        <w:t xml:space="preserve"> </w:t>
      </w:r>
      <w:r w:rsidR="009D2699">
        <w:rPr>
          <w:rFonts w:ascii="Arial" w:hAnsi="Arial" w:cs="Arial"/>
          <w:bCs/>
          <w:sz w:val="24"/>
          <w:szCs w:val="24"/>
        </w:rPr>
        <w:t xml:space="preserve">si bien se presentan ciertas semejanzas en cuanto a la situación fáctica, esto es, la </w:t>
      </w:r>
      <w:r w:rsidR="009D2699" w:rsidRPr="009D2699">
        <w:rPr>
          <w:rFonts w:ascii="Arial" w:hAnsi="Arial" w:cs="Arial"/>
          <w:bCs/>
          <w:sz w:val="24"/>
          <w:szCs w:val="24"/>
        </w:rPr>
        <w:t xml:space="preserve">imposición de una sanción por inexactitud de la DIAN a la sociedad demandante por el registro de </w:t>
      </w:r>
      <w:r w:rsidR="001046F5">
        <w:rPr>
          <w:rFonts w:ascii="Arial" w:hAnsi="Arial" w:cs="Arial"/>
          <w:bCs/>
          <w:sz w:val="24"/>
          <w:szCs w:val="24"/>
        </w:rPr>
        <w:t xml:space="preserve">un valor mayor de </w:t>
      </w:r>
      <w:r w:rsidR="009D2699" w:rsidRPr="009D2699">
        <w:rPr>
          <w:rFonts w:ascii="Arial" w:hAnsi="Arial" w:cs="Arial"/>
          <w:bCs/>
          <w:sz w:val="24"/>
          <w:szCs w:val="24"/>
        </w:rPr>
        <w:t>pérdidas fiscales</w:t>
      </w:r>
      <w:r w:rsidR="009D2699">
        <w:rPr>
          <w:rFonts w:ascii="Arial" w:hAnsi="Arial" w:cs="Arial"/>
          <w:bCs/>
          <w:sz w:val="24"/>
          <w:szCs w:val="24"/>
        </w:rPr>
        <w:t xml:space="preserve">, lo cierto es que tanto los problemas jurídicos como la </w:t>
      </w:r>
      <w:r w:rsidR="009D2699">
        <w:rPr>
          <w:rFonts w:ascii="Arial" w:hAnsi="Arial" w:cs="Arial"/>
          <w:bCs/>
          <w:i/>
          <w:iCs/>
          <w:sz w:val="24"/>
          <w:szCs w:val="24"/>
        </w:rPr>
        <w:t>ratio decidendi</w:t>
      </w:r>
      <w:r w:rsidR="009D2699">
        <w:rPr>
          <w:rFonts w:ascii="Arial" w:hAnsi="Arial" w:cs="Arial"/>
          <w:bCs/>
          <w:sz w:val="24"/>
          <w:szCs w:val="24"/>
        </w:rPr>
        <w:t>, no guardan ninguna relación, por cuanto en ese caso se contempló que no procedía dich</w:t>
      </w:r>
      <w:r w:rsidR="00497FC0">
        <w:rPr>
          <w:rFonts w:ascii="Arial" w:hAnsi="Arial" w:cs="Arial"/>
          <w:bCs/>
          <w:sz w:val="24"/>
          <w:szCs w:val="24"/>
        </w:rPr>
        <w:t>o</w:t>
      </w:r>
      <w:r w:rsidR="009D2699">
        <w:rPr>
          <w:rFonts w:ascii="Arial" w:hAnsi="Arial" w:cs="Arial"/>
          <w:bCs/>
          <w:sz w:val="24"/>
          <w:szCs w:val="24"/>
        </w:rPr>
        <w:t xml:space="preserve"> </w:t>
      </w:r>
      <w:r w:rsidR="00497FC0">
        <w:rPr>
          <w:rFonts w:ascii="Arial" w:hAnsi="Arial" w:cs="Arial"/>
          <w:bCs/>
          <w:sz w:val="24"/>
          <w:szCs w:val="24"/>
        </w:rPr>
        <w:t>castigo</w:t>
      </w:r>
      <w:r w:rsidR="009D2699">
        <w:rPr>
          <w:rFonts w:ascii="Arial" w:hAnsi="Arial" w:cs="Arial"/>
          <w:bCs/>
          <w:sz w:val="24"/>
          <w:szCs w:val="24"/>
        </w:rPr>
        <w:t xml:space="preserve"> porque se presentó una diferencia </w:t>
      </w:r>
      <w:r w:rsidR="00275DFA">
        <w:rPr>
          <w:rFonts w:ascii="Arial" w:hAnsi="Arial" w:cs="Arial"/>
          <w:bCs/>
          <w:sz w:val="24"/>
          <w:szCs w:val="24"/>
        </w:rPr>
        <w:t xml:space="preserve">razonada </w:t>
      </w:r>
      <w:r w:rsidR="009D2699">
        <w:rPr>
          <w:rFonts w:ascii="Arial" w:hAnsi="Arial" w:cs="Arial"/>
          <w:bCs/>
          <w:sz w:val="24"/>
          <w:szCs w:val="24"/>
        </w:rPr>
        <w:t>de criterios entre la actora y la Administración</w:t>
      </w:r>
      <w:r w:rsidR="00275DFA">
        <w:rPr>
          <w:rFonts w:ascii="Arial" w:hAnsi="Arial" w:cs="Arial"/>
          <w:bCs/>
          <w:sz w:val="24"/>
          <w:szCs w:val="24"/>
        </w:rPr>
        <w:t xml:space="preserve"> frente al derecho aplicable</w:t>
      </w:r>
      <w:r w:rsidR="009D2699">
        <w:rPr>
          <w:rFonts w:ascii="Arial" w:hAnsi="Arial" w:cs="Arial"/>
          <w:bCs/>
          <w:sz w:val="24"/>
          <w:szCs w:val="24"/>
        </w:rPr>
        <w:t>.</w:t>
      </w:r>
    </w:p>
    <w:p w14:paraId="363A72EF" w14:textId="77777777" w:rsidR="009D2699" w:rsidRDefault="009D2699" w:rsidP="009D2699">
      <w:pPr>
        <w:pStyle w:val="Textosinformato"/>
        <w:spacing w:line="360" w:lineRule="auto"/>
        <w:jc w:val="both"/>
        <w:rPr>
          <w:rFonts w:ascii="Arial" w:hAnsi="Arial" w:cs="Arial"/>
          <w:bCs/>
          <w:sz w:val="24"/>
          <w:szCs w:val="24"/>
        </w:rPr>
      </w:pPr>
    </w:p>
    <w:p w14:paraId="7B580227" w14:textId="77777777" w:rsidR="00275DFA" w:rsidRDefault="009D2699" w:rsidP="009D2699">
      <w:pPr>
        <w:pStyle w:val="Textosinformato"/>
        <w:spacing w:line="360" w:lineRule="auto"/>
        <w:jc w:val="both"/>
        <w:rPr>
          <w:rFonts w:ascii="Arial" w:hAnsi="Arial" w:cs="Arial"/>
          <w:bCs/>
          <w:sz w:val="24"/>
          <w:szCs w:val="24"/>
        </w:rPr>
      </w:pPr>
      <w:r>
        <w:rPr>
          <w:rFonts w:ascii="Arial" w:hAnsi="Arial" w:cs="Arial"/>
          <w:bCs/>
          <w:sz w:val="24"/>
          <w:szCs w:val="24"/>
        </w:rPr>
        <w:t xml:space="preserve">Sin desmedro de lo anterior, es de resaltar </w:t>
      </w:r>
      <w:r w:rsidR="00275DFA">
        <w:rPr>
          <w:rFonts w:ascii="Arial" w:hAnsi="Arial" w:cs="Arial"/>
          <w:bCs/>
          <w:sz w:val="24"/>
          <w:szCs w:val="24"/>
        </w:rPr>
        <w:t>que,</w:t>
      </w:r>
      <w:r>
        <w:rPr>
          <w:rFonts w:ascii="Arial" w:hAnsi="Arial" w:cs="Arial"/>
          <w:bCs/>
          <w:sz w:val="24"/>
          <w:szCs w:val="24"/>
        </w:rPr>
        <w:t xml:space="preserve"> en esta decisión</w:t>
      </w:r>
      <w:r w:rsidR="00275DFA">
        <w:rPr>
          <w:rFonts w:ascii="Arial" w:hAnsi="Arial" w:cs="Arial"/>
          <w:bCs/>
          <w:sz w:val="24"/>
          <w:szCs w:val="24"/>
        </w:rPr>
        <w:t xml:space="preserve">, al momento de revisar las normas sobre la sanción por inexactitud, se sostuvo que </w:t>
      </w:r>
      <w:r w:rsidR="00275DFA" w:rsidRPr="00275DFA">
        <w:rPr>
          <w:rFonts w:ascii="Arial" w:hAnsi="Arial" w:cs="Arial"/>
          <w:bCs/>
          <w:i/>
          <w:iCs/>
          <w:sz w:val="24"/>
          <w:szCs w:val="24"/>
        </w:rPr>
        <w:t xml:space="preserve">“…el artículo 647-1 del Estatuto Tributario no tipifica un hecho sancionable independiente de los del artículo 647 de la misma </w:t>
      </w:r>
      <w:proofErr w:type="gramStart"/>
      <w:r w:rsidR="00275DFA" w:rsidRPr="00275DFA">
        <w:rPr>
          <w:rFonts w:ascii="Arial" w:hAnsi="Arial" w:cs="Arial"/>
          <w:bCs/>
          <w:i/>
          <w:iCs/>
          <w:sz w:val="24"/>
          <w:szCs w:val="24"/>
        </w:rPr>
        <w:t>normativa</w:t>
      </w:r>
      <w:proofErr w:type="gramEnd"/>
      <w:r w:rsidR="00275DFA" w:rsidRPr="00275DFA">
        <w:rPr>
          <w:rFonts w:ascii="Arial" w:hAnsi="Arial" w:cs="Arial"/>
          <w:bCs/>
          <w:i/>
          <w:iCs/>
          <w:sz w:val="24"/>
          <w:szCs w:val="24"/>
        </w:rPr>
        <w:t xml:space="preserve"> sino que regula </w:t>
      </w:r>
      <w:r w:rsidR="00275DFA" w:rsidRPr="00275DFA">
        <w:rPr>
          <w:rFonts w:ascii="Arial" w:hAnsi="Arial" w:cs="Arial"/>
          <w:b/>
          <w:i/>
          <w:iCs/>
          <w:sz w:val="24"/>
          <w:szCs w:val="24"/>
        </w:rPr>
        <w:t>las condiciones en las cuales deben aplicarse las sanciones por inexactitud y de corrección cuando se disminuyan o rechacen pérdidas fiscales</w:t>
      </w:r>
      <w:r w:rsidR="00275DFA" w:rsidRPr="00275DFA">
        <w:rPr>
          <w:rFonts w:ascii="Arial" w:hAnsi="Arial" w:cs="Arial"/>
          <w:bCs/>
          <w:i/>
          <w:iCs/>
          <w:sz w:val="24"/>
          <w:szCs w:val="24"/>
        </w:rPr>
        <w:t>”</w:t>
      </w:r>
      <w:r w:rsidR="00275DFA">
        <w:rPr>
          <w:rFonts w:ascii="Arial" w:hAnsi="Arial" w:cs="Arial"/>
          <w:bCs/>
          <w:sz w:val="24"/>
          <w:szCs w:val="24"/>
        </w:rPr>
        <w:t xml:space="preserve">. </w:t>
      </w:r>
    </w:p>
    <w:p w14:paraId="7A578F5F" w14:textId="77777777" w:rsidR="00275DFA" w:rsidRDefault="00275DFA" w:rsidP="009D2699">
      <w:pPr>
        <w:pStyle w:val="Textosinformato"/>
        <w:spacing w:line="360" w:lineRule="auto"/>
        <w:jc w:val="both"/>
        <w:rPr>
          <w:rFonts w:ascii="Arial" w:hAnsi="Arial" w:cs="Arial"/>
          <w:bCs/>
          <w:sz w:val="24"/>
          <w:szCs w:val="24"/>
        </w:rPr>
      </w:pPr>
    </w:p>
    <w:p w14:paraId="0C241D6F" w14:textId="77777777" w:rsidR="009D2699" w:rsidRDefault="00497FC0" w:rsidP="009D2699">
      <w:pPr>
        <w:pStyle w:val="Textosinformato"/>
        <w:spacing w:line="360" w:lineRule="auto"/>
        <w:jc w:val="both"/>
        <w:rPr>
          <w:rFonts w:ascii="Arial" w:hAnsi="Arial" w:cs="Arial"/>
          <w:bCs/>
          <w:sz w:val="24"/>
          <w:szCs w:val="24"/>
        </w:rPr>
      </w:pPr>
      <w:r>
        <w:rPr>
          <w:rFonts w:ascii="Arial" w:hAnsi="Arial" w:cs="Arial"/>
          <w:bCs/>
          <w:sz w:val="24"/>
          <w:szCs w:val="24"/>
        </w:rPr>
        <w:t>Postulado</w:t>
      </w:r>
      <w:r w:rsidR="00275DFA">
        <w:rPr>
          <w:rFonts w:ascii="Arial" w:hAnsi="Arial" w:cs="Arial"/>
          <w:bCs/>
          <w:sz w:val="24"/>
          <w:szCs w:val="24"/>
        </w:rPr>
        <w:t xml:space="preserve"> que</w:t>
      </w:r>
      <w:r w:rsidR="009B2118">
        <w:rPr>
          <w:rFonts w:ascii="Arial" w:hAnsi="Arial" w:cs="Arial"/>
          <w:bCs/>
          <w:sz w:val="24"/>
          <w:szCs w:val="24"/>
        </w:rPr>
        <w:t>,</w:t>
      </w:r>
      <w:r w:rsidR="00275DFA">
        <w:rPr>
          <w:rFonts w:ascii="Arial" w:hAnsi="Arial" w:cs="Arial"/>
          <w:bCs/>
          <w:sz w:val="24"/>
          <w:szCs w:val="24"/>
        </w:rPr>
        <w:t xml:space="preserve"> </w:t>
      </w:r>
      <w:r w:rsidR="009B2118">
        <w:rPr>
          <w:rFonts w:ascii="Arial" w:hAnsi="Arial" w:cs="Arial"/>
          <w:bCs/>
          <w:sz w:val="24"/>
          <w:szCs w:val="24"/>
        </w:rPr>
        <w:t>tal como se vio</w:t>
      </w:r>
      <w:r>
        <w:rPr>
          <w:rFonts w:ascii="Arial" w:hAnsi="Arial" w:cs="Arial"/>
          <w:bCs/>
          <w:sz w:val="24"/>
          <w:szCs w:val="24"/>
        </w:rPr>
        <w:t xml:space="preserve"> en precedencia</w:t>
      </w:r>
      <w:r w:rsidR="009B2118">
        <w:rPr>
          <w:rFonts w:ascii="Arial" w:hAnsi="Arial" w:cs="Arial"/>
          <w:bCs/>
          <w:sz w:val="24"/>
          <w:szCs w:val="24"/>
        </w:rPr>
        <w:t xml:space="preserve">, </w:t>
      </w:r>
      <w:r w:rsidR="00275DFA">
        <w:rPr>
          <w:rFonts w:ascii="Arial" w:hAnsi="Arial" w:cs="Arial"/>
          <w:bCs/>
          <w:sz w:val="24"/>
          <w:szCs w:val="24"/>
        </w:rPr>
        <w:t>guarda consonancia con lo consignado en la sentencia que hoy se enjuicia, de modo que no se h</w:t>
      </w:r>
      <w:r w:rsidR="0037125B">
        <w:rPr>
          <w:rFonts w:ascii="Arial" w:hAnsi="Arial" w:cs="Arial"/>
          <w:bCs/>
          <w:sz w:val="24"/>
          <w:szCs w:val="24"/>
        </w:rPr>
        <w:t>a</w:t>
      </w:r>
      <w:r w:rsidR="00275DFA">
        <w:rPr>
          <w:rFonts w:ascii="Arial" w:hAnsi="Arial" w:cs="Arial"/>
          <w:bCs/>
          <w:sz w:val="24"/>
          <w:szCs w:val="24"/>
        </w:rPr>
        <w:t xml:space="preserve"> desconocido el lineamiento sentado por la misma Colegiatura, </w:t>
      </w:r>
      <w:r w:rsidR="0037125B">
        <w:rPr>
          <w:rFonts w:ascii="Arial" w:hAnsi="Arial" w:cs="Arial"/>
          <w:bCs/>
          <w:sz w:val="24"/>
          <w:szCs w:val="24"/>
        </w:rPr>
        <w:t xml:space="preserve">pues como se ve, </w:t>
      </w:r>
      <w:r w:rsidR="00275DFA">
        <w:rPr>
          <w:rFonts w:ascii="Arial" w:hAnsi="Arial" w:cs="Arial"/>
          <w:bCs/>
          <w:sz w:val="24"/>
          <w:szCs w:val="24"/>
        </w:rPr>
        <w:t>se reafirma lo allí desarrollado.</w:t>
      </w:r>
    </w:p>
    <w:p w14:paraId="6089F0C8" w14:textId="77777777" w:rsidR="00275DFA" w:rsidRDefault="00275DFA" w:rsidP="009D2699">
      <w:pPr>
        <w:pStyle w:val="Textosinformato"/>
        <w:spacing w:line="360" w:lineRule="auto"/>
        <w:jc w:val="both"/>
        <w:rPr>
          <w:rFonts w:ascii="Arial" w:hAnsi="Arial" w:cs="Arial"/>
          <w:bCs/>
          <w:sz w:val="24"/>
          <w:szCs w:val="24"/>
        </w:rPr>
      </w:pPr>
    </w:p>
    <w:p w14:paraId="26E7111C" w14:textId="77777777" w:rsidR="00275DFA" w:rsidRDefault="009B2118" w:rsidP="009D2699">
      <w:pPr>
        <w:pStyle w:val="Textosinformato"/>
        <w:spacing w:line="360" w:lineRule="auto"/>
        <w:jc w:val="both"/>
        <w:rPr>
          <w:rFonts w:ascii="Arial" w:hAnsi="Arial"/>
          <w:sz w:val="24"/>
          <w:szCs w:val="24"/>
          <w:lang w:val="es-ES_tradnl"/>
        </w:rPr>
      </w:pPr>
      <w:r>
        <w:rPr>
          <w:rFonts w:ascii="Arial" w:hAnsi="Arial" w:cs="Arial"/>
          <w:bCs/>
          <w:sz w:val="24"/>
          <w:szCs w:val="24"/>
        </w:rPr>
        <w:lastRenderedPageBreak/>
        <w:t xml:space="preserve">De otro lado, frente al fallo </w:t>
      </w:r>
      <w:r w:rsidRPr="00B920C1">
        <w:rPr>
          <w:rFonts w:ascii="Arial" w:hAnsi="Arial" w:cs="Arial"/>
          <w:sz w:val="24"/>
          <w:szCs w:val="24"/>
        </w:rPr>
        <w:t xml:space="preserve">del </w:t>
      </w:r>
      <w:r w:rsidRPr="00B920C1">
        <w:rPr>
          <w:rFonts w:ascii="Arial" w:hAnsi="Arial"/>
          <w:sz w:val="24"/>
          <w:szCs w:val="24"/>
          <w:lang w:val="es-ES_tradnl"/>
        </w:rPr>
        <w:t>13 de octubre de 2016, radicado No. 25000-23-27-000-2009-00206-01(19456)</w:t>
      </w:r>
      <w:r>
        <w:rPr>
          <w:rStyle w:val="Refdenotaalpie"/>
          <w:rFonts w:ascii="Arial" w:hAnsi="Arial"/>
          <w:sz w:val="24"/>
          <w:szCs w:val="24"/>
          <w:lang w:val="es-ES_tradnl"/>
        </w:rPr>
        <w:footnoteReference w:id="34"/>
      </w:r>
      <w:r>
        <w:rPr>
          <w:rFonts w:ascii="Arial" w:hAnsi="Arial"/>
          <w:sz w:val="24"/>
          <w:szCs w:val="24"/>
          <w:lang w:val="es-ES_tradnl"/>
        </w:rPr>
        <w:t xml:space="preserve">, </w:t>
      </w:r>
      <w:r w:rsidR="00405F49">
        <w:rPr>
          <w:rFonts w:ascii="Arial" w:hAnsi="Arial"/>
          <w:sz w:val="24"/>
          <w:szCs w:val="24"/>
          <w:lang w:val="es-ES_tradnl"/>
        </w:rPr>
        <w:t xml:space="preserve">aun cuando también presenta algunas similitudes con el </w:t>
      </w:r>
      <w:r w:rsidR="00405F49">
        <w:rPr>
          <w:rFonts w:ascii="Arial" w:hAnsi="Arial"/>
          <w:i/>
          <w:iCs/>
          <w:sz w:val="24"/>
          <w:szCs w:val="24"/>
          <w:lang w:val="es-ES_tradnl"/>
        </w:rPr>
        <w:t>sub judice</w:t>
      </w:r>
      <w:r w:rsidR="00405F49">
        <w:rPr>
          <w:rFonts w:ascii="Arial" w:hAnsi="Arial"/>
          <w:sz w:val="24"/>
          <w:szCs w:val="24"/>
          <w:lang w:val="es-ES_tradnl"/>
        </w:rPr>
        <w:t>,</w:t>
      </w:r>
      <w:r w:rsidR="00497FC0">
        <w:rPr>
          <w:rFonts w:ascii="Arial" w:hAnsi="Arial"/>
          <w:sz w:val="24"/>
          <w:szCs w:val="24"/>
          <w:lang w:val="es-ES_tradnl"/>
        </w:rPr>
        <w:t xml:space="preserve"> estas no resultan suficientes</w:t>
      </w:r>
      <w:r w:rsidR="00186749">
        <w:rPr>
          <w:rFonts w:ascii="Arial" w:hAnsi="Arial"/>
          <w:sz w:val="24"/>
          <w:szCs w:val="24"/>
          <w:lang w:val="es-ES_tradnl"/>
        </w:rPr>
        <w:t>,</w:t>
      </w:r>
      <w:r w:rsidR="00497FC0">
        <w:rPr>
          <w:rFonts w:ascii="Arial" w:hAnsi="Arial"/>
          <w:sz w:val="24"/>
          <w:szCs w:val="24"/>
          <w:lang w:val="es-ES_tradnl"/>
        </w:rPr>
        <w:t xml:space="preserve"> </w:t>
      </w:r>
      <w:r w:rsidR="00186749">
        <w:rPr>
          <w:rFonts w:ascii="Arial" w:hAnsi="Arial"/>
          <w:sz w:val="24"/>
          <w:szCs w:val="24"/>
          <w:lang w:val="es-ES_tradnl"/>
        </w:rPr>
        <w:t>como</w:t>
      </w:r>
      <w:r w:rsidR="00497FC0">
        <w:rPr>
          <w:rFonts w:ascii="Arial" w:hAnsi="Arial"/>
          <w:sz w:val="24"/>
          <w:szCs w:val="24"/>
          <w:lang w:val="es-ES_tradnl"/>
        </w:rPr>
        <w:t xml:space="preserve"> tampoco</w:t>
      </w:r>
      <w:r w:rsidR="00186749">
        <w:rPr>
          <w:rFonts w:ascii="Arial" w:hAnsi="Arial"/>
          <w:sz w:val="24"/>
          <w:szCs w:val="24"/>
          <w:lang w:val="es-ES_tradnl"/>
        </w:rPr>
        <w:t xml:space="preserve"> sirven</w:t>
      </w:r>
      <w:r w:rsidR="0071232C">
        <w:rPr>
          <w:rFonts w:ascii="Arial" w:hAnsi="Arial"/>
          <w:sz w:val="24"/>
          <w:szCs w:val="24"/>
          <w:lang w:val="es-ES_tradnl"/>
        </w:rPr>
        <w:t xml:space="preserve"> de base</w:t>
      </w:r>
      <w:r w:rsidR="00405F49">
        <w:rPr>
          <w:rFonts w:ascii="Arial" w:hAnsi="Arial"/>
          <w:sz w:val="24"/>
          <w:szCs w:val="24"/>
          <w:lang w:val="es-ES_tradnl"/>
        </w:rPr>
        <w:t xml:space="preserve"> </w:t>
      </w:r>
      <w:r w:rsidR="008B01F3">
        <w:rPr>
          <w:rFonts w:ascii="Arial" w:hAnsi="Arial"/>
          <w:sz w:val="24"/>
          <w:szCs w:val="24"/>
          <w:lang w:val="es-ES_tradnl"/>
        </w:rPr>
        <w:t xml:space="preserve">los </w:t>
      </w:r>
      <w:r w:rsidR="00405F49" w:rsidRPr="00C52673">
        <w:rPr>
          <w:rFonts w:ascii="Arial" w:hAnsi="Arial" w:cs="Arial"/>
          <w:sz w:val="24"/>
          <w:szCs w:val="24"/>
        </w:rPr>
        <w:t xml:space="preserve">problemas jurídicos y </w:t>
      </w:r>
      <w:r w:rsidR="008B01F3">
        <w:rPr>
          <w:rFonts w:ascii="Arial" w:hAnsi="Arial" w:cs="Arial"/>
          <w:sz w:val="24"/>
          <w:szCs w:val="24"/>
        </w:rPr>
        <w:t>la</w:t>
      </w:r>
      <w:r w:rsidR="00405F49" w:rsidRPr="00C52673">
        <w:rPr>
          <w:rFonts w:ascii="Arial" w:hAnsi="Arial" w:cs="Arial"/>
          <w:sz w:val="24"/>
          <w:szCs w:val="24"/>
        </w:rPr>
        <w:t xml:space="preserve"> </w:t>
      </w:r>
      <w:r w:rsidR="00405F49" w:rsidRPr="00C52673">
        <w:rPr>
          <w:rFonts w:ascii="Arial" w:hAnsi="Arial" w:cs="Arial"/>
          <w:i/>
          <w:iCs/>
          <w:sz w:val="24"/>
          <w:szCs w:val="24"/>
        </w:rPr>
        <w:t>ratio decidendi</w:t>
      </w:r>
      <w:r w:rsidR="00405F49" w:rsidRPr="00C52673">
        <w:rPr>
          <w:rFonts w:ascii="Arial" w:hAnsi="Arial" w:cs="Arial"/>
          <w:sz w:val="24"/>
          <w:szCs w:val="24"/>
        </w:rPr>
        <w:t xml:space="preserve"> </w:t>
      </w:r>
      <w:r w:rsidR="00405F49" w:rsidRPr="00663FCC">
        <w:rPr>
          <w:rFonts w:ascii="Arial" w:hAnsi="Arial" w:cs="Arial"/>
          <w:sz w:val="24"/>
          <w:szCs w:val="24"/>
        </w:rPr>
        <w:t xml:space="preserve">para solucionar el caso </w:t>
      </w:r>
      <w:r w:rsidR="0037125B">
        <w:rPr>
          <w:rFonts w:ascii="Arial" w:hAnsi="Arial" w:cs="Arial"/>
          <w:sz w:val="24"/>
          <w:szCs w:val="24"/>
        </w:rPr>
        <w:t>actual</w:t>
      </w:r>
      <w:r w:rsidR="008B01F3">
        <w:rPr>
          <w:rFonts w:ascii="Arial" w:hAnsi="Arial" w:cs="Arial"/>
          <w:sz w:val="24"/>
          <w:szCs w:val="24"/>
        </w:rPr>
        <w:t xml:space="preserve">, </w:t>
      </w:r>
      <w:r w:rsidR="00405F49">
        <w:rPr>
          <w:rFonts w:ascii="Arial" w:hAnsi="Arial"/>
          <w:sz w:val="24"/>
          <w:szCs w:val="24"/>
          <w:lang w:val="es-ES_tradnl"/>
        </w:rPr>
        <w:t xml:space="preserve">comoquiera que se impuso una sanción por la disminución de pérdidas fiscales </w:t>
      </w:r>
      <w:r w:rsidR="008B01F3">
        <w:rPr>
          <w:rFonts w:ascii="Arial" w:hAnsi="Arial"/>
          <w:sz w:val="24"/>
          <w:szCs w:val="24"/>
          <w:lang w:val="es-ES_tradnl"/>
        </w:rPr>
        <w:t xml:space="preserve">como </w:t>
      </w:r>
      <w:r w:rsidR="008B01F3" w:rsidRPr="008B01F3">
        <w:rPr>
          <w:rFonts w:ascii="Arial" w:hAnsi="Arial"/>
          <w:i/>
          <w:iCs/>
          <w:sz w:val="24"/>
          <w:szCs w:val="24"/>
          <w:lang w:val="es-ES_tradnl"/>
        </w:rPr>
        <w:t>“(…) resultado de la determinación de un menor valor de la pérdida fiscal</w:t>
      </w:r>
      <w:r w:rsidR="008B01F3">
        <w:rPr>
          <w:rFonts w:ascii="Arial" w:hAnsi="Arial"/>
          <w:i/>
          <w:iCs/>
          <w:sz w:val="24"/>
          <w:szCs w:val="24"/>
          <w:lang w:val="es-ES_tradnl"/>
        </w:rPr>
        <w:t xml:space="preserve"> (…)</w:t>
      </w:r>
      <w:r w:rsidR="008B01F3" w:rsidRPr="008B01F3">
        <w:rPr>
          <w:rFonts w:ascii="Arial" w:hAnsi="Arial"/>
          <w:i/>
          <w:iCs/>
          <w:sz w:val="24"/>
          <w:szCs w:val="24"/>
          <w:lang w:val="es-ES_tradnl"/>
        </w:rPr>
        <w:t>”</w:t>
      </w:r>
      <w:r w:rsidR="008B01F3" w:rsidRPr="005D5129">
        <w:rPr>
          <w:rStyle w:val="Refdenotaalpie"/>
          <w:rFonts w:ascii="Arial" w:hAnsi="Arial"/>
          <w:sz w:val="24"/>
          <w:szCs w:val="24"/>
          <w:lang w:val="es-ES_tradnl"/>
        </w:rPr>
        <w:footnoteReference w:id="35"/>
      </w:r>
      <w:r w:rsidR="008B01F3" w:rsidRPr="005D5129">
        <w:rPr>
          <w:rFonts w:ascii="Arial" w:hAnsi="Arial"/>
          <w:sz w:val="24"/>
          <w:szCs w:val="24"/>
          <w:lang w:val="es-ES_tradnl"/>
        </w:rPr>
        <w:t>,</w:t>
      </w:r>
      <w:r w:rsidR="008B01F3">
        <w:rPr>
          <w:rFonts w:ascii="Arial" w:hAnsi="Arial"/>
          <w:sz w:val="24"/>
          <w:szCs w:val="24"/>
          <w:lang w:val="es-ES_tradnl"/>
        </w:rPr>
        <w:t xml:space="preserve"> es decir, en ese caso se aplicó únicamente el artículo 647-1.</w:t>
      </w:r>
    </w:p>
    <w:p w14:paraId="09881A98" w14:textId="77777777" w:rsidR="008B01F3" w:rsidRDefault="008B01F3" w:rsidP="009D2699">
      <w:pPr>
        <w:pStyle w:val="Textosinformato"/>
        <w:spacing w:line="360" w:lineRule="auto"/>
        <w:jc w:val="both"/>
        <w:rPr>
          <w:rFonts w:ascii="Arial" w:hAnsi="Arial"/>
          <w:sz w:val="24"/>
          <w:szCs w:val="24"/>
          <w:lang w:val="es-ES_tradnl"/>
        </w:rPr>
      </w:pPr>
    </w:p>
    <w:p w14:paraId="4570EE45" w14:textId="77777777" w:rsidR="008B01F3" w:rsidRDefault="008B01F3" w:rsidP="009D2699">
      <w:pPr>
        <w:pStyle w:val="Textosinformato"/>
        <w:spacing w:line="360" w:lineRule="auto"/>
        <w:jc w:val="both"/>
        <w:rPr>
          <w:rFonts w:ascii="Arial" w:hAnsi="Arial" w:cs="Arial"/>
          <w:i/>
          <w:iCs/>
          <w:sz w:val="24"/>
          <w:szCs w:val="24"/>
          <w:shd w:val="clear" w:color="auto" w:fill="FFFFFF"/>
        </w:rPr>
      </w:pPr>
      <w:r>
        <w:rPr>
          <w:rFonts w:ascii="Arial" w:hAnsi="Arial"/>
          <w:sz w:val="24"/>
          <w:szCs w:val="24"/>
          <w:lang w:val="es-ES_tradnl"/>
        </w:rPr>
        <w:t xml:space="preserve">Por lo anterior, comparte esta Subsección lo sostenido por el fallador de primera instancia, el cual adujo </w:t>
      </w:r>
      <w:r w:rsidRPr="008B01F3">
        <w:rPr>
          <w:rFonts w:ascii="Arial" w:hAnsi="Arial" w:cs="Arial"/>
          <w:sz w:val="24"/>
          <w:szCs w:val="24"/>
          <w:lang w:val="es-ES_tradnl"/>
        </w:rPr>
        <w:t xml:space="preserve">que </w:t>
      </w:r>
      <w:r w:rsidRPr="008B01F3">
        <w:rPr>
          <w:rFonts w:ascii="Arial" w:hAnsi="Arial" w:cs="Arial"/>
          <w:i/>
          <w:iCs/>
          <w:sz w:val="24"/>
          <w:szCs w:val="24"/>
          <w:lang w:val="es-ES_tradnl"/>
        </w:rPr>
        <w:t>“</w:t>
      </w:r>
      <w:r>
        <w:rPr>
          <w:rFonts w:ascii="Arial" w:hAnsi="Arial" w:cs="Arial"/>
          <w:i/>
          <w:iCs/>
          <w:sz w:val="24"/>
          <w:szCs w:val="24"/>
          <w:lang w:val="es-ES_tradnl"/>
        </w:rPr>
        <w:t>…</w:t>
      </w:r>
      <w:r w:rsidRPr="008B01F3">
        <w:rPr>
          <w:rFonts w:ascii="Arial" w:hAnsi="Arial" w:cs="Arial"/>
          <w:i/>
          <w:iCs/>
          <w:sz w:val="24"/>
          <w:szCs w:val="24"/>
          <w:lang w:val="es-ES_tradnl"/>
        </w:rPr>
        <w:t xml:space="preserve">el tema objeto de estudio no guarda </w:t>
      </w:r>
      <w:r w:rsidRPr="008B01F3">
        <w:rPr>
          <w:rFonts w:ascii="Arial" w:hAnsi="Arial" w:cs="Arial"/>
          <w:i/>
          <w:iCs/>
          <w:color w:val="212529"/>
          <w:sz w:val="24"/>
          <w:szCs w:val="24"/>
          <w:shd w:val="clear" w:color="auto" w:fill="FFFFFF"/>
        </w:rPr>
        <w:t xml:space="preserve">relación </w:t>
      </w:r>
      <w:r w:rsidRPr="008B01F3">
        <w:rPr>
          <w:rFonts w:ascii="Arial" w:hAnsi="Arial" w:cs="Arial"/>
          <w:i/>
          <w:iCs/>
          <w:sz w:val="24"/>
          <w:szCs w:val="24"/>
          <w:shd w:val="clear" w:color="auto" w:fill="FFFFFF"/>
        </w:rPr>
        <w:t>fáctica con el caso de la referencia, por lo cual no es factible tener dicho pronunciamiento como precedente judicial, para el asunto sometido a consideración por esta Sala</w:t>
      </w:r>
      <w:r>
        <w:rPr>
          <w:rFonts w:ascii="Arial" w:hAnsi="Arial" w:cs="Arial"/>
          <w:i/>
          <w:iCs/>
          <w:sz w:val="24"/>
          <w:szCs w:val="24"/>
          <w:shd w:val="clear" w:color="auto" w:fill="FFFFFF"/>
        </w:rPr>
        <w:t>.”</w:t>
      </w:r>
      <w:r w:rsidRPr="005D5129">
        <w:rPr>
          <w:rStyle w:val="Refdenotaalpie"/>
          <w:rFonts w:ascii="Arial" w:hAnsi="Arial" w:cs="Arial"/>
          <w:sz w:val="24"/>
          <w:szCs w:val="24"/>
          <w:shd w:val="clear" w:color="auto" w:fill="FFFFFF"/>
        </w:rPr>
        <w:footnoteReference w:id="36"/>
      </w:r>
      <w:r w:rsidRPr="005D5129">
        <w:rPr>
          <w:rFonts w:ascii="Arial" w:hAnsi="Arial" w:cs="Arial"/>
          <w:sz w:val="24"/>
          <w:szCs w:val="24"/>
          <w:shd w:val="clear" w:color="auto" w:fill="FFFFFF"/>
        </w:rPr>
        <w:t>.</w:t>
      </w:r>
    </w:p>
    <w:p w14:paraId="1871979F" w14:textId="77777777" w:rsidR="00497FC0" w:rsidRDefault="00497FC0" w:rsidP="009D2699">
      <w:pPr>
        <w:pStyle w:val="Textosinformato"/>
        <w:spacing w:line="360" w:lineRule="auto"/>
        <w:jc w:val="both"/>
        <w:rPr>
          <w:rFonts w:ascii="Arial" w:hAnsi="Arial" w:cs="Arial"/>
          <w:i/>
          <w:iCs/>
          <w:sz w:val="24"/>
          <w:szCs w:val="24"/>
          <w:shd w:val="clear" w:color="auto" w:fill="FFFFFF"/>
        </w:rPr>
      </w:pPr>
    </w:p>
    <w:p w14:paraId="58D27E56" w14:textId="77777777" w:rsidR="00497FC0" w:rsidRPr="00497FC0" w:rsidRDefault="00497FC0" w:rsidP="009D2699">
      <w:pPr>
        <w:pStyle w:val="Textosinformato"/>
        <w:spacing w:line="360" w:lineRule="auto"/>
        <w:jc w:val="both"/>
        <w:rPr>
          <w:rFonts w:ascii="Arial" w:hAnsi="Arial" w:cs="Arial"/>
          <w:sz w:val="24"/>
          <w:szCs w:val="24"/>
        </w:rPr>
      </w:pPr>
      <w:r>
        <w:rPr>
          <w:rFonts w:ascii="Arial" w:hAnsi="Arial" w:cs="Arial"/>
          <w:sz w:val="24"/>
          <w:szCs w:val="24"/>
          <w:shd w:val="clear" w:color="auto" w:fill="FFFFFF"/>
        </w:rPr>
        <w:t xml:space="preserve">De acuerdo con lo </w:t>
      </w:r>
      <w:r w:rsidR="00186749">
        <w:rPr>
          <w:rFonts w:ascii="Arial" w:hAnsi="Arial" w:cs="Arial"/>
          <w:sz w:val="24"/>
          <w:szCs w:val="24"/>
          <w:shd w:val="clear" w:color="auto" w:fill="FFFFFF"/>
        </w:rPr>
        <w:t>reseñado</w:t>
      </w:r>
      <w:r>
        <w:rPr>
          <w:rFonts w:ascii="Arial" w:hAnsi="Arial" w:cs="Arial"/>
          <w:sz w:val="24"/>
          <w:szCs w:val="24"/>
          <w:shd w:val="clear" w:color="auto" w:fill="FFFFFF"/>
        </w:rPr>
        <w:t xml:space="preserve"> y siguiendo los parámetros definidos por la Corte Constitucional, se advierte que las sentencias </w:t>
      </w:r>
      <w:r w:rsidR="00186749">
        <w:rPr>
          <w:rFonts w:ascii="Arial" w:hAnsi="Arial" w:cs="Arial"/>
          <w:sz w:val="24"/>
          <w:szCs w:val="24"/>
          <w:shd w:val="clear" w:color="auto" w:fill="FFFFFF"/>
        </w:rPr>
        <w:t>citadas</w:t>
      </w:r>
      <w:r>
        <w:rPr>
          <w:rFonts w:ascii="Arial" w:hAnsi="Arial" w:cs="Arial"/>
          <w:sz w:val="24"/>
          <w:szCs w:val="24"/>
          <w:shd w:val="clear" w:color="auto" w:fill="FFFFFF"/>
        </w:rPr>
        <w:t xml:space="preserve">, no guardan las características para ser consideradas como </w:t>
      </w:r>
      <w:r w:rsidR="00186749">
        <w:rPr>
          <w:rFonts w:ascii="Arial" w:hAnsi="Arial" w:cs="Arial"/>
          <w:sz w:val="24"/>
          <w:szCs w:val="24"/>
          <w:shd w:val="clear" w:color="auto" w:fill="FFFFFF"/>
        </w:rPr>
        <w:t>precedente</w:t>
      </w:r>
      <w:r>
        <w:rPr>
          <w:rFonts w:ascii="Arial" w:hAnsi="Arial" w:cs="Arial"/>
          <w:sz w:val="24"/>
          <w:szCs w:val="24"/>
          <w:shd w:val="clear" w:color="auto" w:fill="FFFFFF"/>
        </w:rPr>
        <w:t>s</w:t>
      </w:r>
      <w:r w:rsidR="001046F5">
        <w:rPr>
          <w:rFonts w:ascii="Arial" w:hAnsi="Arial" w:cs="Arial"/>
          <w:sz w:val="24"/>
          <w:szCs w:val="24"/>
          <w:shd w:val="clear" w:color="auto" w:fill="FFFFFF"/>
        </w:rPr>
        <w:t xml:space="preserve"> y de obligatorio seguimiento para el caso </w:t>
      </w:r>
      <w:r w:rsidR="001046F5">
        <w:rPr>
          <w:rFonts w:ascii="Arial" w:hAnsi="Arial" w:cs="Arial"/>
          <w:i/>
          <w:iCs/>
          <w:sz w:val="24"/>
          <w:szCs w:val="24"/>
          <w:shd w:val="clear" w:color="auto" w:fill="FFFFFF"/>
        </w:rPr>
        <w:t>sub examine</w:t>
      </w:r>
      <w:r w:rsidR="00186749">
        <w:rPr>
          <w:rFonts w:ascii="Arial" w:hAnsi="Arial" w:cs="Arial"/>
          <w:sz w:val="24"/>
          <w:szCs w:val="24"/>
          <w:shd w:val="clear" w:color="auto" w:fill="FFFFFF"/>
        </w:rPr>
        <w:t>.</w:t>
      </w:r>
      <w:r>
        <w:rPr>
          <w:rFonts w:ascii="Arial" w:hAnsi="Arial" w:cs="Arial"/>
          <w:sz w:val="24"/>
          <w:szCs w:val="24"/>
          <w:shd w:val="clear" w:color="auto" w:fill="FFFFFF"/>
        </w:rPr>
        <w:t xml:space="preserve"> No obstante, si en gracia de discusión</w:t>
      </w:r>
      <w:r w:rsidR="00186749">
        <w:rPr>
          <w:rFonts w:ascii="Arial" w:hAnsi="Arial" w:cs="Arial"/>
          <w:sz w:val="24"/>
          <w:szCs w:val="24"/>
          <w:shd w:val="clear" w:color="auto" w:fill="FFFFFF"/>
        </w:rPr>
        <w:t xml:space="preserve"> se </w:t>
      </w:r>
      <w:r w:rsidR="0071232C">
        <w:rPr>
          <w:rFonts w:ascii="Arial" w:hAnsi="Arial" w:cs="Arial"/>
          <w:sz w:val="24"/>
          <w:szCs w:val="24"/>
          <w:shd w:val="clear" w:color="auto" w:fill="FFFFFF"/>
        </w:rPr>
        <w:t>ahondara</w:t>
      </w:r>
      <w:r w:rsidR="00186749">
        <w:rPr>
          <w:rFonts w:ascii="Arial" w:hAnsi="Arial" w:cs="Arial"/>
          <w:sz w:val="24"/>
          <w:szCs w:val="24"/>
          <w:shd w:val="clear" w:color="auto" w:fill="FFFFFF"/>
        </w:rPr>
        <w:t xml:space="preserve"> el asunto, hay que tener en cuenta </w:t>
      </w:r>
      <w:r w:rsidR="00852A2E">
        <w:rPr>
          <w:rFonts w:ascii="Arial" w:hAnsi="Arial" w:cs="Arial"/>
          <w:sz w:val="24"/>
          <w:szCs w:val="24"/>
          <w:shd w:val="clear" w:color="auto" w:fill="FFFFFF"/>
        </w:rPr>
        <w:t>que,</w:t>
      </w:r>
      <w:r w:rsidR="00186749">
        <w:rPr>
          <w:rFonts w:ascii="Arial" w:hAnsi="Arial" w:cs="Arial"/>
          <w:sz w:val="24"/>
          <w:szCs w:val="24"/>
          <w:shd w:val="clear" w:color="auto" w:fill="FFFFFF"/>
        </w:rPr>
        <w:t xml:space="preserve"> en todas las decisiones, incluida la actualmente reprochada, se parte de la interpretación que el Máximo Tribunal Constitucional hizo del artículo 647-1 en la sentencia C-910 de 2004, de modo que se </w:t>
      </w:r>
      <w:r w:rsidR="0071232C">
        <w:rPr>
          <w:rFonts w:ascii="Arial" w:hAnsi="Arial" w:cs="Arial"/>
          <w:sz w:val="24"/>
          <w:szCs w:val="24"/>
          <w:shd w:val="clear" w:color="auto" w:fill="FFFFFF"/>
        </w:rPr>
        <w:t>sobre</w:t>
      </w:r>
      <w:r w:rsidR="00186749">
        <w:rPr>
          <w:rFonts w:ascii="Arial" w:hAnsi="Arial" w:cs="Arial"/>
          <w:sz w:val="24"/>
          <w:szCs w:val="24"/>
          <w:shd w:val="clear" w:color="auto" w:fill="FFFFFF"/>
        </w:rPr>
        <w:t>entiende que est</w:t>
      </w:r>
      <w:r w:rsidR="0071232C">
        <w:rPr>
          <w:rFonts w:ascii="Arial" w:hAnsi="Arial" w:cs="Arial"/>
          <w:sz w:val="24"/>
          <w:szCs w:val="24"/>
          <w:shd w:val="clear" w:color="auto" w:fill="FFFFFF"/>
        </w:rPr>
        <w:t>a norma</w:t>
      </w:r>
      <w:r w:rsidR="00186749">
        <w:rPr>
          <w:rFonts w:ascii="Arial" w:hAnsi="Arial" w:cs="Arial"/>
          <w:sz w:val="24"/>
          <w:szCs w:val="24"/>
          <w:shd w:val="clear" w:color="auto" w:fill="FFFFFF"/>
        </w:rPr>
        <w:t xml:space="preserve"> no contiene una sanción autónoma</w:t>
      </w:r>
      <w:r w:rsidR="001046F5">
        <w:rPr>
          <w:rFonts w:ascii="Arial" w:hAnsi="Arial" w:cs="Arial"/>
          <w:sz w:val="24"/>
          <w:szCs w:val="24"/>
          <w:shd w:val="clear" w:color="auto" w:fill="FFFFFF"/>
        </w:rPr>
        <w:t>, sino que determina las condiciones para aplicar la sanción tributaria cuando se disminuyan o rechacen pérdidas fiscales</w:t>
      </w:r>
      <w:r w:rsidR="00186749">
        <w:rPr>
          <w:rFonts w:ascii="Arial" w:hAnsi="Arial" w:cs="Arial"/>
          <w:sz w:val="24"/>
          <w:szCs w:val="24"/>
          <w:shd w:val="clear" w:color="auto" w:fill="FFFFFF"/>
        </w:rPr>
        <w:t>.</w:t>
      </w:r>
    </w:p>
    <w:p w14:paraId="1E457F56" w14:textId="77777777" w:rsidR="0047418F" w:rsidRDefault="0047418F" w:rsidP="0047418F">
      <w:pPr>
        <w:pStyle w:val="Textosinformato"/>
        <w:spacing w:line="360" w:lineRule="auto"/>
        <w:jc w:val="both"/>
        <w:rPr>
          <w:rFonts w:ascii="Arial" w:hAnsi="Arial" w:cs="Arial"/>
          <w:b/>
          <w:sz w:val="24"/>
          <w:szCs w:val="24"/>
        </w:rPr>
      </w:pPr>
    </w:p>
    <w:p w14:paraId="6B32D4C4" w14:textId="77777777" w:rsidR="0047418F" w:rsidRDefault="00202613" w:rsidP="00396C08">
      <w:pPr>
        <w:pStyle w:val="Textosinformato"/>
        <w:spacing w:line="360" w:lineRule="auto"/>
        <w:jc w:val="both"/>
        <w:rPr>
          <w:rFonts w:ascii="Arial" w:hAnsi="Arial" w:cs="Arial"/>
          <w:sz w:val="24"/>
          <w:szCs w:val="24"/>
        </w:rPr>
      </w:pPr>
      <w:r>
        <w:rPr>
          <w:rFonts w:ascii="Arial" w:hAnsi="Arial" w:cs="Arial"/>
          <w:sz w:val="24"/>
          <w:szCs w:val="24"/>
        </w:rPr>
        <w:t>5.1.</w:t>
      </w:r>
      <w:r w:rsidR="00271B03">
        <w:rPr>
          <w:rFonts w:ascii="Arial" w:hAnsi="Arial" w:cs="Arial"/>
          <w:sz w:val="24"/>
          <w:szCs w:val="24"/>
        </w:rPr>
        <w:t>3</w:t>
      </w:r>
      <w:r>
        <w:rPr>
          <w:rFonts w:ascii="Arial" w:hAnsi="Arial" w:cs="Arial"/>
          <w:sz w:val="24"/>
          <w:szCs w:val="24"/>
        </w:rPr>
        <w:t xml:space="preserve">.- </w:t>
      </w:r>
      <w:r w:rsidR="00186749">
        <w:rPr>
          <w:rFonts w:ascii="Arial" w:hAnsi="Arial" w:cs="Arial"/>
          <w:sz w:val="24"/>
          <w:szCs w:val="24"/>
        </w:rPr>
        <w:t xml:space="preserve">Así las cosas, </w:t>
      </w:r>
      <w:r w:rsidR="007509E1">
        <w:rPr>
          <w:rFonts w:ascii="Arial" w:hAnsi="Arial" w:cs="Arial"/>
          <w:sz w:val="24"/>
          <w:szCs w:val="24"/>
        </w:rPr>
        <w:t>no se compart</w:t>
      </w:r>
      <w:r w:rsidR="001046F5">
        <w:rPr>
          <w:rFonts w:ascii="Arial" w:hAnsi="Arial" w:cs="Arial"/>
          <w:sz w:val="24"/>
          <w:szCs w:val="24"/>
        </w:rPr>
        <w:t>e</w:t>
      </w:r>
      <w:r w:rsidR="007509E1">
        <w:rPr>
          <w:rFonts w:ascii="Arial" w:hAnsi="Arial" w:cs="Arial"/>
          <w:sz w:val="24"/>
          <w:szCs w:val="24"/>
        </w:rPr>
        <w:t xml:space="preserve">n los argumentos presentados </w:t>
      </w:r>
      <w:r w:rsidR="00186749">
        <w:rPr>
          <w:rFonts w:ascii="Arial" w:hAnsi="Arial" w:cs="Arial"/>
          <w:sz w:val="24"/>
          <w:szCs w:val="24"/>
        </w:rPr>
        <w:t xml:space="preserve">por la entidad tutelante </w:t>
      </w:r>
      <w:r w:rsidR="007509E1">
        <w:rPr>
          <w:rFonts w:ascii="Arial" w:hAnsi="Arial" w:cs="Arial"/>
          <w:sz w:val="24"/>
          <w:szCs w:val="24"/>
        </w:rPr>
        <w:t xml:space="preserve">sobre </w:t>
      </w:r>
      <w:r w:rsidR="00186749">
        <w:rPr>
          <w:rFonts w:ascii="Arial" w:hAnsi="Arial" w:cs="Arial"/>
          <w:sz w:val="24"/>
          <w:szCs w:val="24"/>
        </w:rPr>
        <w:t xml:space="preserve">la existencia de un defecto sustantivo por interpretación errónea de la ley ni </w:t>
      </w:r>
      <w:r w:rsidR="001046F5">
        <w:rPr>
          <w:rFonts w:ascii="Arial" w:hAnsi="Arial" w:cs="Arial"/>
          <w:sz w:val="24"/>
          <w:szCs w:val="24"/>
        </w:rPr>
        <w:t xml:space="preserve">mucho menos </w:t>
      </w:r>
      <w:r w:rsidR="00186749">
        <w:rPr>
          <w:rFonts w:ascii="Arial" w:hAnsi="Arial" w:cs="Arial"/>
          <w:sz w:val="24"/>
          <w:szCs w:val="24"/>
        </w:rPr>
        <w:t>por desconocimiento del precedente horizontal</w:t>
      </w:r>
      <w:r w:rsidR="00396C08">
        <w:rPr>
          <w:rFonts w:ascii="Arial" w:hAnsi="Arial" w:cs="Arial"/>
          <w:sz w:val="24"/>
          <w:szCs w:val="24"/>
        </w:rPr>
        <w:t xml:space="preserve">. Por el contrario, observa la Sala que la Sección Cuarta de esta Corporación atendió de forma clara, </w:t>
      </w:r>
      <w:r w:rsidR="00396C08">
        <w:rPr>
          <w:rFonts w:ascii="Arial" w:hAnsi="Arial" w:cs="Arial"/>
          <w:sz w:val="24"/>
          <w:szCs w:val="24"/>
        </w:rPr>
        <w:lastRenderedPageBreak/>
        <w:t>fundada y correcta la controversia que se le puso en conocimiento, de modo que no se presenta vulneración alguna de los derechos fundamentales invocados.</w:t>
      </w:r>
    </w:p>
    <w:p w14:paraId="18194AD5" w14:textId="77777777" w:rsidR="0047418F" w:rsidRPr="00345626" w:rsidRDefault="0047418F" w:rsidP="008962FB">
      <w:pPr>
        <w:pStyle w:val="Textosinformato"/>
        <w:spacing w:line="360" w:lineRule="auto"/>
        <w:jc w:val="both"/>
        <w:rPr>
          <w:rFonts w:ascii="Arial" w:hAnsi="Arial" w:cs="Arial"/>
          <w:b/>
          <w:sz w:val="24"/>
          <w:szCs w:val="24"/>
        </w:rPr>
      </w:pPr>
    </w:p>
    <w:p w14:paraId="1D5888F3" w14:textId="77777777" w:rsidR="000F6942" w:rsidRDefault="008057F3" w:rsidP="008962FB">
      <w:pPr>
        <w:pStyle w:val="Textosinformato"/>
        <w:spacing w:line="360" w:lineRule="auto"/>
        <w:jc w:val="both"/>
        <w:rPr>
          <w:rFonts w:ascii="Arial" w:hAnsi="Arial" w:cs="Arial"/>
          <w:b/>
          <w:sz w:val="24"/>
          <w:szCs w:val="24"/>
        </w:rPr>
      </w:pPr>
      <w:r w:rsidRPr="000C2AC8">
        <w:rPr>
          <w:rFonts w:ascii="Arial" w:hAnsi="Arial" w:cs="Arial"/>
          <w:b/>
          <w:sz w:val="24"/>
          <w:szCs w:val="24"/>
        </w:rPr>
        <w:t>5.</w:t>
      </w:r>
      <w:r w:rsidR="0047418F">
        <w:rPr>
          <w:rFonts w:ascii="Arial" w:hAnsi="Arial" w:cs="Arial"/>
          <w:b/>
          <w:sz w:val="24"/>
          <w:szCs w:val="24"/>
        </w:rPr>
        <w:t>2</w:t>
      </w:r>
      <w:r w:rsidRPr="000C2AC8">
        <w:rPr>
          <w:rFonts w:ascii="Arial" w:hAnsi="Arial" w:cs="Arial"/>
          <w:b/>
          <w:sz w:val="24"/>
          <w:szCs w:val="24"/>
        </w:rPr>
        <w:t xml:space="preserve">.- </w:t>
      </w:r>
      <w:r w:rsidR="007970DC">
        <w:rPr>
          <w:rFonts w:ascii="Arial" w:hAnsi="Arial" w:cs="Arial"/>
          <w:b/>
          <w:sz w:val="24"/>
          <w:szCs w:val="24"/>
        </w:rPr>
        <w:t>D</w:t>
      </w:r>
      <w:r w:rsidR="007970DC" w:rsidRPr="00663FCC">
        <w:rPr>
          <w:rFonts w:ascii="Arial" w:hAnsi="Arial" w:cs="Arial"/>
          <w:b/>
          <w:bCs/>
          <w:sz w:val="24"/>
          <w:szCs w:val="24"/>
        </w:rPr>
        <w:t>efecto por desconocimiento del precedente constitucional como causal específica de procedibilidad de la acción de tutela contra providencias judiciales</w:t>
      </w:r>
    </w:p>
    <w:p w14:paraId="688A9543" w14:textId="77777777" w:rsidR="000F6942" w:rsidRDefault="000F6942" w:rsidP="008962FB">
      <w:pPr>
        <w:pStyle w:val="Textosinformato"/>
        <w:spacing w:line="360" w:lineRule="auto"/>
        <w:jc w:val="both"/>
        <w:rPr>
          <w:rFonts w:ascii="Arial" w:hAnsi="Arial" w:cs="Arial"/>
          <w:b/>
          <w:sz w:val="24"/>
          <w:szCs w:val="24"/>
        </w:rPr>
      </w:pPr>
    </w:p>
    <w:p w14:paraId="278D1404" w14:textId="77777777" w:rsidR="00C50060" w:rsidRPr="00663FCC" w:rsidRDefault="00C50060" w:rsidP="00C50060">
      <w:pPr>
        <w:spacing w:after="0" w:line="360" w:lineRule="auto"/>
        <w:jc w:val="both"/>
        <w:textAlignment w:val="baseline"/>
        <w:rPr>
          <w:rFonts w:ascii="Arial" w:eastAsia="Times New Roman" w:hAnsi="Arial" w:cs="Arial"/>
          <w:color w:val="000000"/>
          <w:sz w:val="24"/>
          <w:szCs w:val="24"/>
          <w:shd w:val="clear" w:color="auto" w:fill="FFFFFF"/>
          <w:lang w:eastAsia="es-CO"/>
        </w:rPr>
      </w:pPr>
      <w:r>
        <w:rPr>
          <w:rFonts w:ascii="Arial" w:eastAsia="Times New Roman" w:hAnsi="Arial" w:cs="Arial"/>
          <w:color w:val="000000"/>
          <w:sz w:val="24"/>
          <w:szCs w:val="24"/>
          <w:bdr w:val="none" w:sz="0" w:space="0" w:color="auto" w:frame="1"/>
          <w:lang w:eastAsia="es-CO"/>
        </w:rPr>
        <w:t xml:space="preserve">5.2.1.- Esta causal </w:t>
      </w:r>
      <w:r w:rsidRPr="00663FCC">
        <w:rPr>
          <w:rFonts w:ascii="Arial" w:eastAsia="Times New Roman" w:hAnsi="Arial" w:cs="Arial"/>
          <w:color w:val="000000"/>
          <w:sz w:val="24"/>
          <w:szCs w:val="24"/>
          <w:bdr w:val="none" w:sz="0" w:space="0" w:color="auto" w:frame="1"/>
          <w:lang w:eastAsia="es-CO"/>
        </w:rPr>
        <w:t xml:space="preserve">se erige de manera autónoma para aludir a aquella insalvable omisión de los jueces al inobservar el precedente fijado por la Corte Constitucional tanto en control abstracto como en control concreto de constitucionalidad. Sin embargo, </w:t>
      </w:r>
      <w:r w:rsidRPr="00663FCC">
        <w:rPr>
          <w:rFonts w:ascii="Arial" w:eastAsia="Times New Roman" w:hAnsi="Arial" w:cs="Arial"/>
          <w:color w:val="000000"/>
          <w:sz w:val="24"/>
          <w:szCs w:val="24"/>
          <w:shd w:val="clear" w:color="auto" w:fill="FFFFFF"/>
          <w:lang w:eastAsia="es-CO"/>
        </w:rPr>
        <w:t>el sentido, alcance y fundamento de obligatoriedad de sus pronunciamientos varía según se trate de fallos de constitucionalidad o de revisión de tutelas</w:t>
      </w:r>
      <w:r w:rsidRPr="00663FCC">
        <w:rPr>
          <w:rStyle w:val="Refdenotaalpie"/>
          <w:rFonts w:ascii="Arial" w:eastAsia="Times New Roman" w:hAnsi="Arial" w:cs="Arial"/>
          <w:color w:val="000000"/>
          <w:sz w:val="24"/>
          <w:szCs w:val="24"/>
          <w:shd w:val="clear" w:color="auto" w:fill="FFFFFF"/>
          <w:lang w:eastAsia="es-CO"/>
        </w:rPr>
        <w:footnoteReference w:id="37"/>
      </w:r>
      <w:r w:rsidRPr="00663FCC">
        <w:rPr>
          <w:rFonts w:ascii="Arial" w:eastAsia="Times New Roman" w:hAnsi="Arial" w:cs="Arial"/>
          <w:color w:val="000000"/>
          <w:sz w:val="24"/>
          <w:szCs w:val="24"/>
          <w:shd w:val="clear" w:color="auto" w:fill="FFFFFF"/>
          <w:lang w:eastAsia="es-CO"/>
        </w:rPr>
        <w:t>. No obstante, ambos tienen en común que se deben acatar </w:t>
      </w:r>
      <w:r w:rsidRPr="00663FCC">
        <w:rPr>
          <w:rFonts w:ascii="Arial" w:eastAsia="Times New Roman" w:hAnsi="Arial" w:cs="Arial"/>
          <w:bCs/>
          <w:color w:val="000000"/>
          <w:sz w:val="24"/>
          <w:szCs w:val="24"/>
          <w:bdr w:val="none" w:sz="0" w:space="0" w:color="auto" w:frame="1"/>
          <w:shd w:val="clear" w:color="auto" w:fill="FFFFFF"/>
          <w:lang w:eastAsia="es-CO"/>
        </w:rPr>
        <w:t>(i)</w:t>
      </w:r>
      <w:r w:rsidRPr="00663FCC">
        <w:rPr>
          <w:rFonts w:ascii="Arial" w:eastAsia="Times New Roman" w:hAnsi="Arial" w:cs="Arial"/>
          <w:color w:val="000000"/>
          <w:sz w:val="24"/>
          <w:szCs w:val="24"/>
          <w:shd w:val="clear" w:color="auto" w:fill="FFFFFF"/>
          <w:lang w:eastAsia="es-CO"/>
        </w:rPr>
        <w:t xml:space="preserve"> para garantizar el carácter normativo de la Constitución como </w:t>
      </w:r>
      <w:r>
        <w:rPr>
          <w:rFonts w:ascii="Arial" w:eastAsia="Times New Roman" w:hAnsi="Arial" w:cs="Arial"/>
          <w:i/>
          <w:color w:val="000000"/>
          <w:sz w:val="24"/>
          <w:szCs w:val="24"/>
          <w:shd w:val="clear" w:color="auto" w:fill="FFFFFF"/>
          <w:lang w:eastAsia="es-CO"/>
        </w:rPr>
        <w:t>N</w:t>
      </w:r>
      <w:r w:rsidRPr="00663FCC">
        <w:rPr>
          <w:rFonts w:ascii="Arial" w:eastAsia="Times New Roman" w:hAnsi="Arial" w:cs="Arial"/>
          <w:i/>
          <w:color w:val="000000"/>
          <w:sz w:val="24"/>
          <w:szCs w:val="24"/>
          <w:shd w:val="clear" w:color="auto" w:fill="FFFFFF"/>
          <w:lang w:eastAsia="es-CO"/>
        </w:rPr>
        <w:t xml:space="preserve">orma </w:t>
      </w:r>
      <w:r>
        <w:rPr>
          <w:rFonts w:ascii="Arial" w:eastAsia="Times New Roman" w:hAnsi="Arial" w:cs="Arial"/>
          <w:i/>
          <w:color w:val="000000"/>
          <w:sz w:val="24"/>
          <w:szCs w:val="24"/>
          <w:shd w:val="clear" w:color="auto" w:fill="FFFFFF"/>
          <w:lang w:eastAsia="es-CO"/>
        </w:rPr>
        <w:t>N</w:t>
      </w:r>
      <w:r w:rsidRPr="00663FCC">
        <w:rPr>
          <w:rFonts w:ascii="Arial" w:eastAsia="Times New Roman" w:hAnsi="Arial" w:cs="Arial"/>
          <w:i/>
          <w:color w:val="000000"/>
          <w:sz w:val="24"/>
          <w:szCs w:val="24"/>
          <w:shd w:val="clear" w:color="auto" w:fill="FFFFFF"/>
          <w:lang w:eastAsia="es-CO"/>
        </w:rPr>
        <w:t>ormarum</w:t>
      </w:r>
      <w:r w:rsidRPr="00663FCC">
        <w:rPr>
          <w:rFonts w:ascii="Arial" w:eastAsia="Times New Roman" w:hAnsi="Arial" w:cs="Arial"/>
          <w:color w:val="000000"/>
          <w:sz w:val="24"/>
          <w:szCs w:val="24"/>
          <w:shd w:val="clear" w:color="auto" w:fill="FFFFFF"/>
          <w:lang w:eastAsia="es-CO"/>
        </w:rPr>
        <w:t>, en tanto la Corte Constitucional es el intérprete autorizado de la Carta</w:t>
      </w:r>
      <w:r w:rsidRPr="00663FCC">
        <w:rPr>
          <w:rStyle w:val="Refdenotaalpie"/>
          <w:rFonts w:ascii="Arial" w:eastAsia="Times New Roman" w:hAnsi="Arial" w:cs="Arial"/>
          <w:color w:val="000000"/>
          <w:sz w:val="24"/>
          <w:szCs w:val="24"/>
          <w:shd w:val="clear" w:color="auto" w:fill="FFFFFF"/>
          <w:lang w:eastAsia="es-CO"/>
        </w:rPr>
        <w:footnoteReference w:id="38"/>
      </w:r>
      <w:r w:rsidRPr="00663FCC">
        <w:rPr>
          <w:rFonts w:ascii="Arial" w:eastAsia="Times New Roman" w:hAnsi="Arial" w:cs="Arial"/>
          <w:color w:val="000000"/>
          <w:sz w:val="24"/>
          <w:szCs w:val="24"/>
          <w:shd w:val="clear" w:color="auto" w:fill="FFFFFF"/>
          <w:lang w:eastAsia="es-CO"/>
        </w:rPr>
        <w:t>, y </w:t>
      </w:r>
      <w:r w:rsidRPr="00663FCC">
        <w:rPr>
          <w:rFonts w:ascii="Arial" w:eastAsia="Times New Roman" w:hAnsi="Arial" w:cs="Arial"/>
          <w:bCs/>
          <w:color w:val="000000"/>
          <w:sz w:val="24"/>
          <w:szCs w:val="24"/>
          <w:bdr w:val="none" w:sz="0" w:space="0" w:color="auto" w:frame="1"/>
          <w:shd w:val="clear" w:color="auto" w:fill="FFFFFF"/>
          <w:lang w:eastAsia="es-CO"/>
        </w:rPr>
        <w:t>(ii)</w:t>
      </w:r>
      <w:r w:rsidRPr="00663FCC">
        <w:rPr>
          <w:rFonts w:ascii="Arial" w:eastAsia="Times New Roman" w:hAnsi="Arial" w:cs="Arial"/>
          <w:color w:val="000000"/>
          <w:sz w:val="24"/>
          <w:szCs w:val="24"/>
          <w:shd w:val="clear" w:color="auto" w:fill="FFFFFF"/>
          <w:lang w:eastAsia="es-CO"/>
        </w:rPr>
        <w:t> para unificar la interpretación de los preceptos constitucionales por razones de igualdad</w:t>
      </w:r>
      <w:r w:rsidRPr="00663FCC">
        <w:rPr>
          <w:rStyle w:val="Refdenotaalpie"/>
          <w:rFonts w:ascii="Arial" w:eastAsia="Times New Roman" w:hAnsi="Arial" w:cs="Arial"/>
          <w:color w:val="000000"/>
          <w:sz w:val="24"/>
          <w:szCs w:val="24"/>
          <w:shd w:val="clear" w:color="auto" w:fill="FFFFFF"/>
          <w:lang w:eastAsia="es-CO"/>
        </w:rPr>
        <w:footnoteReference w:id="39"/>
      </w:r>
      <w:r w:rsidRPr="00663FCC">
        <w:rPr>
          <w:rFonts w:ascii="Arial" w:eastAsia="Times New Roman" w:hAnsi="Arial" w:cs="Arial"/>
          <w:color w:val="000000"/>
          <w:sz w:val="24"/>
          <w:szCs w:val="24"/>
          <w:shd w:val="clear" w:color="auto" w:fill="FFFFFF"/>
          <w:lang w:eastAsia="es-CO"/>
        </w:rPr>
        <w:t>.</w:t>
      </w:r>
    </w:p>
    <w:p w14:paraId="6A45ADC6" w14:textId="77777777" w:rsidR="00C50060" w:rsidRPr="00663FCC" w:rsidRDefault="00C50060" w:rsidP="00C50060">
      <w:pPr>
        <w:shd w:val="clear" w:color="auto" w:fill="FFFFFF"/>
        <w:spacing w:after="0" w:line="360" w:lineRule="auto"/>
        <w:ind w:right="-58"/>
        <w:jc w:val="both"/>
        <w:textAlignment w:val="baseline"/>
        <w:rPr>
          <w:rFonts w:ascii="Arial" w:eastAsia="Times New Roman" w:hAnsi="Arial" w:cs="Arial"/>
          <w:color w:val="000000"/>
          <w:sz w:val="24"/>
          <w:szCs w:val="24"/>
          <w:bdr w:val="none" w:sz="0" w:space="0" w:color="auto" w:frame="1"/>
          <w:lang w:eastAsia="es-CO"/>
        </w:rPr>
      </w:pPr>
    </w:p>
    <w:p w14:paraId="0E287A58" w14:textId="77777777" w:rsidR="00C50060" w:rsidRPr="00663FCC" w:rsidRDefault="00C50060" w:rsidP="00C50060">
      <w:pPr>
        <w:shd w:val="clear" w:color="auto" w:fill="FFFFFF"/>
        <w:spacing w:after="0" w:line="360" w:lineRule="auto"/>
        <w:ind w:right="-58"/>
        <w:jc w:val="both"/>
        <w:textAlignment w:val="baseline"/>
        <w:rPr>
          <w:rFonts w:ascii="Arial" w:eastAsia="Times New Roman" w:hAnsi="Arial" w:cs="Arial"/>
          <w:color w:val="000000"/>
          <w:sz w:val="24"/>
          <w:szCs w:val="24"/>
          <w:lang w:eastAsia="es-CO"/>
        </w:rPr>
      </w:pPr>
      <w:r w:rsidRPr="00663FCC">
        <w:rPr>
          <w:rFonts w:ascii="Arial" w:eastAsia="Times New Roman" w:hAnsi="Arial" w:cs="Arial"/>
          <w:color w:val="000000"/>
          <w:sz w:val="24"/>
          <w:szCs w:val="24"/>
          <w:bdr w:val="none" w:sz="0" w:space="0" w:color="auto" w:frame="1"/>
          <w:lang w:eastAsia="es-CO"/>
        </w:rPr>
        <w:t>De esta manera, respecto de las sentencias de control abstracto de constitucionalidad, la obligatoriedad de la jurisprudencia se desprende de los efectos </w:t>
      </w:r>
      <w:r w:rsidRPr="00663FCC">
        <w:rPr>
          <w:rFonts w:ascii="Arial" w:eastAsia="Times New Roman" w:hAnsi="Arial" w:cs="Arial"/>
          <w:i/>
          <w:iCs/>
          <w:color w:val="000000"/>
          <w:sz w:val="24"/>
          <w:szCs w:val="24"/>
          <w:bdr w:val="none" w:sz="0" w:space="0" w:color="auto" w:frame="1"/>
          <w:lang w:eastAsia="es-CO"/>
        </w:rPr>
        <w:t>erga omnes</w:t>
      </w:r>
      <w:r w:rsidRPr="00663FCC">
        <w:rPr>
          <w:rFonts w:ascii="Arial" w:eastAsia="Times New Roman" w:hAnsi="Arial" w:cs="Arial"/>
          <w:color w:val="000000"/>
          <w:sz w:val="24"/>
          <w:szCs w:val="24"/>
          <w:bdr w:val="none" w:sz="0" w:space="0" w:color="auto" w:frame="1"/>
          <w:lang w:eastAsia="es-CO"/>
        </w:rPr>
        <w:t> y de la cosa juzgada constitucional. Así, cuando una norma se declara inconstitucional por contrariar la Norma Superior, debe salir del ordenamiento</w:t>
      </w:r>
      <w:r w:rsidRPr="00663FCC">
        <w:rPr>
          <w:rStyle w:val="Refdenotaalpie"/>
          <w:rFonts w:ascii="Arial" w:eastAsia="Times New Roman" w:hAnsi="Arial" w:cs="Arial"/>
          <w:color w:val="000000"/>
          <w:sz w:val="24"/>
          <w:szCs w:val="24"/>
          <w:bdr w:val="none" w:sz="0" w:space="0" w:color="auto" w:frame="1"/>
          <w:lang w:eastAsia="es-CO"/>
        </w:rPr>
        <w:footnoteReference w:id="40"/>
      </w:r>
      <w:r w:rsidRPr="00663FCC">
        <w:rPr>
          <w:rFonts w:ascii="Arial" w:eastAsia="Times New Roman" w:hAnsi="Arial" w:cs="Arial"/>
          <w:color w:val="000000"/>
          <w:sz w:val="24"/>
          <w:szCs w:val="24"/>
          <w:bdr w:val="none" w:sz="0" w:space="0" w:color="auto" w:frame="1"/>
          <w:lang w:eastAsia="es-CO"/>
        </w:rPr>
        <w:t>. Esta es la razón por la que la </w:t>
      </w:r>
      <w:r w:rsidRPr="00663FCC">
        <w:rPr>
          <w:rFonts w:ascii="Arial" w:eastAsia="Times New Roman" w:hAnsi="Arial" w:cs="Arial"/>
          <w:i/>
          <w:iCs/>
          <w:color w:val="000000"/>
          <w:sz w:val="24"/>
          <w:szCs w:val="24"/>
          <w:bdr w:val="none" w:sz="0" w:space="0" w:color="auto" w:frame="1"/>
          <w:lang w:eastAsia="es-CO"/>
        </w:rPr>
        <w:t>ratio decidendi</w:t>
      </w:r>
      <w:r w:rsidRPr="00663FCC">
        <w:rPr>
          <w:rFonts w:ascii="Arial" w:eastAsia="Times New Roman" w:hAnsi="Arial" w:cs="Arial"/>
          <w:color w:val="000000"/>
          <w:sz w:val="24"/>
          <w:szCs w:val="24"/>
          <w:bdr w:val="none" w:sz="0" w:space="0" w:color="auto" w:frame="1"/>
          <w:lang w:eastAsia="es-CO"/>
        </w:rPr>
        <w:t> de todas las sentencias de control abstracto de constitucional –bien declaren o no inexequible una disposición–, debe ser acogida, sin hesitación, por todas las autoridades.</w:t>
      </w:r>
    </w:p>
    <w:p w14:paraId="41EA4DA6" w14:textId="77777777" w:rsidR="00C50060" w:rsidRPr="00663FCC" w:rsidRDefault="00C50060" w:rsidP="00C50060">
      <w:pPr>
        <w:shd w:val="clear" w:color="auto" w:fill="FFFFFF"/>
        <w:spacing w:after="0" w:line="360" w:lineRule="auto"/>
        <w:ind w:left="720" w:right="-58"/>
        <w:jc w:val="both"/>
        <w:textAlignment w:val="baseline"/>
        <w:rPr>
          <w:rFonts w:ascii="Arial" w:eastAsia="Times New Roman" w:hAnsi="Arial" w:cs="Arial"/>
          <w:color w:val="000000"/>
          <w:sz w:val="24"/>
          <w:szCs w:val="24"/>
          <w:lang w:eastAsia="es-CO"/>
        </w:rPr>
      </w:pPr>
      <w:r w:rsidRPr="00663FCC">
        <w:rPr>
          <w:rFonts w:ascii="Arial" w:eastAsia="Times New Roman" w:hAnsi="Arial" w:cs="Arial"/>
          <w:b/>
          <w:bCs/>
          <w:color w:val="000000"/>
          <w:sz w:val="24"/>
          <w:szCs w:val="24"/>
          <w:bdr w:val="none" w:sz="0" w:space="0" w:color="auto" w:frame="1"/>
          <w:lang w:eastAsia="es-CO"/>
        </w:rPr>
        <w:t> </w:t>
      </w:r>
    </w:p>
    <w:p w14:paraId="54B19E50" w14:textId="77777777" w:rsidR="00C50060" w:rsidRPr="00663FCC" w:rsidRDefault="00C50060" w:rsidP="00C50060">
      <w:pPr>
        <w:shd w:val="clear" w:color="auto" w:fill="FFFFFF"/>
        <w:spacing w:after="0" w:line="360" w:lineRule="auto"/>
        <w:ind w:right="-58"/>
        <w:jc w:val="both"/>
        <w:textAlignment w:val="baseline"/>
        <w:rPr>
          <w:rFonts w:ascii="Arial" w:eastAsia="Times New Roman" w:hAnsi="Arial" w:cs="Arial"/>
          <w:color w:val="000000"/>
          <w:sz w:val="24"/>
          <w:szCs w:val="24"/>
          <w:lang w:eastAsia="es-CO"/>
        </w:rPr>
      </w:pPr>
      <w:r w:rsidRPr="00663FCC">
        <w:rPr>
          <w:rFonts w:ascii="Arial" w:eastAsia="Times New Roman" w:hAnsi="Arial" w:cs="Arial"/>
          <w:color w:val="000000"/>
          <w:sz w:val="24"/>
          <w:szCs w:val="24"/>
          <w:bdr w:val="none" w:sz="0" w:space="0" w:color="auto" w:frame="1"/>
          <w:lang w:eastAsia="es-CO"/>
        </w:rPr>
        <w:t xml:space="preserve">En cuanto a los fallos proferidos en sede de control concreto de constitucionalidad, la observancia de su </w:t>
      </w:r>
      <w:r w:rsidRPr="00663FCC">
        <w:rPr>
          <w:rFonts w:ascii="Arial" w:eastAsia="Times New Roman" w:hAnsi="Arial" w:cs="Arial"/>
          <w:i/>
          <w:iCs/>
          <w:color w:val="000000"/>
          <w:sz w:val="24"/>
          <w:szCs w:val="24"/>
          <w:bdr w:val="none" w:sz="0" w:space="0" w:color="auto" w:frame="1"/>
          <w:lang w:eastAsia="es-CO"/>
        </w:rPr>
        <w:t>ratio decidendi</w:t>
      </w:r>
      <w:r w:rsidRPr="00663FCC">
        <w:rPr>
          <w:rFonts w:ascii="Arial" w:eastAsia="Times New Roman" w:hAnsi="Arial" w:cs="Arial"/>
          <w:color w:val="000000"/>
          <w:sz w:val="24"/>
          <w:szCs w:val="24"/>
          <w:bdr w:val="none" w:sz="0" w:space="0" w:color="auto" w:frame="1"/>
          <w:lang w:eastAsia="es-CO"/>
        </w:rPr>
        <w:t xml:space="preserve"> se hace necesaria para </w:t>
      </w:r>
      <w:r>
        <w:rPr>
          <w:rFonts w:ascii="Arial" w:eastAsia="Times New Roman" w:hAnsi="Arial" w:cs="Arial"/>
          <w:color w:val="000000"/>
          <w:sz w:val="24"/>
          <w:szCs w:val="24"/>
          <w:bdr w:val="none" w:sz="0" w:space="0" w:color="auto" w:frame="1"/>
          <w:lang w:eastAsia="es-CO"/>
        </w:rPr>
        <w:t>afianzar</w:t>
      </w:r>
      <w:r w:rsidRPr="00663FCC">
        <w:rPr>
          <w:rFonts w:ascii="Arial" w:eastAsia="Times New Roman" w:hAnsi="Arial" w:cs="Arial"/>
          <w:color w:val="000000"/>
          <w:sz w:val="24"/>
          <w:szCs w:val="24"/>
          <w:bdr w:val="none" w:sz="0" w:space="0" w:color="auto" w:frame="1"/>
          <w:lang w:eastAsia="es-CO"/>
        </w:rPr>
        <w:t xml:space="preserve"> los principios de igualdad y de confianza legítima. Es por esta razón por la que en la jurisprudencia constitucional se ha dispuesto que </w:t>
      </w:r>
      <w:r w:rsidRPr="00663FCC">
        <w:rPr>
          <w:rFonts w:ascii="Arial" w:eastAsia="Times New Roman" w:hAnsi="Arial" w:cs="Arial"/>
          <w:i/>
          <w:color w:val="000000"/>
          <w:sz w:val="24"/>
          <w:szCs w:val="24"/>
          <w:bdr w:val="none" w:sz="0" w:space="0" w:color="auto" w:frame="1"/>
          <w:lang w:eastAsia="es-CO"/>
        </w:rPr>
        <w:t xml:space="preserve">“la interpretación y alcance que se le dé a los derechos fundamentales en los fallos de revisión de tutela deben prevalecer sobre </w:t>
      </w:r>
      <w:r w:rsidRPr="00663FCC">
        <w:rPr>
          <w:rFonts w:ascii="Arial" w:eastAsia="Times New Roman" w:hAnsi="Arial" w:cs="Arial"/>
          <w:i/>
          <w:color w:val="000000"/>
          <w:sz w:val="24"/>
          <w:szCs w:val="24"/>
          <w:bdr w:val="none" w:sz="0" w:space="0" w:color="auto" w:frame="1"/>
          <w:lang w:eastAsia="es-CO"/>
        </w:rPr>
        <w:lastRenderedPageBreak/>
        <w:t>aquella que se realiza por otras autoridades judiciales, incluyendo altos tribunales de cierre de las demás jurisdicciones”</w:t>
      </w:r>
      <w:r w:rsidRPr="005D5129">
        <w:rPr>
          <w:rStyle w:val="Refdenotaalpie"/>
          <w:rFonts w:ascii="Arial" w:eastAsia="Times New Roman" w:hAnsi="Arial" w:cs="Arial"/>
          <w:iCs/>
          <w:color w:val="000000"/>
          <w:sz w:val="24"/>
          <w:szCs w:val="24"/>
          <w:bdr w:val="none" w:sz="0" w:space="0" w:color="auto" w:frame="1"/>
          <w:lang w:eastAsia="es-CO"/>
        </w:rPr>
        <w:footnoteReference w:id="41"/>
      </w:r>
      <w:r w:rsidRPr="005D5129">
        <w:rPr>
          <w:rFonts w:ascii="Arial" w:eastAsia="Times New Roman" w:hAnsi="Arial" w:cs="Arial"/>
          <w:iCs/>
          <w:color w:val="000000"/>
          <w:sz w:val="24"/>
          <w:szCs w:val="24"/>
          <w:bdr w:val="none" w:sz="0" w:space="0" w:color="auto" w:frame="1"/>
          <w:vertAlign w:val="subscript"/>
          <w:lang w:eastAsia="es-CO"/>
        </w:rPr>
        <w:t>.</w:t>
      </w:r>
    </w:p>
    <w:p w14:paraId="3D134811" w14:textId="77777777" w:rsidR="00C50060" w:rsidRPr="00663FCC" w:rsidRDefault="00C50060" w:rsidP="00C50060">
      <w:pPr>
        <w:shd w:val="clear" w:color="auto" w:fill="FFFFFF"/>
        <w:spacing w:after="0" w:line="360" w:lineRule="auto"/>
        <w:ind w:right="-58"/>
        <w:jc w:val="both"/>
        <w:textAlignment w:val="baseline"/>
        <w:rPr>
          <w:rFonts w:ascii="Arial" w:eastAsia="Times New Roman" w:hAnsi="Arial" w:cs="Arial"/>
          <w:color w:val="000000"/>
          <w:sz w:val="24"/>
          <w:szCs w:val="24"/>
          <w:lang w:eastAsia="es-CO"/>
        </w:rPr>
      </w:pPr>
    </w:p>
    <w:p w14:paraId="27C08852" w14:textId="77777777" w:rsidR="00C50060" w:rsidRPr="00663FCC" w:rsidRDefault="00C50060" w:rsidP="00C50060">
      <w:pPr>
        <w:spacing w:after="0" w:line="36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Así, </w:t>
      </w:r>
      <w:r w:rsidRPr="00663FCC">
        <w:rPr>
          <w:rFonts w:ascii="Arial" w:eastAsia="Times New Roman" w:hAnsi="Arial" w:cs="Arial"/>
          <w:color w:val="000000"/>
          <w:sz w:val="24"/>
          <w:szCs w:val="24"/>
          <w:shd w:val="clear" w:color="auto" w:fill="FFFFFF"/>
          <w:lang w:eastAsia="es-CO"/>
        </w:rPr>
        <w:t xml:space="preserve">se desconoce el precedente constitucional, entre otros eventos, cuando el juez aplica disposiciones normativas ignorando o bien </w:t>
      </w:r>
      <w:r w:rsidRPr="00663FCC">
        <w:rPr>
          <w:rFonts w:ascii="Arial" w:eastAsia="Times New Roman" w:hAnsi="Arial" w:cs="Arial"/>
          <w:color w:val="000000"/>
          <w:sz w:val="24"/>
          <w:szCs w:val="24"/>
          <w:bdr w:val="none" w:sz="0" w:space="0" w:color="auto" w:frame="1"/>
          <w:lang w:eastAsia="es-CO"/>
        </w:rPr>
        <w:t>(i) la </w:t>
      </w:r>
      <w:r w:rsidRPr="00663FCC">
        <w:rPr>
          <w:rFonts w:ascii="Arial" w:eastAsia="Times New Roman" w:hAnsi="Arial" w:cs="Arial"/>
          <w:i/>
          <w:iCs/>
          <w:color w:val="000000"/>
          <w:sz w:val="24"/>
          <w:szCs w:val="24"/>
          <w:bdr w:val="none" w:sz="0" w:space="0" w:color="auto" w:frame="1"/>
          <w:lang w:eastAsia="es-CO"/>
        </w:rPr>
        <w:t>ratio decidendi</w:t>
      </w:r>
      <w:r w:rsidRPr="00663FCC">
        <w:rPr>
          <w:rFonts w:ascii="Arial" w:eastAsia="Times New Roman" w:hAnsi="Arial" w:cs="Arial"/>
          <w:color w:val="000000"/>
          <w:sz w:val="24"/>
          <w:szCs w:val="24"/>
          <w:bdr w:val="none" w:sz="0" w:space="0" w:color="auto" w:frame="1"/>
          <w:lang w:eastAsia="es-CO"/>
        </w:rPr>
        <w:t> de sentencias de constitucionalidad; o (ii) el alcance de los derechos fundamentales fijado por la Corte Constitucional en la</w:t>
      </w:r>
      <w:r w:rsidRPr="00663FCC">
        <w:rPr>
          <w:rFonts w:ascii="Arial" w:eastAsia="Times New Roman" w:hAnsi="Arial" w:cs="Arial"/>
          <w:i/>
          <w:iCs/>
          <w:color w:val="000000"/>
          <w:sz w:val="24"/>
          <w:szCs w:val="24"/>
          <w:bdr w:val="none" w:sz="0" w:space="0" w:color="auto" w:frame="1"/>
          <w:lang w:eastAsia="es-CO"/>
        </w:rPr>
        <w:t> ratio decidendi </w:t>
      </w:r>
      <w:r w:rsidRPr="00663FCC">
        <w:rPr>
          <w:rFonts w:ascii="Arial" w:eastAsia="Times New Roman" w:hAnsi="Arial" w:cs="Arial"/>
          <w:color w:val="000000"/>
          <w:sz w:val="24"/>
          <w:szCs w:val="24"/>
          <w:bdr w:val="none" w:sz="0" w:space="0" w:color="auto" w:frame="1"/>
          <w:lang w:eastAsia="es-CO"/>
        </w:rPr>
        <w:t>de las sentencias de tutela proferidas por la Sala Plena, conocidas como sentencias de unificación</w:t>
      </w:r>
      <w:r>
        <w:rPr>
          <w:rStyle w:val="Refdenotaalpie"/>
          <w:rFonts w:ascii="Arial" w:eastAsia="Times New Roman" w:hAnsi="Arial" w:cs="Arial"/>
          <w:color w:val="000000"/>
          <w:sz w:val="24"/>
          <w:szCs w:val="24"/>
          <w:bdr w:val="none" w:sz="0" w:space="0" w:color="auto" w:frame="1"/>
          <w:lang w:eastAsia="es-CO"/>
        </w:rPr>
        <w:footnoteReference w:id="42"/>
      </w:r>
      <w:r w:rsidRPr="00663FCC">
        <w:rPr>
          <w:rFonts w:ascii="Arial" w:eastAsia="Times New Roman" w:hAnsi="Arial" w:cs="Arial"/>
          <w:color w:val="000000"/>
          <w:sz w:val="24"/>
          <w:szCs w:val="24"/>
          <w:bdr w:val="none" w:sz="0" w:space="0" w:color="auto" w:frame="1"/>
          <w:lang w:eastAsia="es-CO"/>
        </w:rPr>
        <w:t>, o por las distintas Salas de Revisión</w:t>
      </w:r>
      <w:r w:rsidRPr="00663FCC">
        <w:rPr>
          <w:rStyle w:val="Refdenotaalpie"/>
          <w:rFonts w:ascii="Arial" w:eastAsia="Times New Roman" w:hAnsi="Arial" w:cs="Arial"/>
          <w:color w:val="000000"/>
          <w:sz w:val="24"/>
          <w:szCs w:val="24"/>
          <w:bdr w:val="none" w:sz="0" w:space="0" w:color="auto" w:frame="1"/>
          <w:lang w:eastAsia="es-CO"/>
        </w:rPr>
        <w:footnoteReference w:id="43"/>
      </w:r>
      <w:r w:rsidRPr="00663FCC">
        <w:rPr>
          <w:rFonts w:ascii="Arial" w:eastAsia="Times New Roman" w:hAnsi="Arial" w:cs="Arial"/>
          <w:color w:val="000000"/>
          <w:sz w:val="24"/>
          <w:szCs w:val="24"/>
          <w:bdr w:val="none" w:sz="0" w:space="0" w:color="auto" w:frame="1"/>
          <w:lang w:eastAsia="es-CO"/>
        </w:rPr>
        <w:t>. Respecto de las decisiones adoptadas por estas últimas, el desconocimiento del precedente constitucional se configura solo si los fallos eludidos constituyen jurisprudencia en vigor</w:t>
      </w:r>
      <w:r w:rsidRPr="00663FCC">
        <w:rPr>
          <w:rStyle w:val="Refdenotaalpie"/>
          <w:rFonts w:ascii="Arial" w:eastAsia="Times New Roman" w:hAnsi="Arial" w:cs="Arial"/>
          <w:color w:val="000000"/>
          <w:sz w:val="24"/>
          <w:szCs w:val="24"/>
          <w:bdr w:val="none" w:sz="0" w:space="0" w:color="auto" w:frame="1"/>
          <w:lang w:eastAsia="es-CO"/>
        </w:rPr>
        <w:footnoteReference w:id="44"/>
      </w:r>
      <w:r w:rsidRPr="00663FCC">
        <w:rPr>
          <w:rFonts w:ascii="Arial" w:eastAsia="Times New Roman" w:hAnsi="Arial" w:cs="Arial"/>
          <w:color w:val="000000"/>
          <w:sz w:val="24"/>
          <w:szCs w:val="24"/>
          <w:bdr w:val="none" w:sz="0" w:space="0" w:color="auto" w:frame="1"/>
          <w:lang w:eastAsia="es-CO"/>
        </w:rPr>
        <w:t>.</w:t>
      </w:r>
    </w:p>
    <w:p w14:paraId="203A8AF5" w14:textId="77777777" w:rsidR="00C50060" w:rsidRPr="00663FCC" w:rsidRDefault="00C50060" w:rsidP="00C50060">
      <w:pPr>
        <w:shd w:val="clear" w:color="auto" w:fill="FFFFFF"/>
        <w:spacing w:after="0" w:line="360" w:lineRule="auto"/>
        <w:ind w:left="720" w:right="-58"/>
        <w:jc w:val="both"/>
        <w:textAlignment w:val="baseline"/>
        <w:rPr>
          <w:rFonts w:ascii="Arial" w:eastAsia="Times New Roman" w:hAnsi="Arial" w:cs="Arial"/>
          <w:color w:val="000000"/>
          <w:sz w:val="24"/>
          <w:szCs w:val="24"/>
          <w:lang w:eastAsia="es-CO"/>
        </w:rPr>
      </w:pPr>
      <w:r w:rsidRPr="00663FCC">
        <w:rPr>
          <w:rFonts w:ascii="Arial" w:eastAsia="Times New Roman" w:hAnsi="Arial" w:cs="Arial"/>
          <w:color w:val="000000"/>
          <w:sz w:val="24"/>
          <w:szCs w:val="24"/>
          <w:bdr w:val="none" w:sz="0" w:space="0" w:color="auto" w:frame="1"/>
          <w:lang w:eastAsia="es-CO"/>
        </w:rPr>
        <w:t> </w:t>
      </w:r>
      <w:r w:rsidRPr="00663FCC">
        <w:rPr>
          <w:rFonts w:ascii="Arial" w:eastAsia="Times New Roman" w:hAnsi="Arial" w:cs="Arial"/>
          <w:color w:val="000000"/>
          <w:sz w:val="24"/>
          <w:szCs w:val="24"/>
          <w:bdr w:val="none" w:sz="0" w:space="0" w:color="auto" w:frame="1"/>
          <w:shd w:val="clear" w:color="auto" w:fill="FFFFFF"/>
          <w:lang w:eastAsia="es-CO"/>
        </w:rPr>
        <w:t> </w:t>
      </w:r>
    </w:p>
    <w:p w14:paraId="00F19254" w14:textId="77777777" w:rsidR="00C50060" w:rsidRPr="00663FCC" w:rsidRDefault="00C50060" w:rsidP="00C50060">
      <w:pPr>
        <w:shd w:val="clear" w:color="auto" w:fill="FFFFFF"/>
        <w:spacing w:after="0" w:line="360" w:lineRule="auto"/>
        <w:ind w:right="-58"/>
        <w:jc w:val="both"/>
        <w:textAlignment w:val="baseline"/>
        <w:rPr>
          <w:rFonts w:ascii="Arial" w:eastAsia="Times New Roman" w:hAnsi="Arial" w:cs="Arial"/>
          <w:color w:val="000000"/>
          <w:sz w:val="24"/>
          <w:szCs w:val="24"/>
          <w:lang w:eastAsia="es-CO"/>
        </w:rPr>
      </w:pPr>
      <w:r>
        <w:rPr>
          <w:rFonts w:ascii="Arial" w:eastAsia="Times New Roman" w:hAnsi="Arial" w:cs="Arial"/>
          <w:color w:val="000000"/>
          <w:sz w:val="24"/>
          <w:szCs w:val="24"/>
          <w:bdr w:val="none" w:sz="0" w:space="0" w:color="auto" w:frame="1"/>
          <w:lang w:eastAsia="es-CO"/>
        </w:rPr>
        <w:t xml:space="preserve">Retomando, </w:t>
      </w:r>
      <w:r>
        <w:rPr>
          <w:rFonts w:ascii="Arial" w:eastAsia="Times New Roman" w:hAnsi="Arial" w:cs="Arial"/>
          <w:color w:val="000000"/>
          <w:sz w:val="24"/>
          <w:szCs w:val="24"/>
          <w:bdr w:val="none" w:sz="0" w:space="0" w:color="auto" w:frame="1"/>
          <w:shd w:val="clear" w:color="auto" w:fill="FFFFFF"/>
          <w:lang w:eastAsia="es-CO"/>
        </w:rPr>
        <w:t xml:space="preserve">para concluir, </w:t>
      </w:r>
      <w:r w:rsidRPr="00663FCC">
        <w:rPr>
          <w:rFonts w:ascii="Arial" w:eastAsia="Times New Roman" w:hAnsi="Arial" w:cs="Arial"/>
          <w:color w:val="000000"/>
          <w:sz w:val="24"/>
          <w:szCs w:val="24"/>
          <w:bdr w:val="none" w:sz="0" w:space="0" w:color="auto" w:frame="1"/>
          <w:shd w:val="clear" w:color="auto" w:fill="FFFFFF"/>
          <w:lang w:eastAsia="es-CO"/>
        </w:rPr>
        <w:t xml:space="preserve">el precedente constitucional puede llegar a </w:t>
      </w:r>
      <w:r w:rsidR="00900EDA">
        <w:rPr>
          <w:rFonts w:ascii="Arial" w:eastAsia="Times New Roman" w:hAnsi="Arial" w:cs="Arial"/>
          <w:color w:val="000000"/>
          <w:sz w:val="24"/>
          <w:szCs w:val="24"/>
          <w:bdr w:val="none" w:sz="0" w:space="0" w:color="auto" w:frame="1"/>
          <w:shd w:val="clear" w:color="auto" w:fill="FFFFFF"/>
          <w:lang w:eastAsia="es-CO"/>
        </w:rPr>
        <w:t xml:space="preserve">inobservarse </w:t>
      </w:r>
      <w:r w:rsidRPr="00663FCC">
        <w:rPr>
          <w:rFonts w:ascii="Arial" w:eastAsia="Times New Roman" w:hAnsi="Arial" w:cs="Arial"/>
          <w:color w:val="000000"/>
          <w:sz w:val="24"/>
          <w:szCs w:val="24"/>
          <w:bdr w:val="none" w:sz="0" w:space="0" w:color="auto" w:frame="1"/>
          <w:shd w:val="clear" w:color="auto" w:fill="FFFFFF"/>
          <w:lang w:eastAsia="es-CO"/>
        </w:rPr>
        <w:t>cuando: </w:t>
      </w:r>
      <w:r w:rsidRPr="00663FCC">
        <w:rPr>
          <w:rFonts w:ascii="Arial" w:eastAsia="Times New Roman" w:hAnsi="Arial" w:cs="Arial"/>
          <w:bCs/>
          <w:color w:val="000000"/>
          <w:sz w:val="24"/>
          <w:szCs w:val="24"/>
          <w:bdr w:val="none" w:sz="0" w:space="0" w:color="auto" w:frame="1"/>
          <w:lang w:eastAsia="es-CO"/>
        </w:rPr>
        <w:t>(i)</w:t>
      </w:r>
      <w:r w:rsidRPr="00663FCC">
        <w:rPr>
          <w:rFonts w:ascii="Arial" w:eastAsia="Times New Roman" w:hAnsi="Arial" w:cs="Arial"/>
          <w:color w:val="000000"/>
          <w:sz w:val="24"/>
          <w:szCs w:val="24"/>
          <w:bdr w:val="none" w:sz="0" w:space="0" w:color="auto" w:frame="1"/>
          <w:shd w:val="clear" w:color="auto" w:fill="FFFFFF"/>
          <w:lang w:eastAsia="es-CO"/>
        </w:rPr>
        <w:t xml:space="preserve"> se aplican disposiciones legales que han sido declaradas inexequibles por sentencias de control de constitucionalidad, </w:t>
      </w:r>
      <w:r w:rsidRPr="00663FCC">
        <w:rPr>
          <w:rFonts w:ascii="Arial" w:eastAsia="Times New Roman" w:hAnsi="Arial" w:cs="Arial"/>
          <w:bCs/>
          <w:color w:val="000000"/>
          <w:sz w:val="24"/>
          <w:szCs w:val="24"/>
          <w:bdr w:val="none" w:sz="0" w:space="0" w:color="auto" w:frame="1"/>
          <w:lang w:eastAsia="es-CO"/>
        </w:rPr>
        <w:t>(ii) </w:t>
      </w:r>
      <w:r w:rsidRPr="00663FCC">
        <w:rPr>
          <w:rFonts w:ascii="Arial" w:eastAsia="Times New Roman" w:hAnsi="Arial" w:cs="Arial"/>
          <w:color w:val="000000"/>
          <w:sz w:val="24"/>
          <w:szCs w:val="24"/>
          <w:bdr w:val="none" w:sz="0" w:space="0" w:color="auto" w:frame="1"/>
          <w:shd w:val="clear" w:color="auto" w:fill="FFFFFF"/>
          <w:lang w:eastAsia="es-CO"/>
        </w:rPr>
        <w:t>se contraría la </w:t>
      </w:r>
      <w:r w:rsidRPr="00663FCC">
        <w:rPr>
          <w:rFonts w:ascii="Arial" w:eastAsia="Times New Roman" w:hAnsi="Arial" w:cs="Arial"/>
          <w:i/>
          <w:iCs/>
          <w:color w:val="000000"/>
          <w:sz w:val="24"/>
          <w:szCs w:val="24"/>
          <w:bdr w:val="none" w:sz="0" w:space="0" w:color="auto" w:frame="1"/>
          <w:lang w:eastAsia="es-CO"/>
        </w:rPr>
        <w:t>ratio decidendi </w:t>
      </w:r>
      <w:r w:rsidRPr="00663FCC">
        <w:rPr>
          <w:rFonts w:ascii="Arial" w:eastAsia="Times New Roman" w:hAnsi="Arial" w:cs="Arial"/>
          <w:color w:val="000000"/>
          <w:sz w:val="24"/>
          <w:szCs w:val="24"/>
          <w:bdr w:val="none" w:sz="0" w:space="0" w:color="auto" w:frame="1"/>
          <w:shd w:val="clear" w:color="auto" w:fill="FFFFFF"/>
          <w:lang w:eastAsia="es-CO"/>
        </w:rPr>
        <w:t xml:space="preserve">de sentencias de control de constitucionalidad, especialmente la interpretación de un precepto que la Corte ha señalado es el que debe acogerse a la luz del texto superior, </w:t>
      </w:r>
      <w:r w:rsidRPr="00663FCC">
        <w:rPr>
          <w:rFonts w:ascii="Arial" w:eastAsia="Times New Roman" w:hAnsi="Arial" w:cs="Arial"/>
          <w:bCs/>
          <w:color w:val="000000"/>
          <w:sz w:val="24"/>
          <w:szCs w:val="24"/>
          <w:bdr w:val="none" w:sz="0" w:space="0" w:color="auto" w:frame="1"/>
          <w:lang w:eastAsia="es-CO"/>
        </w:rPr>
        <w:t>(iii)</w:t>
      </w:r>
      <w:r w:rsidRPr="00663FCC">
        <w:rPr>
          <w:rFonts w:ascii="Arial" w:eastAsia="Times New Roman" w:hAnsi="Arial" w:cs="Arial"/>
          <w:color w:val="000000"/>
          <w:sz w:val="24"/>
          <w:szCs w:val="24"/>
          <w:bdr w:val="none" w:sz="0" w:space="0" w:color="auto" w:frame="1"/>
          <w:shd w:val="clear" w:color="auto" w:fill="FFFFFF"/>
          <w:lang w:eastAsia="es-CO"/>
        </w:rPr>
        <w:t xml:space="preserve"> se </w:t>
      </w:r>
      <w:r w:rsidRPr="00900EDA">
        <w:rPr>
          <w:rFonts w:ascii="Arial" w:eastAsia="Times New Roman" w:hAnsi="Arial" w:cs="Arial"/>
          <w:color w:val="000000"/>
          <w:sz w:val="24"/>
          <w:szCs w:val="24"/>
          <w:bdr w:val="none" w:sz="0" w:space="0" w:color="auto" w:frame="1"/>
          <w:shd w:val="clear" w:color="auto" w:fill="FFFFFF"/>
          <w:lang w:eastAsia="es-CO"/>
        </w:rPr>
        <w:t>desconoce</w:t>
      </w:r>
      <w:r w:rsidRPr="00663FCC">
        <w:rPr>
          <w:rFonts w:ascii="Arial" w:eastAsia="Times New Roman" w:hAnsi="Arial" w:cs="Arial"/>
          <w:color w:val="000000"/>
          <w:sz w:val="24"/>
          <w:szCs w:val="24"/>
          <w:bdr w:val="none" w:sz="0" w:space="0" w:color="auto" w:frame="1"/>
          <w:shd w:val="clear" w:color="auto" w:fill="FFFFFF"/>
          <w:lang w:eastAsia="es-CO"/>
        </w:rPr>
        <w:t xml:space="preserve"> la parte resolutiva de una sentencia de exequibilidad condicionada o </w:t>
      </w:r>
      <w:r w:rsidRPr="00663FCC">
        <w:rPr>
          <w:rFonts w:ascii="Arial" w:eastAsia="Times New Roman" w:hAnsi="Arial" w:cs="Arial"/>
          <w:bCs/>
          <w:color w:val="000000"/>
          <w:sz w:val="24"/>
          <w:szCs w:val="24"/>
          <w:bdr w:val="none" w:sz="0" w:space="0" w:color="auto" w:frame="1"/>
          <w:lang w:eastAsia="es-CO"/>
        </w:rPr>
        <w:t>(iv) </w:t>
      </w:r>
      <w:r w:rsidRPr="00663FCC">
        <w:rPr>
          <w:rFonts w:ascii="Arial" w:eastAsia="Times New Roman" w:hAnsi="Arial" w:cs="Arial"/>
          <w:color w:val="000000"/>
          <w:sz w:val="24"/>
          <w:szCs w:val="24"/>
          <w:bdr w:val="none" w:sz="0" w:space="0" w:color="auto" w:frame="1"/>
          <w:shd w:val="clear" w:color="auto" w:fill="FFFFFF"/>
          <w:lang w:eastAsia="es-CO"/>
        </w:rPr>
        <w:t xml:space="preserve">se </w:t>
      </w:r>
      <w:r w:rsidRPr="00900EDA">
        <w:rPr>
          <w:rFonts w:ascii="Arial" w:eastAsia="Times New Roman" w:hAnsi="Arial" w:cs="Arial"/>
          <w:color w:val="000000"/>
          <w:sz w:val="24"/>
          <w:szCs w:val="24"/>
          <w:bdr w:val="none" w:sz="0" w:space="0" w:color="auto" w:frame="1"/>
          <w:shd w:val="clear" w:color="auto" w:fill="FFFFFF"/>
          <w:lang w:eastAsia="es-CO"/>
        </w:rPr>
        <w:t>desconoce</w:t>
      </w:r>
      <w:r w:rsidRPr="00663FCC">
        <w:rPr>
          <w:rFonts w:ascii="Arial" w:eastAsia="Times New Roman" w:hAnsi="Arial" w:cs="Arial"/>
          <w:color w:val="000000"/>
          <w:sz w:val="24"/>
          <w:szCs w:val="24"/>
          <w:bdr w:val="none" w:sz="0" w:space="0" w:color="auto" w:frame="1"/>
          <w:shd w:val="clear" w:color="auto" w:fill="FFFFFF"/>
          <w:lang w:eastAsia="es-CO"/>
        </w:rPr>
        <w:t xml:space="preserve"> el alcance de los derechos fundamentales fijado por la Corte </w:t>
      </w:r>
      <w:r w:rsidRPr="00663FCC">
        <w:rPr>
          <w:rFonts w:ascii="Arial" w:eastAsia="Times New Roman" w:hAnsi="Arial" w:cs="Arial"/>
          <w:color w:val="000000"/>
          <w:sz w:val="24"/>
          <w:szCs w:val="24"/>
          <w:bdr w:val="none" w:sz="0" w:space="0" w:color="auto" w:frame="1"/>
          <w:shd w:val="clear" w:color="auto" w:fill="FFFFFF"/>
          <w:lang w:eastAsia="es-CO"/>
        </w:rPr>
        <w:lastRenderedPageBreak/>
        <w:t>Constitucional a través de la </w:t>
      </w:r>
      <w:r w:rsidRPr="00663FCC">
        <w:rPr>
          <w:rFonts w:ascii="Arial" w:eastAsia="Times New Roman" w:hAnsi="Arial" w:cs="Arial"/>
          <w:i/>
          <w:iCs/>
          <w:color w:val="000000"/>
          <w:sz w:val="24"/>
          <w:szCs w:val="24"/>
          <w:bdr w:val="none" w:sz="0" w:space="0" w:color="auto" w:frame="1"/>
          <w:lang w:eastAsia="es-CO"/>
        </w:rPr>
        <w:t>ratio decidendi</w:t>
      </w:r>
      <w:r w:rsidRPr="00663FCC">
        <w:rPr>
          <w:rFonts w:ascii="Arial" w:eastAsia="Times New Roman" w:hAnsi="Arial" w:cs="Arial"/>
          <w:color w:val="000000"/>
          <w:sz w:val="24"/>
          <w:szCs w:val="24"/>
          <w:bdr w:val="none" w:sz="0" w:space="0" w:color="auto" w:frame="1"/>
          <w:shd w:val="clear" w:color="auto" w:fill="FFFFFF"/>
          <w:lang w:eastAsia="es-CO"/>
        </w:rPr>
        <w:t> de sus sentencias de control de constitucionalidad o de revisión de tutela</w:t>
      </w:r>
      <w:bookmarkStart w:id="10" w:name="_ftnref43"/>
      <w:r w:rsidRPr="00663FCC">
        <w:rPr>
          <w:rStyle w:val="Refdenotaalpie"/>
          <w:rFonts w:ascii="Arial" w:eastAsia="Times New Roman" w:hAnsi="Arial" w:cs="Arial"/>
          <w:color w:val="000000"/>
          <w:sz w:val="24"/>
          <w:szCs w:val="24"/>
          <w:bdr w:val="none" w:sz="0" w:space="0" w:color="auto" w:frame="1"/>
          <w:shd w:val="clear" w:color="auto" w:fill="FFFFFF"/>
          <w:lang w:eastAsia="es-CO"/>
        </w:rPr>
        <w:footnoteReference w:id="45"/>
      </w:r>
      <w:bookmarkEnd w:id="10"/>
      <w:r>
        <w:rPr>
          <w:rFonts w:ascii="Arial" w:eastAsia="Times New Roman" w:hAnsi="Arial" w:cs="Arial"/>
          <w:color w:val="000000"/>
          <w:sz w:val="24"/>
          <w:szCs w:val="24"/>
          <w:bdr w:val="none" w:sz="0" w:space="0" w:color="auto" w:frame="1"/>
          <w:shd w:val="clear" w:color="auto" w:fill="FFFFFF"/>
          <w:lang w:eastAsia="es-CO"/>
        </w:rPr>
        <w:t>.</w:t>
      </w:r>
    </w:p>
    <w:p w14:paraId="4E875244" w14:textId="77777777" w:rsidR="005075ED" w:rsidRPr="00C50060" w:rsidRDefault="005075ED" w:rsidP="008962FB">
      <w:pPr>
        <w:pStyle w:val="Textosinformato"/>
        <w:spacing w:line="360" w:lineRule="auto"/>
        <w:jc w:val="both"/>
        <w:rPr>
          <w:rFonts w:ascii="Arial" w:hAnsi="Arial" w:cs="Arial"/>
          <w:color w:val="000000"/>
          <w:sz w:val="24"/>
          <w:szCs w:val="24"/>
          <w:bdr w:val="none" w:sz="0" w:space="0" w:color="auto" w:frame="1"/>
          <w:lang w:val="es-CO" w:eastAsia="es-CO"/>
        </w:rPr>
      </w:pPr>
    </w:p>
    <w:p w14:paraId="386BEBEC" w14:textId="77777777" w:rsidR="00712800" w:rsidRPr="00D80C1C" w:rsidRDefault="00275CF0" w:rsidP="008962FB">
      <w:pPr>
        <w:pStyle w:val="Textosinformato"/>
        <w:spacing w:line="360" w:lineRule="auto"/>
        <w:jc w:val="both"/>
        <w:rPr>
          <w:rFonts w:ascii="Arial" w:hAnsi="Arial" w:cs="Arial"/>
          <w:i/>
          <w:iCs/>
          <w:sz w:val="24"/>
          <w:szCs w:val="24"/>
        </w:rPr>
      </w:pPr>
      <w:r>
        <w:rPr>
          <w:rFonts w:ascii="Arial" w:hAnsi="Arial" w:cs="Arial"/>
          <w:sz w:val="24"/>
          <w:szCs w:val="24"/>
        </w:rPr>
        <w:t>5.2.</w:t>
      </w:r>
      <w:r w:rsidR="0092281F">
        <w:rPr>
          <w:rFonts w:ascii="Arial" w:hAnsi="Arial" w:cs="Arial"/>
          <w:sz w:val="24"/>
          <w:szCs w:val="24"/>
        </w:rPr>
        <w:t>2</w:t>
      </w:r>
      <w:r>
        <w:rPr>
          <w:rFonts w:ascii="Arial" w:hAnsi="Arial" w:cs="Arial"/>
          <w:sz w:val="24"/>
          <w:szCs w:val="24"/>
        </w:rPr>
        <w:t xml:space="preserve">.- </w:t>
      </w:r>
      <w:r w:rsidR="009F3F32">
        <w:rPr>
          <w:rFonts w:ascii="Arial" w:hAnsi="Arial" w:cs="Arial"/>
          <w:sz w:val="24"/>
          <w:szCs w:val="24"/>
        </w:rPr>
        <w:t>Así, s</w:t>
      </w:r>
      <w:r w:rsidR="008A3731">
        <w:rPr>
          <w:rFonts w:ascii="Arial" w:hAnsi="Arial" w:cs="Arial"/>
          <w:sz w:val="24"/>
          <w:szCs w:val="24"/>
        </w:rPr>
        <w:t>oport</w:t>
      </w:r>
      <w:r w:rsidR="009F3F32">
        <w:rPr>
          <w:rFonts w:ascii="Arial" w:hAnsi="Arial" w:cs="Arial"/>
          <w:sz w:val="24"/>
          <w:szCs w:val="24"/>
        </w:rPr>
        <w:t>ó</w:t>
      </w:r>
      <w:r w:rsidR="008A3731">
        <w:rPr>
          <w:rFonts w:ascii="Arial" w:hAnsi="Arial" w:cs="Arial"/>
          <w:sz w:val="24"/>
          <w:szCs w:val="24"/>
        </w:rPr>
        <w:t xml:space="preserve"> l</w:t>
      </w:r>
      <w:r w:rsidR="009F3F32">
        <w:rPr>
          <w:rFonts w:ascii="Arial" w:hAnsi="Arial" w:cs="Arial"/>
          <w:sz w:val="24"/>
          <w:szCs w:val="24"/>
        </w:rPr>
        <w:t>a</w:t>
      </w:r>
      <w:r w:rsidR="008A3731">
        <w:rPr>
          <w:rFonts w:ascii="Arial" w:hAnsi="Arial" w:cs="Arial"/>
          <w:sz w:val="24"/>
          <w:szCs w:val="24"/>
        </w:rPr>
        <w:t xml:space="preserve"> </w:t>
      </w:r>
      <w:r w:rsidR="009F3F32">
        <w:rPr>
          <w:rFonts w:ascii="Arial" w:hAnsi="Arial" w:cs="Arial"/>
          <w:sz w:val="24"/>
          <w:szCs w:val="24"/>
        </w:rPr>
        <w:t>accionante</w:t>
      </w:r>
      <w:r w:rsidR="008A3731">
        <w:rPr>
          <w:rFonts w:ascii="Arial" w:hAnsi="Arial" w:cs="Arial"/>
          <w:sz w:val="24"/>
          <w:szCs w:val="24"/>
        </w:rPr>
        <w:t xml:space="preserve"> este defecto</w:t>
      </w:r>
      <w:r w:rsidR="00991A9C">
        <w:rPr>
          <w:rFonts w:ascii="Arial" w:hAnsi="Arial" w:cs="Arial"/>
          <w:sz w:val="24"/>
          <w:szCs w:val="24"/>
        </w:rPr>
        <w:t xml:space="preserve"> </w:t>
      </w:r>
      <w:r w:rsidR="008A3731">
        <w:rPr>
          <w:rFonts w:ascii="Arial" w:hAnsi="Arial" w:cs="Arial"/>
          <w:sz w:val="24"/>
          <w:szCs w:val="24"/>
        </w:rPr>
        <w:t>sobre</w:t>
      </w:r>
      <w:r>
        <w:rPr>
          <w:rFonts w:ascii="Arial" w:hAnsi="Arial" w:cs="Arial"/>
          <w:sz w:val="24"/>
          <w:szCs w:val="24"/>
        </w:rPr>
        <w:t xml:space="preserve"> el desconocimiento </w:t>
      </w:r>
      <w:r w:rsidR="0092281F">
        <w:rPr>
          <w:rFonts w:ascii="Arial" w:hAnsi="Arial" w:cs="Arial"/>
          <w:sz w:val="24"/>
          <w:szCs w:val="24"/>
        </w:rPr>
        <w:t xml:space="preserve">de la sentencia C-910 de 2004, la cual revisó la constitucionalidad del artículo 647-1 y lo encontró ajustado a los artículos 29 y 83 de la </w:t>
      </w:r>
      <w:r w:rsidR="009E4932">
        <w:rPr>
          <w:rFonts w:ascii="Arial" w:hAnsi="Arial" w:cs="Arial"/>
          <w:sz w:val="24"/>
          <w:szCs w:val="24"/>
        </w:rPr>
        <w:t xml:space="preserve">Norma de Normas. </w:t>
      </w:r>
    </w:p>
    <w:p w14:paraId="1F468D49" w14:textId="77777777" w:rsidR="004A4564" w:rsidRDefault="004A4564" w:rsidP="008962FB">
      <w:pPr>
        <w:pStyle w:val="Textosinformato"/>
        <w:spacing w:line="360" w:lineRule="auto"/>
        <w:jc w:val="both"/>
        <w:rPr>
          <w:rFonts w:ascii="Arial" w:hAnsi="Arial" w:cs="Arial"/>
          <w:sz w:val="24"/>
          <w:szCs w:val="24"/>
        </w:rPr>
      </w:pPr>
    </w:p>
    <w:p w14:paraId="70A6E71C" w14:textId="77777777" w:rsidR="00DF475F" w:rsidRPr="00087D46" w:rsidRDefault="00D80C1C" w:rsidP="00087D46">
      <w:pPr>
        <w:spacing w:after="0" w:line="360" w:lineRule="auto"/>
        <w:ind w:right="-232"/>
        <w:jc w:val="both"/>
        <w:rPr>
          <w:color w:val="2D2D2D"/>
          <w:sz w:val="28"/>
          <w:szCs w:val="28"/>
          <w:shd w:val="clear" w:color="auto" w:fill="FFFFFF"/>
        </w:rPr>
      </w:pPr>
      <w:r>
        <w:rPr>
          <w:rFonts w:ascii="Arial" w:hAnsi="Arial" w:cs="Arial"/>
          <w:sz w:val="24"/>
          <w:szCs w:val="24"/>
        </w:rPr>
        <w:t>5.2.</w:t>
      </w:r>
      <w:r w:rsidR="0092281F">
        <w:rPr>
          <w:rFonts w:ascii="Arial" w:hAnsi="Arial" w:cs="Arial"/>
          <w:sz w:val="24"/>
          <w:szCs w:val="24"/>
        </w:rPr>
        <w:t>3</w:t>
      </w:r>
      <w:r>
        <w:rPr>
          <w:rFonts w:ascii="Arial" w:hAnsi="Arial" w:cs="Arial"/>
          <w:sz w:val="24"/>
          <w:szCs w:val="24"/>
        </w:rPr>
        <w:t xml:space="preserve">.- </w:t>
      </w:r>
      <w:r w:rsidR="00B86E3C">
        <w:rPr>
          <w:rFonts w:ascii="Arial" w:hAnsi="Arial" w:cs="Arial"/>
          <w:sz w:val="24"/>
          <w:szCs w:val="24"/>
        </w:rPr>
        <w:t xml:space="preserve">Sobre este asunto, </w:t>
      </w:r>
      <w:r>
        <w:rPr>
          <w:rFonts w:ascii="Arial" w:hAnsi="Arial" w:cs="Arial"/>
          <w:sz w:val="24"/>
          <w:szCs w:val="24"/>
        </w:rPr>
        <w:t xml:space="preserve">como se vio en el acápite anterior, </w:t>
      </w:r>
      <w:r w:rsidR="00396C08">
        <w:rPr>
          <w:rFonts w:ascii="Arial" w:hAnsi="Arial" w:cs="Arial"/>
          <w:sz w:val="24"/>
          <w:szCs w:val="24"/>
        </w:rPr>
        <w:t>c</w:t>
      </w:r>
      <w:r w:rsidR="00396C08" w:rsidRPr="006D2F0C">
        <w:rPr>
          <w:rFonts w:ascii="Arial" w:hAnsi="Arial" w:cs="Arial"/>
          <w:sz w:val="24"/>
          <w:szCs w:val="24"/>
        </w:rPr>
        <w:t>ontrario a lo señalado</w:t>
      </w:r>
      <w:r w:rsidR="00396C08">
        <w:rPr>
          <w:rFonts w:ascii="Arial" w:hAnsi="Arial" w:cs="Arial"/>
          <w:sz w:val="24"/>
          <w:szCs w:val="24"/>
        </w:rPr>
        <w:t xml:space="preserve"> por la accionante, </w:t>
      </w:r>
      <w:r w:rsidR="00396C08" w:rsidRPr="00852A2E">
        <w:rPr>
          <w:rFonts w:ascii="Arial" w:hAnsi="Arial" w:cs="Arial"/>
          <w:sz w:val="24"/>
          <w:szCs w:val="24"/>
        </w:rPr>
        <w:t>no hay un desconocimiento de</w:t>
      </w:r>
      <w:r w:rsidR="0092281F">
        <w:rPr>
          <w:rFonts w:ascii="Arial" w:hAnsi="Arial" w:cs="Arial"/>
          <w:sz w:val="24"/>
          <w:szCs w:val="24"/>
        </w:rPr>
        <w:t>l referido fallo de control abstracto de constitucionalidad</w:t>
      </w:r>
      <w:r w:rsidR="00396C08" w:rsidRPr="00852A2E">
        <w:rPr>
          <w:rFonts w:ascii="Arial" w:hAnsi="Arial" w:cs="Arial"/>
          <w:sz w:val="24"/>
          <w:szCs w:val="24"/>
        </w:rPr>
        <w:t xml:space="preserve">. En realidad, </w:t>
      </w:r>
      <w:r w:rsidR="0092281F">
        <w:rPr>
          <w:rFonts w:ascii="Arial" w:hAnsi="Arial" w:cs="Arial"/>
          <w:sz w:val="24"/>
          <w:szCs w:val="24"/>
        </w:rPr>
        <w:t>tal cual se</w:t>
      </w:r>
      <w:r w:rsidR="00396C08" w:rsidRPr="00852A2E">
        <w:rPr>
          <w:rFonts w:ascii="Arial" w:hAnsi="Arial" w:cs="Arial"/>
          <w:sz w:val="24"/>
          <w:szCs w:val="24"/>
        </w:rPr>
        <w:t xml:space="preserve"> ha dicho, con la decisión adoptada por la </w:t>
      </w:r>
      <w:r w:rsidR="00852A2E">
        <w:rPr>
          <w:rFonts w:ascii="Arial" w:hAnsi="Arial" w:cs="Arial"/>
          <w:sz w:val="24"/>
          <w:szCs w:val="24"/>
        </w:rPr>
        <w:t>Sección Cuarta</w:t>
      </w:r>
      <w:r w:rsidR="0071232C">
        <w:rPr>
          <w:rFonts w:ascii="Arial" w:hAnsi="Arial" w:cs="Arial"/>
          <w:sz w:val="24"/>
          <w:szCs w:val="24"/>
        </w:rPr>
        <w:t xml:space="preserve"> de la Sala</w:t>
      </w:r>
      <w:r w:rsidR="00396C08" w:rsidRPr="00852A2E">
        <w:rPr>
          <w:rFonts w:ascii="Arial" w:hAnsi="Arial" w:cs="Arial"/>
          <w:sz w:val="24"/>
          <w:szCs w:val="24"/>
        </w:rPr>
        <w:t xml:space="preserve"> de lo Contencioso Administrativo</w:t>
      </w:r>
      <w:r w:rsidR="00852A2E">
        <w:rPr>
          <w:rFonts w:ascii="Arial" w:hAnsi="Arial" w:cs="Arial"/>
          <w:sz w:val="24"/>
          <w:szCs w:val="24"/>
        </w:rPr>
        <w:t xml:space="preserve"> del Consejo de Estado</w:t>
      </w:r>
      <w:r w:rsidR="00396C08" w:rsidRPr="00852A2E">
        <w:rPr>
          <w:rFonts w:ascii="Arial" w:hAnsi="Arial" w:cs="Arial"/>
          <w:sz w:val="24"/>
          <w:szCs w:val="24"/>
        </w:rPr>
        <w:t xml:space="preserve"> se desarrolla lo establecido </w:t>
      </w:r>
      <w:r w:rsidR="0092281F">
        <w:rPr>
          <w:rFonts w:ascii="Arial" w:hAnsi="Arial" w:cs="Arial"/>
          <w:sz w:val="24"/>
          <w:szCs w:val="24"/>
        </w:rPr>
        <w:t>en él</w:t>
      </w:r>
      <w:r w:rsidR="00396C08" w:rsidRPr="00852A2E">
        <w:rPr>
          <w:rFonts w:ascii="Arial" w:hAnsi="Arial" w:cs="Arial"/>
          <w:sz w:val="24"/>
          <w:szCs w:val="24"/>
        </w:rPr>
        <w:t xml:space="preserve"> y de esta manera, se acoge el precedente </w:t>
      </w:r>
      <w:r w:rsidR="0071232C">
        <w:rPr>
          <w:rFonts w:ascii="Arial" w:hAnsi="Arial" w:cs="Arial"/>
          <w:i/>
          <w:iCs/>
          <w:sz w:val="24"/>
          <w:szCs w:val="24"/>
        </w:rPr>
        <w:t xml:space="preserve">erga omnes </w:t>
      </w:r>
      <w:r w:rsidR="00396C08" w:rsidRPr="00852A2E">
        <w:rPr>
          <w:rFonts w:ascii="Arial" w:hAnsi="Arial" w:cs="Arial"/>
          <w:sz w:val="24"/>
          <w:szCs w:val="24"/>
        </w:rPr>
        <w:t>que sobre la materia ha emitido la Corte Constitucional</w:t>
      </w:r>
      <w:r w:rsidR="0092281F">
        <w:rPr>
          <w:rFonts w:ascii="Arial" w:hAnsi="Arial" w:cs="Arial"/>
          <w:sz w:val="24"/>
          <w:szCs w:val="24"/>
        </w:rPr>
        <w:t xml:space="preserve">, el cual fue claro en señalar que </w:t>
      </w:r>
      <w:r w:rsidR="0092281F" w:rsidRPr="0092281F">
        <w:rPr>
          <w:rFonts w:ascii="Arial" w:hAnsi="Arial" w:cs="Arial"/>
          <w:i/>
          <w:iCs/>
          <w:sz w:val="24"/>
          <w:szCs w:val="24"/>
        </w:rPr>
        <w:t>“</w:t>
      </w:r>
      <w:r w:rsidR="0092281F" w:rsidRPr="0092281F">
        <w:rPr>
          <w:rFonts w:ascii="Arial" w:hAnsi="Arial" w:cs="Arial"/>
          <w:i/>
          <w:iCs/>
          <w:sz w:val="24"/>
          <w:szCs w:val="24"/>
          <w:shd w:val="clear" w:color="auto" w:fill="FFFFFF"/>
        </w:rPr>
        <w:t>en el artículo 647-1 del Estatuto Tributario no se establece una sanción autónoma, sino que se regulan las condiciones en las cuales las sanciones por inexactitud y por corrección se aplican cuando se trate de rechazo o disminución de pérdidas.”.</w:t>
      </w:r>
      <w:r w:rsidR="0092281F">
        <w:rPr>
          <w:color w:val="2D2D2D"/>
          <w:sz w:val="28"/>
          <w:szCs w:val="28"/>
          <w:shd w:val="clear" w:color="auto" w:fill="FFFFFF"/>
        </w:rPr>
        <w:t> </w:t>
      </w:r>
      <w:r w:rsidR="00D879B1">
        <w:rPr>
          <w:rFonts w:ascii="Arial" w:hAnsi="Arial" w:cs="Arial"/>
          <w:bCs/>
          <w:sz w:val="24"/>
          <w:szCs w:val="24"/>
        </w:rPr>
        <w:t xml:space="preserve">Por lo tanto, encuentra </w:t>
      </w:r>
      <w:r w:rsidR="002C1076">
        <w:rPr>
          <w:rFonts w:ascii="Arial" w:hAnsi="Arial" w:cs="Arial"/>
          <w:bCs/>
          <w:sz w:val="24"/>
          <w:szCs w:val="24"/>
        </w:rPr>
        <w:t xml:space="preserve">la Sala que </w:t>
      </w:r>
      <w:r w:rsidR="006B50C8">
        <w:rPr>
          <w:rFonts w:ascii="Arial" w:hAnsi="Arial" w:cs="Arial"/>
          <w:bCs/>
          <w:sz w:val="24"/>
          <w:szCs w:val="24"/>
        </w:rPr>
        <w:t xml:space="preserve">no hay </w:t>
      </w:r>
      <w:r w:rsidR="007562C4">
        <w:rPr>
          <w:rFonts w:ascii="Arial" w:hAnsi="Arial" w:cs="Arial"/>
          <w:bCs/>
          <w:sz w:val="24"/>
          <w:szCs w:val="24"/>
        </w:rPr>
        <w:t>motivo</w:t>
      </w:r>
      <w:r w:rsidR="006B50C8">
        <w:rPr>
          <w:rFonts w:ascii="Arial" w:hAnsi="Arial" w:cs="Arial"/>
          <w:bCs/>
          <w:sz w:val="24"/>
          <w:szCs w:val="24"/>
        </w:rPr>
        <w:t>s</w:t>
      </w:r>
      <w:r w:rsidR="00D879B1">
        <w:rPr>
          <w:rFonts w:ascii="Arial" w:hAnsi="Arial" w:cs="Arial"/>
          <w:bCs/>
          <w:sz w:val="24"/>
          <w:szCs w:val="24"/>
        </w:rPr>
        <w:t xml:space="preserve"> p</w:t>
      </w:r>
      <w:r w:rsidR="006B50C8">
        <w:rPr>
          <w:rFonts w:ascii="Arial" w:hAnsi="Arial" w:cs="Arial"/>
          <w:bCs/>
          <w:sz w:val="24"/>
          <w:szCs w:val="24"/>
        </w:rPr>
        <w:t xml:space="preserve">ara declarar </w:t>
      </w:r>
      <w:r w:rsidR="00D879B1">
        <w:rPr>
          <w:rFonts w:ascii="Arial" w:hAnsi="Arial" w:cs="Arial"/>
          <w:bCs/>
          <w:sz w:val="24"/>
          <w:szCs w:val="24"/>
        </w:rPr>
        <w:t>este defecto.</w:t>
      </w:r>
    </w:p>
    <w:p w14:paraId="4DFD02D9" w14:textId="77777777" w:rsidR="0043256E" w:rsidRDefault="0043256E" w:rsidP="008057F3">
      <w:pPr>
        <w:pStyle w:val="Textosinformato"/>
        <w:spacing w:line="360" w:lineRule="auto"/>
        <w:jc w:val="both"/>
        <w:rPr>
          <w:rFonts w:ascii="Arial" w:hAnsi="Arial" w:cs="Arial"/>
          <w:sz w:val="24"/>
          <w:szCs w:val="24"/>
        </w:rPr>
      </w:pPr>
    </w:p>
    <w:p w14:paraId="7E632B66" w14:textId="77777777" w:rsidR="00087D46" w:rsidRDefault="00087D46" w:rsidP="008057F3">
      <w:pPr>
        <w:pStyle w:val="Textosinformato"/>
        <w:spacing w:line="360" w:lineRule="auto"/>
        <w:jc w:val="both"/>
        <w:rPr>
          <w:rFonts w:ascii="Arial" w:hAnsi="Arial" w:cs="Arial"/>
          <w:sz w:val="24"/>
          <w:szCs w:val="24"/>
        </w:rPr>
      </w:pPr>
      <w:r>
        <w:rPr>
          <w:rFonts w:ascii="Arial" w:hAnsi="Arial" w:cs="Arial"/>
          <w:sz w:val="24"/>
          <w:szCs w:val="24"/>
        </w:rPr>
        <w:t xml:space="preserve">6.- </w:t>
      </w:r>
      <w:r w:rsidR="00C6672B">
        <w:rPr>
          <w:rFonts w:ascii="Arial" w:hAnsi="Arial" w:cs="Arial"/>
          <w:sz w:val="24"/>
          <w:szCs w:val="24"/>
        </w:rPr>
        <w:t>En</w:t>
      </w:r>
      <w:r>
        <w:rPr>
          <w:rFonts w:ascii="Arial" w:hAnsi="Arial" w:cs="Arial"/>
          <w:sz w:val="24"/>
          <w:szCs w:val="24"/>
        </w:rPr>
        <w:t xml:space="preserve"> síntesis, en el </w:t>
      </w:r>
      <w:r>
        <w:rPr>
          <w:rFonts w:ascii="Arial" w:hAnsi="Arial" w:cs="Arial"/>
          <w:i/>
          <w:iCs/>
          <w:sz w:val="24"/>
          <w:szCs w:val="24"/>
        </w:rPr>
        <w:t xml:space="preserve">sub judice </w:t>
      </w:r>
      <w:r>
        <w:rPr>
          <w:rFonts w:ascii="Arial" w:hAnsi="Arial" w:cs="Arial"/>
          <w:sz w:val="24"/>
          <w:szCs w:val="24"/>
        </w:rPr>
        <w:t>no se configuran los defectos estudiados</w:t>
      </w:r>
      <w:r w:rsidR="00115DA3">
        <w:rPr>
          <w:rFonts w:ascii="Arial" w:hAnsi="Arial" w:cs="Arial"/>
          <w:sz w:val="24"/>
          <w:szCs w:val="24"/>
        </w:rPr>
        <w:t xml:space="preserve"> respecto de la sentencia del 25 de julio de 2019</w:t>
      </w:r>
      <w:r>
        <w:rPr>
          <w:rFonts w:ascii="Arial" w:hAnsi="Arial" w:cs="Arial"/>
          <w:sz w:val="24"/>
          <w:szCs w:val="24"/>
        </w:rPr>
        <w:t>,</w:t>
      </w:r>
      <w:r w:rsidR="00115DA3">
        <w:rPr>
          <w:rFonts w:ascii="Arial" w:hAnsi="Arial" w:cs="Arial"/>
          <w:sz w:val="24"/>
          <w:szCs w:val="24"/>
        </w:rPr>
        <w:t xml:space="preserve"> proferida por la Sección Cuarta de esta Corporación, razón por la cual se procederá a confirmar la decisión de tutela de primer grado, conforme los argumentos esbozados anteriormente.</w:t>
      </w:r>
      <w:r>
        <w:rPr>
          <w:rFonts w:ascii="Arial" w:hAnsi="Arial" w:cs="Arial"/>
          <w:sz w:val="24"/>
          <w:szCs w:val="24"/>
        </w:rPr>
        <w:t xml:space="preserve">  </w:t>
      </w:r>
    </w:p>
    <w:p w14:paraId="3D84EFD3" w14:textId="77777777" w:rsidR="0050316E" w:rsidRPr="00EB1491" w:rsidRDefault="0050316E" w:rsidP="00EB1491">
      <w:pPr>
        <w:pStyle w:val="Sinespaciado1"/>
        <w:spacing w:line="360" w:lineRule="auto"/>
        <w:jc w:val="both"/>
        <w:rPr>
          <w:rFonts w:ascii="Arial" w:hAnsi="Arial" w:cs="Arial"/>
          <w:color w:val="000000"/>
          <w:lang w:eastAsia="es-CO"/>
        </w:rPr>
      </w:pPr>
    </w:p>
    <w:p w14:paraId="2FF15096" w14:textId="77777777" w:rsidR="00096400" w:rsidRPr="00EB1491" w:rsidRDefault="00096400" w:rsidP="00096400">
      <w:pPr>
        <w:pStyle w:val="Sinespaciado1"/>
        <w:spacing w:line="360" w:lineRule="auto"/>
        <w:jc w:val="both"/>
        <w:rPr>
          <w:rFonts w:ascii="Arial" w:hAnsi="Arial" w:cs="Arial"/>
          <w:color w:val="000000"/>
          <w:lang w:eastAsia="es-CO"/>
        </w:rPr>
      </w:pPr>
      <w:r w:rsidRPr="00EB1491">
        <w:rPr>
          <w:rFonts w:ascii="Arial" w:hAnsi="Arial" w:cs="Arial"/>
          <w:color w:val="000000"/>
          <w:lang w:eastAsia="es-CO"/>
        </w:rPr>
        <w:t xml:space="preserve">En mérito de lo expuesto, la </w:t>
      </w:r>
      <w:r w:rsidR="00001E1D" w:rsidRPr="00EB1491">
        <w:rPr>
          <w:rFonts w:ascii="Arial" w:hAnsi="Arial" w:cs="Arial"/>
          <w:color w:val="000000"/>
          <w:lang w:eastAsia="es-CO"/>
        </w:rPr>
        <w:t>S</w:t>
      </w:r>
      <w:r w:rsidRPr="00EB1491">
        <w:rPr>
          <w:rFonts w:ascii="Arial" w:hAnsi="Arial" w:cs="Arial"/>
          <w:color w:val="000000"/>
          <w:lang w:eastAsia="es-CO"/>
        </w:rPr>
        <w:t>u</w:t>
      </w:r>
      <w:r w:rsidR="007064BA" w:rsidRPr="00EB1491">
        <w:rPr>
          <w:rFonts w:ascii="Arial" w:hAnsi="Arial" w:cs="Arial"/>
          <w:color w:val="000000"/>
          <w:lang w:eastAsia="es-CO"/>
        </w:rPr>
        <w:t>bsección C de la Sección Tercera</w:t>
      </w:r>
      <w:r w:rsidRPr="00EB1491">
        <w:rPr>
          <w:rFonts w:ascii="Arial" w:hAnsi="Arial" w:cs="Arial"/>
          <w:color w:val="000000"/>
          <w:lang w:eastAsia="es-CO"/>
        </w:rPr>
        <w:t xml:space="preserve"> de la Sala de lo Contencioso Administrativo del Consejo de Estado, administrando justicia en nombre de la República y por autoridad de la ley,</w:t>
      </w:r>
    </w:p>
    <w:p w14:paraId="57AD69A6" w14:textId="77777777" w:rsidR="0050316E" w:rsidRPr="00EB1491" w:rsidRDefault="0050316E" w:rsidP="00EB1491">
      <w:pPr>
        <w:pStyle w:val="Cuadrculamedia21"/>
        <w:spacing w:line="360" w:lineRule="auto"/>
        <w:jc w:val="center"/>
        <w:rPr>
          <w:rFonts w:ascii="Arial" w:eastAsia="Times New Roman" w:hAnsi="Arial" w:cs="Arial"/>
          <w:b/>
          <w:sz w:val="24"/>
          <w:szCs w:val="24"/>
          <w:lang w:eastAsia="es-CO"/>
        </w:rPr>
      </w:pPr>
    </w:p>
    <w:p w14:paraId="32BAF95F" w14:textId="77777777" w:rsidR="00096400" w:rsidRPr="00EB1491" w:rsidRDefault="00535E12" w:rsidP="00290C45">
      <w:pPr>
        <w:pStyle w:val="Cuadrculamedia21"/>
        <w:spacing w:line="360" w:lineRule="auto"/>
        <w:jc w:val="center"/>
        <w:rPr>
          <w:rFonts w:ascii="Arial" w:eastAsia="Times New Roman" w:hAnsi="Arial" w:cs="Arial"/>
          <w:b/>
          <w:sz w:val="24"/>
          <w:szCs w:val="24"/>
          <w:lang w:eastAsia="es-CO"/>
        </w:rPr>
      </w:pPr>
      <w:r w:rsidRPr="00EB1491">
        <w:rPr>
          <w:rFonts w:ascii="Arial" w:eastAsia="Times New Roman" w:hAnsi="Arial" w:cs="Arial"/>
          <w:b/>
          <w:sz w:val="24"/>
          <w:szCs w:val="24"/>
          <w:lang w:eastAsia="es-CO"/>
        </w:rPr>
        <w:t xml:space="preserve">III.- </w:t>
      </w:r>
      <w:r w:rsidR="00096400" w:rsidRPr="00EB1491">
        <w:rPr>
          <w:rFonts w:ascii="Arial" w:eastAsia="Times New Roman" w:hAnsi="Arial" w:cs="Arial"/>
          <w:b/>
          <w:sz w:val="24"/>
          <w:szCs w:val="24"/>
          <w:lang w:eastAsia="es-CO"/>
        </w:rPr>
        <w:t>RESUELVE</w:t>
      </w:r>
    </w:p>
    <w:p w14:paraId="49FD72D9" w14:textId="77777777" w:rsidR="0043256E" w:rsidRPr="00EB1491" w:rsidRDefault="0043256E" w:rsidP="00EB1491">
      <w:pPr>
        <w:pStyle w:val="Cuadrculamedia21"/>
        <w:spacing w:line="360" w:lineRule="auto"/>
        <w:jc w:val="both"/>
        <w:rPr>
          <w:rFonts w:ascii="Arial" w:hAnsi="Arial" w:cs="Arial"/>
          <w:b/>
          <w:sz w:val="24"/>
          <w:szCs w:val="24"/>
          <w:lang w:eastAsia="es-CO"/>
        </w:rPr>
      </w:pPr>
    </w:p>
    <w:p w14:paraId="1B2BD7A9" w14:textId="77777777" w:rsidR="001C5D66" w:rsidRPr="00EB1491" w:rsidRDefault="00096400" w:rsidP="00290C45">
      <w:pPr>
        <w:pStyle w:val="Cuadrculamedia21"/>
        <w:spacing w:line="360" w:lineRule="auto"/>
        <w:jc w:val="both"/>
        <w:rPr>
          <w:rFonts w:ascii="Arial" w:hAnsi="Arial" w:cs="Arial"/>
          <w:sz w:val="24"/>
          <w:szCs w:val="24"/>
          <w:lang w:eastAsia="es-CO"/>
        </w:rPr>
      </w:pPr>
      <w:r w:rsidRPr="00EB1491">
        <w:rPr>
          <w:rFonts w:ascii="Arial" w:hAnsi="Arial" w:cs="Arial"/>
          <w:b/>
          <w:sz w:val="24"/>
          <w:szCs w:val="24"/>
          <w:lang w:eastAsia="es-CO"/>
        </w:rPr>
        <w:t xml:space="preserve">PRIMERO: CONFIRMAR </w:t>
      </w:r>
      <w:r w:rsidR="000F6942" w:rsidRPr="00EB1491">
        <w:rPr>
          <w:rFonts w:ascii="Arial" w:hAnsi="Arial" w:cs="Arial"/>
          <w:sz w:val="24"/>
          <w:szCs w:val="24"/>
          <w:lang w:eastAsia="es-CO"/>
        </w:rPr>
        <w:t>la sentencia</w:t>
      </w:r>
      <w:r w:rsidRPr="00EB1491">
        <w:rPr>
          <w:rFonts w:ascii="Arial" w:hAnsi="Arial" w:cs="Arial"/>
          <w:sz w:val="24"/>
          <w:szCs w:val="24"/>
          <w:lang w:eastAsia="es-CO"/>
        </w:rPr>
        <w:t xml:space="preserve"> </w:t>
      </w:r>
      <w:r w:rsidR="000F6942" w:rsidRPr="00EB1491">
        <w:rPr>
          <w:rFonts w:ascii="Arial" w:hAnsi="Arial" w:cs="Arial"/>
          <w:sz w:val="24"/>
          <w:szCs w:val="24"/>
          <w:lang w:eastAsia="es-CO"/>
        </w:rPr>
        <w:t>d</w:t>
      </w:r>
      <w:r w:rsidR="000F6942" w:rsidRPr="00EB1491">
        <w:rPr>
          <w:rFonts w:ascii="Arial" w:hAnsi="Arial" w:cs="Arial"/>
          <w:sz w:val="24"/>
          <w:szCs w:val="24"/>
        </w:rPr>
        <w:t xml:space="preserve">el </w:t>
      </w:r>
      <w:r w:rsidR="00087D46">
        <w:rPr>
          <w:rFonts w:ascii="Arial" w:hAnsi="Arial" w:cs="Arial"/>
          <w:sz w:val="24"/>
          <w:szCs w:val="24"/>
        </w:rPr>
        <w:t>04</w:t>
      </w:r>
      <w:r w:rsidR="000F6942" w:rsidRPr="00EB1491">
        <w:rPr>
          <w:rFonts w:ascii="Arial" w:hAnsi="Arial" w:cs="Arial"/>
          <w:sz w:val="24"/>
          <w:szCs w:val="24"/>
        </w:rPr>
        <w:t xml:space="preserve"> de </w:t>
      </w:r>
      <w:r w:rsidR="00046AC9">
        <w:rPr>
          <w:rFonts w:ascii="Arial" w:hAnsi="Arial" w:cs="Arial"/>
          <w:sz w:val="24"/>
          <w:szCs w:val="24"/>
        </w:rPr>
        <w:t>juni</w:t>
      </w:r>
      <w:r w:rsidR="000F6942" w:rsidRPr="00EB1491">
        <w:rPr>
          <w:rFonts w:ascii="Arial" w:hAnsi="Arial" w:cs="Arial"/>
          <w:sz w:val="24"/>
          <w:szCs w:val="24"/>
        </w:rPr>
        <w:t xml:space="preserve">o de 2020 </w:t>
      </w:r>
      <w:r w:rsidRPr="00EB1491">
        <w:rPr>
          <w:rFonts w:ascii="Arial" w:hAnsi="Arial" w:cs="Arial"/>
          <w:sz w:val="24"/>
          <w:szCs w:val="24"/>
          <w:lang w:eastAsia="es-CO"/>
        </w:rPr>
        <w:t>proferid</w:t>
      </w:r>
      <w:r w:rsidR="000F6942" w:rsidRPr="00EB1491">
        <w:rPr>
          <w:rFonts w:ascii="Arial" w:hAnsi="Arial" w:cs="Arial"/>
          <w:sz w:val="24"/>
          <w:szCs w:val="24"/>
          <w:lang w:eastAsia="es-CO"/>
        </w:rPr>
        <w:t>a</w:t>
      </w:r>
      <w:r w:rsidRPr="00EB1491">
        <w:rPr>
          <w:rFonts w:ascii="Arial" w:hAnsi="Arial" w:cs="Arial"/>
          <w:sz w:val="24"/>
          <w:szCs w:val="24"/>
          <w:lang w:eastAsia="es-CO"/>
        </w:rPr>
        <w:t xml:space="preserve"> por </w:t>
      </w:r>
      <w:r w:rsidR="002B666D" w:rsidRPr="00EB1491">
        <w:rPr>
          <w:rFonts w:ascii="Arial" w:hAnsi="Arial" w:cs="Arial"/>
          <w:sz w:val="24"/>
          <w:szCs w:val="24"/>
        </w:rPr>
        <w:t xml:space="preserve">la </w:t>
      </w:r>
      <w:r w:rsidR="00087D46">
        <w:rPr>
          <w:rFonts w:ascii="Arial" w:hAnsi="Arial" w:cs="Arial"/>
          <w:sz w:val="24"/>
          <w:szCs w:val="24"/>
        </w:rPr>
        <w:t xml:space="preserve">Subsección A de la </w:t>
      </w:r>
      <w:r w:rsidR="002B666D" w:rsidRPr="00EB1491">
        <w:rPr>
          <w:rFonts w:ascii="Arial" w:hAnsi="Arial" w:cs="Arial"/>
          <w:sz w:val="24"/>
          <w:szCs w:val="24"/>
        </w:rPr>
        <w:t xml:space="preserve">Sección </w:t>
      </w:r>
      <w:r w:rsidR="00087D46">
        <w:rPr>
          <w:rFonts w:ascii="Arial" w:hAnsi="Arial" w:cs="Arial"/>
          <w:sz w:val="24"/>
          <w:szCs w:val="24"/>
        </w:rPr>
        <w:t>Segund</w:t>
      </w:r>
      <w:r w:rsidR="002B666D" w:rsidRPr="00EB1491">
        <w:rPr>
          <w:rFonts w:ascii="Arial" w:hAnsi="Arial" w:cs="Arial"/>
          <w:sz w:val="24"/>
          <w:szCs w:val="24"/>
        </w:rPr>
        <w:t>a de la Sala de lo Contencioso Administrativo del Consejo de Estado, a través de</w:t>
      </w:r>
      <w:r w:rsidR="00D07940">
        <w:rPr>
          <w:rFonts w:ascii="Arial" w:hAnsi="Arial" w:cs="Arial"/>
          <w:sz w:val="24"/>
          <w:szCs w:val="24"/>
        </w:rPr>
        <w:t xml:space="preserve"> </w:t>
      </w:r>
      <w:r w:rsidR="002B666D" w:rsidRPr="00EB1491">
        <w:rPr>
          <w:rFonts w:ascii="Arial" w:hAnsi="Arial" w:cs="Arial"/>
          <w:sz w:val="24"/>
          <w:szCs w:val="24"/>
        </w:rPr>
        <w:t>l</w:t>
      </w:r>
      <w:r w:rsidR="00D07940">
        <w:rPr>
          <w:rFonts w:ascii="Arial" w:hAnsi="Arial" w:cs="Arial"/>
          <w:sz w:val="24"/>
          <w:szCs w:val="24"/>
        </w:rPr>
        <w:t>a</w:t>
      </w:r>
      <w:r w:rsidR="002B666D" w:rsidRPr="00EB1491">
        <w:rPr>
          <w:rFonts w:ascii="Arial" w:hAnsi="Arial" w:cs="Arial"/>
          <w:sz w:val="24"/>
          <w:szCs w:val="24"/>
        </w:rPr>
        <w:t xml:space="preserve"> cual</w:t>
      </w:r>
      <w:r w:rsidR="00D07940">
        <w:rPr>
          <w:rFonts w:ascii="Arial" w:hAnsi="Arial" w:cs="Arial"/>
          <w:sz w:val="24"/>
          <w:szCs w:val="24"/>
        </w:rPr>
        <w:t xml:space="preserve"> </w:t>
      </w:r>
      <w:r w:rsidR="002B666D" w:rsidRPr="00EB1491">
        <w:rPr>
          <w:rFonts w:ascii="Arial" w:hAnsi="Arial" w:cs="Arial"/>
          <w:sz w:val="24"/>
          <w:szCs w:val="24"/>
        </w:rPr>
        <w:t>negó</w:t>
      </w:r>
      <w:r w:rsidR="00087D46">
        <w:rPr>
          <w:rFonts w:ascii="Arial" w:hAnsi="Arial" w:cs="Arial"/>
          <w:sz w:val="24"/>
          <w:szCs w:val="24"/>
        </w:rPr>
        <w:t xml:space="preserve"> el amparo</w:t>
      </w:r>
      <w:r w:rsidR="00C6672B" w:rsidRPr="00EB1491">
        <w:rPr>
          <w:rFonts w:ascii="Arial" w:hAnsi="Arial" w:cs="Arial"/>
          <w:sz w:val="24"/>
          <w:szCs w:val="24"/>
          <w:lang w:eastAsia="es-CO"/>
        </w:rPr>
        <w:t>, por las razones</w:t>
      </w:r>
      <w:r w:rsidR="00EB1491">
        <w:rPr>
          <w:rFonts w:ascii="Arial" w:hAnsi="Arial" w:cs="Arial"/>
          <w:sz w:val="24"/>
          <w:szCs w:val="24"/>
          <w:lang w:eastAsia="es-CO"/>
        </w:rPr>
        <w:t xml:space="preserve"> aquí expuestas</w:t>
      </w:r>
      <w:r w:rsidR="00C6672B" w:rsidRPr="00EB1491">
        <w:rPr>
          <w:rFonts w:ascii="Arial" w:hAnsi="Arial" w:cs="Arial"/>
          <w:sz w:val="24"/>
          <w:szCs w:val="24"/>
          <w:lang w:eastAsia="es-CO"/>
        </w:rPr>
        <w:t>.</w:t>
      </w:r>
      <w:r w:rsidRPr="00EB1491">
        <w:rPr>
          <w:rFonts w:ascii="Arial" w:hAnsi="Arial" w:cs="Arial"/>
          <w:sz w:val="24"/>
          <w:szCs w:val="24"/>
          <w:lang w:eastAsia="es-CO"/>
        </w:rPr>
        <w:t xml:space="preserve"> </w:t>
      </w:r>
    </w:p>
    <w:p w14:paraId="39B2D20E" w14:textId="77777777" w:rsidR="00096400" w:rsidRPr="00EB1491" w:rsidRDefault="00096400" w:rsidP="00290C45">
      <w:pPr>
        <w:pStyle w:val="Cuadrculamedia21"/>
        <w:spacing w:line="360" w:lineRule="auto"/>
        <w:jc w:val="both"/>
        <w:rPr>
          <w:rFonts w:ascii="Arial" w:hAnsi="Arial" w:cs="Arial"/>
          <w:sz w:val="24"/>
          <w:szCs w:val="24"/>
          <w:lang w:eastAsia="es-CO"/>
        </w:rPr>
      </w:pPr>
      <w:r w:rsidRPr="00EB1491">
        <w:rPr>
          <w:rFonts w:ascii="Arial" w:hAnsi="Arial" w:cs="Arial"/>
          <w:b/>
          <w:sz w:val="24"/>
          <w:szCs w:val="24"/>
          <w:lang w:eastAsia="es-CO"/>
        </w:rPr>
        <w:lastRenderedPageBreak/>
        <w:t>SEGUNDO: NOTIFICAR</w:t>
      </w:r>
      <w:r w:rsidRPr="00EB1491">
        <w:rPr>
          <w:rFonts w:ascii="Arial" w:hAnsi="Arial" w:cs="Arial"/>
          <w:sz w:val="24"/>
          <w:szCs w:val="24"/>
          <w:lang w:eastAsia="es-CO"/>
        </w:rPr>
        <w:t xml:space="preserve"> la presente decisión a las partes intervinientes e interesados. </w:t>
      </w:r>
    </w:p>
    <w:p w14:paraId="1C312F97" w14:textId="77777777" w:rsidR="0043256E" w:rsidRPr="00EB1491" w:rsidRDefault="0043256E" w:rsidP="00EB1491">
      <w:pPr>
        <w:pStyle w:val="Sinespaciado1"/>
        <w:spacing w:line="360" w:lineRule="auto"/>
        <w:rPr>
          <w:rFonts w:ascii="Arial" w:hAnsi="Arial" w:cs="Arial"/>
        </w:rPr>
      </w:pPr>
    </w:p>
    <w:p w14:paraId="25FB78CB" w14:textId="77777777" w:rsidR="00290C45" w:rsidRPr="00EB1491" w:rsidRDefault="00096400" w:rsidP="00290C45">
      <w:pPr>
        <w:pStyle w:val="Cuadrculamedia21"/>
        <w:spacing w:line="360" w:lineRule="auto"/>
        <w:jc w:val="both"/>
        <w:rPr>
          <w:rFonts w:ascii="Arial" w:hAnsi="Arial" w:cs="Arial"/>
          <w:b/>
          <w:sz w:val="24"/>
          <w:szCs w:val="24"/>
          <w:lang w:eastAsia="es-CO"/>
        </w:rPr>
      </w:pPr>
      <w:r w:rsidRPr="00EB1491">
        <w:rPr>
          <w:rFonts w:ascii="Arial" w:hAnsi="Arial" w:cs="Arial"/>
          <w:b/>
          <w:sz w:val="24"/>
          <w:szCs w:val="24"/>
          <w:lang w:eastAsia="es-CO"/>
        </w:rPr>
        <w:t xml:space="preserve">TERCERO: </w:t>
      </w:r>
      <w:r w:rsidR="00290C45" w:rsidRPr="00EB1491">
        <w:rPr>
          <w:rFonts w:ascii="Arial" w:hAnsi="Arial" w:cs="Arial"/>
          <w:b/>
          <w:bCs/>
          <w:color w:val="222222"/>
          <w:sz w:val="24"/>
          <w:szCs w:val="24"/>
          <w:shd w:val="clear" w:color="auto" w:fill="FFFFFF"/>
        </w:rPr>
        <w:t>PUBLICAR</w:t>
      </w:r>
      <w:r w:rsidR="00290C45" w:rsidRPr="00EB1491">
        <w:rPr>
          <w:rFonts w:ascii="Arial" w:hAnsi="Arial" w:cs="Arial"/>
          <w:color w:val="222222"/>
          <w:sz w:val="24"/>
          <w:szCs w:val="24"/>
          <w:shd w:val="clear" w:color="auto" w:fill="FFFFFF"/>
        </w:rPr>
        <w:t> </w:t>
      </w:r>
      <w:r w:rsidR="00290C45" w:rsidRPr="00EB1491">
        <w:rPr>
          <w:rFonts w:ascii="Arial" w:hAnsi="Arial" w:cs="Arial"/>
          <w:sz w:val="24"/>
          <w:szCs w:val="24"/>
          <w:lang w:eastAsia="es-CO"/>
        </w:rPr>
        <w:t>la presente providencia en la página web de esta Corporación y en la de la Rama Judicial.</w:t>
      </w:r>
      <w:r w:rsidR="00290C45" w:rsidRPr="00EB1491">
        <w:rPr>
          <w:rFonts w:ascii="Arial" w:hAnsi="Arial" w:cs="Arial"/>
          <w:color w:val="222222"/>
          <w:sz w:val="24"/>
          <w:szCs w:val="24"/>
          <w:shd w:val="clear" w:color="auto" w:fill="FFFFFF"/>
        </w:rPr>
        <w:t> </w:t>
      </w:r>
    </w:p>
    <w:p w14:paraId="3B55BB6B" w14:textId="77777777" w:rsidR="00290C45" w:rsidRPr="00EB1491" w:rsidRDefault="00290C45" w:rsidP="00EB1491">
      <w:pPr>
        <w:pStyle w:val="Cuadrculamedia21"/>
        <w:spacing w:line="360" w:lineRule="auto"/>
        <w:jc w:val="both"/>
        <w:rPr>
          <w:rFonts w:ascii="Arial" w:hAnsi="Arial" w:cs="Arial"/>
          <w:b/>
          <w:sz w:val="24"/>
          <w:szCs w:val="24"/>
          <w:lang w:eastAsia="es-CO"/>
        </w:rPr>
      </w:pPr>
    </w:p>
    <w:p w14:paraId="6303D023" w14:textId="77777777" w:rsidR="00096400" w:rsidRPr="00EB1491" w:rsidRDefault="00290C45" w:rsidP="00290C45">
      <w:pPr>
        <w:pStyle w:val="Cuadrculamedia21"/>
        <w:spacing w:line="360" w:lineRule="auto"/>
        <w:jc w:val="both"/>
        <w:rPr>
          <w:rFonts w:ascii="Arial" w:hAnsi="Arial" w:cs="Arial"/>
          <w:sz w:val="24"/>
          <w:szCs w:val="24"/>
          <w:lang w:eastAsia="es-CO"/>
        </w:rPr>
      </w:pPr>
      <w:r w:rsidRPr="00EB1491">
        <w:rPr>
          <w:rFonts w:ascii="Arial" w:hAnsi="Arial" w:cs="Arial"/>
          <w:b/>
          <w:sz w:val="24"/>
          <w:szCs w:val="24"/>
          <w:lang w:eastAsia="es-CO"/>
        </w:rPr>
        <w:t xml:space="preserve">CUARTO: </w:t>
      </w:r>
      <w:r w:rsidR="00096400" w:rsidRPr="00EB1491">
        <w:rPr>
          <w:rFonts w:ascii="Arial" w:hAnsi="Arial" w:cs="Arial"/>
          <w:b/>
          <w:sz w:val="24"/>
          <w:szCs w:val="24"/>
          <w:lang w:eastAsia="es-CO"/>
        </w:rPr>
        <w:t xml:space="preserve">REMITIR </w:t>
      </w:r>
      <w:r w:rsidR="00096400" w:rsidRPr="00EB1491">
        <w:rPr>
          <w:rFonts w:ascii="Arial" w:hAnsi="Arial" w:cs="Arial"/>
          <w:sz w:val="24"/>
          <w:szCs w:val="24"/>
          <w:lang w:eastAsia="es-CO"/>
        </w:rPr>
        <w:t>el expediente a la Corte Constitucional para su eventual revisión</w:t>
      </w:r>
      <w:r w:rsidR="00087D46">
        <w:rPr>
          <w:rFonts w:ascii="Arial" w:hAnsi="Arial" w:cs="Arial"/>
          <w:sz w:val="24"/>
          <w:szCs w:val="24"/>
          <w:lang w:eastAsia="es-CO"/>
        </w:rPr>
        <w:t>.</w:t>
      </w:r>
    </w:p>
    <w:p w14:paraId="2454A782" w14:textId="77777777" w:rsidR="009E4932" w:rsidRDefault="009E4932" w:rsidP="009E4932">
      <w:pPr>
        <w:spacing w:after="0" w:line="240" w:lineRule="auto"/>
        <w:jc w:val="center"/>
        <w:rPr>
          <w:rFonts w:ascii="Arial" w:hAnsi="Arial" w:cs="Arial"/>
          <w:b/>
          <w:color w:val="000000"/>
          <w:sz w:val="24"/>
          <w:szCs w:val="24"/>
        </w:rPr>
      </w:pPr>
    </w:p>
    <w:p w14:paraId="5EAAE311" w14:textId="77777777" w:rsidR="00C50060" w:rsidRDefault="00C50060" w:rsidP="009E4932">
      <w:pPr>
        <w:spacing w:after="0" w:line="240" w:lineRule="auto"/>
        <w:jc w:val="center"/>
        <w:rPr>
          <w:rFonts w:ascii="Arial" w:hAnsi="Arial" w:cs="Arial"/>
          <w:b/>
          <w:color w:val="000000"/>
          <w:sz w:val="24"/>
          <w:szCs w:val="24"/>
        </w:rPr>
      </w:pPr>
    </w:p>
    <w:p w14:paraId="5CD5EFE5" w14:textId="77777777" w:rsidR="009E4932" w:rsidRPr="00105865" w:rsidRDefault="009E4932" w:rsidP="009E4932">
      <w:pPr>
        <w:spacing w:after="0" w:line="240" w:lineRule="auto"/>
        <w:jc w:val="center"/>
        <w:rPr>
          <w:rFonts w:ascii="Arial" w:hAnsi="Arial" w:cs="Arial"/>
          <w:b/>
          <w:color w:val="000000"/>
          <w:sz w:val="24"/>
          <w:szCs w:val="24"/>
        </w:rPr>
      </w:pPr>
      <w:r w:rsidRPr="00105865">
        <w:rPr>
          <w:rFonts w:ascii="Arial" w:hAnsi="Arial" w:cs="Arial"/>
          <w:b/>
          <w:color w:val="000000"/>
          <w:sz w:val="24"/>
          <w:szCs w:val="24"/>
        </w:rPr>
        <w:t>CÓPIESE, NOTIFÍQUESE Y CÚMPLASE</w:t>
      </w:r>
    </w:p>
    <w:p w14:paraId="1661138A" w14:textId="77777777" w:rsidR="009E4932" w:rsidRPr="00105865" w:rsidRDefault="009E4932" w:rsidP="009E4932">
      <w:pPr>
        <w:tabs>
          <w:tab w:val="left" w:pos="709"/>
          <w:tab w:val="left" w:pos="1701"/>
        </w:tabs>
        <w:spacing w:after="0" w:line="240" w:lineRule="auto"/>
        <w:jc w:val="center"/>
        <w:rPr>
          <w:rFonts w:ascii="Arial" w:hAnsi="Arial" w:cs="Arial"/>
          <w:b/>
          <w:color w:val="000000"/>
          <w:sz w:val="24"/>
          <w:szCs w:val="24"/>
        </w:rPr>
      </w:pPr>
    </w:p>
    <w:p w14:paraId="25374577" w14:textId="77777777" w:rsidR="009E4932" w:rsidRDefault="009E4932" w:rsidP="009E4932">
      <w:pPr>
        <w:tabs>
          <w:tab w:val="left" w:pos="709"/>
          <w:tab w:val="left" w:pos="1701"/>
        </w:tabs>
        <w:spacing w:after="0" w:line="240" w:lineRule="auto"/>
        <w:jc w:val="center"/>
        <w:rPr>
          <w:rFonts w:ascii="Arial" w:hAnsi="Arial" w:cs="Arial"/>
          <w:b/>
          <w:color w:val="000000"/>
          <w:sz w:val="24"/>
          <w:szCs w:val="24"/>
        </w:rPr>
      </w:pPr>
    </w:p>
    <w:p w14:paraId="54709FC6" w14:textId="77777777" w:rsidR="00C50060" w:rsidRDefault="00C50060" w:rsidP="009E4932">
      <w:pPr>
        <w:tabs>
          <w:tab w:val="left" w:pos="709"/>
          <w:tab w:val="left" w:pos="1701"/>
        </w:tabs>
        <w:spacing w:after="0" w:line="240" w:lineRule="auto"/>
        <w:jc w:val="center"/>
        <w:rPr>
          <w:rFonts w:ascii="Arial" w:hAnsi="Arial" w:cs="Arial"/>
          <w:b/>
          <w:color w:val="000000"/>
          <w:sz w:val="24"/>
          <w:szCs w:val="24"/>
        </w:rPr>
      </w:pPr>
    </w:p>
    <w:p w14:paraId="7FAE5BF2" w14:textId="77777777" w:rsidR="00C50060" w:rsidRDefault="00C50060" w:rsidP="009E4932">
      <w:pPr>
        <w:tabs>
          <w:tab w:val="left" w:pos="709"/>
          <w:tab w:val="left" w:pos="1701"/>
        </w:tabs>
        <w:spacing w:after="0" w:line="240" w:lineRule="auto"/>
        <w:jc w:val="center"/>
        <w:rPr>
          <w:rFonts w:ascii="Arial" w:hAnsi="Arial" w:cs="Arial"/>
          <w:b/>
          <w:color w:val="000000"/>
          <w:sz w:val="24"/>
          <w:szCs w:val="24"/>
        </w:rPr>
      </w:pPr>
    </w:p>
    <w:p w14:paraId="5F0A5E21" w14:textId="77777777" w:rsidR="009579C8" w:rsidRPr="00105865" w:rsidRDefault="009579C8" w:rsidP="009E4932">
      <w:pPr>
        <w:tabs>
          <w:tab w:val="left" w:pos="709"/>
          <w:tab w:val="left" w:pos="1701"/>
        </w:tabs>
        <w:spacing w:after="0" w:line="240" w:lineRule="auto"/>
        <w:jc w:val="center"/>
        <w:rPr>
          <w:rFonts w:ascii="Arial" w:hAnsi="Arial" w:cs="Arial"/>
          <w:b/>
          <w:color w:val="000000"/>
          <w:sz w:val="24"/>
          <w:szCs w:val="24"/>
        </w:rPr>
      </w:pPr>
    </w:p>
    <w:tbl>
      <w:tblPr>
        <w:tblW w:w="10635" w:type="dxa"/>
        <w:tblInd w:w="-601" w:type="dxa"/>
        <w:tblBorders>
          <w:insideH w:val="nil"/>
          <w:insideV w:val="nil"/>
        </w:tblBorders>
        <w:tblLayout w:type="fixed"/>
        <w:tblLook w:val="0400" w:firstRow="0" w:lastRow="0" w:firstColumn="0" w:lastColumn="0" w:noHBand="0" w:noVBand="1"/>
      </w:tblPr>
      <w:tblGrid>
        <w:gridCol w:w="5091"/>
        <w:gridCol w:w="5544"/>
      </w:tblGrid>
      <w:tr w:rsidR="009E4932" w:rsidRPr="00105865" w14:paraId="6C12393D" w14:textId="77777777" w:rsidTr="00957E84">
        <w:tc>
          <w:tcPr>
            <w:tcW w:w="5090" w:type="dxa"/>
            <w:tcBorders>
              <w:top w:val="nil"/>
              <w:left w:val="nil"/>
              <w:bottom w:val="nil"/>
              <w:right w:val="nil"/>
            </w:tcBorders>
            <w:hideMark/>
          </w:tcPr>
          <w:p w14:paraId="2BCA04B6" w14:textId="77777777" w:rsidR="009E4932" w:rsidRPr="00105865" w:rsidRDefault="009E4932" w:rsidP="00957E84">
            <w:pPr>
              <w:tabs>
                <w:tab w:val="left" w:pos="709"/>
                <w:tab w:val="left" w:pos="1701"/>
                <w:tab w:val="left" w:pos="3600"/>
              </w:tabs>
              <w:spacing w:after="0" w:line="240" w:lineRule="auto"/>
              <w:ind w:right="49"/>
              <w:jc w:val="center"/>
              <w:rPr>
                <w:rFonts w:ascii="Arial" w:eastAsia="Arial" w:hAnsi="Arial" w:cs="Arial"/>
                <w:b/>
                <w:color w:val="000000"/>
                <w:sz w:val="24"/>
                <w:szCs w:val="24"/>
              </w:rPr>
            </w:pPr>
            <w:r w:rsidRPr="00105865">
              <w:rPr>
                <w:rFonts w:ascii="Arial" w:eastAsia="Arial" w:hAnsi="Arial" w:cs="Arial"/>
                <w:b/>
                <w:color w:val="000000"/>
                <w:sz w:val="24"/>
                <w:szCs w:val="24"/>
              </w:rPr>
              <w:t>GUILLERMO SÁNCHEZ LUQUE</w:t>
            </w:r>
          </w:p>
          <w:p w14:paraId="0023831A" w14:textId="77777777" w:rsidR="009E4932" w:rsidRDefault="009E4932" w:rsidP="00957E84">
            <w:pPr>
              <w:tabs>
                <w:tab w:val="left" w:pos="709"/>
                <w:tab w:val="left" w:pos="1701"/>
                <w:tab w:val="left" w:pos="3600"/>
              </w:tabs>
              <w:spacing w:after="0" w:line="240" w:lineRule="auto"/>
              <w:ind w:right="49"/>
              <w:jc w:val="center"/>
              <w:rPr>
                <w:rFonts w:ascii="Arial" w:eastAsia="Arial" w:hAnsi="Arial" w:cs="Arial"/>
                <w:b/>
                <w:color w:val="000000"/>
                <w:sz w:val="24"/>
                <w:szCs w:val="24"/>
              </w:rPr>
            </w:pPr>
            <w:r w:rsidRPr="00105865">
              <w:rPr>
                <w:rFonts w:ascii="Arial" w:eastAsia="Arial" w:hAnsi="Arial" w:cs="Arial"/>
                <w:b/>
                <w:color w:val="000000"/>
                <w:sz w:val="24"/>
                <w:szCs w:val="24"/>
              </w:rPr>
              <w:t>Presidente de la Sala</w:t>
            </w:r>
          </w:p>
          <w:p w14:paraId="6D692CC6" w14:textId="77777777" w:rsidR="009579C8" w:rsidRPr="009579C8" w:rsidRDefault="009579C8" w:rsidP="009579C8">
            <w:pPr>
              <w:spacing w:after="0" w:line="240" w:lineRule="auto"/>
              <w:jc w:val="center"/>
              <w:rPr>
                <w:rFonts w:ascii="Arial" w:hAnsi="Arial" w:cs="Arial"/>
                <w:b/>
                <w:bCs/>
                <w:color w:val="000000"/>
              </w:rPr>
            </w:pPr>
            <w:r w:rsidRPr="009579C8">
              <w:rPr>
                <w:rFonts w:ascii="Arial" w:hAnsi="Arial" w:cs="Arial"/>
                <w:b/>
                <w:bCs/>
                <w:color w:val="000000"/>
              </w:rPr>
              <w:t>Aclaración de voto</w:t>
            </w:r>
          </w:p>
          <w:p w14:paraId="76E787D6" w14:textId="57F207AC" w:rsidR="009579C8" w:rsidRPr="009579C8" w:rsidRDefault="009579C8" w:rsidP="009579C8">
            <w:pPr>
              <w:spacing w:after="0" w:line="240" w:lineRule="auto"/>
              <w:jc w:val="center"/>
              <w:rPr>
                <w:rFonts w:ascii="Arial" w:hAnsi="Arial" w:cs="Arial"/>
                <w:b/>
                <w:bCs/>
                <w:lang w:eastAsia="es-ES_tradnl"/>
              </w:rPr>
            </w:pPr>
            <w:r w:rsidRPr="009579C8">
              <w:rPr>
                <w:rFonts w:ascii="Arial" w:hAnsi="Arial" w:cs="Arial"/>
                <w:b/>
                <w:bCs/>
                <w:color w:val="000000"/>
              </w:rPr>
              <w:t>Cfr. Rad. 11001-03-15-000-2018-03386-0</w:t>
            </w:r>
            <w:r w:rsidR="004F3E1E">
              <w:rPr>
                <w:rFonts w:ascii="Arial" w:hAnsi="Arial" w:cs="Arial"/>
                <w:b/>
                <w:bCs/>
                <w:color w:val="000000"/>
              </w:rPr>
              <w:t>1</w:t>
            </w:r>
          </w:p>
          <w:p w14:paraId="2B531827" w14:textId="77777777" w:rsidR="009579C8" w:rsidRPr="00105865" w:rsidRDefault="009579C8" w:rsidP="00957E84">
            <w:pPr>
              <w:tabs>
                <w:tab w:val="left" w:pos="709"/>
                <w:tab w:val="left" w:pos="1701"/>
                <w:tab w:val="left" w:pos="3600"/>
              </w:tabs>
              <w:spacing w:after="0" w:line="240" w:lineRule="auto"/>
              <w:ind w:right="49"/>
              <w:jc w:val="center"/>
              <w:rPr>
                <w:rFonts w:ascii="Arial" w:eastAsia="Arial" w:hAnsi="Arial" w:cs="Arial"/>
                <w:b/>
                <w:color w:val="000000"/>
                <w:sz w:val="24"/>
                <w:szCs w:val="24"/>
              </w:rPr>
            </w:pPr>
          </w:p>
        </w:tc>
        <w:tc>
          <w:tcPr>
            <w:tcW w:w="5542" w:type="dxa"/>
            <w:tcBorders>
              <w:top w:val="nil"/>
              <w:left w:val="nil"/>
              <w:bottom w:val="nil"/>
              <w:right w:val="nil"/>
            </w:tcBorders>
            <w:hideMark/>
          </w:tcPr>
          <w:p w14:paraId="2DD249F0" w14:textId="77777777" w:rsidR="009E4932" w:rsidRPr="00105865" w:rsidRDefault="009E4932" w:rsidP="00957E84">
            <w:pPr>
              <w:tabs>
                <w:tab w:val="left" w:pos="709"/>
                <w:tab w:val="left" w:pos="1701"/>
                <w:tab w:val="left" w:pos="3600"/>
              </w:tabs>
              <w:spacing w:after="0" w:line="240" w:lineRule="auto"/>
              <w:ind w:right="49"/>
              <w:jc w:val="center"/>
              <w:rPr>
                <w:rFonts w:ascii="Arial" w:eastAsia="Arial" w:hAnsi="Arial" w:cs="Arial"/>
                <w:b/>
                <w:color w:val="000000"/>
                <w:sz w:val="24"/>
                <w:szCs w:val="24"/>
              </w:rPr>
            </w:pPr>
            <w:r w:rsidRPr="00105865">
              <w:rPr>
                <w:rFonts w:ascii="Arial" w:eastAsia="Arial" w:hAnsi="Arial" w:cs="Arial"/>
                <w:b/>
                <w:color w:val="000000"/>
                <w:sz w:val="24"/>
                <w:szCs w:val="24"/>
              </w:rPr>
              <w:t>JAIME ENRIQUE RODRÍGUEZ NAVAS</w:t>
            </w:r>
          </w:p>
          <w:p w14:paraId="776B57BF" w14:textId="77777777" w:rsidR="009E4932" w:rsidRPr="00105865" w:rsidRDefault="009E4932" w:rsidP="00957E84">
            <w:pPr>
              <w:tabs>
                <w:tab w:val="left" w:pos="709"/>
                <w:tab w:val="left" w:pos="1701"/>
                <w:tab w:val="left" w:pos="3600"/>
              </w:tabs>
              <w:spacing w:after="0" w:line="240" w:lineRule="auto"/>
              <w:ind w:right="49"/>
              <w:jc w:val="center"/>
              <w:rPr>
                <w:rFonts w:ascii="Arial" w:eastAsia="Arial" w:hAnsi="Arial" w:cs="Arial"/>
                <w:b/>
                <w:color w:val="000000"/>
                <w:sz w:val="24"/>
                <w:szCs w:val="24"/>
              </w:rPr>
            </w:pPr>
            <w:r w:rsidRPr="00105865">
              <w:rPr>
                <w:rFonts w:ascii="Arial" w:eastAsia="Arial" w:hAnsi="Arial" w:cs="Arial"/>
                <w:b/>
                <w:color w:val="000000"/>
                <w:sz w:val="24"/>
                <w:szCs w:val="24"/>
              </w:rPr>
              <w:t>Consejero de Estado</w:t>
            </w:r>
          </w:p>
        </w:tc>
      </w:tr>
    </w:tbl>
    <w:p w14:paraId="122AC6EF" w14:textId="77777777" w:rsidR="009E4932" w:rsidRDefault="009E4932" w:rsidP="009E4932">
      <w:pPr>
        <w:tabs>
          <w:tab w:val="left" w:pos="709"/>
          <w:tab w:val="left" w:pos="1701"/>
        </w:tabs>
        <w:spacing w:after="0" w:line="240" w:lineRule="auto"/>
        <w:ind w:right="49"/>
        <w:jc w:val="center"/>
        <w:rPr>
          <w:rFonts w:ascii="Arial" w:eastAsia="Arial" w:hAnsi="Arial" w:cs="Arial"/>
          <w:b/>
          <w:color w:val="000000"/>
          <w:sz w:val="24"/>
          <w:szCs w:val="24"/>
        </w:rPr>
      </w:pPr>
    </w:p>
    <w:p w14:paraId="0E1E7659" w14:textId="77777777" w:rsidR="00C50060" w:rsidRDefault="00C50060" w:rsidP="009E4932">
      <w:pPr>
        <w:tabs>
          <w:tab w:val="left" w:pos="709"/>
          <w:tab w:val="left" w:pos="1701"/>
        </w:tabs>
        <w:spacing w:after="0" w:line="240" w:lineRule="auto"/>
        <w:ind w:right="49"/>
        <w:jc w:val="center"/>
        <w:rPr>
          <w:rFonts w:ascii="Arial" w:eastAsia="Arial" w:hAnsi="Arial" w:cs="Arial"/>
          <w:b/>
          <w:color w:val="000000"/>
          <w:sz w:val="24"/>
          <w:szCs w:val="24"/>
        </w:rPr>
      </w:pPr>
    </w:p>
    <w:p w14:paraId="41AEFEA9" w14:textId="77777777" w:rsidR="00C50060" w:rsidRPr="00105865" w:rsidRDefault="00C50060" w:rsidP="009E4932">
      <w:pPr>
        <w:tabs>
          <w:tab w:val="left" w:pos="709"/>
          <w:tab w:val="left" w:pos="1701"/>
        </w:tabs>
        <w:spacing w:after="0" w:line="240" w:lineRule="auto"/>
        <w:ind w:right="49"/>
        <w:jc w:val="center"/>
        <w:rPr>
          <w:rFonts w:ascii="Arial" w:eastAsia="Arial" w:hAnsi="Arial" w:cs="Arial"/>
          <w:b/>
          <w:color w:val="000000"/>
          <w:sz w:val="24"/>
          <w:szCs w:val="24"/>
        </w:rPr>
      </w:pPr>
    </w:p>
    <w:p w14:paraId="716C7A6D" w14:textId="77777777" w:rsidR="009E4932" w:rsidRDefault="009E4932" w:rsidP="009E4932">
      <w:pPr>
        <w:tabs>
          <w:tab w:val="left" w:pos="709"/>
          <w:tab w:val="left" w:pos="1701"/>
        </w:tabs>
        <w:spacing w:after="0" w:line="240" w:lineRule="auto"/>
        <w:ind w:right="49"/>
        <w:jc w:val="center"/>
        <w:rPr>
          <w:rFonts w:ascii="Arial" w:eastAsia="Arial" w:hAnsi="Arial" w:cs="Arial"/>
          <w:b/>
          <w:color w:val="000000"/>
          <w:sz w:val="24"/>
          <w:szCs w:val="24"/>
        </w:rPr>
      </w:pPr>
    </w:p>
    <w:p w14:paraId="69A18A0D" w14:textId="77777777" w:rsidR="009579C8" w:rsidRPr="00105865" w:rsidRDefault="009579C8" w:rsidP="009E4932">
      <w:pPr>
        <w:tabs>
          <w:tab w:val="left" w:pos="709"/>
          <w:tab w:val="left" w:pos="1701"/>
        </w:tabs>
        <w:spacing w:after="0" w:line="240" w:lineRule="auto"/>
        <w:ind w:right="49"/>
        <w:jc w:val="center"/>
        <w:rPr>
          <w:rFonts w:ascii="Arial" w:eastAsia="Arial" w:hAnsi="Arial" w:cs="Arial"/>
          <w:b/>
          <w:color w:val="000000"/>
          <w:sz w:val="24"/>
          <w:szCs w:val="24"/>
        </w:rPr>
      </w:pPr>
    </w:p>
    <w:p w14:paraId="753A08A2" w14:textId="77777777" w:rsidR="009E4932" w:rsidRPr="00105865" w:rsidRDefault="009E4932" w:rsidP="009E4932">
      <w:pPr>
        <w:tabs>
          <w:tab w:val="left" w:pos="709"/>
          <w:tab w:val="left" w:pos="1701"/>
        </w:tabs>
        <w:spacing w:after="0" w:line="240" w:lineRule="auto"/>
        <w:ind w:right="49"/>
        <w:jc w:val="center"/>
        <w:rPr>
          <w:rFonts w:ascii="Arial" w:eastAsia="Arial" w:hAnsi="Arial" w:cs="Arial"/>
          <w:b/>
          <w:color w:val="000000"/>
          <w:sz w:val="24"/>
          <w:szCs w:val="24"/>
        </w:rPr>
      </w:pPr>
      <w:r w:rsidRPr="00105865">
        <w:rPr>
          <w:rFonts w:ascii="Arial" w:eastAsia="Arial" w:hAnsi="Arial" w:cs="Arial"/>
          <w:b/>
          <w:color w:val="000000"/>
          <w:sz w:val="24"/>
          <w:szCs w:val="24"/>
        </w:rPr>
        <w:t>NICOLÁS YEPES CORRALES</w:t>
      </w:r>
    </w:p>
    <w:p w14:paraId="4E6A2EFA" w14:textId="77777777" w:rsidR="00096400" w:rsidRPr="00EB1491" w:rsidRDefault="009E4932" w:rsidP="009E4932">
      <w:pPr>
        <w:tabs>
          <w:tab w:val="left" w:pos="709"/>
          <w:tab w:val="left" w:pos="1701"/>
        </w:tabs>
        <w:spacing w:after="0" w:line="240" w:lineRule="auto"/>
        <w:ind w:right="49"/>
        <w:jc w:val="center"/>
        <w:rPr>
          <w:rFonts w:ascii="Arial" w:hAnsi="Arial" w:cs="Arial"/>
          <w:b/>
        </w:rPr>
      </w:pPr>
      <w:r w:rsidRPr="00105865">
        <w:rPr>
          <w:rFonts w:ascii="Arial" w:eastAsia="Arial" w:hAnsi="Arial" w:cs="Arial"/>
          <w:b/>
          <w:color w:val="000000"/>
          <w:sz w:val="24"/>
          <w:szCs w:val="24"/>
        </w:rPr>
        <w:t>Consejero Ponente</w:t>
      </w:r>
    </w:p>
    <w:sectPr w:rsidR="00096400" w:rsidRPr="00EB1491">
      <w:headerReference w:type="default" r:id="rId10"/>
      <w:headerReference w:type="first" r:id="rId11"/>
      <w:pgSz w:w="12242" w:h="18722"/>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2962F" w14:textId="77777777" w:rsidR="00043185" w:rsidRDefault="00043185" w:rsidP="00096400">
      <w:pPr>
        <w:spacing w:after="0" w:line="240" w:lineRule="auto"/>
      </w:pPr>
      <w:r>
        <w:separator/>
      </w:r>
    </w:p>
  </w:endnote>
  <w:endnote w:type="continuationSeparator" w:id="0">
    <w:p w14:paraId="07659FF9" w14:textId="77777777" w:rsidR="00043185" w:rsidRDefault="00043185" w:rsidP="0009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F8C4F" w14:textId="77777777" w:rsidR="00043185" w:rsidRDefault="00043185" w:rsidP="00096400">
      <w:pPr>
        <w:spacing w:after="0" w:line="240" w:lineRule="auto"/>
      </w:pPr>
      <w:r>
        <w:separator/>
      </w:r>
    </w:p>
  </w:footnote>
  <w:footnote w:type="continuationSeparator" w:id="0">
    <w:p w14:paraId="5AD88D76" w14:textId="77777777" w:rsidR="00043185" w:rsidRDefault="00043185" w:rsidP="00096400">
      <w:pPr>
        <w:spacing w:after="0" w:line="240" w:lineRule="auto"/>
      </w:pPr>
      <w:r>
        <w:continuationSeparator/>
      </w:r>
    </w:p>
  </w:footnote>
  <w:footnote w:id="1">
    <w:p w14:paraId="6D4C40FD" w14:textId="77777777" w:rsidR="005D0622" w:rsidRPr="00FB46DA" w:rsidRDefault="005D0622" w:rsidP="00A1330B">
      <w:pPr>
        <w:pStyle w:val="Textonotapie"/>
        <w:ind w:right="50"/>
        <w:jc w:val="both"/>
        <w:rPr>
          <w:rFonts w:ascii="Arial" w:hAnsi="Arial" w:cs="Arial"/>
          <w:color w:val="000000"/>
          <w:lang w:val="es-CO"/>
        </w:rPr>
      </w:pPr>
      <w:r w:rsidRPr="00FB46DA">
        <w:rPr>
          <w:rStyle w:val="Refdenotaalpie"/>
          <w:rFonts w:ascii="Arial" w:hAnsi="Arial" w:cs="Arial"/>
          <w:color w:val="000000"/>
          <w:lang w:val="es-CO"/>
        </w:rPr>
        <w:footnoteRef/>
      </w:r>
      <w:r w:rsidRPr="00FB46DA">
        <w:rPr>
          <w:rFonts w:ascii="Arial" w:hAnsi="Arial" w:cs="Arial"/>
          <w:color w:val="000000"/>
          <w:lang w:val="es-CO"/>
        </w:rPr>
        <w:t xml:space="preserve"> </w:t>
      </w:r>
      <w:r w:rsidRPr="00FB46DA">
        <w:rPr>
          <w:rFonts w:ascii="Arial" w:hAnsi="Arial" w:cs="Arial"/>
          <w:bCs/>
          <w:iCs/>
          <w:color w:val="000000"/>
          <w:shd w:val="clear" w:color="auto" w:fill="FFFFFF"/>
          <w:lang w:val="es-CO"/>
        </w:rPr>
        <w:t>Por el cual se modifican los artículos 2.2.3.1.2.1, 2.2.3.1.2.4 y 2.2.3.1.2.5 del Decreto 1069 de 2015, Único Reglamentario del sector Justicia y del Derecho, referente a las reglas de reparto de la acción de tutela.</w:t>
      </w:r>
    </w:p>
  </w:footnote>
  <w:footnote w:id="2">
    <w:p w14:paraId="21661968" w14:textId="77777777" w:rsidR="005D0622" w:rsidRPr="00FB46DA" w:rsidRDefault="005D0622" w:rsidP="008127EF">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Los hechos se remontan a la declaración de renta del año 2008 presentada por Gaseosas Mariquita S.A. el 23 de abril de 2009. Dicha sociedad fue absorbida por Gaseosas de Córdoba S.A., en virtud de la fusión protocolizada por Escritura Pública No. 0002219 del 21 de junio de 2011 ante la Notaría 11 de Medellín, inscrita el 07 de julio del mismo año.</w:t>
      </w:r>
    </w:p>
  </w:footnote>
  <w:footnote w:id="3">
    <w:p w14:paraId="64E9690B" w14:textId="77777777" w:rsidR="005D0622" w:rsidRPr="00FB46DA" w:rsidRDefault="005D0622" w:rsidP="008127EF">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Decreto 624 de 1989.</w:t>
      </w:r>
    </w:p>
  </w:footnote>
  <w:footnote w:id="4">
    <w:p w14:paraId="696FC906" w14:textId="77777777" w:rsidR="005D0622" w:rsidRPr="00FB46DA" w:rsidRDefault="005D0622" w:rsidP="008127EF">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Para decidir sobre la legalidad de los actos demandados, dicha Colegiatura, de acuerdo con los términos del recurso de apelación, analizó lo siguiente: </w:t>
      </w:r>
      <w:r w:rsidRPr="00FB46DA">
        <w:rPr>
          <w:rFonts w:ascii="Arial" w:hAnsi="Arial" w:cs="Arial"/>
          <w:i/>
          <w:iCs/>
          <w:color w:val="000000"/>
          <w:lang w:val="es-CO"/>
        </w:rPr>
        <w:t>“</w:t>
      </w:r>
      <w:r w:rsidRPr="00FB46DA">
        <w:rPr>
          <w:rFonts w:ascii="Arial" w:hAnsi="Arial" w:cs="Arial"/>
          <w:b/>
          <w:bCs/>
          <w:i/>
          <w:iCs/>
          <w:color w:val="000000"/>
          <w:lang w:val="es-CO"/>
        </w:rPr>
        <w:t>i)</w:t>
      </w:r>
      <w:r w:rsidRPr="00FB46DA">
        <w:rPr>
          <w:rFonts w:ascii="Arial" w:hAnsi="Arial" w:cs="Arial"/>
          <w:i/>
          <w:iCs/>
          <w:color w:val="000000"/>
          <w:lang w:val="es-CO"/>
        </w:rPr>
        <w:t xml:space="preserve"> si la </w:t>
      </w:r>
      <w:r w:rsidRPr="00FB46DA">
        <w:rPr>
          <w:rFonts w:ascii="Arial" w:hAnsi="Arial" w:cs="Arial"/>
          <w:i/>
          <w:iCs/>
          <w:color w:val="000000"/>
        </w:rPr>
        <w:t xml:space="preserve">Administración violó el principio de correspondencia e incurrió en falsa motivación en la actuación administrativa demandada, </w:t>
      </w:r>
      <w:r w:rsidRPr="00FB46DA">
        <w:rPr>
          <w:rFonts w:ascii="Arial" w:hAnsi="Arial" w:cs="Arial"/>
          <w:b/>
          <w:bCs/>
          <w:i/>
          <w:iCs/>
          <w:color w:val="000000"/>
          <w:lang w:val="es-CO"/>
        </w:rPr>
        <w:t>ii</w:t>
      </w:r>
      <w:r w:rsidRPr="00FB46DA">
        <w:rPr>
          <w:rFonts w:ascii="Arial" w:hAnsi="Arial" w:cs="Arial"/>
          <w:b/>
          <w:bCs/>
          <w:i/>
          <w:iCs/>
          <w:color w:val="000000"/>
        </w:rPr>
        <w:t>)</w:t>
      </w:r>
      <w:r w:rsidRPr="00FB46DA">
        <w:rPr>
          <w:rFonts w:ascii="Arial" w:hAnsi="Arial" w:cs="Arial"/>
          <w:i/>
          <w:iCs/>
          <w:color w:val="000000"/>
        </w:rPr>
        <w:t xml:space="preserve"> si procede el rechazo de la deducción declarada por la pérdida de $19.430.725.000 en la venta de intangibles y, en caso de no prosperar, si se pueden deducir los ajustes por inflación realizados a los activos enajenados, </w:t>
      </w:r>
      <w:r w:rsidRPr="00FB46DA">
        <w:rPr>
          <w:rFonts w:ascii="Arial" w:hAnsi="Arial" w:cs="Arial"/>
          <w:b/>
          <w:bCs/>
          <w:i/>
          <w:iCs/>
          <w:color w:val="000000"/>
        </w:rPr>
        <w:t>iii)</w:t>
      </w:r>
      <w:r w:rsidRPr="00FB46DA">
        <w:rPr>
          <w:rFonts w:ascii="Arial" w:hAnsi="Arial" w:cs="Arial"/>
          <w:i/>
          <w:iCs/>
          <w:color w:val="000000"/>
        </w:rPr>
        <w:t xml:space="preserve"> si la Administración estaba facultada para modificar el valor del anticipo de impuesto sobre la renta para el año 2009 y </w:t>
      </w:r>
      <w:r w:rsidRPr="00FB46DA">
        <w:rPr>
          <w:rFonts w:ascii="Arial" w:hAnsi="Arial" w:cs="Arial"/>
          <w:b/>
          <w:bCs/>
          <w:i/>
          <w:iCs/>
          <w:color w:val="000000"/>
        </w:rPr>
        <w:t>iv)</w:t>
      </w:r>
      <w:r w:rsidRPr="00FB46DA">
        <w:rPr>
          <w:rFonts w:ascii="Arial" w:hAnsi="Arial" w:cs="Arial"/>
          <w:i/>
          <w:iCs/>
          <w:color w:val="000000"/>
        </w:rPr>
        <w:t xml:space="preserve"> si se configuraron los supuestos para la imposición de la sanción por inexactitud y si, además, debía liquidarse otra 'sanción por el rechazo de pérdidas.</w:t>
      </w:r>
      <w:r w:rsidRPr="00FB46DA">
        <w:rPr>
          <w:rFonts w:ascii="Arial" w:hAnsi="Arial" w:cs="Arial"/>
          <w:i/>
          <w:iCs/>
          <w:color w:val="000000"/>
          <w:lang w:val="es-CO"/>
        </w:rPr>
        <w:t>”</w:t>
      </w:r>
      <w:r w:rsidRPr="00FB46DA">
        <w:rPr>
          <w:rFonts w:ascii="Arial" w:hAnsi="Arial" w:cs="Arial"/>
          <w:color w:val="000000"/>
          <w:lang w:val="es-CO"/>
        </w:rPr>
        <w:t>. Folio 40 (reverso) del expediente digital de tutela, subido a la plataforma SAMAI del Consejo de Estado, por medio del certificado No. B2D4B9B195EA7ED3 1BF3A06F9007138E B248F2F4DB7C6478 B34053139F977F66.</w:t>
      </w:r>
    </w:p>
  </w:footnote>
  <w:footnote w:id="5">
    <w:p w14:paraId="007FD8F4" w14:textId="77777777" w:rsidR="005D0622" w:rsidRPr="00FB46DA" w:rsidRDefault="005D0622" w:rsidP="002E3CFD">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ES"/>
        </w:rPr>
        <w:t>Agregó que tal comprensión no es congruente con lo señalado por la Corte Constitucional, la cual sostuvo que si bien el artículo 647-1 no contiene una sanción autónoma, “</w:t>
      </w:r>
      <w:r w:rsidRPr="00FB46DA">
        <w:rPr>
          <w:rFonts w:ascii="Arial" w:hAnsi="Arial" w:cs="Arial"/>
          <w:i/>
          <w:iCs/>
          <w:color w:val="000000"/>
          <w:lang w:val="es-ES_tradnl"/>
        </w:rPr>
        <w:t>fue clara en determinar que dicha norma regula las condiciones en las cuales la sanción por inexactitud debe aplicarse en los eventos de disminución o rechazo de pérdidas fiscales, por cuanto dicha disminución no se refleja en un menor saldo a favor o mayor impuesto a pagar, con lo cual reconoce de manera clara que el precepto mencionado contempla una conducta sancionable no prevista en el artículo 647 ET, como es la liquidación de pérdidas fiscales improcedentes</w:t>
      </w:r>
      <w:r w:rsidRPr="00FB46DA">
        <w:rPr>
          <w:rFonts w:ascii="Arial" w:eastAsia="Dotum" w:hAnsi="Arial" w:cs="Arial"/>
          <w:bCs/>
          <w:i/>
          <w:iCs/>
          <w:color w:val="000000"/>
        </w:rPr>
        <w:t>”</w:t>
      </w:r>
      <w:r w:rsidR="004D039B" w:rsidRPr="00FB46DA">
        <w:rPr>
          <w:rFonts w:ascii="Arial" w:eastAsia="Dotum" w:hAnsi="Arial" w:cs="Arial"/>
          <w:bCs/>
          <w:i/>
          <w:iCs/>
          <w:color w:val="000000"/>
          <w:lang w:val="es-ES"/>
        </w:rPr>
        <w:t>.</w:t>
      </w:r>
      <w:r w:rsidRPr="00FB46DA">
        <w:rPr>
          <w:rFonts w:ascii="Arial" w:eastAsia="Dotum" w:hAnsi="Arial" w:cs="Arial"/>
          <w:bCs/>
          <w:i/>
          <w:iCs/>
          <w:color w:val="000000"/>
          <w:lang w:val="es-CO"/>
        </w:rPr>
        <w:t xml:space="preserve"> </w:t>
      </w:r>
      <w:r w:rsidRPr="00FB46DA">
        <w:rPr>
          <w:rFonts w:ascii="Arial" w:hAnsi="Arial" w:cs="Arial"/>
          <w:color w:val="000000"/>
          <w:lang w:val="es-CO"/>
        </w:rPr>
        <w:t>Folio 7 del expediente digital de tutela, subido a la plataforma SAMAI del Consejo de Estado, por medio del certificado No. B2D4B9B195EA7ED3 1BF3A06F9007138E B248F2F4DB7C6478 B34053139F977F66.</w:t>
      </w:r>
    </w:p>
  </w:footnote>
  <w:footnote w:id="6">
    <w:p w14:paraId="43B2C016" w14:textId="77777777" w:rsidR="005D0622" w:rsidRPr="00FB46DA" w:rsidRDefault="005D0622" w:rsidP="00462F82">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6 (reverso) ibidem.</w:t>
      </w:r>
    </w:p>
  </w:footnote>
  <w:footnote w:id="7">
    <w:p w14:paraId="3B7FF5B8" w14:textId="77777777" w:rsidR="005D0622" w:rsidRPr="00FB46DA" w:rsidRDefault="005D0622" w:rsidP="00462F82">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Se alegó en la tutela: </w:t>
      </w:r>
      <w:r w:rsidRPr="00FB46DA">
        <w:rPr>
          <w:rFonts w:ascii="Arial" w:hAnsi="Arial" w:cs="Arial"/>
          <w:i/>
          <w:iCs/>
          <w:color w:val="000000"/>
          <w:lang w:val="es-CO"/>
        </w:rPr>
        <w:t xml:space="preserve">“No debe dejarse de lado, que la sanción por inexactitud castiga la equivocación del contribuyente al diligenciar la declaración tributaria donde se liquidó un impuesto menor al real, en tanto que la sanción por rechazo de perdidas castiga el declarar pérdidas fiscales irreales, falsas e improcedentes, que son susceptibles de ser compensadas”. </w:t>
      </w:r>
      <w:r w:rsidRPr="00FB46DA">
        <w:rPr>
          <w:rFonts w:ascii="Arial" w:hAnsi="Arial" w:cs="Arial"/>
          <w:color w:val="000000"/>
          <w:lang w:val="es-CO"/>
        </w:rPr>
        <w:t>Folio 9 ibid.</w:t>
      </w:r>
    </w:p>
  </w:footnote>
  <w:footnote w:id="8">
    <w:p w14:paraId="37025E19" w14:textId="77777777" w:rsidR="005D0622" w:rsidRPr="00FB46DA" w:rsidRDefault="005D0622" w:rsidP="002D1D82">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14 (reverso) del expediente digital de tutela, subido a la plataforma SAMAI del Consejo de Estado, por medio del certificado No. B2D4B9B195EA7ED3 1BF3A06F9007138E B248F2F4DB7C6478 B34053139F977F66.</w:t>
      </w:r>
    </w:p>
  </w:footnote>
  <w:footnote w:id="9">
    <w:p w14:paraId="70E0BF25" w14:textId="77777777" w:rsidR="005D0622" w:rsidRPr="00FB46DA" w:rsidRDefault="005D0622" w:rsidP="009A42E1">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Se citó:</w:t>
      </w:r>
      <w:r w:rsidRPr="00FB46DA">
        <w:rPr>
          <w:rFonts w:ascii="Arial" w:hAnsi="Arial" w:cs="Arial"/>
          <w:color w:val="000000"/>
        </w:rPr>
        <w:t xml:space="preserve"> </w:t>
      </w:r>
      <w:r w:rsidRPr="00FB46DA">
        <w:rPr>
          <w:rFonts w:ascii="Arial" w:hAnsi="Arial" w:cs="Arial"/>
          <w:color w:val="000000"/>
          <w:lang w:val="es-CO"/>
        </w:rPr>
        <w:t>“</w:t>
      </w:r>
      <w:r w:rsidRPr="00FB46DA">
        <w:rPr>
          <w:rFonts w:ascii="Arial" w:hAnsi="Arial" w:cs="Arial"/>
          <w:i/>
          <w:iCs/>
          <w:color w:val="000000"/>
        </w:rPr>
        <w:t>El articulo 647 del ET estableció como hechos constitutivos de inexactitud: la omisión de ingresos, de impuestos generados por las operaciones gravadas, de bienes o actuaciones susceptibles de gravamen, la inclusión de costos, deducciones, descuentos, exenciones</w:t>
      </w:r>
      <w:r w:rsidRPr="00FB46DA">
        <w:rPr>
          <w:rFonts w:ascii="Arial" w:hAnsi="Arial" w:cs="Arial"/>
          <w:i/>
          <w:iCs/>
          <w:color w:val="000000"/>
          <w:lang w:val="es-CO"/>
        </w:rPr>
        <w:t>,</w:t>
      </w:r>
      <w:r w:rsidRPr="00FB46DA">
        <w:rPr>
          <w:rFonts w:ascii="Arial" w:hAnsi="Arial" w:cs="Arial"/>
          <w:i/>
          <w:iCs/>
          <w:color w:val="000000"/>
        </w:rPr>
        <w:t xml:space="preserve"> pasivos, impuestos descontables, retenciones o anticipos</w:t>
      </w:r>
      <w:r w:rsidRPr="00FB46DA">
        <w:rPr>
          <w:rFonts w:ascii="Arial" w:hAnsi="Arial" w:cs="Arial"/>
          <w:i/>
          <w:iCs/>
          <w:color w:val="000000"/>
          <w:lang w:val="es-CO"/>
        </w:rPr>
        <w:t>,</w:t>
      </w:r>
      <w:r w:rsidRPr="00FB46DA">
        <w:rPr>
          <w:rFonts w:ascii="Arial" w:hAnsi="Arial" w:cs="Arial"/>
          <w:i/>
          <w:iCs/>
          <w:color w:val="000000"/>
        </w:rPr>
        <w:t xml:space="preserve"> inexistentes y, en general, </w:t>
      </w:r>
      <w:r w:rsidRPr="00FB46DA">
        <w:rPr>
          <w:rFonts w:ascii="Arial" w:hAnsi="Arial" w:cs="Arial"/>
          <w:b/>
          <w:bCs/>
          <w:i/>
          <w:iCs/>
          <w:color w:val="000000"/>
        </w:rPr>
        <w:t>la utilización en las declaraciones tributarias de datos o factores falsos, equivocados, incompletos o desfigurados</w:t>
      </w:r>
      <w:r w:rsidRPr="00FB46DA">
        <w:rPr>
          <w:rFonts w:ascii="Arial" w:hAnsi="Arial" w:cs="Arial"/>
          <w:i/>
          <w:iCs/>
          <w:color w:val="000000"/>
        </w:rPr>
        <w:t xml:space="preserve">, de </w:t>
      </w:r>
      <w:r w:rsidRPr="00FB46DA">
        <w:rPr>
          <w:rFonts w:ascii="Arial" w:hAnsi="Arial" w:cs="Arial"/>
          <w:i/>
          <w:iCs/>
          <w:color w:val="000000"/>
          <w:lang w:val="es-CO"/>
        </w:rPr>
        <w:t>l</w:t>
      </w:r>
      <w:r w:rsidRPr="00FB46DA">
        <w:rPr>
          <w:rFonts w:ascii="Arial" w:hAnsi="Arial" w:cs="Arial"/>
          <w:i/>
          <w:iCs/>
          <w:color w:val="000000"/>
        </w:rPr>
        <w:t>os que se derive un menor impuesto o saldo a pagar, o un mayor saldo a favor. Igualmente, el hecho de solicitar compensación o devolución, sobre sumas a favor que hubieren sido objeto de compensación o devolución anterior</w:t>
      </w:r>
      <w:r w:rsidRPr="00FB46DA">
        <w:rPr>
          <w:rFonts w:ascii="Arial" w:hAnsi="Arial" w:cs="Arial"/>
          <w:color w:val="000000"/>
          <w:lang w:val="es-CO"/>
        </w:rPr>
        <w:t>”</w:t>
      </w:r>
      <w:r w:rsidR="004D039B" w:rsidRPr="00FB46DA">
        <w:rPr>
          <w:rFonts w:ascii="Arial" w:hAnsi="Arial" w:cs="Arial"/>
          <w:color w:val="000000"/>
          <w:lang w:val="es-CO"/>
        </w:rPr>
        <w:t>.</w:t>
      </w:r>
      <w:r w:rsidRPr="00FB46DA">
        <w:rPr>
          <w:rFonts w:ascii="Arial" w:hAnsi="Arial" w:cs="Arial"/>
          <w:color w:val="000000"/>
          <w:lang w:val="es-CO"/>
        </w:rPr>
        <w:t xml:space="preserve"> Folio 2 del escrito de contestación, subido a la Plataforma SAMAI del Consejo de Estado, por medio del certificado No. 100A5BE4A4567A14 C22428155B8A3529 FECD9230A7DD798D 932DC40E5B325725.</w:t>
      </w:r>
    </w:p>
  </w:footnote>
  <w:footnote w:id="10">
    <w:p w14:paraId="7911D504" w14:textId="77777777" w:rsidR="005D0622" w:rsidRPr="00FB46DA" w:rsidRDefault="005D0622" w:rsidP="009A42E1">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Se indicó: </w:t>
      </w:r>
      <w:r w:rsidRPr="00FB46DA">
        <w:rPr>
          <w:rFonts w:ascii="Arial" w:hAnsi="Arial" w:cs="Arial"/>
          <w:i/>
          <w:iCs/>
          <w:color w:val="000000"/>
          <w:lang w:val="es-CO"/>
        </w:rPr>
        <w:t>“</w:t>
      </w:r>
      <w:r w:rsidRPr="00FB46DA">
        <w:rPr>
          <w:rFonts w:ascii="Arial" w:hAnsi="Arial" w:cs="Arial"/>
          <w:i/>
          <w:iCs/>
          <w:color w:val="000000"/>
        </w:rPr>
        <w:t>En similar sentido sentencia del</w:t>
      </w:r>
      <w:r w:rsidRPr="00FB46DA">
        <w:rPr>
          <w:rFonts w:ascii="Arial" w:hAnsi="Arial" w:cs="Arial"/>
          <w:i/>
          <w:iCs/>
          <w:color w:val="000000"/>
          <w:lang w:val="es-CO"/>
        </w:rPr>
        <w:t xml:space="preserve"> </w:t>
      </w:r>
      <w:r w:rsidRPr="00FB46DA">
        <w:rPr>
          <w:rFonts w:ascii="Arial" w:hAnsi="Arial" w:cs="Arial"/>
          <w:i/>
          <w:iCs/>
          <w:color w:val="000000"/>
        </w:rPr>
        <w:t>15 de mayo de 2014, Exp. 19647, M.P. Dra. Carmen Teresa Ortiz de Rodríguez.</w:t>
      </w:r>
      <w:r w:rsidRPr="00FB46DA">
        <w:rPr>
          <w:rFonts w:ascii="Arial" w:hAnsi="Arial" w:cs="Arial"/>
          <w:i/>
          <w:iCs/>
          <w:color w:val="000000"/>
          <w:lang w:val="es-CO"/>
        </w:rPr>
        <w:t>”.</w:t>
      </w:r>
      <w:r w:rsidRPr="00FB46DA">
        <w:rPr>
          <w:rFonts w:ascii="Arial" w:hAnsi="Arial" w:cs="Arial"/>
          <w:color w:val="000000"/>
          <w:lang w:val="es-CO"/>
        </w:rPr>
        <w:t xml:space="preserve"> Ibidem.</w:t>
      </w:r>
    </w:p>
  </w:footnote>
  <w:footnote w:id="11">
    <w:p w14:paraId="3C25EDEB" w14:textId="77777777" w:rsidR="005D0622" w:rsidRPr="00FB46DA" w:rsidRDefault="005D0622" w:rsidP="007716E0">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16 del fallo de tutela de segunda instancia, subido a la plataforma SAMAI del Consejo de Estado, por medio del certificado No. C4E4C784E9CE8FF2 23072E5E5DE91438 6435E218CC9E5D21 FA99230ACA0489C0.</w:t>
      </w:r>
    </w:p>
  </w:footnote>
  <w:footnote w:id="12">
    <w:p w14:paraId="162526C4" w14:textId="77777777" w:rsidR="005D0622" w:rsidRPr="00FB46DA" w:rsidRDefault="005D0622" w:rsidP="007716E0">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19 ibidem.</w:t>
      </w:r>
    </w:p>
  </w:footnote>
  <w:footnote w:id="13">
    <w:p w14:paraId="2A4CF13D" w14:textId="77777777" w:rsidR="005D0622" w:rsidRPr="00FB46DA" w:rsidRDefault="005D0622" w:rsidP="00ED7575">
      <w:pPr>
        <w:contextualSpacing/>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De acuerdo con la sentencia C-590 de 2005, la tutela en contra de providencia judicial está sujeta al cumplimiento de los siguientes requisitos generales de procedibilidad: que </w:t>
      </w:r>
      <w:r w:rsidRPr="00FB46DA">
        <w:rPr>
          <w:rFonts w:ascii="Arial" w:hAnsi="Arial" w:cs="Arial"/>
          <w:color w:val="000000"/>
          <w:sz w:val="20"/>
          <w:szCs w:val="20"/>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FB46DA">
        <w:rPr>
          <w:rFonts w:ascii="Arial" w:eastAsia="MS Mincho" w:hAnsi="Arial" w:cs="Arial"/>
          <w:color w:val="000000"/>
          <w:sz w:val="20"/>
          <w:szCs w:val="20"/>
          <w:lang w:eastAsia="es-CO"/>
        </w:rPr>
        <w:t xml:space="preserve">; </w:t>
      </w:r>
      <w:r w:rsidRPr="00FB46DA">
        <w:rPr>
          <w:rFonts w:ascii="Arial" w:hAnsi="Arial" w:cs="Arial"/>
          <w:color w:val="000000"/>
          <w:sz w:val="20"/>
          <w:szCs w:val="20"/>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14">
    <w:p w14:paraId="64CF884D" w14:textId="77777777" w:rsidR="005D0622" w:rsidRPr="00FB46DA" w:rsidRDefault="005D0622" w:rsidP="005C1912">
      <w:pPr>
        <w:spacing w:after="0" w:line="240" w:lineRule="auto"/>
        <w:contextualSpacing/>
        <w:jc w:val="both"/>
        <w:rPr>
          <w:rFonts w:ascii="Arial" w:eastAsia="Verdana"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Los requisitos específicos, también conocidos como defectos, son: d</w:t>
      </w:r>
      <w:r w:rsidRPr="00FB46DA">
        <w:rPr>
          <w:rFonts w:ascii="Arial" w:eastAsia="Verdana" w:hAnsi="Arial" w:cs="Arial"/>
          <w:color w:val="000000"/>
          <w:sz w:val="20"/>
          <w:szCs w:val="20"/>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15">
    <w:p w14:paraId="08ACD555" w14:textId="77777777" w:rsidR="005D0622" w:rsidRPr="00FB46DA" w:rsidRDefault="005D0622" w:rsidP="005C1912">
      <w:pPr>
        <w:spacing w:after="0" w:line="240" w:lineRule="auto"/>
        <w:contextualSpacing/>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Los presentes requisitos fueron reconocidos por el Consejo de Estado en sentencia del 05 de agosto de 2014, radicado No. 11001-03-15-000-2012-02201-01.</w:t>
      </w:r>
    </w:p>
  </w:footnote>
  <w:footnote w:id="16">
    <w:p w14:paraId="6980CBCF" w14:textId="77777777" w:rsidR="005D0622" w:rsidRPr="00FB46DA" w:rsidRDefault="005D0622" w:rsidP="00853B4F">
      <w:pPr>
        <w:pStyle w:val="NormalWeb"/>
        <w:spacing w:before="0" w:beforeAutospacing="0" w:after="0" w:afterAutospacing="0"/>
        <w:jc w:val="both"/>
        <w:rPr>
          <w:rFonts w:ascii="Arial" w:hAnsi="Arial" w:cs="Arial"/>
          <w:color w:val="000000"/>
          <w:sz w:val="20"/>
          <w:szCs w:val="20"/>
        </w:rPr>
      </w:pPr>
      <w:r w:rsidRPr="00FB46DA">
        <w:rPr>
          <w:rStyle w:val="Refdenotaalpie"/>
          <w:rFonts w:ascii="Arial" w:eastAsia="Calibri" w:hAnsi="Arial" w:cs="Arial"/>
          <w:color w:val="000000"/>
          <w:sz w:val="20"/>
          <w:szCs w:val="20"/>
        </w:rPr>
        <w:footnoteRef/>
      </w:r>
      <w:r w:rsidRPr="00FB46DA">
        <w:rPr>
          <w:rFonts w:ascii="Arial" w:hAnsi="Arial" w:cs="Arial"/>
          <w:color w:val="000000"/>
          <w:sz w:val="20"/>
          <w:szCs w:val="20"/>
        </w:rPr>
        <w:t xml:space="preserve"> No se evidencia la existencia de alguna de las causales previstas en el artículo 250 del C.P.A.C.A.</w:t>
      </w:r>
    </w:p>
  </w:footnote>
  <w:footnote w:id="17">
    <w:p w14:paraId="0D17AB4E" w14:textId="77777777" w:rsidR="005D0622" w:rsidRPr="00FB46DA" w:rsidRDefault="005D0622" w:rsidP="007649DD">
      <w:pPr>
        <w:pStyle w:val="Textonotapie"/>
        <w:ind w:right="50"/>
        <w:jc w:val="both"/>
        <w:rPr>
          <w:rFonts w:ascii="Arial" w:hAnsi="Arial" w:cs="Arial"/>
          <w:color w:val="000000"/>
          <w:lang w:val="es-CO" w:eastAsia="zh-CN"/>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El Consejo de Estado </w:t>
      </w:r>
      <w:r w:rsidRPr="00FB46DA">
        <w:rPr>
          <w:rFonts w:ascii="Arial" w:eastAsia="Verdana" w:hAnsi="Arial" w:cs="Arial"/>
          <w:color w:val="000000"/>
        </w:rPr>
        <w:t xml:space="preserve">estableció, como regla general, que el mecanismo de amparo debe promoverse en un plazo máximo de seis meses contados a partir de la notificación o ejecutoria de la sentencia o providencia objeto de reproche constitucional, límite temporal que también ha sido acogido por la Corte Constitucional. </w:t>
      </w:r>
      <w:r w:rsidRPr="00FB46DA">
        <w:rPr>
          <w:rFonts w:ascii="Arial" w:hAnsi="Arial" w:cs="Arial"/>
          <w:color w:val="000000"/>
          <w:lang w:val="es-CO"/>
        </w:rPr>
        <w:t>Consejo de Estado, Sala Plena, sentencia de unificación del 05 de agosto de 2014, radicado No. 11001-03-15-000-2012-02201-01.</w:t>
      </w:r>
    </w:p>
  </w:footnote>
  <w:footnote w:id="18">
    <w:p w14:paraId="6013806A" w14:textId="77777777" w:rsidR="005D0622" w:rsidRPr="00FB46DA" w:rsidRDefault="005D0622" w:rsidP="005F7889">
      <w:pPr>
        <w:pStyle w:val="Textonotapie"/>
        <w:jc w:val="both"/>
        <w:rPr>
          <w:rFonts w:ascii="Arial" w:hAnsi="Arial" w:cs="Arial"/>
          <w:color w:val="000000"/>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Corte Constitucional, </w:t>
      </w:r>
      <w:r w:rsidR="00EF625A" w:rsidRPr="00FB46DA">
        <w:rPr>
          <w:rFonts w:ascii="Arial" w:hAnsi="Arial" w:cs="Arial"/>
          <w:color w:val="000000"/>
          <w:lang w:val="es-CO"/>
        </w:rPr>
        <w:t>s</w:t>
      </w:r>
      <w:r w:rsidRPr="00FB46DA">
        <w:rPr>
          <w:rFonts w:ascii="Arial" w:hAnsi="Arial" w:cs="Arial"/>
          <w:color w:val="000000"/>
          <w:lang w:val="es-CO"/>
        </w:rPr>
        <w:t>entencia SU-195 del 12 de marzo de 2012.</w:t>
      </w:r>
    </w:p>
  </w:footnote>
  <w:footnote w:id="19">
    <w:p w14:paraId="67323B5F" w14:textId="77777777" w:rsidR="005D0622" w:rsidRPr="00FB46DA" w:rsidRDefault="005D0622" w:rsidP="005F7889">
      <w:pPr>
        <w:shd w:val="clear" w:color="auto" w:fill="FFFFFF"/>
        <w:spacing w:after="0" w:line="240" w:lineRule="auto"/>
        <w:jc w:val="both"/>
        <w:textAlignment w:val="baseline"/>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w:t>
      </w:r>
      <w:r w:rsidRPr="00FB46DA">
        <w:rPr>
          <w:rFonts w:ascii="Arial" w:hAnsi="Arial" w:cs="Arial"/>
          <w:color w:val="000000"/>
          <w:sz w:val="20"/>
          <w:szCs w:val="20"/>
        </w:rPr>
        <w:t xml:space="preserve">De esta manera, </w:t>
      </w:r>
      <w:r w:rsidRPr="00FB46DA">
        <w:rPr>
          <w:rFonts w:ascii="Arial" w:hAnsi="Arial" w:cs="Arial"/>
          <w:color w:val="000000"/>
          <w:sz w:val="20"/>
          <w:szCs w:val="20"/>
          <w:shd w:val="clear" w:color="auto" w:fill="FFFFFF"/>
        </w:rPr>
        <w:t>ha venido construyendo los distintos supuestos que pueden configurar este defecto conforme a las situaciones fácticas que se exponen:</w:t>
      </w:r>
      <w:r w:rsidRPr="00FB46DA">
        <w:rPr>
          <w:rFonts w:ascii="Arial" w:hAnsi="Arial" w:cs="Arial"/>
          <w:color w:val="000000"/>
          <w:sz w:val="20"/>
          <w:szCs w:val="20"/>
          <w:bdr w:val="none" w:sz="0" w:space="0" w:color="auto" w:frame="1"/>
        </w:rPr>
        <w:t xml:space="preserve"> </w:t>
      </w:r>
      <w:r w:rsidRPr="00FB46DA">
        <w:rPr>
          <w:rFonts w:ascii="Arial" w:hAnsi="Arial" w:cs="Arial"/>
          <w:i/>
          <w:iCs/>
          <w:color w:val="000000"/>
          <w:sz w:val="20"/>
          <w:szCs w:val="20"/>
          <w:bdr w:val="none" w:sz="0" w:space="0" w:color="auto" w:frame="1"/>
        </w:rPr>
        <w:t xml:space="preserve">“(i) Cuando la decisión judicial tiene como fundamento una norma que no es aplicable, ya que (i) no es </w:t>
      </w:r>
      <w:r w:rsidRPr="00FB46DA">
        <w:rPr>
          <w:rFonts w:ascii="Arial" w:hAnsi="Arial" w:cs="Arial"/>
          <w:i/>
          <w:iCs/>
          <w:color w:val="000000"/>
          <w:sz w:val="20"/>
          <w:szCs w:val="20"/>
          <w:bdr w:val="none" w:sz="0" w:space="0" w:color="auto" w:frame="1"/>
        </w:rPr>
        <w:t>pertinente</w:t>
      </w:r>
      <w:bookmarkStart w:id="1" w:name="_ftnref42"/>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"_ftn42" \o "" </w:instrText>
      </w:r>
      <w:r w:rsidRPr="00FB46DA">
        <w:rPr>
          <w:rFonts w:ascii="Arial" w:hAnsi="Arial" w:cs="Arial"/>
          <w:i/>
          <w:iCs/>
          <w:color w:val="000000"/>
          <w:sz w:val="20"/>
          <w:szCs w:val="20"/>
          <w:bdr w:val="none" w:sz="0" w:space="0" w:color="auto" w:frame="1"/>
        </w:rPr>
        <w:fldChar w:fldCharType="end"/>
      </w:r>
      <w:bookmarkEnd w:id="1"/>
      <w:r w:rsidRPr="00FB46DA">
        <w:rPr>
          <w:rFonts w:ascii="Arial" w:hAnsi="Arial" w:cs="Arial"/>
          <w:i/>
          <w:iCs/>
          <w:color w:val="000000"/>
          <w:sz w:val="20"/>
          <w:szCs w:val="20"/>
          <w:bdr w:val="none" w:sz="0" w:space="0" w:color="auto" w:frame="1"/>
        </w:rPr>
        <w:t>, (ii) ha perdido su vigencia por haber sido derogada, (iii) es inexistente</w:t>
      </w:r>
      <w:bookmarkStart w:id="2" w:name="_ftnref44"/>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"_ftn44" \o "" </w:instrText>
      </w:r>
      <w:r w:rsidRPr="00FB46DA">
        <w:rPr>
          <w:rFonts w:ascii="Arial" w:hAnsi="Arial" w:cs="Arial"/>
          <w:i/>
          <w:iCs/>
          <w:color w:val="000000"/>
          <w:sz w:val="20"/>
          <w:szCs w:val="20"/>
          <w:bdr w:val="none" w:sz="0" w:space="0" w:color="auto" w:frame="1"/>
        </w:rPr>
        <w:fldChar w:fldCharType="end"/>
      </w:r>
      <w:bookmarkEnd w:id="2"/>
      <w:r w:rsidRPr="00FB46DA">
        <w:rPr>
          <w:rFonts w:ascii="Arial" w:hAnsi="Arial" w:cs="Arial"/>
          <w:i/>
          <w:iCs/>
          <w:color w:val="000000"/>
          <w:sz w:val="20"/>
          <w:szCs w:val="20"/>
          <w:bdr w:val="none" w:sz="0" w:space="0" w:color="auto" w:frame="1"/>
        </w:rPr>
        <w:t>, (iv) ha sido declarada contraria a la Constitución</w:t>
      </w:r>
      <w:bookmarkStart w:id="3" w:name="_ftnref45"/>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"_ftn45" \o "" </w:instrText>
      </w:r>
      <w:r w:rsidRPr="00FB46DA">
        <w:rPr>
          <w:rFonts w:ascii="Arial" w:hAnsi="Arial" w:cs="Arial"/>
          <w:i/>
          <w:iCs/>
          <w:color w:val="000000"/>
          <w:sz w:val="20"/>
          <w:szCs w:val="20"/>
          <w:bdr w:val="none" w:sz="0" w:space="0" w:color="auto" w:frame="1"/>
        </w:rPr>
        <w:fldChar w:fldCharType="end"/>
      </w:r>
      <w:bookmarkEnd w:id="3"/>
      <w:r w:rsidRPr="00FB46DA">
        <w:rPr>
          <w:rFonts w:ascii="Arial" w:hAnsi="Arial" w:cs="Arial"/>
          <w:i/>
          <w:iCs/>
          <w:color w:val="000000"/>
          <w:sz w:val="20"/>
          <w:szCs w:val="20"/>
          <w:bdr w:val="none" w:sz="0" w:space="0" w:color="auto" w:frame="1"/>
        </w:rPr>
        <w:t>, (v) a pesar de que la norma en cuestión está vigente y es constitucional, no resulta adecuada su aplicación a la situación fáctica objeto de estudio, así ocurre por ejemplo cuando se le reconocen efectos distintos a los señalados por el legislador. (ii) Cuando pese a la autonomía judicial, la interpretación o aplicación de la norma al caso concreto, no se encuentra, prima facie, dentro del margen de interpretación razonable</w:t>
      </w:r>
      <w:bookmarkStart w:id="4" w:name="_ftnref47"/>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"_ftn47" \o "" </w:instrText>
      </w:r>
      <w:r w:rsidRPr="00FB46DA">
        <w:rPr>
          <w:rFonts w:ascii="Arial" w:hAnsi="Arial" w:cs="Arial"/>
          <w:i/>
          <w:iCs/>
          <w:color w:val="000000"/>
          <w:sz w:val="20"/>
          <w:szCs w:val="20"/>
          <w:bdr w:val="none" w:sz="0" w:space="0" w:color="auto" w:frame="1"/>
        </w:rPr>
        <w:fldChar w:fldCharType="end"/>
      </w:r>
      <w:bookmarkEnd w:id="4"/>
      <w:r w:rsidRPr="00FB46DA">
        <w:rPr>
          <w:rFonts w:ascii="Arial" w:hAnsi="Arial" w:cs="Arial"/>
          <w:i/>
          <w:iCs/>
          <w:color w:val="000000"/>
          <w:sz w:val="20"/>
          <w:szCs w:val="20"/>
          <w:bdr w:val="none" w:sz="0" w:space="0" w:color="auto" w:frame="1"/>
        </w:rPr>
        <w:t> o el operador judicial hace una aplicación inaceptable de la norma al interpretarla de forma contraevidente -interpretación contra legem- o claramente perjudicial para los intereses legítimos de una de las partes o cuando en una decisión judicial se aplica una norma jurídica de manera manifiestamente errada, sacando del marco de la juridicidad y de la hermenéutica jurídica aceptable tal decisión judicial. (iii) Cuando no toma en cuenta sentencias que han definido su alcance con efectos erga omnes. (iv) Cuando la disposición aplicada se muestra injustificadamente regresiva</w:t>
      </w:r>
      <w:bookmarkStart w:id="5" w:name="_ftnref51"/>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"_ftn51" \o "" </w:instrText>
      </w:r>
      <w:r w:rsidRPr="00FB46DA">
        <w:rPr>
          <w:rFonts w:ascii="Arial" w:hAnsi="Arial" w:cs="Arial"/>
          <w:i/>
          <w:iCs/>
          <w:color w:val="000000"/>
          <w:sz w:val="20"/>
          <w:szCs w:val="20"/>
          <w:bdr w:val="none" w:sz="0" w:space="0" w:color="auto" w:frame="1"/>
        </w:rPr>
        <w:fldChar w:fldCharType="end"/>
      </w:r>
      <w:bookmarkEnd w:id="5"/>
      <w:r w:rsidRPr="00FB46DA">
        <w:rPr>
          <w:rFonts w:ascii="Arial" w:hAnsi="Arial" w:cs="Arial"/>
          <w:i/>
          <w:iCs/>
          <w:color w:val="000000"/>
          <w:sz w:val="20"/>
          <w:szCs w:val="20"/>
          <w:bdr w:val="none" w:sz="0" w:space="0" w:color="auto" w:frame="1"/>
        </w:rPr>
        <w:t> o contraria a la Constitución. (v) Cuando un poder concedido al juez por el ordenamiento se utiliza para un fin no previsto en la disposición</w:t>
      </w:r>
      <w:bookmarkStart w:id="6" w:name="_ftnref53"/>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"_ftn53" \o "" </w:instrText>
      </w:r>
      <w:r w:rsidRPr="00FB46DA">
        <w:rPr>
          <w:rFonts w:ascii="Arial" w:hAnsi="Arial" w:cs="Arial"/>
          <w:i/>
          <w:iCs/>
          <w:color w:val="000000"/>
          <w:sz w:val="20"/>
          <w:szCs w:val="20"/>
          <w:bdr w:val="none" w:sz="0" w:space="0" w:color="auto" w:frame="1"/>
        </w:rPr>
        <w:fldChar w:fldCharType="end"/>
      </w:r>
      <w:bookmarkEnd w:id="6"/>
      <w:r w:rsidRPr="00FB46DA">
        <w:rPr>
          <w:rFonts w:ascii="Arial" w:hAnsi="Arial" w:cs="Arial"/>
          <w:i/>
          <w:iCs/>
          <w:color w:val="000000"/>
          <w:sz w:val="20"/>
          <w:szCs w:val="20"/>
          <w:bdr w:val="none" w:sz="0" w:space="0" w:color="auto" w:frame="1"/>
        </w:rPr>
        <w:t>.  (vi) Cuando la decisión se funda en una interpretación no sistemática de la norma, omitiendo el análisis de otras disposiciones aplicables al caso</w:t>
      </w:r>
      <w:bookmarkStart w:id="7" w:name="_ftnref54"/>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"_ftn54" \o "" </w:instrText>
      </w:r>
      <w:r w:rsidRPr="00FB46DA">
        <w:rPr>
          <w:rFonts w:ascii="Arial" w:hAnsi="Arial" w:cs="Arial"/>
          <w:i/>
          <w:iCs/>
          <w:color w:val="000000"/>
          <w:sz w:val="20"/>
          <w:szCs w:val="20"/>
          <w:bdr w:val="none" w:sz="0" w:space="0" w:color="auto" w:frame="1"/>
        </w:rPr>
        <w:fldChar w:fldCharType="end"/>
      </w:r>
      <w:bookmarkEnd w:id="7"/>
      <w:r w:rsidRPr="00FB46DA">
        <w:rPr>
          <w:rFonts w:ascii="Arial" w:hAnsi="Arial" w:cs="Arial"/>
          <w:i/>
          <w:iCs/>
          <w:color w:val="000000"/>
          <w:sz w:val="20"/>
          <w:szCs w:val="20"/>
          <w:bdr w:val="none" w:sz="0" w:space="0" w:color="auto" w:frame="1"/>
        </w:rPr>
        <w:t>. (vii) Cuando el operador judicial con una insuficiente sustentación o justificación de la actuación afecta derechos fundamentales. (viii) Cuando se desconoce el precedente judicial sin ofrecer un mínimo razonable de argumentación que hubiere permitido una decisión diferente de acogerse la jurisprudencia. (ix) Cuando el juez se abstiene de aplicar la excepción de inconstitucionalidad ante una violación manifiesta de la Constitución siempre que se solicite su declaración por alguna de las partes en el proceso</w:t>
      </w:r>
      <w:bookmarkStart w:id="8" w:name="_ftnref57"/>
      <w:r w:rsidRPr="00FB46DA">
        <w:rPr>
          <w:rFonts w:ascii="Arial" w:hAnsi="Arial" w:cs="Arial"/>
          <w:i/>
          <w:iCs/>
          <w:color w:val="000000"/>
          <w:sz w:val="20"/>
          <w:szCs w:val="20"/>
          <w:bdr w:val="none" w:sz="0" w:space="0" w:color="auto" w:frame="1"/>
        </w:rPr>
        <w:fldChar w:fldCharType="begin"/>
      </w:r>
      <w:r w:rsidRPr="00FB46DA">
        <w:rPr>
          <w:rFonts w:ascii="Arial" w:hAnsi="Arial" w:cs="Arial"/>
          <w:i/>
          <w:iCs/>
          <w:color w:val="000000"/>
          <w:sz w:val="20"/>
          <w:szCs w:val="20"/>
          <w:bdr w:val="none" w:sz="0" w:space="0" w:color="auto" w:frame="1"/>
        </w:rPr>
        <w:instrText xml:space="preserve"> </w:instrText>
      </w:r>
      <w:r w:rsidR="005360B1" w:rsidRPr="00FB46DA">
        <w:rPr>
          <w:rFonts w:ascii="Arial" w:hAnsi="Arial" w:cs="Arial"/>
          <w:i/>
          <w:iCs/>
          <w:color w:val="000000"/>
          <w:sz w:val="20"/>
          <w:szCs w:val="20"/>
          <w:bdr w:val="none" w:sz="0" w:space="0" w:color="auto" w:frame="1"/>
        </w:rPr>
        <w:instrText>HYPERLINK</w:instrText>
      </w:r>
      <w:r w:rsidRPr="00FB46DA">
        <w:rPr>
          <w:rFonts w:ascii="Arial" w:hAnsi="Arial" w:cs="Arial"/>
          <w:i/>
          <w:iCs/>
          <w:color w:val="000000"/>
          <w:sz w:val="20"/>
          <w:szCs w:val="20"/>
          <w:bdr w:val="none" w:sz="0" w:space="0" w:color="auto" w:frame="1"/>
        </w:rPr>
        <w:instrText xml:space="preserve"> "http://www.corteconstitucional.gov.co/relatoria/2012/SU195-12.htm" \l "_ftn57" \o "" </w:instrText>
      </w:r>
      <w:r w:rsidRPr="00FB46DA">
        <w:rPr>
          <w:rFonts w:ascii="Arial" w:hAnsi="Arial" w:cs="Arial"/>
          <w:i/>
          <w:iCs/>
          <w:color w:val="000000"/>
          <w:sz w:val="20"/>
          <w:szCs w:val="20"/>
          <w:bdr w:val="none" w:sz="0" w:space="0" w:color="auto" w:frame="1"/>
        </w:rPr>
        <w:fldChar w:fldCharType="end"/>
      </w:r>
      <w:bookmarkEnd w:id="8"/>
      <w:r w:rsidRPr="00FB46DA">
        <w:rPr>
          <w:rFonts w:ascii="Arial" w:hAnsi="Arial" w:cs="Arial"/>
          <w:i/>
          <w:iCs/>
          <w:color w:val="000000"/>
          <w:sz w:val="20"/>
          <w:szCs w:val="20"/>
          <w:bdr w:val="none" w:sz="0" w:space="0" w:color="auto" w:frame="1"/>
        </w:rPr>
        <w:t>”</w:t>
      </w:r>
      <w:r w:rsidRPr="00FB46DA">
        <w:rPr>
          <w:rFonts w:ascii="Arial" w:hAnsi="Arial" w:cs="Arial"/>
          <w:color w:val="000000"/>
          <w:sz w:val="20"/>
          <w:szCs w:val="20"/>
          <w:bdr w:val="none" w:sz="0" w:space="0" w:color="auto" w:frame="1"/>
        </w:rPr>
        <w:t xml:space="preserve">. </w:t>
      </w:r>
      <w:r w:rsidRPr="00FB46DA">
        <w:rPr>
          <w:rFonts w:ascii="Arial" w:hAnsi="Arial" w:cs="Arial"/>
          <w:color w:val="000000"/>
          <w:sz w:val="20"/>
          <w:szCs w:val="20"/>
          <w:shd w:val="clear" w:color="auto" w:fill="FFFFFF"/>
        </w:rPr>
        <w:t>Sentencias T-343 de 2011, T-138 de 2011, T-792 de 2010, T-364 de 2009, T-808 de 2007 y T-086 de 2007.</w:t>
      </w:r>
    </w:p>
  </w:footnote>
  <w:footnote w:id="20">
    <w:p w14:paraId="0D1C95B0" w14:textId="77777777" w:rsidR="005D0622" w:rsidRPr="00FB46DA" w:rsidRDefault="005D0622" w:rsidP="005F7889">
      <w:pPr>
        <w:pStyle w:val="Textonotapie"/>
        <w:jc w:val="both"/>
        <w:rPr>
          <w:rFonts w:ascii="Arial" w:hAnsi="Arial" w:cs="Arial"/>
          <w:color w:val="000000"/>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rPr>
        <w:t xml:space="preserve">Sobre el precedente horizontal y vertical, la Corte Constitucional ha señalado: </w:t>
      </w:r>
      <w:r w:rsidRPr="00FB46DA">
        <w:rPr>
          <w:rFonts w:ascii="Arial" w:hAnsi="Arial" w:cs="Arial"/>
          <w:i/>
          <w:iCs/>
          <w:color w:val="000000"/>
        </w:rPr>
        <w:t>“E</w:t>
      </w:r>
      <w:r w:rsidRPr="00FB46DA">
        <w:rPr>
          <w:rFonts w:ascii="Arial" w:hAnsi="Arial" w:cs="Arial"/>
          <w:i/>
          <w:iCs/>
          <w:color w:val="000000"/>
          <w:shd w:val="clear" w:color="auto" w:fill="FFFFFF"/>
        </w:rPr>
        <w:t>sta Corporación ha diferenciado entre dos clases de precedentes, </w:t>
      </w:r>
      <w:r w:rsidRPr="00FB46DA">
        <w:rPr>
          <w:rFonts w:ascii="Arial" w:hAnsi="Arial" w:cs="Arial"/>
          <w:bCs/>
          <w:i/>
          <w:iCs/>
          <w:color w:val="000000"/>
          <w:bdr w:val="none" w:sz="0" w:space="0" w:color="auto" w:frame="1"/>
          <w:shd w:val="clear" w:color="auto" w:fill="FFFFFF"/>
        </w:rPr>
        <w:t>el horizontal y el vertical</w:t>
      </w:r>
      <w:bookmarkStart w:id="9" w:name="_ftnref23"/>
      <w:bookmarkEnd w:id="9"/>
      <w:r w:rsidRPr="00FB46DA">
        <w:rPr>
          <w:rFonts w:ascii="Arial" w:hAnsi="Arial" w:cs="Arial"/>
          <w:i/>
          <w:iCs/>
          <w:color w:val="000000"/>
          <w:shd w:val="clear" w:color="auto" w:fill="FFFFFF"/>
        </w:rPr>
        <w:t>, de conformidad con quién es el que profiere la providencia previa. </w:t>
      </w:r>
      <w:r w:rsidRPr="00FB46DA">
        <w:rPr>
          <w:rFonts w:ascii="Arial" w:hAnsi="Arial" w:cs="Arial"/>
          <w:bCs/>
          <w:i/>
          <w:iCs/>
          <w:color w:val="000000"/>
          <w:bdr w:val="none" w:sz="0" w:space="0" w:color="auto" w:frame="1"/>
          <w:shd w:val="clear" w:color="auto" w:fill="FFFFFF"/>
        </w:rPr>
        <w:t>El primero</w:t>
      </w:r>
      <w:r w:rsidRPr="00FB46DA">
        <w:rPr>
          <w:rFonts w:ascii="Arial" w:hAnsi="Arial" w:cs="Arial"/>
          <w:i/>
          <w:iCs/>
          <w:color w:val="000000"/>
          <w:shd w:val="clear" w:color="auto" w:fill="FFFFFF"/>
        </w:rPr>
        <w:t> hace referencia a aquellas sentencias fijadas por autoridades de la misma jerarquía o el mismo operador judicial, y </w:t>
      </w:r>
      <w:r w:rsidRPr="00FB46DA">
        <w:rPr>
          <w:rFonts w:ascii="Arial" w:hAnsi="Arial" w:cs="Arial"/>
          <w:bCs/>
          <w:i/>
          <w:iCs/>
          <w:color w:val="000000"/>
          <w:bdr w:val="none" w:sz="0" w:space="0" w:color="auto" w:frame="1"/>
          <w:shd w:val="clear" w:color="auto" w:fill="FFFFFF"/>
        </w:rPr>
        <w:t>el segundo</w:t>
      </w:r>
      <w:r w:rsidRPr="00FB46DA">
        <w:rPr>
          <w:rFonts w:ascii="Arial" w:hAnsi="Arial" w:cs="Arial"/>
          <w:i/>
          <w:iCs/>
          <w:color w:val="000000"/>
          <w:shd w:val="clear" w:color="auto" w:fill="FFFFFF"/>
        </w:rPr>
        <w:t> se relaciona con los lineamientos sentados por las instancias superiores encargadas de unificar jurisprudencia dentro de la respectiva jurisdicción o a nivel constitucional. Así, para la mayoría de asuntos, el precedente vertical que deben seguir los funcionarios judiciales es determinado por la Corte Suprema de Justicia o por el Consejo de Estado, como órganos de cierre dentro de su respectiva jurisdicción. En los casos en los que no son susceptibles de ser revisados por las autoridades mencionadas, son los tribunales los encargados de establecer criterios hermenéuticos para los operadores judiciales inferiores</w:t>
      </w:r>
      <w:r w:rsidRPr="00FB46DA">
        <w:rPr>
          <w:rFonts w:ascii="Arial" w:hAnsi="Arial" w:cs="Arial"/>
          <w:i/>
          <w:iCs/>
          <w:color w:val="000000"/>
          <w:bdr w:val="none" w:sz="0" w:space="0" w:color="auto" w:frame="1"/>
        </w:rPr>
        <w:t>”</w:t>
      </w:r>
      <w:r w:rsidRPr="00FB46DA">
        <w:rPr>
          <w:rFonts w:ascii="Arial" w:hAnsi="Arial" w:cs="Arial"/>
          <w:color w:val="000000"/>
          <w:bdr w:val="none" w:sz="0" w:space="0" w:color="auto" w:frame="1"/>
        </w:rPr>
        <w:t>. Corte Constitucional</w:t>
      </w:r>
      <w:r w:rsidRPr="00FB46DA">
        <w:rPr>
          <w:rFonts w:ascii="Arial" w:hAnsi="Arial" w:cs="Arial"/>
          <w:color w:val="000000"/>
          <w:bdr w:val="none" w:sz="0" w:space="0" w:color="auto" w:frame="1"/>
          <w:lang w:val="es-CO"/>
        </w:rPr>
        <w:t>,</w:t>
      </w:r>
      <w:r w:rsidRPr="00FB46DA">
        <w:rPr>
          <w:rFonts w:ascii="Arial" w:hAnsi="Arial" w:cs="Arial"/>
          <w:color w:val="000000"/>
          <w:bdr w:val="none" w:sz="0" w:space="0" w:color="auto" w:frame="1"/>
        </w:rPr>
        <w:t xml:space="preserve"> </w:t>
      </w:r>
      <w:r w:rsidR="00EF625A" w:rsidRPr="00FB46DA">
        <w:rPr>
          <w:rFonts w:ascii="Arial" w:hAnsi="Arial" w:cs="Arial"/>
          <w:color w:val="000000"/>
          <w:bdr w:val="none" w:sz="0" w:space="0" w:color="auto" w:frame="1"/>
          <w:lang w:val="es-ES"/>
        </w:rPr>
        <w:t>s</w:t>
      </w:r>
      <w:r w:rsidRPr="00FB46DA">
        <w:rPr>
          <w:rFonts w:ascii="Arial" w:hAnsi="Arial" w:cs="Arial"/>
          <w:color w:val="000000"/>
          <w:bdr w:val="none" w:sz="0" w:space="0" w:color="auto" w:frame="1"/>
        </w:rPr>
        <w:t>entencias T</w:t>
      </w:r>
      <w:r w:rsidRPr="00FB46DA">
        <w:rPr>
          <w:rFonts w:ascii="Arial" w:hAnsi="Arial" w:cs="Arial"/>
          <w:color w:val="000000"/>
          <w:shd w:val="clear" w:color="auto" w:fill="FFFFFF"/>
        </w:rPr>
        <w:t>-794 de 2011, T-082 de 2011, T-209 de 2011 y T -102 de 2014.</w:t>
      </w:r>
    </w:p>
  </w:footnote>
  <w:footnote w:id="21">
    <w:p w14:paraId="1CA7432D" w14:textId="77777777" w:rsidR="005D0622" w:rsidRPr="00FB46DA" w:rsidRDefault="005D0622" w:rsidP="00D61EC6">
      <w:pPr>
        <w:pStyle w:val="Textonotapie"/>
        <w:jc w:val="both"/>
        <w:rPr>
          <w:rFonts w:ascii="Arial" w:eastAsia="DengXian" w:hAnsi="Arial" w:cs="Arial"/>
          <w:i/>
          <w:iCs/>
          <w:color w:val="000000"/>
          <w:lang w:eastAsia="zh-CN"/>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El texto, antes de ser modificado por las Leyes 1393 de 2010 y 1819 de 2016, era el siguiente: </w:t>
      </w:r>
      <w:r w:rsidRPr="00FB46DA">
        <w:rPr>
          <w:rFonts w:ascii="Arial" w:hAnsi="Arial" w:cs="Arial"/>
          <w:i/>
          <w:iCs/>
          <w:color w:val="000000"/>
          <w:lang w:val="es-CO"/>
        </w:rPr>
        <w:t>“</w:t>
      </w:r>
      <w:r w:rsidRPr="00FB46DA">
        <w:rPr>
          <w:rFonts w:ascii="Arial" w:hAnsi="Arial" w:cs="Arial"/>
          <w:b/>
          <w:bCs/>
          <w:i/>
          <w:iCs/>
          <w:color w:val="000000"/>
        </w:rPr>
        <w:t>Articulo 647. Sa</w:t>
      </w:r>
      <w:r w:rsidRPr="00FB46DA">
        <w:rPr>
          <w:rFonts w:ascii="Arial" w:hAnsi="Arial" w:cs="Arial"/>
          <w:b/>
          <w:bCs/>
          <w:i/>
          <w:iCs/>
          <w:color w:val="000000"/>
          <w:lang w:val="es-CO"/>
        </w:rPr>
        <w:t>nción</w:t>
      </w:r>
      <w:r w:rsidRPr="00FB46DA">
        <w:rPr>
          <w:rFonts w:ascii="Arial" w:hAnsi="Arial" w:cs="Arial"/>
          <w:b/>
          <w:bCs/>
          <w:i/>
          <w:iCs/>
          <w:color w:val="000000"/>
        </w:rPr>
        <w:t xml:space="preserve"> </w:t>
      </w:r>
      <w:r w:rsidRPr="00FB46DA">
        <w:rPr>
          <w:rFonts w:ascii="Arial" w:hAnsi="Arial" w:cs="Arial"/>
          <w:b/>
          <w:bCs/>
          <w:i/>
          <w:iCs/>
          <w:color w:val="000000"/>
          <w:lang w:val="es-CO"/>
        </w:rPr>
        <w:t>p</w:t>
      </w:r>
      <w:r w:rsidRPr="00FB46DA">
        <w:rPr>
          <w:rFonts w:ascii="Arial" w:hAnsi="Arial" w:cs="Arial"/>
          <w:b/>
          <w:bCs/>
          <w:i/>
          <w:iCs/>
          <w:color w:val="000000"/>
        </w:rPr>
        <w:t xml:space="preserve">or </w:t>
      </w:r>
      <w:r w:rsidRPr="00FB46DA">
        <w:rPr>
          <w:rFonts w:ascii="Arial" w:hAnsi="Arial" w:cs="Arial"/>
          <w:b/>
          <w:bCs/>
          <w:i/>
          <w:iCs/>
          <w:color w:val="000000"/>
          <w:lang w:val="es-CO"/>
        </w:rPr>
        <w:t>i</w:t>
      </w:r>
      <w:r w:rsidRPr="00FB46DA">
        <w:rPr>
          <w:rFonts w:ascii="Arial" w:hAnsi="Arial" w:cs="Arial"/>
          <w:b/>
          <w:bCs/>
          <w:i/>
          <w:iCs/>
          <w:color w:val="000000"/>
        </w:rPr>
        <w:t>nexactitud.</w:t>
      </w:r>
      <w:r w:rsidRPr="00FB46DA">
        <w:rPr>
          <w:rFonts w:ascii="Arial" w:hAnsi="Arial" w:cs="Arial"/>
          <w:i/>
          <w:iCs/>
          <w:color w:val="000000"/>
        </w:rPr>
        <w:t xml:space="preserve"> Constituye inexactitud sancionable en las declaraciones tributarias, la omisión de ingresos, de impuestos generados por las operaciones gravadas, de bienes o actuaciones susceptibles de gravamen, así como la inclusión de costos, deducciones, descuentos, exenciones, pasivos, impuestos descontables, retenciones o anticipos, inexistentes, y, en general, la utilización en las declaraciones tributarias, o en los informes suministrados a las Oficinas de Impuestos, de datos o factores falsos, equivocados, incompletos o desfigurados, de los cuales se derive un menor impuesto o saldo a pagar, o un mayor saldo a favor para el contribuyente o responsable. Igualmente, constituye inexactitud, el hecho de solicitar compensación o devolución, sobre sumas a favor que hubieren sido objeto de compensación o devolución anterior. </w:t>
      </w:r>
    </w:p>
    <w:p w14:paraId="57C8DEB4" w14:textId="77777777" w:rsidR="005D0622" w:rsidRPr="00FB46DA" w:rsidRDefault="005D0622" w:rsidP="00D61EC6">
      <w:pPr>
        <w:pStyle w:val="Textonotapie"/>
        <w:jc w:val="both"/>
        <w:rPr>
          <w:rFonts w:ascii="Arial" w:eastAsia="DengXian" w:hAnsi="Arial" w:cs="Arial"/>
          <w:i/>
          <w:iCs/>
          <w:color w:val="000000"/>
          <w:lang w:eastAsia="zh-CN"/>
        </w:rPr>
      </w:pPr>
      <w:r w:rsidRPr="00FB46DA">
        <w:rPr>
          <w:rFonts w:ascii="Arial" w:hAnsi="Arial" w:cs="Arial"/>
          <w:i/>
          <w:iCs/>
          <w:color w:val="000000"/>
        </w:rPr>
        <w:t xml:space="preserve">La sanción por inexactitud será equivalente al ciento sesenta por ciento (160%) de la diferencia entre el saldo a pagar o saldo a favor, según el caso, determinado en la liquidación oficial, y el declarado por el contribuyente o responsable. Esta sanción no se aplicará sobre el mayor valor del anticipo que se genere al modificar el impuesto declarado por el contribuyente. </w:t>
      </w:r>
    </w:p>
    <w:p w14:paraId="5014728F" w14:textId="77777777" w:rsidR="005D0622" w:rsidRPr="00FB46DA" w:rsidRDefault="005D0622" w:rsidP="00D61EC6">
      <w:pPr>
        <w:pStyle w:val="Textonotapie"/>
        <w:jc w:val="both"/>
        <w:rPr>
          <w:rFonts w:ascii="Arial" w:eastAsia="DengXian" w:hAnsi="Arial" w:cs="Arial"/>
          <w:i/>
          <w:iCs/>
          <w:color w:val="000000"/>
          <w:lang w:eastAsia="zh-CN"/>
        </w:rPr>
      </w:pPr>
      <w:r w:rsidRPr="00FB46DA">
        <w:rPr>
          <w:rFonts w:ascii="Arial" w:hAnsi="Arial" w:cs="Arial"/>
          <w:i/>
          <w:iCs/>
          <w:color w:val="000000"/>
        </w:rPr>
        <w:t xml:space="preserve">Sin perjuicio de las sanciones de tipo penal vigentes, por no consignar los valores retenidos, constituye inexactitud de la declaración de retenciones en la fuente, el hecho de no incluir en la declaración la totalidad de retenciones que han debido efectuarse, o el efectuarlas y no declararlas, o el declararlas por un valor inferior. En estos casos la sanción por inexactitud será equivalente al ciento sesenta por ciento (160%) del valor de la retención no efectuada o no declarada. </w:t>
      </w:r>
    </w:p>
    <w:p w14:paraId="3B7BC99E" w14:textId="77777777" w:rsidR="005D0622" w:rsidRPr="00FB46DA" w:rsidRDefault="005D0622" w:rsidP="00D61EC6">
      <w:pPr>
        <w:pStyle w:val="Textonotapie"/>
        <w:jc w:val="both"/>
        <w:rPr>
          <w:rFonts w:ascii="Arial" w:eastAsia="DengXian" w:hAnsi="Arial" w:cs="Arial"/>
          <w:i/>
          <w:iCs/>
          <w:color w:val="000000"/>
          <w:lang w:eastAsia="zh-CN"/>
        </w:rPr>
      </w:pPr>
      <w:r w:rsidRPr="00FB46DA">
        <w:rPr>
          <w:rFonts w:ascii="Arial" w:hAnsi="Arial" w:cs="Arial"/>
          <w:i/>
          <w:iCs/>
          <w:color w:val="000000"/>
        </w:rPr>
        <w:t>En el caso de las declaraciones de ingresos y patrimonio, la sanción por inexactitud será del veinte por ciento (20%), de los valores inexactos por las causales enunciadas en el inciso primero del presente artículo, aunque en dichos casos no exista impuesto a pagar. La sanción por inexactitud a que se refiere este artículo, se reducirá cuando se cumplan los supuestos y condiciones de los artículos 709 y 713. No se configura inexactitud, cuando el menor valor a pagar que resulte en las declaraciones tributarias, se derive de errores de apreciación o de diferencias de criterio entre las Oficinas de impuestos y el declarante, relativos a la interpretación del derecho aplicable, siempre que los hechos y cifras denunciados sean completos y verdaderos.</w:t>
      </w:r>
    </w:p>
    <w:p w14:paraId="16F27AEF" w14:textId="77777777" w:rsidR="005D0622" w:rsidRPr="00FB46DA" w:rsidRDefault="005D0622" w:rsidP="00D61EC6">
      <w:pPr>
        <w:pStyle w:val="Textonotapie"/>
        <w:jc w:val="both"/>
        <w:rPr>
          <w:rFonts w:ascii="Arial" w:eastAsia="DengXian" w:hAnsi="Arial" w:cs="Arial"/>
          <w:i/>
          <w:iCs/>
          <w:color w:val="000000"/>
          <w:lang w:val="es-CO" w:eastAsia="zh-CN"/>
        </w:rPr>
      </w:pPr>
      <w:r w:rsidRPr="00FB46DA">
        <w:rPr>
          <w:rFonts w:ascii="Arial" w:hAnsi="Arial" w:cs="Arial"/>
          <w:i/>
          <w:iCs/>
          <w:color w:val="000000"/>
          <w:lang w:val="es-CO" w:eastAsia="es-CO"/>
        </w:rPr>
        <w:t>«Inciso final derogado por el artículo 83 de la Ley 49 de 1990</w:t>
      </w:r>
      <w:r w:rsidRPr="00FB46DA">
        <w:rPr>
          <w:rFonts w:ascii="Arial" w:hAnsi="Arial" w:cs="Arial"/>
          <w:i/>
          <w:iCs/>
          <w:color w:val="000000"/>
        </w:rPr>
        <w:t>»</w:t>
      </w:r>
      <w:r w:rsidRPr="00FB46DA">
        <w:rPr>
          <w:rFonts w:ascii="Arial" w:hAnsi="Arial" w:cs="Arial"/>
          <w:i/>
          <w:iCs/>
          <w:color w:val="000000"/>
          <w:lang w:val="es-CO"/>
        </w:rPr>
        <w:t>”</w:t>
      </w:r>
      <w:r w:rsidR="004D039B" w:rsidRPr="00FB46DA">
        <w:rPr>
          <w:rFonts w:ascii="Arial" w:hAnsi="Arial" w:cs="Arial"/>
          <w:i/>
          <w:iCs/>
          <w:color w:val="000000"/>
          <w:lang w:val="es-CO"/>
        </w:rPr>
        <w:t>.</w:t>
      </w:r>
    </w:p>
  </w:footnote>
  <w:footnote w:id="22">
    <w:p w14:paraId="6F62CFB4" w14:textId="77777777" w:rsidR="005D0622" w:rsidRPr="00FB46DA" w:rsidRDefault="005D0622" w:rsidP="00D61EC6">
      <w:pPr>
        <w:pStyle w:val="NormalWeb"/>
        <w:spacing w:before="0" w:beforeAutospacing="0" w:after="0" w:afterAutospacing="0"/>
        <w:jc w:val="both"/>
        <w:rPr>
          <w:rFonts w:ascii="Arial" w:hAnsi="Arial" w:cs="Arial"/>
          <w:i/>
          <w:iCs/>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w:t>
      </w:r>
      <w:r w:rsidRPr="00FB46DA">
        <w:rPr>
          <w:rFonts w:ascii="Arial" w:hAnsi="Arial" w:cs="Arial"/>
          <w:i/>
          <w:iCs/>
          <w:color w:val="000000"/>
          <w:sz w:val="20"/>
          <w:szCs w:val="20"/>
        </w:rPr>
        <w:t>“</w:t>
      </w:r>
      <w:r w:rsidRPr="00FB46DA">
        <w:rPr>
          <w:rFonts w:ascii="Arial" w:hAnsi="Arial" w:cs="Arial"/>
          <w:b/>
          <w:bCs/>
          <w:i/>
          <w:iCs/>
          <w:color w:val="000000"/>
          <w:sz w:val="20"/>
          <w:szCs w:val="20"/>
        </w:rPr>
        <w:t>Artículo 647-1. Rechazo o disminución de pérdidas.</w:t>
      </w:r>
      <w:r w:rsidRPr="00FB46DA">
        <w:rPr>
          <w:rFonts w:ascii="Arial" w:hAnsi="Arial" w:cs="Arial"/>
          <w:i/>
          <w:iCs/>
          <w:color w:val="000000"/>
          <w:sz w:val="20"/>
          <w:szCs w:val="20"/>
        </w:rPr>
        <w:t> &lt;Artículo adicionado por el artículo </w:t>
      </w:r>
      <w:hyperlink r:id="rId1" w:anchor="24" w:history="1">
        <w:r w:rsidRPr="00FB46DA">
          <w:rPr>
            <w:rFonts w:ascii="Arial" w:hAnsi="Arial" w:cs="Arial"/>
            <w:i/>
            <w:iCs/>
            <w:color w:val="000000"/>
            <w:sz w:val="20"/>
            <w:szCs w:val="20"/>
            <w:u w:val="single"/>
          </w:rPr>
          <w:t>24</w:t>
        </w:r>
      </w:hyperlink>
      <w:r w:rsidRPr="00FB46DA">
        <w:rPr>
          <w:rFonts w:ascii="Arial" w:hAnsi="Arial" w:cs="Arial"/>
          <w:i/>
          <w:iCs/>
          <w:color w:val="000000"/>
          <w:sz w:val="20"/>
          <w:szCs w:val="20"/>
        </w:rPr>
        <w:t> de la Ley 863 de 2003. El nuevo texto es el siguiente:&gt; La disminución de las pérdidas fiscales declaradas por el contribuyente, mediante liquidaciones oficiales o por corrección de las declaraciones privadas, se considera para efectos de todas las sanciones tributarias como un menor saldo a favor, en una cuantía equivalente al impuesto que teóricamente generaría la pérdida rechazada oficialmente o disminuida en la corrección. Dicha cuantía constituirá la base para determinar la san ción [sic], la cual se adicionará al valor de las demás sanciones que legalmente deban aplicarse.</w:t>
      </w:r>
    </w:p>
    <w:p w14:paraId="3CC72507" w14:textId="77777777" w:rsidR="005D0622" w:rsidRPr="00FB46DA" w:rsidRDefault="005D0622" w:rsidP="00D61EC6">
      <w:pPr>
        <w:spacing w:after="0" w:line="240" w:lineRule="auto"/>
        <w:jc w:val="both"/>
        <w:rPr>
          <w:rFonts w:ascii="Arial" w:eastAsia="Times New Roman" w:hAnsi="Arial" w:cs="Arial"/>
          <w:i/>
          <w:iCs/>
          <w:color w:val="000000"/>
          <w:sz w:val="20"/>
          <w:szCs w:val="20"/>
          <w:lang w:eastAsia="es-CO"/>
        </w:rPr>
      </w:pPr>
      <w:r w:rsidRPr="00FB46DA">
        <w:rPr>
          <w:rFonts w:ascii="Arial" w:eastAsia="Times New Roman" w:hAnsi="Arial" w:cs="Arial"/>
          <w:i/>
          <w:iCs/>
          <w:color w:val="000000"/>
          <w:sz w:val="20"/>
          <w:szCs w:val="20"/>
          <w:lang w:eastAsia="es-CO"/>
        </w:rPr>
        <w:t>Las razones y procedimientos para eximir de las sanciones de inexactitud o por corrección, serán aplicables cuando las mismas procedan por disminución de pérdidas.</w:t>
      </w:r>
    </w:p>
    <w:p w14:paraId="3EE4421A" w14:textId="77777777" w:rsidR="005D0622" w:rsidRPr="00FB46DA" w:rsidRDefault="005D0622" w:rsidP="00D61EC6">
      <w:pPr>
        <w:spacing w:after="0" w:line="240" w:lineRule="auto"/>
        <w:jc w:val="both"/>
        <w:rPr>
          <w:rFonts w:ascii="Arial" w:eastAsia="Times New Roman" w:hAnsi="Arial" w:cs="Arial"/>
          <w:i/>
          <w:iCs/>
          <w:color w:val="000000"/>
          <w:sz w:val="20"/>
          <w:szCs w:val="20"/>
          <w:lang w:eastAsia="es-CO"/>
        </w:rPr>
      </w:pPr>
      <w:r w:rsidRPr="00FB46DA">
        <w:rPr>
          <w:rFonts w:ascii="Arial" w:eastAsia="Times New Roman" w:hAnsi="Arial" w:cs="Arial"/>
          <w:b/>
          <w:bCs/>
          <w:i/>
          <w:iCs/>
          <w:color w:val="000000"/>
          <w:sz w:val="20"/>
          <w:szCs w:val="20"/>
          <w:lang w:eastAsia="es-CO"/>
        </w:rPr>
        <w:t>PARÁGRAFO 1o.</w:t>
      </w:r>
      <w:r w:rsidRPr="00FB46DA">
        <w:rPr>
          <w:rFonts w:ascii="Arial" w:eastAsia="Times New Roman" w:hAnsi="Arial" w:cs="Arial"/>
          <w:i/>
          <w:iCs/>
          <w:color w:val="000000"/>
          <w:sz w:val="20"/>
          <w:szCs w:val="20"/>
          <w:lang w:eastAsia="es-CO"/>
        </w:rPr>
        <w:t> Las correcciones a las declaraciones del impuesto sobre la renta que incluyan un incremento del valor de las pérdidas, deberán realizarse de conformidad con el procedimiento establecido en el artículo </w:t>
      </w:r>
      <w:hyperlink r:id="rId2" w:anchor="589" w:history="1">
        <w:r w:rsidRPr="00FB46DA">
          <w:rPr>
            <w:rFonts w:ascii="Arial" w:eastAsia="Times New Roman" w:hAnsi="Arial" w:cs="Arial"/>
            <w:i/>
            <w:iCs/>
            <w:color w:val="000000"/>
            <w:sz w:val="20"/>
            <w:szCs w:val="20"/>
            <w:u w:val="single"/>
            <w:lang w:eastAsia="es-CO"/>
          </w:rPr>
          <w:t>589</w:t>
        </w:r>
      </w:hyperlink>
      <w:r w:rsidRPr="00FB46DA">
        <w:rPr>
          <w:rFonts w:ascii="Arial" w:eastAsia="Times New Roman" w:hAnsi="Arial" w:cs="Arial"/>
          <w:i/>
          <w:iCs/>
          <w:color w:val="000000"/>
          <w:sz w:val="20"/>
          <w:szCs w:val="20"/>
          <w:lang w:eastAsia="es-CO"/>
        </w:rPr>
        <w:t>.</w:t>
      </w:r>
    </w:p>
    <w:p w14:paraId="55C8C100" w14:textId="77777777" w:rsidR="005D0622" w:rsidRPr="00FB46DA" w:rsidRDefault="005D0622" w:rsidP="00D61EC6">
      <w:pPr>
        <w:spacing w:after="0" w:line="240" w:lineRule="auto"/>
        <w:jc w:val="both"/>
        <w:rPr>
          <w:rFonts w:ascii="Arial" w:hAnsi="Arial" w:cs="Arial"/>
          <w:i/>
          <w:iCs/>
          <w:color w:val="000000"/>
          <w:sz w:val="20"/>
          <w:szCs w:val="20"/>
        </w:rPr>
      </w:pPr>
      <w:r w:rsidRPr="00FB46DA">
        <w:rPr>
          <w:rFonts w:ascii="Arial" w:eastAsia="Times New Roman" w:hAnsi="Arial" w:cs="Arial"/>
          <w:b/>
          <w:bCs/>
          <w:i/>
          <w:iCs/>
          <w:color w:val="000000"/>
          <w:sz w:val="20"/>
          <w:szCs w:val="20"/>
          <w:lang w:eastAsia="es-CO"/>
        </w:rPr>
        <w:t>PARÁGRAFO 2o.</w:t>
      </w:r>
      <w:r w:rsidRPr="00FB46DA">
        <w:rPr>
          <w:rFonts w:ascii="Arial" w:eastAsia="Times New Roman" w:hAnsi="Arial" w:cs="Arial"/>
          <w:i/>
          <w:iCs/>
          <w:color w:val="000000"/>
          <w:sz w:val="20"/>
          <w:szCs w:val="20"/>
          <w:lang w:eastAsia="es-CO"/>
        </w:rPr>
        <w:t> La sanción prevista en el presente artículo no se aplicará, cuando el contribuyente corrija voluntariamente su declaración antes de la notificación del emplazamiento para corregir o del auto que ordena inspección tributaria, y la pérdida no haya sido compensada”</w:t>
      </w:r>
      <w:r w:rsidR="004D039B" w:rsidRPr="00FB46DA">
        <w:rPr>
          <w:rFonts w:ascii="Arial" w:eastAsia="Times New Roman" w:hAnsi="Arial" w:cs="Arial"/>
          <w:i/>
          <w:iCs/>
          <w:color w:val="000000"/>
          <w:sz w:val="20"/>
          <w:szCs w:val="20"/>
          <w:lang w:eastAsia="es-CO"/>
        </w:rPr>
        <w:t>.</w:t>
      </w:r>
    </w:p>
  </w:footnote>
  <w:footnote w:id="23">
    <w:p w14:paraId="11A109E0" w14:textId="77777777" w:rsidR="005D0622" w:rsidRPr="00FB46DA" w:rsidRDefault="005D0622" w:rsidP="00D61EC6">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18 del expediente digital de tutela, subido a la plataforma SAMAI del Consejo de Estado, por medio del certificado No. B2D4B9B195EA7ED3 1BF3A06F9007138E B248F2F4DB7C6478 B34053139F977F66.</w:t>
      </w:r>
    </w:p>
  </w:footnote>
  <w:footnote w:id="24">
    <w:p w14:paraId="6A0486ED" w14:textId="77777777" w:rsidR="005D0622" w:rsidRPr="00FB46DA" w:rsidRDefault="005D0622" w:rsidP="00A078ED">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w:t>
      </w:r>
      <w:r w:rsidRPr="00FB46DA">
        <w:rPr>
          <w:rFonts w:ascii="Arial" w:hAnsi="Arial" w:cs="Arial"/>
          <w:color w:val="000000"/>
        </w:rPr>
        <w:t>Por la cual se establecen normas tributarias, aduaneras, fiscales y de control para estimular el crecimiento económico y el saneamiento de las finanzas públicas.</w:t>
      </w:r>
      <w:r w:rsidRPr="00FB46DA">
        <w:rPr>
          <w:rFonts w:ascii="Arial" w:hAnsi="Arial" w:cs="Arial"/>
          <w:color w:val="000000"/>
          <w:lang w:val="es-CO"/>
        </w:rPr>
        <w:t>”.</w:t>
      </w:r>
    </w:p>
  </w:footnote>
  <w:footnote w:id="25">
    <w:p w14:paraId="4AB926E9" w14:textId="77777777" w:rsidR="005D0622" w:rsidRPr="00FB46DA" w:rsidRDefault="005D0622" w:rsidP="00362B51">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Citado en el fallo de segunda instancia de la Sección Cuarta de esta Corporación. Folio 46 del expediente digital de tutela, subido a la plataforma SAMAI del Consejo de Estado, por medio del certificado No. B2D4B9B195EA7ED3 1BF3A06F9007138E B248F2F4DB7C6478 B34053139F977F66.</w:t>
      </w:r>
    </w:p>
  </w:footnote>
  <w:footnote w:id="26">
    <w:p w14:paraId="3C16994D" w14:textId="77777777" w:rsidR="005D0622" w:rsidRPr="00FB46DA" w:rsidRDefault="005D0622" w:rsidP="00362B51">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Se citó: En similar sentido sentencia del 15 de mayo de 2014, Exp. 19647, M.P. Dra. Carmen Teresa Ortiz de Rodríguez. </w:t>
      </w:r>
    </w:p>
  </w:footnote>
  <w:footnote w:id="27">
    <w:p w14:paraId="4A0404F3" w14:textId="77777777" w:rsidR="005D0622" w:rsidRPr="00FB46DA" w:rsidRDefault="005D0622" w:rsidP="00362B51">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47 del expediente digital de tutela, subido a la plataforma SAMAI del Consejo de Estado, por medio del certificado No. B2D4B9B195EA7ED3 1BF3A06F9007138E B248F2F4DB7C6478 B34053139F977F66.</w:t>
      </w:r>
    </w:p>
  </w:footnote>
  <w:footnote w:id="28">
    <w:p w14:paraId="173EC049" w14:textId="77777777" w:rsidR="005D0622" w:rsidRPr="00FB46DA" w:rsidRDefault="005D0622" w:rsidP="00663017">
      <w:pPr>
        <w:pStyle w:val="unico"/>
        <w:spacing w:before="0" w:after="0" w:afterAutospacing="0"/>
        <w:rPr>
          <w:color w:val="000000"/>
          <w:sz w:val="20"/>
          <w:szCs w:val="20"/>
          <w:lang w:val="es-ES"/>
        </w:rPr>
      </w:pPr>
      <w:r w:rsidRPr="00FB46DA">
        <w:rPr>
          <w:rStyle w:val="Refdenotaalpie"/>
          <w:color w:val="000000"/>
          <w:sz w:val="20"/>
          <w:szCs w:val="20"/>
        </w:rPr>
        <w:footnoteRef/>
      </w:r>
      <w:r w:rsidRPr="00FB46DA">
        <w:rPr>
          <w:color w:val="000000"/>
          <w:sz w:val="20"/>
          <w:szCs w:val="20"/>
        </w:rPr>
        <w:t xml:space="preserve"> </w:t>
      </w:r>
      <w:r w:rsidR="00663017" w:rsidRPr="00FB46DA">
        <w:rPr>
          <w:color w:val="000000"/>
          <w:sz w:val="20"/>
          <w:szCs w:val="20"/>
        </w:rPr>
        <w:t xml:space="preserve">Dice la Corte que </w:t>
      </w:r>
      <w:r w:rsidR="00663017" w:rsidRPr="00FB46DA">
        <w:rPr>
          <w:i/>
          <w:iCs/>
          <w:color w:val="000000"/>
          <w:sz w:val="20"/>
          <w:szCs w:val="20"/>
        </w:rPr>
        <w:t>“[e]</w:t>
      </w:r>
      <w:r w:rsidR="00663017" w:rsidRPr="00FB46DA">
        <w:rPr>
          <w:i/>
          <w:iCs/>
          <w:color w:val="000000"/>
          <w:sz w:val="20"/>
          <w:szCs w:val="20"/>
          <w:shd w:val="clear" w:color="auto" w:fill="FFFFFF"/>
        </w:rPr>
        <w:t xml:space="preserve">llo resulta evidente no solo a partir del texto de la norma estudiada, sino también si se tiene en cuenta que en la exposición de motivos del proyecto presentado por el gobierno, expresamente se señalaba, en relación con esta disposición que “[e]n el caso de disminución de pérdidas por efecto del proceso de fiscalización, se recaudará sanción por inexactitud sobre el menor valor del impuesto que teóricamente generaría la pérdida rechazada”. </w:t>
      </w:r>
      <w:r w:rsidR="00663017" w:rsidRPr="00FB46DA">
        <w:rPr>
          <w:color w:val="000000"/>
          <w:sz w:val="20"/>
          <w:szCs w:val="20"/>
          <w:shd w:val="clear" w:color="auto" w:fill="FFFFFF"/>
        </w:rPr>
        <w:t>Sentencia C-910 de 2004.</w:t>
      </w:r>
    </w:p>
  </w:footnote>
  <w:footnote w:id="29">
    <w:p w14:paraId="5D637A79" w14:textId="77777777" w:rsidR="005D0622" w:rsidRPr="00FB46DA" w:rsidRDefault="005D0622" w:rsidP="004571BE">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Se indicó que: </w:t>
      </w:r>
      <w:r w:rsidRPr="00FB46DA">
        <w:rPr>
          <w:rFonts w:ascii="Arial" w:hAnsi="Arial" w:cs="Arial"/>
          <w:i/>
          <w:iCs/>
          <w:color w:val="000000"/>
          <w:lang w:val="es-CO"/>
        </w:rPr>
        <w:t>“</w:t>
      </w:r>
      <w:r w:rsidRPr="00FB46DA">
        <w:rPr>
          <w:rFonts w:ascii="Arial" w:hAnsi="Arial" w:cs="Arial"/>
          <w:i/>
          <w:iCs/>
          <w:color w:val="000000"/>
        </w:rPr>
        <w:t xml:space="preserve">El artículo 647 del ET estableció como hechos constitutivos de inexactitud: la omisión de ingresos, de impuestos generados por las operaciones gravadas, de bienes o actuaciones susceptibles de gravamen, la inclusión de costos, deducciones, descuentos, exenciones, pasivos, impuestos descontables, retenciones o anticipos, inexistentes y, en general, </w:t>
      </w:r>
      <w:r w:rsidRPr="00FB46DA">
        <w:rPr>
          <w:rFonts w:ascii="Arial" w:hAnsi="Arial" w:cs="Arial"/>
          <w:b/>
          <w:i/>
          <w:iCs/>
          <w:color w:val="000000"/>
        </w:rPr>
        <w:t>la utilización en las declaraciones tributarias de datos o factores falsos, equivocados, incompletos o desfigurados,</w:t>
      </w:r>
      <w:r w:rsidRPr="00FB46DA">
        <w:rPr>
          <w:rFonts w:ascii="Arial" w:hAnsi="Arial" w:cs="Arial"/>
          <w:i/>
          <w:iCs/>
          <w:color w:val="000000"/>
        </w:rPr>
        <w:t xml:space="preserve"> de los que se derive un menor impuesto o saldo a pagar, o un mayor saldo a favor. Igualmente, el hecho de solicitar compensación o devolución, sobre sumas a favor que hubieren sido objeto de compensación o devolución anterior.</w:t>
      </w:r>
      <w:r w:rsidRPr="00FB46DA">
        <w:rPr>
          <w:rFonts w:ascii="Arial" w:hAnsi="Arial" w:cs="Arial"/>
          <w:i/>
          <w:iCs/>
          <w:color w:val="000000"/>
          <w:lang w:val="es-CO"/>
        </w:rPr>
        <w:t>”</w:t>
      </w:r>
      <w:r w:rsidRPr="00FB46DA">
        <w:rPr>
          <w:rFonts w:ascii="Arial" w:hAnsi="Arial" w:cs="Arial"/>
          <w:color w:val="000000"/>
          <w:lang w:val="es-CO"/>
        </w:rPr>
        <w:t>.</w:t>
      </w:r>
      <w:r w:rsidRPr="00FB46DA">
        <w:rPr>
          <w:rFonts w:ascii="Arial" w:hAnsi="Arial" w:cs="Arial"/>
          <w:color w:val="000000"/>
        </w:rPr>
        <w:t xml:space="preserve"> </w:t>
      </w:r>
    </w:p>
  </w:footnote>
  <w:footnote w:id="30">
    <w:p w14:paraId="4C5E5883" w14:textId="77777777" w:rsidR="005D0622" w:rsidRPr="00FB46DA" w:rsidRDefault="005D0622" w:rsidP="00E51D07">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Folios 46 y 47 del expediente digital de tutela, subido a la plataforma SAMAI del Consejo de Estado, por medio del certificado No. B2D4B9B195EA7ED3 1BF3A06F9007138E B248F2F4DB7C6478 B34053139F977F66.</w:t>
      </w:r>
    </w:p>
  </w:footnote>
  <w:footnote w:id="31">
    <w:p w14:paraId="5A766A49" w14:textId="77777777" w:rsidR="005D0622" w:rsidRPr="00FB46DA" w:rsidRDefault="005D0622" w:rsidP="00852A2E">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 xml:space="preserve">Entendida como </w:t>
      </w:r>
      <w:r w:rsidRPr="00FB46DA">
        <w:rPr>
          <w:rFonts w:ascii="Arial" w:hAnsi="Arial" w:cs="Arial"/>
          <w:i/>
          <w:iCs/>
          <w:color w:val="000000"/>
          <w:lang w:val="es-CO"/>
        </w:rPr>
        <w:t>“la actividad dirigida a encontrar la solución al conflicto o al problema jurídico que se somete a estudio del intérprete”</w:t>
      </w:r>
      <w:r w:rsidR="00271B03" w:rsidRPr="00FB46DA">
        <w:rPr>
          <w:rFonts w:ascii="Arial" w:hAnsi="Arial" w:cs="Arial"/>
          <w:color w:val="000000"/>
          <w:lang w:val="es-CO"/>
        </w:rPr>
        <w:t>. Corte Constitucional, sentencia C-820 de 2006.</w:t>
      </w:r>
    </w:p>
  </w:footnote>
  <w:footnote w:id="32">
    <w:p w14:paraId="0BD8646A" w14:textId="77777777" w:rsidR="007970DC" w:rsidRPr="00FB46DA" w:rsidRDefault="007970DC" w:rsidP="007970DC">
      <w:pPr>
        <w:pStyle w:val="Textosinformato"/>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Bajo esta noción, la Corte Constitucional ha indicado los criterios a tener en cuenta para identificar el precedente, estos son: </w:t>
      </w:r>
      <w:r w:rsidRPr="00FB46DA">
        <w:rPr>
          <w:rFonts w:ascii="Arial" w:hAnsi="Arial" w:cs="Arial"/>
          <w:i/>
          <w:iCs/>
          <w:color w:val="000000"/>
        </w:rPr>
        <w:t>“(i) la ratio decidendi de la sentencia que se evalúa como precedente, presenta una regla judicial relacionada con el caso a resolver posteriormente; (ii) se trata de un problema jurídico semejante, o a una cuestión constitucional semejante y (iii) los hechos del caso o las normas juzgadas en la sentencia son semejantes o plantean un punto de derecho semejante al que se debe resolver posteriormente.”</w:t>
      </w:r>
      <w:r w:rsidRPr="00FB46DA">
        <w:rPr>
          <w:rFonts w:ascii="Arial" w:hAnsi="Arial" w:cs="Arial"/>
          <w:color w:val="000000"/>
        </w:rPr>
        <w:t xml:space="preserve">. </w:t>
      </w:r>
      <w:r w:rsidRPr="00FB46DA">
        <w:rPr>
          <w:rFonts w:ascii="Arial" w:hAnsi="Arial" w:cs="Arial"/>
          <w:color w:val="000000"/>
          <w:lang w:val="es-CO"/>
        </w:rPr>
        <w:t xml:space="preserve">Ver sentencias </w:t>
      </w:r>
      <w:r w:rsidRPr="00FB46DA">
        <w:rPr>
          <w:rFonts w:ascii="Arial" w:hAnsi="Arial" w:cs="Arial"/>
          <w:color w:val="000000"/>
          <w:shd w:val="clear" w:color="auto" w:fill="FFFFFF"/>
        </w:rPr>
        <w:t xml:space="preserve">T-1317 de 2001, T-292 de 2006 y T-794 de 2011. </w:t>
      </w:r>
    </w:p>
  </w:footnote>
  <w:footnote w:id="33">
    <w:p w14:paraId="0790ED95" w14:textId="77777777" w:rsidR="009D2699" w:rsidRPr="00FB46DA" w:rsidRDefault="009D2699" w:rsidP="009D2699">
      <w:pPr>
        <w:pStyle w:val="Textosinformato"/>
        <w:jc w:val="both"/>
        <w:rPr>
          <w:rFonts w:ascii="Arial" w:hAnsi="Arial" w:cs="Arial"/>
          <w:bCs/>
          <w:color w:val="000000"/>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bCs/>
          <w:color w:val="000000"/>
        </w:rPr>
        <w:t>Corresponde a una acción de nulidad y restablecimiento promovida</w:t>
      </w:r>
      <w:r w:rsidR="00275DFA" w:rsidRPr="00FB46DA">
        <w:rPr>
          <w:rFonts w:ascii="Arial" w:hAnsi="Arial" w:cs="Arial"/>
          <w:bCs/>
          <w:color w:val="000000"/>
        </w:rPr>
        <w:t xml:space="preserve"> </w:t>
      </w:r>
      <w:r w:rsidRPr="00FB46DA">
        <w:rPr>
          <w:rFonts w:ascii="Arial" w:hAnsi="Arial" w:cs="Arial"/>
          <w:bCs/>
          <w:color w:val="000000"/>
        </w:rPr>
        <w:t>por una sociedad en contra de la DIAN, con el objetivo de declarar la nulidad de los actos administrativos que modificaron su declaración de renta del año gravable 2004, a través de los cuales adicionó ingresos brutos no operacionales, rechazó deducciones por ajustes contables en el proceso de fusión y redujo la pérdida líquida rechazada, determinando un nuevo saldo e impuesto a pagar, así como una sanción por inexactitud.</w:t>
      </w:r>
    </w:p>
    <w:p w14:paraId="5DF73402" w14:textId="77777777" w:rsidR="009D2699" w:rsidRPr="00FB46DA" w:rsidRDefault="009D2699" w:rsidP="009D2699">
      <w:pPr>
        <w:pStyle w:val="Textosinformato"/>
        <w:jc w:val="both"/>
        <w:rPr>
          <w:rFonts w:ascii="Arial" w:hAnsi="Arial" w:cs="Arial"/>
          <w:color w:val="000000"/>
          <w:lang w:val="es-CO"/>
        </w:rPr>
      </w:pPr>
      <w:r w:rsidRPr="00FB46DA">
        <w:rPr>
          <w:rFonts w:ascii="Arial" w:hAnsi="Arial" w:cs="Arial"/>
          <w:bCs/>
          <w:color w:val="000000"/>
        </w:rPr>
        <w:t>Para ese caso, la Sección Cuarta de esta Corporación, al revisar la sanción por inexactitud como consecuencia del registro de pérdidas fiscales por la adición de ingresos operacionales y el rechazo de deducciones por eliminación de cuentas, consideró que no procedía dicha sanción porque se presentó una razonada diferencia de criterios entre la actora y la DIAN respecto del derecho aplicable. Folio 106 del fallo citado.</w:t>
      </w:r>
    </w:p>
  </w:footnote>
  <w:footnote w:id="34">
    <w:p w14:paraId="6F932A7C" w14:textId="77777777" w:rsidR="009B2118" w:rsidRPr="00FB46DA" w:rsidRDefault="009B2118" w:rsidP="008B01F3">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Se trata de una acción de nulidad y restablecimiento del derecho presentada por una sociedad en contra de la DIAN, por la modificación que esta hizo de la declaración de renta del año 2004,</w:t>
      </w:r>
      <w:r w:rsidR="00AD00B5" w:rsidRPr="00FB46DA">
        <w:rPr>
          <w:rFonts w:ascii="Arial" w:hAnsi="Arial" w:cs="Arial"/>
          <w:color w:val="000000"/>
          <w:lang w:val="es-CO"/>
        </w:rPr>
        <w:t xml:space="preserve"> en la cual redujo el saldo a favor, rechazó unos gastos e impuso una sanción. </w:t>
      </w:r>
      <w:r w:rsidR="00275CF0" w:rsidRPr="00FB46DA">
        <w:rPr>
          <w:rFonts w:ascii="Arial" w:hAnsi="Arial" w:cs="Arial"/>
          <w:color w:val="000000"/>
          <w:lang w:val="es-CO"/>
        </w:rPr>
        <w:t>L</w:t>
      </w:r>
      <w:r w:rsidR="00AD00B5" w:rsidRPr="00FB46DA">
        <w:rPr>
          <w:rFonts w:ascii="Arial" w:hAnsi="Arial" w:cs="Arial"/>
          <w:color w:val="000000"/>
          <w:lang w:val="es-CO"/>
        </w:rPr>
        <w:t xml:space="preserve">a Sección Cuarta del Consejo de Estado, al analizar la imposición de la sanción por disminución de pérdidas encontró que esta procedía como resultado de la determinación de un menor valor de la pérdida fiscal. Folio 81 </w:t>
      </w:r>
      <w:r w:rsidR="00405F49" w:rsidRPr="00FB46DA">
        <w:rPr>
          <w:rFonts w:ascii="Arial" w:hAnsi="Arial" w:cs="Arial"/>
          <w:color w:val="000000"/>
          <w:lang w:val="es-CO"/>
        </w:rPr>
        <w:t>del referido fallo.</w:t>
      </w:r>
    </w:p>
  </w:footnote>
  <w:footnote w:id="35">
    <w:p w14:paraId="7BD1B740" w14:textId="77777777" w:rsidR="008B01F3" w:rsidRPr="00FB46DA" w:rsidRDefault="008B01F3" w:rsidP="008B01F3">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Ibidem.</w:t>
      </w:r>
    </w:p>
  </w:footnote>
  <w:footnote w:id="36">
    <w:p w14:paraId="37701B25" w14:textId="77777777" w:rsidR="008B01F3" w:rsidRPr="00FB46DA" w:rsidRDefault="008B01F3" w:rsidP="008B01F3">
      <w:pPr>
        <w:pStyle w:val="Textonotapie"/>
        <w:jc w:val="both"/>
        <w:rPr>
          <w:rFonts w:ascii="Arial" w:hAnsi="Arial" w:cs="Arial"/>
          <w:color w:val="000000"/>
          <w:lang w:val="es-CO"/>
        </w:rPr>
      </w:pPr>
      <w:r w:rsidRPr="00FB46DA">
        <w:rPr>
          <w:rStyle w:val="Refdenotaalpie"/>
          <w:rFonts w:ascii="Arial" w:hAnsi="Arial" w:cs="Arial"/>
          <w:color w:val="000000"/>
        </w:rPr>
        <w:footnoteRef/>
      </w:r>
      <w:r w:rsidRPr="00FB46DA">
        <w:rPr>
          <w:rFonts w:ascii="Arial" w:hAnsi="Arial" w:cs="Arial"/>
          <w:color w:val="000000"/>
        </w:rPr>
        <w:t xml:space="preserve"> </w:t>
      </w:r>
      <w:r w:rsidRPr="00FB46DA">
        <w:rPr>
          <w:rFonts w:ascii="Arial" w:hAnsi="Arial" w:cs="Arial"/>
          <w:color w:val="000000"/>
          <w:lang w:val="es-CO"/>
        </w:rPr>
        <w:t>Folio 19 del fallo de tutela de segunda instancia, subido a la plataforma SAMAI del Consejo de Estado, por medio del certificado No. C4E4C784E9CE8FF2 23072E5E5DE91438 6435E218CC9E5D21 FA99230ACA0489C0.</w:t>
      </w:r>
    </w:p>
  </w:footnote>
  <w:footnote w:id="37">
    <w:p w14:paraId="62CE2EE2" w14:textId="77777777" w:rsidR="00C50060" w:rsidRPr="00FB46DA" w:rsidRDefault="00C50060" w:rsidP="00C50060">
      <w:pPr>
        <w:pStyle w:val="Textonotapie"/>
        <w:jc w:val="both"/>
        <w:rPr>
          <w:rFonts w:ascii="Arial" w:eastAsia="DengXian" w:hAnsi="Arial" w:cs="Arial"/>
          <w:color w:val="000000"/>
          <w:lang w:val="es-ES" w:eastAsia="zh-CN"/>
        </w:rPr>
      </w:pPr>
      <w:r w:rsidRPr="00FB46DA">
        <w:rPr>
          <w:rStyle w:val="Refdenotaalpie"/>
          <w:rFonts w:ascii="Arial" w:hAnsi="Arial" w:cs="Arial"/>
          <w:color w:val="000000"/>
        </w:rPr>
        <w:footnoteRef/>
      </w:r>
      <w:r w:rsidRPr="00FB46DA">
        <w:rPr>
          <w:rFonts w:ascii="Arial" w:hAnsi="Arial" w:cs="Arial"/>
          <w:color w:val="000000"/>
          <w:lang w:val="es-CO"/>
        </w:rPr>
        <w:t xml:space="preserve"> </w:t>
      </w:r>
      <w:r w:rsidRPr="00FB46DA">
        <w:rPr>
          <w:rFonts w:ascii="Arial" w:hAnsi="Arial" w:cs="Arial"/>
          <w:color w:val="000000"/>
          <w:lang w:val="es-ES"/>
        </w:rPr>
        <w:t>S</w:t>
      </w:r>
      <w:r w:rsidRPr="00FB46DA">
        <w:rPr>
          <w:rFonts w:ascii="Arial" w:hAnsi="Arial" w:cs="Arial"/>
          <w:color w:val="000000"/>
          <w:shd w:val="clear" w:color="auto" w:fill="FFFFFF"/>
          <w:lang w:val="es-CO" w:eastAsia="es-CO"/>
        </w:rPr>
        <w:t>entencia </w:t>
      </w:r>
      <w:r w:rsidRPr="00FB46DA">
        <w:rPr>
          <w:rFonts w:ascii="Arial" w:hAnsi="Arial" w:cs="Arial"/>
          <w:bCs/>
          <w:color w:val="000000"/>
          <w:bdr w:val="none" w:sz="0" w:space="0" w:color="auto" w:frame="1"/>
          <w:shd w:val="clear" w:color="auto" w:fill="FFFFFF"/>
          <w:lang w:val="es-CO" w:eastAsia="es-CO"/>
        </w:rPr>
        <w:t>T-351 de 2011</w:t>
      </w:r>
      <w:r w:rsidRPr="00FB46DA">
        <w:rPr>
          <w:rFonts w:ascii="Arial" w:hAnsi="Arial" w:cs="Arial"/>
          <w:bCs/>
          <w:color w:val="000000"/>
          <w:bdr w:val="none" w:sz="0" w:space="0" w:color="auto" w:frame="1"/>
          <w:shd w:val="clear" w:color="auto" w:fill="FFFFFF"/>
          <w:lang w:val="es-ES" w:eastAsia="es-CO"/>
        </w:rPr>
        <w:t>.</w:t>
      </w:r>
    </w:p>
  </w:footnote>
  <w:footnote w:id="38">
    <w:p w14:paraId="1AE98924" w14:textId="77777777" w:rsidR="00C50060" w:rsidRPr="00FB46DA" w:rsidRDefault="00C50060" w:rsidP="00C50060">
      <w:pPr>
        <w:spacing w:after="0" w:line="240" w:lineRule="auto"/>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vertAlign w:val="superscript"/>
        </w:rPr>
        <w:t xml:space="preserve"> </w:t>
      </w:r>
      <w:r w:rsidRPr="00FB46DA">
        <w:rPr>
          <w:rFonts w:ascii="Arial" w:eastAsia="Times New Roman" w:hAnsi="Arial" w:cs="Arial"/>
          <w:color w:val="000000"/>
          <w:sz w:val="20"/>
          <w:szCs w:val="20"/>
          <w:shd w:val="clear" w:color="auto" w:fill="FFFFFF"/>
          <w:lang w:eastAsia="es-CO"/>
        </w:rPr>
        <w:t>Ver además sentencias T-468 de 2003 M.P. Rodrigo Escobar Gil y T-292 de 2006 M.P. Manuel José Cepeda Espinoza.</w:t>
      </w:r>
    </w:p>
  </w:footnote>
  <w:footnote w:id="39">
    <w:p w14:paraId="0C3EF948" w14:textId="77777777" w:rsidR="00C50060" w:rsidRPr="00FB46DA" w:rsidRDefault="00C50060" w:rsidP="00C50060">
      <w:pPr>
        <w:pStyle w:val="Textonotapie"/>
        <w:jc w:val="both"/>
        <w:rPr>
          <w:rFonts w:ascii="Arial" w:hAnsi="Arial" w:cs="Arial"/>
          <w:color w:val="000000"/>
          <w:lang w:val="es-ES_tradnl"/>
        </w:rPr>
      </w:pPr>
      <w:r w:rsidRPr="00FB46DA">
        <w:rPr>
          <w:rStyle w:val="Refdenotaalpie"/>
          <w:rFonts w:ascii="Arial" w:hAnsi="Arial" w:cs="Arial"/>
          <w:color w:val="000000"/>
        </w:rPr>
        <w:footnoteRef/>
      </w:r>
      <w:r w:rsidRPr="00FB46DA">
        <w:rPr>
          <w:rFonts w:ascii="Arial" w:hAnsi="Arial" w:cs="Arial"/>
          <w:color w:val="000000"/>
          <w:vertAlign w:val="superscript"/>
          <w:lang w:val="es-CO"/>
        </w:rPr>
        <w:t xml:space="preserve"> </w:t>
      </w:r>
      <w:r w:rsidRPr="00FB46DA">
        <w:rPr>
          <w:rFonts w:ascii="Arial" w:hAnsi="Arial" w:cs="Arial"/>
          <w:color w:val="000000"/>
          <w:lang w:val="es-CO"/>
        </w:rPr>
        <w:t>Sentencia T-360 de 2014.</w:t>
      </w:r>
    </w:p>
  </w:footnote>
  <w:footnote w:id="40">
    <w:p w14:paraId="66EDF268" w14:textId="77777777" w:rsidR="00C50060" w:rsidRPr="00FB46DA" w:rsidRDefault="00C50060" w:rsidP="00C50060">
      <w:pPr>
        <w:pStyle w:val="Textonotapie"/>
        <w:jc w:val="both"/>
        <w:rPr>
          <w:rFonts w:ascii="Arial" w:hAnsi="Arial" w:cs="Arial"/>
          <w:color w:val="000000"/>
          <w:lang w:val="es-ES_tradnl"/>
        </w:rPr>
      </w:pPr>
      <w:r w:rsidRPr="00FB46DA">
        <w:rPr>
          <w:rStyle w:val="Refdenotaalpie"/>
          <w:rFonts w:ascii="Arial" w:hAnsi="Arial" w:cs="Arial"/>
          <w:color w:val="000000"/>
        </w:rPr>
        <w:footnoteRef/>
      </w:r>
      <w:r w:rsidRPr="00FB46DA">
        <w:rPr>
          <w:rFonts w:ascii="Arial" w:hAnsi="Arial" w:cs="Arial"/>
          <w:color w:val="000000"/>
          <w:vertAlign w:val="superscript"/>
          <w:lang w:val="es-CO"/>
        </w:rPr>
        <w:t xml:space="preserve"> </w:t>
      </w:r>
      <w:r w:rsidRPr="00FB46DA">
        <w:rPr>
          <w:rFonts w:ascii="Arial" w:hAnsi="Arial" w:cs="Arial"/>
          <w:color w:val="000000"/>
          <w:lang w:val="es-CO"/>
        </w:rPr>
        <w:t>Sentencia SU-611 de 2017.</w:t>
      </w:r>
    </w:p>
  </w:footnote>
  <w:footnote w:id="41">
    <w:p w14:paraId="517962E9" w14:textId="77777777" w:rsidR="00C50060" w:rsidRPr="00FB46DA" w:rsidRDefault="00C50060" w:rsidP="00C50060">
      <w:pPr>
        <w:spacing w:after="0" w:line="240" w:lineRule="auto"/>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w:t>
      </w:r>
      <w:r w:rsidRPr="00FB46DA">
        <w:rPr>
          <w:rFonts w:ascii="Arial" w:eastAsia="Times New Roman" w:hAnsi="Arial" w:cs="Arial"/>
          <w:color w:val="000000"/>
          <w:sz w:val="20"/>
          <w:szCs w:val="20"/>
          <w:bdr w:val="none" w:sz="0" w:space="0" w:color="auto" w:frame="1"/>
          <w:shd w:val="clear" w:color="auto" w:fill="FFFFFF"/>
          <w:lang w:eastAsia="es-CO"/>
        </w:rPr>
        <w:t>En palabras de la Corte: </w:t>
      </w:r>
      <w:r w:rsidRPr="00FB46DA">
        <w:rPr>
          <w:rFonts w:ascii="Arial" w:eastAsia="Times New Roman" w:hAnsi="Arial" w:cs="Arial"/>
          <w:i/>
          <w:iCs/>
          <w:color w:val="000000"/>
          <w:sz w:val="20"/>
          <w:szCs w:val="20"/>
          <w:bdr w:val="none" w:sz="0" w:space="0" w:color="auto" w:frame="1"/>
          <w:lang w:eastAsia="es-CO"/>
        </w:rPr>
        <w:t>“En síntesis, la Corte ha considerado que la obligatoriedad de la ratio decidendi de los fallos de tutela se desprende del principio de igualdad y del acceso a la administración de justicia pues (de no ser así) la aplicación de la ley y la Constitución dependería del capricho de cada juez - y se habla de capricho precisamente para referirse a los casos en los que los jueces no justifican por qué se apartan de la jurisprudencia de unificación -, de manera tal que casos idénticos o similares podrían ser fallados en forma absolutamente diferente por distintos jueces e incluso por el mismo juez” y al acceso a la administración de justicia porque “…las decisiones de la Corte y su interpretación de la Constitución serían ignoradas por los jueces, en contra del derecho de los asociados a que exista una cierta seguridad jurídica acerca de la interpretación de las normas”</w:t>
      </w:r>
      <w:r w:rsidR="004D039B" w:rsidRPr="00FB46DA">
        <w:rPr>
          <w:rFonts w:ascii="Arial" w:eastAsia="Times New Roman" w:hAnsi="Arial" w:cs="Arial"/>
          <w:i/>
          <w:iCs/>
          <w:color w:val="000000"/>
          <w:sz w:val="20"/>
          <w:szCs w:val="20"/>
          <w:bdr w:val="none" w:sz="0" w:space="0" w:color="auto" w:frame="1"/>
          <w:lang w:eastAsia="es-CO"/>
        </w:rPr>
        <w:t>.</w:t>
      </w:r>
      <w:r w:rsidRPr="00FB46DA">
        <w:rPr>
          <w:rFonts w:ascii="Arial" w:eastAsia="Times New Roman" w:hAnsi="Arial" w:cs="Arial"/>
          <w:color w:val="000000"/>
          <w:sz w:val="20"/>
          <w:szCs w:val="20"/>
          <w:bdr w:val="none" w:sz="0" w:space="0" w:color="auto" w:frame="1"/>
          <w:shd w:val="clear" w:color="auto" w:fill="FFFFFF"/>
          <w:lang w:eastAsia="es-CO"/>
        </w:rPr>
        <w:t> Cfr. Sentencia T-566 de 1998 M.P. Eduardo Cifuentes Muñoz, reiterado en la sentencia T-292 de 2006 M.P. Manuel José Cepeda Espinosa, entre otras posteriores.</w:t>
      </w:r>
    </w:p>
  </w:footnote>
  <w:footnote w:id="42">
    <w:p w14:paraId="38D46A66" w14:textId="77777777" w:rsidR="00C50060" w:rsidRPr="00FB46DA" w:rsidRDefault="00C50060" w:rsidP="00C50060">
      <w:pPr>
        <w:spacing w:after="0" w:line="240" w:lineRule="auto"/>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rPr>
        <w:t xml:space="preserve"> </w:t>
      </w:r>
      <w:r w:rsidRPr="00FB46DA">
        <w:rPr>
          <w:rFonts w:ascii="Arial" w:eastAsia="Times New Roman" w:hAnsi="Arial" w:cs="Arial"/>
          <w:color w:val="000000"/>
          <w:sz w:val="20"/>
          <w:szCs w:val="20"/>
          <w:bdr w:val="none" w:sz="0" w:space="0" w:color="auto" w:frame="1"/>
          <w:lang w:eastAsia="es-CO"/>
        </w:rPr>
        <w:t>En punto de lo anterior</w:t>
      </w:r>
      <w:r w:rsidRPr="00FB46DA">
        <w:rPr>
          <w:rFonts w:ascii="Arial" w:eastAsia="Times New Roman" w:hAnsi="Arial" w:cs="Arial"/>
          <w:color w:val="000000"/>
          <w:sz w:val="20"/>
          <w:szCs w:val="20"/>
          <w:shd w:val="clear" w:color="auto" w:fill="FFFFFF"/>
          <w:lang w:eastAsia="es-CO"/>
        </w:rPr>
        <w:t xml:space="preserve"> es importante aclarar que en el caso de las sentencias de unificación de tutela (SU) y de control abstracto de constitucionalidad (C) proferidas por la Corte Constitucional, basta una decisión para que exista un precedente, debido a que las primeras unifican el alcance e interpretación de un derecho fundamental para casos que tengan un marco fáctico similar y compartan problemas jurídicos, y las segundas, determinan la coherencia de una norma con la Constitución Política. Ver la Sentencia T-830 de 2012. M.P. Jorge Ignacio Pretelt Chaljub. De la misma forma las sentencias de unificación de la Sala Plena del Consejo de Estado pueden constituir precedente según el artículo 10 de la Ley 1437 de 2011 estudiado por la Corte Constitucional en sentencia C-634 de 2011 M.P. Luis Ernesto Vargas Silva.</w:t>
      </w:r>
    </w:p>
  </w:footnote>
  <w:footnote w:id="43">
    <w:p w14:paraId="48029828" w14:textId="77777777" w:rsidR="00C50060" w:rsidRPr="00FB46DA" w:rsidRDefault="00C50060" w:rsidP="00C50060">
      <w:pPr>
        <w:pStyle w:val="Textonotapie"/>
        <w:jc w:val="both"/>
        <w:rPr>
          <w:rFonts w:ascii="Arial" w:hAnsi="Arial" w:cs="Arial"/>
          <w:color w:val="000000"/>
          <w:lang w:val="es-ES_tradnl"/>
        </w:rPr>
      </w:pPr>
      <w:r w:rsidRPr="00FB46DA">
        <w:rPr>
          <w:rStyle w:val="Refdenotaalpie"/>
          <w:rFonts w:ascii="Arial" w:hAnsi="Arial" w:cs="Arial"/>
          <w:color w:val="000000"/>
        </w:rPr>
        <w:footnoteRef/>
      </w:r>
      <w:r w:rsidRPr="00FB46DA">
        <w:rPr>
          <w:rFonts w:ascii="Arial" w:hAnsi="Arial" w:cs="Arial"/>
          <w:color w:val="000000"/>
          <w:lang w:val="es-CO"/>
        </w:rPr>
        <w:t xml:space="preserve"> Sentencia SU-037 de 2019. </w:t>
      </w:r>
    </w:p>
  </w:footnote>
  <w:footnote w:id="44">
    <w:p w14:paraId="26940CDA" w14:textId="77777777" w:rsidR="00C50060" w:rsidRPr="00FB46DA" w:rsidRDefault="00C50060" w:rsidP="00C50060">
      <w:pPr>
        <w:spacing w:after="0" w:line="240" w:lineRule="auto"/>
        <w:jc w:val="both"/>
        <w:rPr>
          <w:rFonts w:ascii="Arial" w:hAnsi="Arial" w:cs="Arial"/>
          <w:color w:val="000000"/>
          <w:sz w:val="20"/>
          <w:szCs w:val="20"/>
        </w:rPr>
      </w:pPr>
      <w:r w:rsidRPr="00FB46DA">
        <w:rPr>
          <w:rStyle w:val="Refdenotaalpie"/>
          <w:rFonts w:ascii="Arial" w:hAnsi="Arial" w:cs="Arial"/>
          <w:color w:val="000000"/>
          <w:sz w:val="20"/>
          <w:szCs w:val="20"/>
        </w:rPr>
        <w:footnoteRef/>
      </w:r>
      <w:r w:rsidRPr="00FB46DA">
        <w:rPr>
          <w:rFonts w:ascii="Arial" w:hAnsi="Arial" w:cs="Arial"/>
          <w:color w:val="000000"/>
          <w:sz w:val="20"/>
          <w:szCs w:val="20"/>
          <w:vertAlign w:val="superscript"/>
        </w:rPr>
        <w:t xml:space="preserve"> </w:t>
      </w:r>
      <w:r w:rsidRPr="00FB46DA">
        <w:rPr>
          <w:rFonts w:ascii="Arial" w:eastAsia="Times New Roman" w:hAnsi="Arial" w:cs="Arial"/>
          <w:color w:val="000000"/>
          <w:sz w:val="20"/>
          <w:szCs w:val="20"/>
          <w:shd w:val="clear" w:color="auto" w:fill="FFFFFF"/>
          <w:lang w:eastAsia="es-CO"/>
        </w:rPr>
        <w:t>Cfr. Sentencias T-1092 de 2007 (M.P. Humberto Sierra Porto) y T-597 de 2014 (M.P. Luis Guillermo Guerrero Pérez).</w:t>
      </w:r>
    </w:p>
  </w:footnote>
  <w:footnote w:id="45">
    <w:p w14:paraId="18BDC444" w14:textId="77777777" w:rsidR="00C50060" w:rsidRPr="00FB46DA" w:rsidRDefault="00C50060" w:rsidP="00C50060">
      <w:pPr>
        <w:spacing w:after="0" w:line="240" w:lineRule="auto"/>
        <w:jc w:val="both"/>
        <w:rPr>
          <w:rFonts w:ascii="Arial" w:hAnsi="Arial" w:cs="Arial"/>
          <w:color w:val="000000"/>
          <w:sz w:val="20"/>
          <w:szCs w:val="20"/>
          <w:lang w:val="es-ES"/>
        </w:rPr>
      </w:pPr>
      <w:r w:rsidRPr="00FB46DA">
        <w:rPr>
          <w:rStyle w:val="Refdenotaalpie"/>
          <w:rFonts w:ascii="Arial" w:hAnsi="Arial" w:cs="Arial"/>
          <w:color w:val="000000"/>
          <w:sz w:val="20"/>
          <w:szCs w:val="20"/>
        </w:rPr>
        <w:footnoteRef/>
      </w:r>
      <w:r w:rsidRPr="00FB46DA">
        <w:rPr>
          <w:rFonts w:ascii="Arial" w:hAnsi="Arial" w:cs="Arial"/>
          <w:color w:val="000000"/>
          <w:sz w:val="20"/>
          <w:szCs w:val="20"/>
          <w:vertAlign w:val="superscript"/>
        </w:rPr>
        <w:t xml:space="preserve"> </w:t>
      </w:r>
      <w:r w:rsidRPr="00FB46DA">
        <w:rPr>
          <w:rFonts w:ascii="Arial" w:eastAsia="Times New Roman" w:hAnsi="Arial" w:cs="Arial"/>
          <w:color w:val="000000"/>
          <w:sz w:val="20"/>
          <w:szCs w:val="20"/>
          <w:bdr w:val="none" w:sz="0" w:space="0" w:color="auto" w:frame="1"/>
          <w:shd w:val="clear" w:color="auto" w:fill="FFFFFF"/>
          <w:lang w:eastAsia="es-CO"/>
        </w:rPr>
        <w:t>Ver sentencia T-1092 de 2007 M.P. Humberto Sierra Porto y T-656 de 2011 M.P. Jorge Ignacio Pretelt Chaljub.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F9DA1" w14:textId="77777777" w:rsidR="005D0622" w:rsidRDefault="005D0622">
    <w:pPr>
      <w:pStyle w:val="Encabezado"/>
      <w:jc w:val="center"/>
      <w:rPr>
        <w:rFonts w:ascii="Arial" w:hAnsi="Arial" w:cs="Arial"/>
      </w:rPr>
    </w:pPr>
    <w:r>
      <w:rPr>
        <w:rFonts w:ascii="Arial" w:hAnsi="Arial" w:cs="Arial"/>
      </w:rPr>
      <w:fldChar w:fldCharType="begin"/>
    </w:r>
    <w:r w:rsidR="005360B1">
      <w:rPr>
        <w:rFonts w:ascii="Arial" w:hAnsi="Arial" w:cs="Arial"/>
      </w:rPr>
      <w:instrText>PAGE</w:instrText>
    </w:r>
    <w:r>
      <w:rPr>
        <w:rFonts w:ascii="Arial" w:hAnsi="Arial" w:cs="Arial"/>
      </w:rPr>
      <w:instrText xml:space="preserve">   \* MERGEFORMAT</w:instrText>
    </w:r>
    <w:r>
      <w:rPr>
        <w:rFonts w:ascii="Arial" w:hAnsi="Arial" w:cs="Arial"/>
      </w:rPr>
      <w:fldChar w:fldCharType="separate"/>
    </w:r>
    <w:r w:rsidR="00C2142A" w:rsidRPr="00C2142A">
      <w:rPr>
        <w:rFonts w:ascii="Arial" w:hAnsi="Arial" w:cs="Arial"/>
        <w:noProof/>
        <w:lang w:val="es-ES"/>
      </w:rPr>
      <w:t>2</w:t>
    </w:r>
    <w:r>
      <w:rPr>
        <w:rFonts w:ascii="Arial" w:hAnsi="Arial" w:cs="Arial"/>
      </w:rPr>
      <w:fldChar w:fldCharType="end"/>
    </w:r>
  </w:p>
  <w:p w14:paraId="63AF2186" w14:textId="77777777" w:rsidR="005D0622" w:rsidRDefault="005D0622">
    <w:pPr>
      <w:pStyle w:val="Encabezado"/>
      <w:jc w:val="center"/>
      <w:rPr>
        <w:rFonts w:ascii="Arial" w:hAnsi="Arial" w:cs="Arial"/>
      </w:rPr>
    </w:pPr>
  </w:p>
  <w:p w14:paraId="50A5EB38" w14:textId="77777777" w:rsidR="005D0622" w:rsidRDefault="005D0622">
    <w:pPr>
      <w:pStyle w:val="Encabe"/>
      <w:tabs>
        <w:tab w:val="left" w:pos="915"/>
        <w:tab w:val="right" w:pos="9406"/>
      </w:tabs>
      <w:spacing w:line="240" w:lineRule="auto"/>
      <w:jc w:val="right"/>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r>
  </w:p>
  <w:p w14:paraId="083D9F82" w14:textId="77777777" w:rsidR="005D0622" w:rsidRPr="00DA346B" w:rsidRDefault="005D0622">
    <w:pPr>
      <w:pStyle w:val="Encabe"/>
      <w:tabs>
        <w:tab w:val="left" w:pos="915"/>
        <w:tab w:val="right" w:pos="9406"/>
      </w:tabs>
      <w:spacing w:line="240" w:lineRule="auto"/>
      <w:jc w:val="right"/>
      <w:rPr>
        <w:rFonts w:cs="Arial"/>
        <w:i/>
        <w:sz w:val="18"/>
        <w:szCs w:val="18"/>
      </w:rPr>
    </w:pPr>
    <w:r>
      <w:rPr>
        <w:rFonts w:ascii="Times New Roman" w:hAnsi="Times New Roman"/>
        <w:i/>
        <w:sz w:val="18"/>
        <w:szCs w:val="18"/>
      </w:rPr>
      <w:tab/>
      <w:t xml:space="preserve">                     </w:t>
    </w:r>
    <w:r w:rsidRPr="00DA346B">
      <w:rPr>
        <w:rFonts w:cs="Arial"/>
        <w:i/>
        <w:sz w:val="18"/>
        <w:szCs w:val="18"/>
      </w:rPr>
      <w:t xml:space="preserve">Acción de Tutela – Segunda instancia </w:t>
    </w:r>
  </w:p>
  <w:p w14:paraId="3F1D01BD" w14:textId="77777777" w:rsidR="005D0622" w:rsidRPr="00DA346B" w:rsidRDefault="005D0622">
    <w:pPr>
      <w:pStyle w:val="Encabe"/>
      <w:spacing w:line="240" w:lineRule="auto"/>
      <w:jc w:val="right"/>
      <w:rPr>
        <w:rFonts w:cs="Arial"/>
        <w:i/>
        <w:sz w:val="18"/>
        <w:szCs w:val="18"/>
      </w:rPr>
    </w:pPr>
    <w:r w:rsidRPr="00745B9E">
      <w:rPr>
        <w:rFonts w:cs="Arial"/>
        <w:b/>
        <w:bCs/>
        <w:i/>
        <w:sz w:val="18"/>
        <w:szCs w:val="18"/>
      </w:rPr>
      <w:t>Expediente:</w:t>
    </w:r>
    <w:r w:rsidRPr="00DA346B">
      <w:rPr>
        <w:rFonts w:cs="Arial"/>
        <w:i/>
        <w:sz w:val="18"/>
        <w:szCs w:val="18"/>
      </w:rPr>
      <w:t xml:space="preserve"> 11001-03-15-000-20</w:t>
    </w:r>
    <w:r>
      <w:rPr>
        <w:rFonts w:cs="Arial"/>
        <w:i/>
        <w:sz w:val="18"/>
        <w:szCs w:val="18"/>
      </w:rPr>
      <w:t>20</w:t>
    </w:r>
    <w:r w:rsidRPr="00DA346B">
      <w:rPr>
        <w:rFonts w:cs="Arial"/>
        <w:i/>
        <w:sz w:val="18"/>
        <w:szCs w:val="18"/>
      </w:rPr>
      <w:t>-</w:t>
    </w:r>
    <w:r>
      <w:rPr>
        <w:rFonts w:cs="Arial"/>
        <w:i/>
        <w:sz w:val="18"/>
        <w:szCs w:val="18"/>
      </w:rPr>
      <w:t>00647</w:t>
    </w:r>
    <w:r w:rsidRPr="00DA346B">
      <w:rPr>
        <w:rFonts w:cs="Arial"/>
        <w:i/>
        <w:sz w:val="18"/>
        <w:szCs w:val="18"/>
      </w:rPr>
      <w:t>-01</w:t>
    </w:r>
  </w:p>
  <w:p w14:paraId="56D87C63" w14:textId="77777777" w:rsidR="005D0622" w:rsidRPr="00DA346B" w:rsidRDefault="005D0622" w:rsidP="00745B9E">
    <w:pPr>
      <w:pStyle w:val="Textosinformato"/>
      <w:tabs>
        <w:tab w:val="left" w:pos="885"/>
        <w:tab w:val="center" w:pos="4419"/>
        <w:tab w:val="left" w:pos="7512"/>
        <w:tab w:val="right" w:pos="9406"/>
      </w:tabs>
      <w:jc w:val="right"/>
      <w:rPr>
        <w:rFonts w:ascii="Arial" w:hAnsi="Arial" w:cs="Arial"/>
        <w:i/>
        <w:sz w:val="18"/>
        <w:szCs w:val="18"/>
      </w:rPr>
    </w:pPr>
    <w:r w:rsidRPr="00DA346B">
      <w:rPr>
        <w:rFonts w:ascii="Arial" w:hAnsi="Arial" w:cs="Arial"/>
        <w:i/>
        <w:sz w:val="18"/>
        <w:szCs w:val="18"/>
      </w:rPr>
      <w:tab/>
    </w:r>
    <w:r w:rsidRPr="00DA346B">
      <w:rPr>
        <w:rFonts w:ascii="Arial" w:hAnsi="Arial" w:cs="Arial"/>
        <w:i/>
        <w:sz w:val="18"/>
        <w:szCs w:val="18"/>
      </w:rPr>
      <w:tab/>
      <w:t xml:space="preserve">                                                             </w:t>
    </w:r>
    <w:r w:rsidRPr="00745B9E">
      <w:rPr>
        <w:rFonts w:ascii="Arial" w:hAnsi="Arial" w:cs="Arial"/>
        <w:b/>
        <w:bCs/>
        <w:i/>
        <w:sz w:val="18"/>
        <w:szCs w:val="18"/>
      </w:rPr>
      <w:t>Accionante:</w:t>
    </w:r>
    <w:r>
      <w:rPr>
        <w:rFonts w:ascii="Arial" w:hAnsi="Arial" w:cs="Arial"/>
        <w:i/>
        <w:sz w:val="18"/>
        <w:szCs w:val="18"/>
      </w:rPr>
      <w:t xml:space="preserve"> Dirección de Impuestos y Aduanas Nacionales (DIAN)</w:t>
    </w:r>
    <w:r w:rsidRPr="00DA346B">
      <w:rPr>
        <w:rFonts w:ascii="Arial" w:hAnsi="Arial" w:cs="Arial"/>
        <w:i/>
        <w:sz w:val="18"/>
        <w:szCs w:val="18"/>
      </w:rPr>
      <w:t xml:space="preserve"> </w:t>
    </w:r>
  </w:p>
  <w:p w14:paraId="4A28BBCE" w14:textId="77777777" w:rsidR="005D0622" w:rsidRDefault="005D0622">
    <w:pPr>
      <w:pStyle w:val="Textosinformato"/>
      <w:tabs>
        <w:tab w:val="center" w:pos="4419"/>
        <w:tab w:val="left" w:pos="7512"/>
      </w:tabs>
      <w:jc w:val="right"/>
      <w:rPr>
        <w:rFonts w:ascii="Arial" w:hAnsi="Arial" w:cs="Arial"/>
      </w:rPr>
    </w:pPr>
    <w:r w:rsidRPr="00DA346B">
      <w:rPr>
        <w:rFonts w:ascii="Arial" w:hAnsi="Arial" w:cs="Arial"/>
        <w:i/>
        <w:sz w:val="18"/>
        <w:szCs w:val="18"/>
      </w:rPr>
      <w:t xml:space="preserve">                                   </w:t>
    </w:r>
    <w:r>
      <w:rPr>
        <w:rFonts w:ascii="Arial" w:hAnsi="Arial" w:cs="Arial"/>
        <w:i/>
        <w:sz w:val="18"/>
        <w:szCs w:val="18"/>
      </w:rPr>
      <w:t xml:space="preserve"> </w:t>
    </w:r>
    <w:r w:rsidRPr="00745B9E">
      <w:rPr>
        <w:rFonts w:ascii="Arial" w:hAnsi="Arial" w:cs="Arial"/>
        <w:b/>
        <w:bCs/>
        <w:i/>
        <w:sz w:val="18"/>
        <w:szCs w:val="18"/>
      </w:rPr>
      <w:t>Accionado:</w:t>
    </w:r>
    <w:r w:rsidRPr="00DA346B">
      <w:rPr>
        <w:rFonts w:ascii="Arial" w:hAnsi="Arial" w:cs="Arial"/>
        <w:i/>
        <w:sz w:val="18"/>
        <w:szCs w:val="18"/>
      </w:rPr>
      <w:t xml:space="preserve"> </w:t>
    </w:r>
    <w:r>
      <w:rPr>
        <w:rFonts w:ascii="Arial" w:hAnsi="Arial" w:cs="Arial"/>
        <w:i/>
        <w:sz w:val="18"/>
        <w:szCs w:val="18"/>
      </w:rPr>
      <w:t>Sección Cuarta del Consejo de Estado</w:t>
    </w:r>
  </w:p>
  <w:p w14:paraId="17B99F83" w14:textId="77777777" w:rsidR="005D0622" w:rsidRDefault="005D0622">
    <w:pPr>
      <w:pStyle w:val="Textosinformato"/>
      <w:tabs>
        <w:tab w:val="center" w:pos="4419"/>
        <w:tab w:val="left" w:pos="7512"/>
      </w:tab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D6A0" w14:textId="77777777" w:rsidR="005D0622" w:rsidRDefault="005D0622">
    <w:pPr>
      <w:pStyle w:val="Encabezado"/>
    </w:pPr>
  </w:p>
  <w:p w14:paraId="3FE583E1" w14:textId="77777777" w:rsidR="005D0622" w:rsidRDefault="00043185" w:rsidP="00024164">
    <w:pPr>
      <w:pStyle w:val="Encabezado"/>
    </w:pPr>
    <w:r>
      <w:rPr>
        <w:noProof/>
      </w:rPr>
      <w:pict w14:anchorId="143A3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 style="position:absolute;margin-left:7.3pt;margin-top:7.3pt;width:75.75pt;height:70.85pt;z-index:-1;visibility:visible;mso-wrap-edited:f;mso-width-percent:0;mso-height-percent:0;mso-width-percent:0;mso-height-percent:0">
          <v:imagedata r:id="rId1" o:title=""/>
        </v:shape>
      </w:pict>
    </w:r>
  </w:p>
  <w:p w14:paraId="63011AB7" w14:textId="77777777" w:rsidR="005D0622" w:rsidRPr="00736F34" w:rsidRDefault="005D0622" w:rsidP="00024164">
    <w:pPr>
      <w:pStyle w:val="Sinespaciado1"/>
      <w:spacing w:line="276" w:lineRule="auto"/>
      <w:jc w:val="center"/>
      <w:rPr>
        <w:rFonts w:ascii="Arial" w:hAnsi="Arial" w:cs="Arial"/>
        <w:b/>
      </w:rPr>
    </w:pPr>
    <w:r w:rsidRPr="00736F34">
      <w:rPr>
        <w:rFonts w:ascii="Arial" w:hAnsi="Arial" w:cs="Arial"/>
        <w:b/>
      </w:rPr>
      <w:t>CONSEJO DE ESTADO</w:t>
    </w:r>
  </w:p>
  <w:p w14:paraId="3C6ABF5D" w14:textId="77777777" w:rsidR="005D0622" w:rsidRPr="00736F34" w:rsidRDefault="005D0622" w:rsidP="00024164">
    <w:pPr>
      <w:pStyle w:val="Sinespaciado1"/>
      <w:spacing w:line="276" w:lineRule="auto"/>
      <w:jc w:val="center"/>
      <w:rPr>
        <w:rFonts w:ascii="Arial" w:hAnsi="Arial" w:cs="Arial"/>
        <w:b/>
      </w:rPr>
    </w:pPr>
    <w:r w:rsidRPr="00736F34">
      <w:rPr>
        <w:rFonts w:ascii="Arial" w:hAnsi="Arial" w:cs="Arial"/>
        <w:b/>
      </w:rPr>
      <w:t>SALA DE LO CONTENCIOSO ADMINISTRATIVO</w:t>
    </w:r>
  </w:p>
  <w:p w14:paraId="663C274D" w14:textId="77777777" w:rsidR="005D0622" w:rsidRPr="00736F34" w:rsidRDefault="005D0622" w:rsidP="00024164">
    <w:pPr>
      <w:pStyle w:val="Sinespaciado1"/>
      <w:spacing w:line="276" w:lineRule="auto"/>
      <w:jc w:val="center"/>
      <w:rPr>
        <w:rFonts w:ascii="Arial" w:hAnsi="Arial" w:cs="Arial"/>
        <w:b/>
      </w:rPr>
    </w:pPr>
    <w:r w:rsidRPr="00736F34">
      <w:rPr>
        <w:rFonts w:ascii="Arial" w:hAnsi="Arial" w:cs="Arial"/>
        <w:b/>
      </w:rPr>
      <w:t>SECCIÓN TERCERA</w:t>
    </w:r>
  </w:p>
  <w:p w14:paraId="2CBCB0FB" w14:textId="77777777" w:rsidR="005D0622" w:rsidRDefault="005D0622" w:rsidP="00024164">
    <w:pPr>
      <w:pStyle w:val="Sinespaciado1"/>
      <w:spacing w:line="276" w:lineRule="auto"/>
      <w:jc w:val="center"/>
      <w:rPr>
        <w:rFonts w:ascii="Arial" w:hAnsi="Arial" w:cs="Arial"/>
        <w:b/>
      </w:rPr>
    </w:pPr>
    <w:r w:rsidRPr="00736F34">
      <w:rPr>
        <w:rFonts w:ascii="Arial" w:hAnsi="Arial" w:cs="Arial"/>
        <w:b/>
      </w:rPr>
      <w:t>SUBSECCIÓN C</w:t>
    </w:r>
  </w:p>
  <w:p w14:paraId="5DDE5843" w14:textId="77777777" w:rsidR="005D0622" w:rsidRPr="00736F34" w:rsidRDefault="005D0622" w:rsidP="00745B9E">
    <w:pPr>
      <w:pStyle w:val="Sinespaciado1"/>
      <w:spacing w:line="276" w:lineRule="auto"/>
      <w:jc w:val="right"/>
      <w:rPr>
        <w:rFonts w:ascii="Arial" w:hAnsi="Arial" w:cs="Arial"/>
        <w:b/>
      </w:rPr>
    </w:pPr>
    <w:r>
      <w:rPr>
        <w:rFonts w:ascii="Arial" w:hAnsi="Arial" w:cs="Arial"/>
        <w:b/>
      </w:rPr>
      <w:t>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61CE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183533"/>
    <w:multiLevelType w:val="hybridMultilevel"/>
    <w:tmpl w:val="0AEA13DE"/>
    <w:lvl w:ilvl="0" w:tplc="1E261B26">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15:restartNumberingAfterBreak="0">
    <w:nsid w:val="4AC4750E"/>
    <w:multiLevelType w:val="hybridMultilevel"/>
    <w:tmpl w:val="B1DA8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oNotTrackMoves/>
  <w:defaultTabStop w:val="70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400"/>
    <w:rsid w:val="000008BA"/>
    <w:rsid w:val="00001E1D"/>
    <w:rsid w:val="000046A6"/>
    <w:rsid w:val="000105A4"/>
    <w:rsid w:val="00011511"/>
    <w:rsid w:val="00014122"/>
    <w:rsid w:val="00021843"/>
    <w:rsid w:val="00024164"/>
    <w:rsid w:val="00030AE6"/>
    <w:rsid w:val="00040451"/>
    <w:rsid w:val="00043185"/>
    <w:rsid w:val="00043447"/>
    <w:rsid w:val="00046AC9"/>
    <w:rsid w:val="000528E5"/>
    <w:rsid w:val="00055DCD"/>
    <w:rsid w:val="00060F7D"/>
    <w:rsid w:val="00067589"/>
    <w:rsid w:val="00067898"/>
    <w:rsid w:val="00070896"/>
    <w:rsid w:val="000753E1"/>
    <w:rsid w:val="00076A13"/>
    <w:rsid w:val="00080AC0"/>
    <w:rsid w:val="00086EC1"/>
    <w:rsid w:val="00087D46"/>
    <w:rsid w:val="00094328"/>
    <w:rsid w:val="00096400"/>
    <w:rsid w:val="000B1170"/>
    <w:rsid w:val="000B78BF"/>
    <w:rsid w:val="000C381E"/>
    <w:rsid w:val="000D2B1C"/>
    <w:rsid w:val="000D574E"/>
    <w:rsid w:val="000D5912"/>
    <w:rsid w:val="000E1E2C"/>
    <w:rsid w:val="000E2BCD"/>
    <w:rsid w:val="000E6597"/>
    <w:rsid w:val="000F287F"/>
    <w:rsid w:val="000F6204"/>
    <w:rsid w:val="000F6942"/>
    <w:rsid w:val="0010081C"/>
    <w:rsid w:val="001014B4"/>
    <w:rsid w:val="001046F5"/>
    <w:rsid w:val="0011398C"/>
    <w:rsid w:val="00114C5A"/>
    <w:rsid w:val="00115DA3"/>
    <w:rsid w:val="0011774E"/>
    <w:rsid w:val="001331EB"/>
    <w:rsid w:val="001333BF"/>
    <w:rsid w:val="0014402B"/>
    <w:rsid w:val="0014414E"/>
    <w:rsid w:val="0015102D"/>
    <w:rsid w:val="00153247"/>
    <w:rsid w:val="001653E6"/>
    <w:rsid w:val="00176813"/>
    <w:rsid w:val="00177BE4"/>
    <w:rsid w:val="00184963"/>
    <w:rsid w:val="00186749"/>
    <w:rsid w:val="00186EFD"/>
    <w:rsid w:val="001872C1"/>
    <w:rsid w:val="0019063B"/>
    <w:rsid w:val="0019224C"/>
    <w:rsid w:val="0019429F"/>
    <w:rsid w:val="001A0169"/>
    <w:rsid w:val="001A0760"/>
    <w:rsid w:val="001A17C0"/>
    <w:rsid w:val="001C1FD3"/>
    <w:rsid w:val="001C27C3"/>
    <w:rsid w:val="001C4D5C"/>
    <w:rsid w:val="001C5D66"/>
    <w:rsid w:val="001D3421"/>
    <w:rsid w:val="001D55BE"/>
    <w:rsid w:val="001D6D41"/>
    <w:rsid w:val="001E1779"/>
    <w:rsid w:val="001E1F52"/>
    <w:rsid w:val="001F0255"/>
    <w:rsid w:val="001F1DCE"/>
    <w:rsid w:val="001F1F65"/>
    <w:rsid w:val="001F6761"/>
    <w:rsid w:val="00202613"/>
    <w:rsid w:val="00206646"/>
    <w:rsid w:val="00211334"/>
    <w:rsid w:val="002151BD"/>
    <w:rsid w:val="00222C38"/>
    <w:rsid w:val="002435C4"/>
    <w:rsid w:val="00244442"/>
    <w:rsid w:val="00246477"/>
    <w:rsid w:val="00254F70"/>
    <w:rsid w:val="00260F11"/>
    <w:rsid w:val="00262EA3"/>
    <w:rsid w:val="00271B03"/>
    <w:rsid w:val="002741FB"/>
    <w:rsid w:val="00274D2C"/>
    <w:rsid w:val="00275CF0"/>
    <w:rsid w:val="00275DFA"/>
    <w:rsid w:val="00277808"/>
    <w:rsid w:val="0028295C"/>
    <w:rsid w:val="00284C3F"/>
    <w:rsid w:val="00285293"/>
    <w:rsid w:val="00290C45"/>
    <w:rsid w:val="002A0477"/>
    <w:rsid w:val="002A1D3E"/>
    <w:rsid w:val="002A2433"/>
    <w:rsid w:val="002A2A5F"/>
    <w:rsid w:val="002B0674"/>
    <w:rsid w:val="002B09E1"/>
    <w:rsid w:val="002B666D"/>
    <w:rsid w:val="002C1076"/>
    <w:rsid w:val="002C213F"/>
    <w:rsid w:val="002C79E6"/>
    <w:rsid w:val="002D0687"/>
    <w:rsid w:val="002D1D82"/>
    <w:rsid w:val="002E3CFD"/>
    <w:rsid w:val="002F2511"/>
    <w:rsid w:val="00300ABB"/>
    <w:rsid w:val="003045BB"/>
    <w:rsid w:val="003105BC"/>
    <w:rsid w:val="00313854"/>
    <w:rsid w:val="00323077"/>
    <w:rsid w:val="00331939"/>
    <w:rsid w:val="00333D74"/>
    <w:rsid w:val="00344428"/>
    <w:rsid w:val="00345626"/>
    <w:rsid w:val="003606F7"/>
    <w:rsid w:val="0036111A"/>
    <w:rsid w:val="00362B51"/>
    <w:rsid w:val="00370676"/>
    <w:rsid w:val="0037125B"/>
    <w:rsid w:val="0038211A"/>
    <w:rsid w:val="003844C4"/>
    <w:rsid w:val="00384E3E"/>
    <w:rsid w:val="00390A97"/>
    <w:rsid w:val="00392662"/>
    <w:rsid w:val="00395485"/>
    <w:rsid w:val="00396A86"/>
    <w:rsid w:val="00396C08"/>
    <w:rsid w:val="003A3E38"/>
    <w:rsid w:val="003B2BF8"/>
    <w:rsid w:val="003B768C"/>
    <w:rsid w:val="003C024B"/>
    <w:rsid w:val="003C0298"/>
    <w:rsid w:val="003C0ED3"/>
    <w:rsid w:val="003C2503"/>
    <w:rsid w:val="003C2B86"/>
    <w:rsid w:val="003C398E"/>
    <w:rsid w:val="003D5C6C"/>
    <w:rsid w:val="003E06F2"/>
    <w:rsid w:val="003E0767"/>
    <w:rsid w:val="003E1933"/>
    <w:rsid w:val="003F316E"/>
    <w:rsid w:val="003F4933"/>
    <w:rsid w:val="00404F01"/>
    <w:rsid w:val="00405F49"/>
    <w:rsid w:val="00410043"/>
    <w:rsid w:val="00426B87"/>
    <w:rsid w:val="0043256E"/>
    <w:rsid w:val="0043395A"/>
    <w:rsid w:val="00434621"/>
    <w:rsid w:val="00437F52"/>
    <w:rsid w:val="00444F8C"/>
    <w:rsid w:val="00445785"/>
    <w:rsid w:val="00454BFC"/>
    <w:rsid w:val="004571BE"/>
    <w:rsid w:val="004603ED"/>
    <w:rsid w:val="00462F82"/>
    <w:rsid w:val="00464C39"/>
    <w:rsid w:val="00471D6A"/>
    <w:rsid w:val="0047418F"/>
    <w:rsid w:val="0047467F"/>
    <w:rsid w:val="00474AD5"/>
    <w:rsid w:val="0047604A"/>
    <w:rsid w:val="00480391"/>
    <w:rsid w:val="004825C2"/>
    <w:rsid w:val="004955A0"/>
    <w:rsid w:val="00495D38"/>
    <w:rsid w:val="00497FC0"/>
    <w:rsid w:val="004A03B2"/>
    <w:rsid w:val="004A36D3"/>
    <w:rsid w:val="004A3EB1"/>
    <w:rsid w:val="004A4564"/>
    <w:rsid w:val="004B13DD"/>
    <w:rsid w:val="004B2929"/>
    <w:rsid w:val="004C4CEC"/>
    <w:rsid w:val="004C4F37"/>
    <w:rsid w:val="004D039B"/>
    <w:rsid w:val="004D4EE1"/>
    <w:rsid w:val="004E6A56"/>
    <w:rsid w:val="004F3E1E"/>
    <w:rsid w:val="004F50EC"/>
    <w:rsid w:val="004F63A3"/>
    <w:rsid w:val="004F7EC2"/>
    <w:rsid w:val="0050316E"/>
    <w:rsid w:val="00505D70"/>
    <w:rsid w:val="00506266"/>
    <w:rsid w:val="005075ED"/>
    <w:rsid w:val="005112CA"/>
    <w:rsid w:val="00516D4A"/>
    <w:rsid w:val="00521E8D"/>
    <w:rsid w:val="005229E4"/>
    <w:rsid w:val="00531389"/>
    <w:rsid w:val="00531F0D"/>
    <w:rsid w:val="0053230A"/>
    <w:rsid w:val="00533D58"/>
    <w:rsid w:val="00535E12"/>
    <w:rsid w:val="005360B1"/>
    <w:rsid w:val="00536F18"/>
    <w:rsid w:val="00540D78"/>
    <w:rsid w:val="00547A33"/>
    <w:rsid w:val="00554328"/>
    <w:rsid w:val="00554CE4"/>
    <w:rsid w:val="00555A89"/>
    <w:rsid w:val="005601BB"/>
    <w:rsid w:val="00572954"/>
    <w:rsid w:val="00573026"/>
    <w:rsid w:val="00574AB4"/>
    <w:rsid w:val="00586BB8"/>
    <w:rsid w:val="005925D0"/>
    <w:rsid w:val="00595F7A"/>
    <w:rsid w:val="00596CC1"/>
    <w:rsid w:val="005A7C32"/>
    <w:rsid w:val="005B22C8"/>
    <w:rsid w:val="005C1912"/>
    <w:rsid w:val="005D0622"/>
    <w:rsid w:val="005D5129"/>
    <w:rsid w:val="005E04C1"/>
    <w:rsid w:val="005E3B3E"/>
    <w:rsid w:val="005E4BE4"/>
    <w:rsid w:val="005F0718"/>
    <w:rsid w:val="005F086A"/>
    <w:rsid w:val="005F0BDB"/>
    <w:rsid w:val="005F7889"/>
    <w:rsid w:val="00602703"/>
    <w:rsid w:val="006046C6"/>
    <w:rsid w:val="00606303"/>
    <w:rsid w:val="00607230"/>
    <w:rsid w:val="00612501"/>
    <w:rsid w:val="0061635A"/>
    <w:rsid w:val="00616467"/>
    <w:rsid w:val="0062031B"/>
    <w:rsid w:val="00624AC3"/>
    <w:rsid w:val="00632954"/>
    <w:rsid w:val="00632F55"/>
    <w:rsid w:val="0064026E"/>
    <w:rsid w:val="006427E9"/>
    <w:rsid w:val="00646DC3"/>
    <w:rsid w:val="00650C20"/>
    <w:rsid w:val="00663017"/>
    <w:rsid w:val="00674A79"/>
    <w:rsid w:val="006806D7"/>
    <w:rsid w:val="00683BA9"/>
    <w:rsid w:val="00693F37"/>
    <w:rsid w:val="006A4806"/>
    <w:rsid w:val="006A7EA2"/>
    <w:rsid w:val="006B31DF"/>
    <w:rsid w:val="006B50C8"/>
    <w:rsid w:val="006C472F"/>
    <w:rsid w:val="006D2026"/>
    <w:rsid w:val="006D3358"/>
    <w:rsid w:val="006D3A96"/>
    <w:rsid w:val="006D4680"/>
    <w:rsid w:val="006D55C2"/>
    <w:rsid w:val="006E5A50"/>
    <w:rsid w:val="006E675F"/>
    <w:rsid w:val="006F0397"/>
    <w:rsid w:val="006F1F20"/>
    <w:rsid w:val="007009DE"/>
    <w:rsid w:val="007033F3"/>
    <w:rsid w:val="007064BA"/>
    <w:rsid w:val="0071232C"/>
    <w:rsid w:val="00712800"/>
    <w:rsid w:val="007236D7"/>
    <w:rsid w:val="00732070"/>
    <w:rsid w:val="00745B9E"/>
    <w:rsid w:val="0074650E"/>
    <w:rsid w:val="00747FEF"/>
    <w:rsid w:val="00750222"/>
    <w:rsid w:val="007509E1"/>
    <w:rsid w:val="0075196B"/>
    <w:rsid w:val="00753E9D"/>
    <w:rsid w:val="007562C4"/>
    <w:rsid w:val="00757D92"/>
    <w:rsid w:val="007649DD"/>
    <w:rsid w:val="007710BB"/>
    <w:rsid w:val="007716E0"/>
    <w:rsid w:val="00777521"/>
    <w:rsid w:val="0078148B"/>
    <w:rsid w:val="007836A5"/>
    <w:rsid w:val="007970DC"/>
    <w:rsid w:val="007A124B"/>
    <w:rsid w:val="007A3335"/>
    <w:rsid w:val="007A74C2"/>
    <w:rsid w:val="007B14C4"/>
    <w:rsid w:val="007B3B5E"/>
    <w:rsid w:val="007C0632"/>
    <w:rsid w:val="007C64EE"/>
    <w:rsid w:val="007E37A2"/>
    <w:rsid w:val="007E5F2D"/>
    <w:rsid w:val="007F0A70"/>
    <w:rsid w:val="007F2F7D"/>
    <w:rsid w:val="00801D44"/>
    <w:rsid w:val="0080309D"/>
    <w:rsid w:val="008043B1"/>
    <w:rsid w:val="008057F3"/>
    <w:rsid w:val="00807AFF"/>
    <w:rsid w:val="008127EF"/>
    <w:rsid w:val="00824177"/>
    <w:rsid w:val="00825CAA"/>
    <w:rsid w:val="0082708F"/>
    <w:rsid w:val="00827C2F"/>
    <w:rsid w:val="0083003D"/>
    <w:rsid w:val="0083303C"/>
    <w:rsid w:val="00833B17"/>
    <w:rsid w:val="00836D25"/>
    <w:rsid w:val="008437E0"/>
    <w:rsid w:val="008460BB"/>
    <w:rsid w:val="00852A2E"/>
    <w:rsid w:val="00852EE8"/>
    <w:rsid w:val="0085398A"/>
    <w:rsid w:val="00853B4F"/>
    <w:rsid w:val="0087138A"/>
    <w:rsid w:val="00873D04"/>
    <w:rsid w:val="0087619D"/>
    <w:rsid w:val="00895906"/>
    <w:rsid w:val="008962FB"/>
    <w:rsid w:val="008A3731"/>
    <w:rsid w:val="008A3982"/>
    <w:rsid w:val="008A40BE"/>
    <w:rsid w:val="008B01F3"/>
    <w:rsid w:val="008B3DEF"/>
    <w:rsid w:val="008C12A5"/>
    <w:rsid w:val="008C1D80"/>
    <w:rsid w:val="008C241A"/>
    <w:rsid w:val="008C75FD"/>
    <w:rsid w:val="008C7F46"/>
    <w:rsid w:val="008D2700"/>
    <w:rsid w:val="008D77FE"/>
    <w:rsid w:val="008D7A74"/>
    <w:rsid w:val="008E05D6"/>
    <w:rsid w:val="008E56FF"/>
    <w:rsid w:val="008E7754"/>
    <w:rsid w:val="008F090D"/>
    <w:rsid w:val="008F6B9F"/>
    <w:rsid w:val="00900EDA"/>
    <w:rsid w:val="00906B67"/>
    <w:rsid w:val="0092281F"/>
    <w:rsid w:val="00930A7B"/>
    <w:rsid w:val="00933670"/>
    <w:rsid w:val="00934660"/>
    <w:rsid w:val="00946DA2"/>
    <w:rsid w:val="009576DC"/>
    <w:rsid w:val="009579C8"/>
    <w:rsid w:val="00957E84"/>
    <w:rsid w:val="00974969"/>
    <w:rsid w:val="0098695F"/>
    <w:rsid w:val="00991A9C"/>
    <w:rsid w:val="009A4224"/>
    <w:rsid w:val="009A42E1"/>
    <w:rsid w:val="009B2118"/>
    <w:rsid w:val="009B4592"/>
    <w:rsid w:val="009C4171"/>
    <w:rsid w:val="009C5A66"/>
    <w:rsid w:val="009C67E5"/>
    <w:rsid w:val="009D2699"/>
    <w:rsid w:val="009D301E"/>
    <w:rsid w:val="009E35D1"/>
    <w:rsid w:val="009E4932"/>
    <w:rsid w:val="009E5CF4"/>
    <w:rsid w:val="009F39B1"/>
    <w:rsid w:val="009F3F32"/>
    <w:rsid w:val="00A00DCF"/>
    <w:rsid w:val="00A04CF4"/>
    <w:rsid w:val="00A078ED"/>
    <w:rsid w:val="00A07A85"/>
    <w:rsid w:val="00A11E4F"/>
    <w:rsid w:val="00A1330B"/>
    <w:rsid w:val="00A13B8C"/>
    <w:rsid w:val="00A362D6"/>
    <w:rsid w:val="00A52839"/>
    <w:rsid w:val="00A5477F"/>
    <w:rsid w:val="00A67F37"/>
    <w:rsid w:val="00A70FB7"/>
    <w:rsid w:val="00A740D4"/>
    <w:rsid w:val="00A77FDC"/>
    <w:rsid w:val="00A83587"/>
    <w:rsid w:val="00A86AF1"/>
    <w:rsid w:val="00A92765"/>
    <w:rsid w:val="00A94331"/>
    <w:rsid w:val="00AA4EA6"/>
    <w:rsid w:val="00AB034F"/>
    <w:rsid w:val="00AB043D"/>
    <w:rsid w:val="00AB15D1"/>
    <w:rsid w:val="00AB5C2A"/>
    <w:rsid w:val="00AB7AC9"/>
    <w:rsid w:val="00AC4524"/>
    <w:rsid w:val="00AD00B5"/>
    <w:rsid w:val="00AD01F1"/>
    <w:rsid w:val="00AD298B"/>
    <w:rsid w:val="00AD48E2"/>
    <w:rsid w:val="00AD523D"/>
    <w:rsid w:val="00AE0CF2"/>
    <w:rsid w:val="00AE2371"/>
    <w:rsid w:val="00AE4342"/>
    <w:rsid w:val="00AE5E1B"/>
    <w:rsid w:val="00AE6064"/>
    <w:rsid w:val="00AF1F7F"/>
    <w:rsid w:val="00AF5FBC"/>
    <w:rsid w:val="00AF7AEC"/>
    <w:rsid w:val="00B0371B"/>
    <w:rsid w:val="00B064F0"/>
    <w:rsid w:val="00B10742"/>
    <w:rsid w:val="00B144A1"/>
    <w:rsid w:val="00B245A7"/>
    <w:rsid w:val="00B24A49"/>
    <w:rsid w:val="00B3321F"/>
    <w:rsid w:val="00B36434"/>
    <w:rsid w:val="00B37169"/>
    <w:rsid w:val="00B53ADD"/>
    <w:rsid w:val="00B57110"/>
    <w:rsid w:val="00B63E0E"/>
    <w:rsid w:val="00B65099"/>
    <w:rsid w:val="00B66938"/>
    <w:rsid w:val="00B67723"/>
    <w:rsid w:val="00B677F8"/>
    <w:rsid w:val="00B7541D"/>
    <w:rsid w:val="00B86E3C"/>
    <w:rsid w:val="00B920C1"/>
    <w:rsid w:val="00B932B7"/>
    <w:rsid w:val="00B96BB4"/>
    <w:rsid w:val="00BB654C"/>
    <w:rsid w:val="00BC54E0"/>
    <w:rsid w:val="00BD54A2"/>
    <w:rsid w:val="00BD5DD0"/>
    <w:rsid w:val="00BE76B2"/>
    <w:rsid w:val="00BE77C6"/>
    <w:rsid w:val="00BF6DB1"/>
    <w:rsid w:val="00BF719D"/>
    <w:rsid w:val="00C2037A"/>
    <w:rsid w:val="00C2142A"/>
    <w:rsid w:val="00C21DA0"/>
    <w:rsid w:val="00C230FB"/>
    <w:rsid w:val="00C23697"/>
    <w:rsid w:val="00C302D1"/>
    <w:rsid w:val="00C30416"/>
    <w:rsid w:val="00C31DF1"/>
    <w:rsid w:val="00C34182"/>
    <w:rsid w:val="00C345A6"/>
    <w:rsid w:val="00C354EF"/>
    <w:rsid w:val="00C46767"/>
    <w:rsid w:val="00C50060"/>
    <w:rsid w:val="00C52C63"/>
    <w:rsid w:val="00C53BC5"/>
    <w:rsid w:val="00C53EEA"/>
    <w:rsid w:val="00C55A6B"/>
    <w:rsid w:val="00C663D7"/>
    <w:rsid w:val="00C6672B"/>
    <w:rsid w:val="00C675FF"/>
    <w:rsid w:val="00C904A5"/>
    <w:rsid w:val="00C90A3D"/>
    <w:rsid w:val="00CA3EF8"/>
    <w:rsid w:val="00CB2948"/>
    <w:rsid w:val="00CC38FB"/>
    <w:rsid w:val="00CD5F50"/>
    <w:rsid w:val="00CD626A"/>
    <w:rsid w:val="00CE5FDF"/>
    <w:rsid w:val="00CE66EA"/>
    <w:rsid w:val="00CF751B"/>
    <w:rsid w:val="00CF7AF8"/>
    <w:rsid w:val="00D03FFD"/>
    <w:rsid w:val="00D045A0"/>
    <w:rsid w:val="00D07940"/>
    <w:rsid w:val="00D07E96"/>
    <w:rsid w:val="00D10092"/>
    <w:rsid w:val="00D116CA"/>
    <w:rsid w:val="00D21289"/>
    <w:rsid w:val="00D2175B"/>
    <w:rsid w:val="00D33505"/>
    <w:rsid w:val="00D3689E"/>
    <w:rsid w:val="00D51739"/>
    <w:rsid w:val="00D520C2"/>
    <w:rsid w:val="00D61EC6"/>
    <w:rsid w:val="00D67F0C"/>
    <w:rsid w:val="00D72AC2"/>
    <w:rsid w:val="00D72BF9"/>
    <w:rsid w:val="00D741B2"/>
    <w:rsid w:val="00D74DBC"/>
    <w:rsid w:val="00D77DE1"/>
    <w:rsid w:val="00D80C1C"/>
    <w:rsid w:val="00D879B1"/>
    <w:rsid w:val="00D91AFD"/>
    <w:rsid w:val="00D942F5"/>
    <w:rsid w:val="00D9625A"/>
    <w:rsid w:val="00DA1361"/>
    <w:rsid w:val="00DA346B"/>
    <w:rsid w:val="00DA68A5"/>
    <w:rsid w:val="00DA72F4"/>
    <w:rsid w:val="00DB70BA"/>
    <w:rsid w:val="00DD3FE4"/>
    <w:rsid w:val="00DD435C"/>
    <w:rsid w:val="00DE000E"/>
    <w:rsid w:val="00DE2121"/>
    <w:rsid w:val="00DE38F0"/>
    <w:rsid w:val="00DF475F"/>
    <w:rsid w:val="00E02406"/>
    <w:rsid w:val="00E045D5"/>
    <w:rsid w:val="00E04EB4"/>
    <w:rsid w:val="00E07D83"/>
    <w:rsid w:val="00E102F4"/>
    <w:rsid w:val="00E14ECC"/>
    <w:rsid w:val="00E176D8"/>
    <w:rsid w:val="00E33FC4"/>
    <w:rsid w:val="00E45E4D"/>
    <w:rsid w:val="00E50A86"/>
    <w:rsid w:val="00E51D07"/>
    <w:rsid w:val="00E54080"/>
    <w:rsid w:val="00E618BA"/>
    <w:rsid w:val="00E70428"/>
    <w:rsid w:val="00E732C8"/>
    <w:rsid w:val="00E84D0D"/>
    <w:rsid w:val="00E95395"/>
    <w:rsid w:val="00EB1428"/>
    <w:rsid w:val="00EB1491"/>
    <w:rsid w:val="00EB42A8"/>
    <w:rsid w:val="00EB5DC1"/>
    <w:rsid w:val="00EB6BAE"/>
    <w:rsid w:val="00EC48FF"/>
    <w:rsid w:val="00EC6155"/>
    <w:rsid w:val="00EC6F52"/>
    <w:rsid w:val="00EC6F9F"/>
    <w:rsid w:val="00ED1A78"/>
    <w:rsid w:val="00ED2A57"/>
    <w:rsid w:val="00ED7575"/>
    <w:rsid w:val="00EE66BF"/>
    <w:rsid w:val="00EF2429"/>
    <w:rsid w:val="00EF3410"/>
    <w:rsid w:val="00EF625A"/>
    <w:rsid w:val="00F046A2"/>
    <w:rsid w:val="00F136A7"/>
    <w:rsid w:val="00F14890"/>
    <w:rsid w:val="00F3194D"/>
    <w:rsid w:val="00F34CC7"/>
    <w:rsid w:val="00F40467"/>
    <w:rsid w:val="00F40E12"/>
    <w:rsid w:val="00F45AF1"/>
    <w:rsid w:val="00F65BA8"/>
    <w:rsid w:val="00F77FFB"/>
    <w:rsid w:val="00F8088E"/>
    <w:rsid w:val="00F808C0"/>
    <w:rsid w:val="00F825DF"/>
    <w:rsid w:val="00F85043"/>
    <w:rsid w:val="00F855A7"/>
    <w:rsid w:val="00FA0634"/>
    <w:rsid w:val="00FA2577"/>
    <w:rsid w:val="00FA6801"/>
    <w:rsid w:val="00FB46DA"/>
    <w:rsid w:val="00FB70BC"/>
    <w:rsid w:val="00FB7B39"/>
    <w:rsid w:val="00FC03DA"/>
    <w:rsid w:val="00FC09C6"/>
    <w:rsid w:val="00FC3574"/>
    <w:rsid w:val="00FD5D29"/>
    <w:rsid w:val="00FE66A1"/>
    <w:rsid w:val="00FE67E2"/>
    <w:rsid w:val="00FE70AF"/>
    <w:rsid w:val="00FF1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A45AEB"/>
  <w15:chartTrackingRefBased/>
  <w15:docId w15:val="{6E76849D-6FC5-A04E-9F3C-14C52273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qFormat/>
    <w:rsid w:val="00096400"/>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096400"/>
    <w:rPr>
      <w:rFonts w:ascii="Arial" w:eastAsia="Times New Roman" w:hAnsi="Arial"/>
      <w:b/>
      <w:bCs/>
      <w:color w:val="000080"/>
      <w:sz w:val="24"/>
      <w:szCs w:val="24"/>
      <w:lang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1"/>
    <w:qFormat/>
    <w:rsid w:val="00096400"/>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qFormat/>
    <w:rsid w:val="00096400"/>
    <w:rPr>
      <w:lang w:eastAsia="en-US"/>
    </w:rPr>
  </w:style>
  <w:style w:type="paragraph" w:styleId="Encabezado">
    <w:name w:val="header"/>
    <w:basedOn w:val="Normal"/>
    <w:link w:val="EncabezadoCar"/>
    <w:uiPriority w:val="99"/>
    <w:rsid w:val="00096400"/>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qFormat/>
    <w:rsid w:val="00096400"/>
    <w:rPr>
      <w:rFonts w:ascii="Times New Roman" w:eastAsia="Times New Roman" w:hAnsi="Times New Roman"/>
      <w:lang w:eastAsia="es-ES"/>
    </w:rPr>
  </w:style>
  <w:style w:type="paragraph" w:styleId="Lista">
    <w:name w:val="List"/>
    <w:basedOn w:val="Normal"/>
    <w:qFormat/>
    <w:rsid w:val="00096400"/>
    <w:pPr>
      <w:autoSpaceDE w:val="0"/>
      <w:autoSpaceDN w:val="0"/>
      <w:spacing w:after="0" w:line="240" w:lineRule="auto"/>
      <w:ind w:left="283" w:hanging="283"/>
    </w:pPr>
    <w:rPr>
      <w:rFonts w:ascii="Arial" w:eastAsia="Times New Roman" w:hAnsi="Arial" w:cs="Arial"/>
      <w:sz w:val="28"/>
      <w:szCs w:val="28"/>
      <w:lang w:eastAsia="es-ES"/>
    </w:rPr>
  </w:style>
  <w:style w:type="paragraph" w:styleId="NormalWeb">
    <w:name w:val="Normal (Web)"/>
    <w:basedOn w:val="Normal"/>
    <w:uiPriority w:val="99"/>
    <w:unhideWhenUsed/>
    <w:qFormat/>
    <w:rsid w:val="00096400"/>
    <w:pPr>
      <w:spacing w:before="100" w:beforeAutospacing="1" w:after="100" w:afterAutospacing="1" w:line="240" w:lineRule="auto"/>
    </w:pPr>
    <w:rPr>
      <w:rFonts w:ascii="Times New Roman" w:eastAsia="Times New Roman" w:hAnsi="Times New Roman"/>
      <w:sz w:val="24"/>
      <w:szCs w:val="24"/>
      <w:lang w:eastAsia="es-CO"/>
    </w:rPr>
  </w:style>
  <w:style w:type="paragraph" w:styleId="Textosinformato">
    <w:name w:val="Plain Text"/>
    <w:basedOn w:val="Normal"/>
    <w:link w:val="TextosinformatoCar"/>
    <w:qFormat/>
    <w:rsid w:val="00096400"/>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096400"/>
    <w:rPr>
      <w:rFonts w:ascii="Courier New" w:eastAsia="Times New Roman" w:hAnsi="Courier New"/>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09640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6400"/>
    <w:pPr>
      <w:spacing w:after="0" w:line="240" w:lineRule="auto"/>
      <w:jc w:val="both"/>
    </w:pPr>
    <w:rPr>
      <w:sz w:val="20"/>
      <w:szCs w:val="20"/>
      <w:vertAlign w:val="superscript"/>
      <w:lang w:eastAsia="es-CO"/>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
    <w:link w:val="Textonotapie"/>
    <w:qFormat/>
    <w:locked/>
    <w:rsid w:val="00096400"/>
    <w:rPr>
      <w:rFonts w:ascii="Times New Roman" w:eastAsia="Times New Roman" w:hAnsi="Times New Roman"/>
      <w:lang w:val="zh-CN" w:eastAsia="es-ES"/>
    </w:rPr>
  </w:style>
  <w:style w:type="paragraph" w:customStyle="1" w:styleId="Encabe">
    <w:name w:val="Encabe"/>
    <w:basedOn w:val="Normal"/>
    <w:uiPriority w:val="99"/>
    <w:rsid w:val="00096400"/>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paragraph" w:customStyle="1" w:styleId="Cuadrculamedia21">
    <w:name w:val="Cuadrícula media 21"/>
    <w:aliases w:val="C. Extensa,CITA 1"/>
    <w:link w:val="Cuadrculamedia2Car"/>
    <w:uiPriority w:val="1"/>
    <w:qFormat/>
    <w:rsid w:val="00096400"/>
    <w:rPr>
      <w:sz w:val="22"/>
      <w:szCs w:val="22"/>
      <w:lang w:eastAsia="en-US"/>
    </w:rPr>
  </w:style>
  <w:style w:type="character" w:customStyle="1" w:styleId="Cuadrculamedia2Car">
    <w:name w:val="Cuadrícula media 2 Car"/>
    <w:aliases w:val="C. Extensa Car,CITA 1 Car"/>
    <w:link w:val="Cuadrculamedia21"/>
    <w:uiPriority w:val="1"/>
    <w:locked/>
    <w:rsid w:val="00096400"/>
    <w:rPr>
      <w:sz w:val="22"/>
      <w:szCs w:val="22"/>
      <w:lang w:eastAsia="en-US"/>
    </w:rPr>
  </w:style>
  <w:style w:type="paragraph" w:customStyle="1" w:styleId="Sinespaciado1">
    <w:name w:val="Sin espaciado1"/>
    <w:link w:val="NoSpacingChar"/>
    <w:qFormat/>
    <w:rsid w:val="00096400"/>
    <w:rPr>
      <w:rFonts w:ascii="Times New Roman" w:eastAsia="Times New Roman" w:hAnsi="Times New Roman"/>
      <w:sz w:val="24"/>
      <w:szCs w:val="24"/>
      <w:lang w:eastAsia="es-ES"/>
    </w:rPr>
  </w:style>
  <w:style w:type="character" w:customStyle="1" w:styleId="NoSpacingChar">
    <w:name w:val="No Spacing Char"/>
    <w:link w:val="Sinespaciado1"/>
    <w:locked/>
    <w:rsid w:val="00096400"/>
    <w:rPr>
      <w:rFonts w:ascii="Times New Roman" w:eastAsia="Times New Roman" w:hAnsi="Times New Roman"/>
      <w:sz w:val="24"/>
      <w:szCs w:val="24"/>
      <w:lang w:eastAsia="es-ES"/>
    </w:rPr>
  </w:style>
  <w:style w:type="paragraph" w:styleId="Piedepgina">
    <w:name w:val="footer"/>
    <w:basedOn w:val="Normal"/>
    <w:link w:val="PiedepginaCar"/>
    <w:uiPriority w:val="99"/>
    <w:unhideWhenUsed/>
    <w:rsid w:val="00246477"/>
    <w:pPr>
      <w:tabs>
        <w:tab w:val="center" w:pos="4419"/>
        <w:tab w:val="right" w:pos="8838"/>
      </w:tabs>
    </w:pPr>
  </w:style>
  <w:style w:type="character" w:customStyle="1" w:styleId="PiedepginaCar">
    <w:name w:val="Pie de página Car"/>
    <w:link w:val="Piedepgina"/>
    <w:uiPriority w:val="99"/>
    <w:rsid w:val="00246477"/>
    <w:rPr>
      <w:sz w:val="22"/>
      <w:szCs w:val="22"/>
      <w:lang w:eastAsia="en-US"/>
    </w:rPr>
  </w:style>
  <w:style w:type="character" w:customStyle="1" w:styleId="baj">
    <w:name w:val="b_aj"/>
    <w:rsid w:val="00DE000E"/>
  </w:style>
  <w:style w:type="character" w:styleId="Hipervnculo">
    <w:name w:val="Hyperlink"/>
    <w:uiPriority w:val="99"/>
    <w:semiHidden/>
    <w:unhideWhenUsed/>
    <w:rsid w:val="00683BA9"/>
    <w:rPr>
      <w:color w:val="0000FF"/>
      <w:u w:val="single"/>
    </w:rPr>
  </w:style>
  <w:style w:type="paragraph" w:customStyle="1" w:styleId="Cuadrculamedia210">
    <w:name w:val="Cuadrícula media 21"/>
    <w:uiPriority w:val="1"/>
    <w:qFormat/>
    <w:rsid w:val="00AB043D"/>
    <w:rPr>
      <w:sz w:val="22"/>
      <w:szCs w:val="22"/>
      <w:lang w:eastAsia="en-US"/>
    </w:rPr>
  </w:style>
  <w:style w:type="character" w:styleId="Refdecomentario">
    <w:name w:val="annotation reference"/>
    <w:uiPriority w:val="99"/>
    <w:semiHidden/>
    <w:unhideWhenUsed/>
    <w:rsid w:val="00B86E3C"/>
    <w:rPr>
      <w:sz w:val="16"/>
      <w:szCs w:val="16"/>
    </w:rPr>
  </w:style>
  <w:style w:type="paragraph" w:styleId="Textocomentario">
    <w:name w:val="annotation text"/>
    <w:basedOn w:val="Normal"/>
    <w:link w:val="TextocomentarioCar"/>
    <w:uiPriority w:val="99"/>
    <w:semiHidden/>
    <w:unhideWhenUsed/>
    <w:rsid w:val="00B86E3C"/>
    <w:rPr>
      <w:sz w:val="20"/>
      <w:szCs w:val="20"/>
    </w:rPr>
  </w:style>
  <w:style w:type="character" w:customStyle="1" w:styleId="TextocomentarioCar">
    <w:name w:val="Texto comentario Car"/>
    <w:link w:val="Textocomentario"/>
    <w:uiPriority w:val="99"/>
    <w:semiHidden/>
    <w:rsid w:val="00B86E3C"/>
    <w:rPr>
      <w:lang w:eastAsia="en-US"/>
    </w:rPr>
  </w:style>
  <w:style w:type="paragraph" w:styleId="Asuntodelcomentario">
    <w:name w:val="annotation subject"/>
    <w:basedOn w:val="Textocomentario"/>
    <w:next w:val="Textocomentario"/>
    <w:link w:val="AsuntodelcomentarioCar"/>
    <w:uiPriority w:val="99"/>
    <w:semiHidden/>
    <w:unhideWhenUsed/>
    <w:rsid w:val="00B86E3C"/>
    <w:rPr>
      <w:b/>
      <w:bCs/>
    </w:rPr>
  </w:style>
  <w:style w:type="character" w:customStyle="1" w:styleId="AsuntodelcomentarioCar">
    <w:name w:val="Asunto del comentario Car"/>
    <w:link w:val="Asuntodelcomentario"/>
    <w:uiPriority w:val="99"/>
    <w:semiHidden/>
    <w:rsid w:val="00B86E3C"/>
    <w:rPr>
      <w:b/>
      <w:bCs/>
      <w:lang w:eastAsia="en-US"/>
    </w:rPr>
  </w:style>
  <w:style w:type="paragraph" w:styleId="Textodeglobo">
    <w:name w:val="Balloon Text"/>
    <w:basedOn w:val="Normal"/>
    <w:link w:val="TextodegloboCar"/>
    <w:uiPriority w:val="99"/>
    <w:semiHidden/>
    <w:unhideWhenUsed/>
    <w:rsid w:val="00B86E3C"/>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B86E3C"/>
    <w:rPr>
      <w:rFonts w:ascii="Times New Roman" w:hAnsi="Times New Roman"/>
      <w:sz w:val="18"/>
      <w:szCs w:val="18"/>
      <w:lang w:eastAsia="en-US"/>
    </w:rPr>
  </w:style>
  <w:style w:type="paragraph" w:customStyle="1" w:styleId="unico">
    <w:name w:val="unico"/>
    <w:basedOn w:val="Normal"/>
    <w:rsid w:val="00362B51"/>
    <w:pPr>
      <w:spacing w:before="180" w:after="100" w:afterAutospacing="1" w:line="240" w:lineRule="auto"/>
      <w:jc w:val="both"/>
    </w:pPr>
    <w:rPr>
      <w:rFonts w:ascii="Arial" w:eastAsia="Times New Roman" w:hAnsi="Arial" w:cs="Arial"/>
      <w:sz w:val="32"/>
      <w:szCs w:val="32"/>
      <w:lang w:eastAsia="es-CO"/>
    </w:rPr>
  </w:style>
  <w:style w:type="paragraph" w:customStyle="1" w:styleId="Sombreadovistoso-nfasis11">
    <w:name w:val="Sombreado vistoso - Énfasis 11"/>
    <w:hidden/>
    <w:uiPriority w:val="71"/>
    <w:rsid w:val="003F316E"/>
    <w:rPr>
      <w:sz w:val="22"/>
      <w:szCs w:val="22"/>
      <w:lang w:eastAsia="en-US"/>
    </w:rPr>
  </w:style>
  <w:style w:type="paragraph" w:styleId="Revisin">
    <w:name w:val="Revision"/>
    <w:hidden/>
    <w:uiPriority w:val="99"/>
    <w:semiHidden/>
    <w:rsid w:val="00900E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0627">
      <w:bodyDiv w:val="1"/>
      <w:marLeft w:val="0"/>
      <w:marRight w:val="0"/>
      <w:marTop w:val="0"/>
      <w:marBottom w:val="0"/>
      <w:divBdr>
        <w:top w:val="none" w:sz="0" w:space="0" w:color="auto"/>
        <w:left w:val="none" w:sz="0" w:space="0" w:color="auto"/>
        <w:bottom w:val="none" w:sz="0" w:space="0" w:color="auto"/>
        <w:right w:val="none" w:sz="0" w:space="0" w:color="auto"/>
      </w:divBdr>
    </w:div>
    <w:div w:id="917985237">
      <w:bodyDiv w:val="1"/>
      <w:marLeft w:val="0"/>
      <w:marRight w:val="0"/>
      <w:marTop w:val="0"/>
      <w:marBottom w:val="0"/>
      <w:divBdr>
        <w:top w:val="none" w:sz="0" w:space="0" w:color="auto"/>
        <w:left w:val="none" w:sz="0" w:space="0" w:color="auto"/>
        <w:bottom w:val="none" w:sz="0" w:space="0" w:color="auto"/>
        <w:right w:val="none" w:sz="0" w:space="0" w:color="auto"/>
      </w:divBdr>
    </w:div>
    <w:div w:id="962732253">
      <w:bodyDiv w:val="1"/>
      <w:marLeft w:val="0"/>
      <w:marRight w:val="0"/>
      <w:marTop w:val="0"/>
      <w:marBottom w:val="0"/>
      <w:divBdr>
        <w:top w:val="none" w:sz="0" w:space="0" w:color="auto"/>
        <w:left w:val="none" w:sz="0" w:space="0" w:color="auto"/>
        <w:bottom w:val="none" w:sz="0" w:space="0" w:color="auto"/>
        <w:right w:val="none" w:sz="0" w:space="0" w:color="auto"/>
      </w:divBdr>
    </w:div>
    <w:div w:id="1525751451">
      <w:bodyDiv w:val="1"/>
      <w:marLeft w:val="0"/>
      <w:marRight w:val="0"/>
      <w:marTop w:val="0"/>
      <w:marBottom w:val="0"/>
      <w:divBdr>
        <w:top w:val="none" w:sz="0" w:space="0" w:color="auto"/>
        <w:left w:val="none" w:sz="0" w:space="0" w:color="auto"/>
        <w:bottom w:val="none" w:sz="0" w:space="0" w:color="auto"/>
        <w:right w:val="none" w:sz="0" w:space="0" w:color="auto"/>
      </w:divBdr>
    </w:div>
    <w:div w:id="1886985895">
      <w:bodyDiv w:val="1"/>
      <w:marLeft w:val="0"/>
      <w:marRight w:val="0"/>
      <w:marTop w:val="0"/>
      <w:marBottom w:val="0"/>
      <w:divBdr>
        <w:top w:val="none" w:sz="0" w:space="0" w:color="auto"/>
        <w:left w:val="none" w:sz="0" w:space="0" w:color="auto"/>
        <w:bottom w:val="none" w:sz="0" w:space="0" w:color="auto"/>
        <w:right w:val="none" w:sz="0" w:space="0" w:color="auto"/>
      </w:divBdr>
    </w:div>
    <w:div w:id="19761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estatuto_tributario_pr024.html" TargetMode="External"/><Relationship Id="rId1" Type="http://schemas.openxmlformats.org/officeDocument/2006/relationships/hyperlink" Target="http://www.secretariasenado.gov.co/senado/basedoc/ley_0863_20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2090-F189-4B25-AE99-65574EFA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4F651-3B9A-4154-B69B-E8356DD82F70}">
  <ds:schemaRefs>
    <ds:schemaRef ds:uri="http://schemas.microsoft.com/sharepoint/v3/contenttype/forms"/>
  </ds:schemaRefs>
</ds:datastoreItem>
</file>

<file path=customXml/itemProps3.xml><?xml version="1.0" encoding="utf-8"?>
<ds:datastoreItem xmlns:ds="http://schemas.openxmlformats.org/officeDocument/2006/customXml" ds:itemID="{05C078DA-6CDF-4DC4-8B1A-7B5AD945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4505</Words>
  <Characters>30636</Characters>
  <Application>Microsoft Office Word</Application>
  <DocSecurity>0</DocSecurity>
  <Lines>1094</Lines>
  <Paragraphs>494</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34647</CharactersWithSpaces>
  <SharedDoc>false</SharedDoc>
  <HLinks>
    <vt:vector size="60" baseType="variant">
      <vt:variant>
        <vt:i4>4456472</vt:i4>
      </vt:variant>
      <vt:variant>
        <vt:i4>19</vt:i4>
      </vt:variant>
      <vt:variant>
        <vt:i4>0</vt:i4>
      </vt:variant>
      <vt:variant>
        <vt:i4>5</vt:i4>
      </vt:variant>
      <vt:variant>
        <vt:lpwstr>http://www.secretariasenado.gov.co/senado/basedoc/estatuto_tributario_pr024.html</vt:lpwstr>
      </vt:variant>
      <vt:variant>
        <vt:lpwstr>589</vt:lpwstr>
      </vt:variant>
      <vt:variant>
        <vt:i4>786451</vt:i4>
      </vt:variant>
      <vt:variant>
        <vt:i4>16</vt:i4>
      </vt:variant>
      <vt:variant>
        <vt:i4>0</vt:i4>
      </vt:variant>
      <vt:variant>
        <vt:i4>5</vt:i4>
      </vt:variant>
      <vt:variant>
        <vt:lpwstr>http://www.secretariasenado.gov.co/senado/basedoc/ley_0863_2003.html</vt:lpwstr>
      </vt:variant>
      <vt:variant>
        <vt:lpwstr>24</vt:lpwstr>
      </vt:variant>
      <vt:variant>
        <vt:i4>6619227</vt:i4>
      </vt:variant>
      <vt:variant>
        <vt:i4>14</vt:i4>
      </vt:variant>
      <vt:variant>
        <vt:i4>0</vt:i4>
      </vt:variant>
      <vt:variant>
        <vt:i4>5</vt:i4>
      </vt:variant>
      <vt:variant>
        <vt:lpwstr>http://www.corteconstitucional.gov.co/relatoria/2012/SU195-12.htm</vt:lpwstr>
      </vt:variant>
      <vt:variant>
        <vt:lpwstr>_ftn57</vt:lpwstr>
      </vt:variant>
      <vt:variant>
        <vt:i4>6684763</vt:i4>
      </vt:variant>
      <vt:variant>
        <vt:i4>12</vt:i4>
      </vt:variant>
      <vt:variant>
        <vt:i4>0</vt:i4>
      </vt:variant>
      <vt:variant>
        <vt:i4>5</vt:i4>
      </vt:variant>
      <vt:variant>
        <vt:lpwstr>http://www.corteconstitucional.gov.co/relatoria/2012/SU195-12.htm</vt:lpwstr>
      </vt:variant>
      <vt:variant>
        <vt:lpwstr>_ftn54</vt:lpwstr>
      </vt:variant>
      <vt:variant>
        <vt:i4>6357083</vt:i4>
      </vt:variant>
      <vt:variant>
        <vt:i4>10</vt:i4>
      </vt:variant>
      <vt:variant>
        <vt:i4>0</vt:i4>
      </vt:variant>
      <vt:variant>
        <vt:i4>5</vt:i4>
      </vt:variant>
      <vt:variant>
        <vt:lpwstr>http://www.corteconstitucional.gov.co/relatoria/2012/SU195-12.htm</vt:lpwstr>
      </vt:variant>
      <vt:variant>
        <vt:lpwstr>_ftn53</vt:lpwstr>
      </vt:variant>
      <vt:variant>
        <vt:i4>6488155</vt:i4>
      </vt:variant>
      <vt:variant>
        <vt:i4>8</vt:i4>
      </vt:variant>
      <vt:variant>
        <vt:i4>0</vt:i4>
      </vt:variant>
      <vt:variant>
        <vt:i4>5</vt:i4>
      </vt:variant>
      <vt:variant>
        <vt:lpwstr>http://www.corteconstitucional.gov.co/relatoria/2012/SU195-12.htm</vt:lpwstr>
      </vt:variant>
      <vt:variant>
        <vt:lpwstr>_ftn51</vt:lpwstr>
      </vt:variant>
      <vt:variant>
        <vt:i4>6619226</vt:i4>
      </vt:variant>
      <vt:variant>
        <vt:i4>6</vt:i4>
      </vt:variant>
      <vt:variant>
        <vt:i4>0</vt:i4>
      </vt:variant>
      <vt:variant>
        <vt:i4>5</vt:i4>
      </vt:variant>
      <vt:variant>
        <vt:lpwstr>http://www.corteconstitucional.gov.co/relatoria/2012/SU195-12.htm</vt:lpwstr>
      </vt:variant>
      <vt:variant>
        <vt:lpwstr>_ftn47</vt:lpwstr>
      </vt:variant>
      <vt:variant>
        <vt:i4>6750298</vt:i4>
      </vt:variant>
      <vt:variant>
        <vt:i4>4</vt:i4>
      </vt:variant>
      <vt:variant>
        <vt:i4>0</vt:i4>
      </vt:variant>
      <vt:variant>
        <vt:i4>5</vt:i4>
      </vt:variant>
      <vt:variant>
        <vt:lpwstr>http://www.corteconstitucional.gov.co/relatoria/2012/SU195-12.htm</vt:lpwstr>
      </vt:variant>
      <vt:variant>
        <vt:lpwstr>_ftn45</vt:lpwstr>
      </vt:variant>
      <vt:variant>
        <vt:i4>6684762</vt:i4>
      </vt:variant>
      <vt:variant>
        <vt:i4>2</vt:i4>
      </vt:variant>
      <vt:variant>
        <vt:i4>0</vt:i4>
      </vt:variant>
      <vt:variant>
        <vt:i4>5</vt:i4>
      </vt:variant>
      <vt:variant>
        <vt:lpwstr>http://www.corteconstitucional.gov.co/relatoria/2012/SU195-12.htm</vt:lpwstr>
      </vt:variant>
      <vt:variant>
        <vt:lpwstr>_ftn44</vt:lpwstr>
      </vt:variant>
      <vt:variant>
        <vt:i4>6291546</vt:i4>
      </vt:variant>
      <vt:variant>
        <vt:i4>0</vt:i4>
      </vt:variant>
      <vt:variant>
        <vt:i4>0</vt:i4>
      </vt:variant>
      <vt:variant>
        <vt:i4>5</vt:i4>
      </vt:variant>
      <vt:variant>
        <vt:lpwstr>http://www.corteconstitucional.gov.co/relatoria/2012/SU195-12.htm</vt:lpwstr>
      </vt:variant>
      <vt:variant>
        <vt:lpwstr>_ftn42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2</cp:revision>
  <dcterms:created xsi:type="dcterms:W3CDTF">2020-08-31T13:18:00Z</dcterms:created>
  <dcterms:modified xsi:type="dcterms:W3CDTF">2020-08-31T13:18:00Z</dcterms:modified>
</cp:coreProperties>
</file>