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C673" w14:textId="77777777" w:rsidR="000E2BBB" w:rsidRPr="00720E03" w:rsidRDefault="000E2BBB" w:rsidP="00F74504">
      <w:pPr>
        <w:pStyle w:val="Sinespaciado"/>
      </w:pPr>
      <w:r w:rsidRPr="00720E03">
        <w:t>CONSEJERO PONENTE: JAIME ENRIQUE RODRÍGUEZ NAVAS</w:t>
      </w:r>
    </w:p>
    <w:p w14:paraId="1398DBC2" w14:textId="77777777" w:rsidR="000E2BBB" w:rsidRPr="00720E03" w:rsidRDefault="000E2BBB" w:rsidP="00720E03">
      <w:pPr>
        <w:contextualSpacing/>
        <w:rPr>
          <w:b/>
          <w:bCs/>
          <w:sz w:val="24"/>
          <w:szCs w:val="24"/>
        </w:rPr>
      </w:pPr>
    </w:p>
    <w:p w14:paraId="6A335ADF" w14:textId="63062DDB" w:rsidR="000E2BBB" w:rsidRPr="00720E03" w:rsidRDefault="000E2BBB" w:rsidP="00720E03">
      <w:pPr>
        <w:contextualSpacing/>
        <w:rPr>
          <w:bCs/>
          <w:sz w:val="24"/>
          <w:szCs w:val="24"/>
        </w:rPr>
      </w:pPr>
      <w:r w:rsidRPr="00720E03">
        <w:rPr>
          <w:bCs/>
          <w:sz w:val="24"/>
          <w:szCs w:val="24"/>
        </w:rPr>
        <w:t>Bogotá D.C</w:t>
      </w:r>
      <w:r w:rsidRPr="00C129B2">
        <w:rPr>
          <w:bCs/>
          <w:sz w:val="24"/>
          <w:szCs w:val="24"/>
        </w:rPr>
        <w:t xml:space="preserve">., </w:t>
      </w:r>
      <w:r w:rsidR="00C129B2" w:rsidRPr="00C129B2">
        <w:rPr>
          <w:bCs/>
          <w:sz w:val="24"/>
          <w:szCs w:val="24"/>
        </w:rPr>
        <w:t>cuatro</w:t>
      </w:r>
      <w:r w:rsidR="005F7FE5" w:rsidRPr="00C129B2">
        <w:rPr>
          <w:bCs/>
          <w:sz w:val="24"/>
          <w:szCs w:val="24"/>
        </w:rPr>
        <w:t xml:space="preserve"> (</w:t>
      </w:r>
      <w:r w:rsidR="00C129B2" w:rsidRPr="00C129B2">
        <w:rPr>
          <w:bCs/>
          <w:sz w:val="24"/>
          <w:szCs w:val="24"/>
        </w:rPr>
        <w:t>4</w:t>
      </w:r>
      <w:r w:rsidR="00184020" w:rsidRPr="00C129B2">
        <w:rPr>
          <w:bCs/>
          <w:sz w:val="24"/>
          <w:szCs w:val="24"/>
        </w:rPr>
        <w:t xml:space="preserve">) </w:t>
      </w:r>
      <w:r w:rsidR="00C921AE" w:rsidRPr="00C129B2">
        <w:rPr>
          <w:bCs/>
          <w:sz w:val="24"/>
          <w:szCs w:val="24"/>
        </w:rPr>
        <w:t xml:space="preserve">de </w:t>
      </w:r>
      <w:r w:rsidR="00C129B2" w:rsidRPr="00C129B2">
        <w:rPr>
          <w:bCs/>
          <w:sz w:val="24"/>
          <w:szCs w:val="24"/>
        </w:rPr>
        <w:t xml:space="preserve">marzo </w:t>
      </w:r>
      <w:r w:rsidRPr="00C129B2">
        <w:rPr>
          <w:bCs/>
          <w:sz w:val="24"/>
          <w:szCs w:val="24"/>
        </w:rPr>
        <w:t>de dos mil veint</w:t>
      </w:r>
      <w:r w:rsidR="00C129B2" w:rsidRPr="00C129B2">
        <w:rPr>
          <w:bCs/>
          <w:sz w:val="24"/>
          <w:szCs w:val="24"/>
        </w:rPr>
        <w:t>idós</w:t>
      </w:r>
      <w:r w:rsidRPr="00C129B2">
        <w:rPr>
          <w:bCs/>
          <w:sz w:val="24"/>
          <w:szCs w:val="24"/>
        </w:rPr>
        <w:t xml:space="preserve"> (202</w:t>
      </w:r>
      <w:r w:rsidR="00C129B2" w:rsidRPr="00C129B2">
        <w:rPr>
          <w:bCs/>
          <w:sz w:val="24"/>
          <w:szCs w:val="24"/>
        </w:rPr>
        <w:t>2</w:t>
      </w:r>
      <w:r w:rsidRPr="00C129B2">
        <w:rPr>
          <w:bCs/>
          <w:sz w:val="24"/>
          <w:szCs w:val="24"/>
        </w:rPr>
        <w:t>)</w:t>
      </w:r>
    </w:p>
    <w:p w14:paraId="4F31FC18" w14:textId="77777777" w:rsidR="000E2BBB" w:rsidRPr="00720E03" w:rsidRDefault="000E2BBB" w:rsidP="00720E03">
      <w:pPr>
        <w:contextualSpacing/>
        <w:rPr>
          <w:b/>
          <w:sz w:val="24"/>
          <w:szCs w:val="24"/>
        </w:rPr>
      </w:pPr>
    </w:p>
    <w:p w14:paraId="4322FBBD" w14:textId="77777777" w:rsidR="00E446BC" w:rsidRPr="00720E03" w:rsidRDefault="00E446BC" w:rsidP="00720E03">
      <w:pPr>
        <w:ind w:left="1985" w:hanging="1985"/>
        <w:contextualSpacing/>
        <w:rPr>
          <w:b/>
          <w:sz w:val="24"/>
          <w:szCs w:val="24"/>
        </w:rPr>
      </w:pPr>
      <w:r w:rsidRPr="00720E03">
        <w:rPr>
          <w:b/>
          <w:sz w:val="24"/>
          <w:szCs w:val="24"/>
        </w:rPr>
        <w:t xml:space="preserve">Referencia: </w:t>
      </w:r>
      <w:r w:rsidRPr="00720E03">
        <w:rPr>
          <w:b/>
          <w:sz w:val="24"/>
          <w:szCs w:val="24"/>
        </w:rPr>
        <w:tab/>
      </w:r>
      <w:r w:rsidRPr="00720E03">
        <w:rPr>
          <w:sz w:val="24"/>
          <w:szCs w:val="24"/>
        </w:rPr>
        <w:t>Acción de tutela</w:t>
      </w:r>
    </w:p>
    <w:p w14:paraId="3020476B" w14:textId="77777777" w:rsidR="00E446BC" w:rsidRPr="00720E03" w:rsidRDefault="00E446BC" w:rsidP="00720E03">
      <w:pPr>
        <w:tabs>
          <w:tab w:val="left" w:pos="1985"/>
        </w:tabs>
        <w:rPr>
          <w:sz w:val="24"/>
          <w:szCs w:val="24"/>
        </w:rPr>
      </w:pPr>
      <w:r w:rsidRPr="00720E03">
        <w:rPr>
          <w:b/>
          <w:sz w:val="24"/>
          <w:szCs w:val="24"/>
        </w:rPr>
        <w:t>Radicación:</w:t>
      </w:r>
      <w:r w:rsidRPr="00720E03">
        <w:rPr>
          <w:b/>
          <w:sz w:val="24"/>
          <w:szCs w:val="24"/>
        </w:rPr>
        <w:tab/>
      </w:r>
      <w:r w:rsidRPr="00720E03">
        <w:rPr>
          <w:bCs/>
          <w:sz w:val="24"/>
          <w:szCs w:val="24"/>
        </w:rPr>
        <w:t>11001-03-15-000-2021-10543-00</w:t>
      </w:r>
    </w:p>
    <w:p w14:paraId="6160B1D4" w14:textId="77777777" w:rsidR="00E446BC" w:rsidRPr="00720E03" w:rsidRDefault="00E446BC" w:rsidP="00720E03">
      <w:pPr>
        <w:tabs>
          <w:tab w:val="left" w:pos="1985"/>
        </w:tabs>
        <w:ind w:left="1980" w:hanging="1980"/>
        <w:contextualSpacing/>
        <w:rPr>
          <w:sz w:val="24"/>
          <w:szCs w:val="24"/>
        </w:rPr>
      </w:pPr>
      <w:r w:rsidRPr="00720E03">
        <w:rPr>
          <w:b/>
          <w:sz w:val="24"/>
          <w:szCs w:val="24"/>
        </w:rPr>
        <w:t>Accionante:</w:t>
      </w:r>
      <w:r w:rsidRPr="00720E03">
        <w:rPr>
          <w:b/>
          <w:sz w:val="24"/>
          <w:szCs w:val="24"/>
        </w:rPr>
        <w:tab/>
      </w:r>
      <w:r w:rsidRPr="00720E03">
        <w:rPr>
          <w:sz w:val="24"/>
          <w:szCs w:val="24"/>
        </w:rPr>
        <w:t>Henry Valencia Prieto</w:t>
      </w:r>
    </w:p>
    <w:p w14:paraId="559309AD" w14:textId="533FED74" w:rsidR="00E446BC" w:rsidRPr="00720E03" w:rsidRDefault="00E446BC" w:rsidP="00720E03">
      <w:pPr>
        <w:tabs>
          <w:tab w:val="left" w:pos="1985"/>
        </w:tabs>
        <w:ind w:left="1985" w:right="51" w:hanging="1985"/>
        <w:contextualSpacing/>
        <w:rPr>
          <w:sz w:val="24"/>
          <w:szCs w:val="24"/>
          <w:lang w:val="es-ES"/>
        </w:rPr>
      </w:pPr>
      <w:r w:rsidRPr="00720E03">
        <w:rPr>
          <w:b/>
          <w:sz w:val="24"/>
          <w:szCs w:val="24"/>
        </w:rPr>
        <w:t>Accionado:</w:t>
      </w:r>
      <w:r w:rsidRPr="00720E03">
        <w:rPr>
          <w:b/>
          <w:sz w:val="24"/>
          <w:szCs w:val="24"/>
        </w:rPr>
        <w:tab/>
      </w:r>
      <w:r w:rsidRPr="00720E03">
        <w:rPr>
          <w:bCs/>
          <w:sz w:val="24"/>
          <w:szCs w:val="24"/>
        </w:rPr>
        <w:t xml:space="preserve">Despacho </w:t>
      </w:r>
      <w:r w:rsidR="00B43F8D">
        <w:rPr>
          <w:bCs/>
          <w:sz w:val="24"/>
          <w:szCs w:val="24"/>
        </w:rPr>
        <w:t xml:space="preserve">número 5 </w:t>
      </w:r>
      <w:r w:rsidRPr="00720E03">
        <w:rPr>
          <w:bCs/>
          <w:sz w:val="24"/>
          <w:szCs w:val="24"/>
        </w:rPr>
        <w:t>de la Sección Tercera del Consejo de Estado</w:t>
      </w:r>
      <w:r w:rsidRPr="00720E03">
        <w:rPr>
          <w:sz w:val="24"/>
          <w:szCs w:val="24"/>
        </w:rPr>
        <w:t xml:space="preserve"> </w:t>
      </w:r>
    </w:p>
    <w:p w14:paraId="4E0DA017" w14:textId="77777777" w:rsidR="000E2BBB" w:rsidRPr="00720E03" w:rsidRDefault="000E2BBB" w:rsidP="00720E03">
      <w:pPr>
        <w:tabs>
          <w:tab w:val="left" w:pos="8222"/>
        </w:tabs>
        <w:ind w:right="51"/>
        <w:contextualSpacing/>
        <w:rPr>
          <w:b/>
          <w:sz w:val="24"/>
          <w:szCs w:val="24"/>
        </w:rPr>
      </w:pPr>
    </w:p>
    <w:p w14:paraId="7BC381FF" w14:textId="426AA3A8" w:rsidR="000E2BBB" w:rsidRPr="00720E03" w:rsidRDefault="00141CE0" w:rsidP="00720E03">
      <w:pPr>
        <w:pBdr>
          <w:bottom w:val="single" w:sz="12" w:space="0" w:color="auto"/>
        </w:pBdr>
        <w:ind w:left="2832" w:hanging="2832"/>
        <w:contextualSpacing/>
        <w:rPr>
          <w:b/>
          <w:sz w:val="24"/>
          <w:szCs w:val="24"/>
        </w:rPr>
      </w:pPr>
      <w:r w:rsidRPr="00720E03">
        <w:rPr>
          <w:b/>
          <w:sz w:val="24"/>
          <w:szCs w:val="24"/>
        </w:rPr>
        <w:t xml:space="preserve">SENTENCIA DE </w:t>
      </w:r>
      <w:r w:rsidR="004809DB">
        <w:rPr>
          <w:b/>
          <w:sz w:val="24"/>
          <w:szCs w:val="24"/>
        </w:rPr>
        <w:t>PRIMERA</w:t>
      </w:r>
      <w:r w:rsidR="004809DB" w:rsidRPr="00720E03">
        <w:rPr>
          <w:b/>
          <w:sz w:val="24"/>
          <w:szCs w:val="24"/>
        </w:rPr>
        <w:t xml:space="preserve"> </w:t>
      </w:r>
      <w:r w:rsidR="000E2BBB" w:rsidRPr="00720E03">
        <w:rPr>
          <w:b/>
          <w:sz w:val="24"/>
          <w:szCs w:val="24"/>
        </w:rPr>
        <w:t>INSTANCIA</w:t>
      </w:r>
    </w:p>
    <w:p w14:paraId="165F0634" w14:textId="77777777" w:rsidR="000E2BBB" w:rsidRPr="00720E03" w:rsidRDefault="000E2BBB" w:rsidP="00720E03">
      <w:pPr>
        <w:contextualSpacing/>
        <w:jc w:val="center"/>
        <w:rPr>
          <w:b/>
          <w:sz w:val="24"/>
          <w:szCs w:val="24"/>
        </w:rPr>
      </w:pPr>
    </w:p>
    <w:p w14:paraId="44C93C7D" w14:textId="061F8C83" w:rsidR="00E446BC" w:rsidRPr="00720E03" w:rsidRDefault="00E446BC" w:rsidP="00720E03">
      <w:pPr>
        <w:pStyle w:val="Textoindependiente21"/>
        <w:spacing w:after="0"/>
        <w:ind w:left="0"/>
        <w:jc w:val="both"/>
        <w:rPr>
          <w:rFonts w:cs="Arial"/>
          <w:bCs/>
          <w:sz w:val="24"/>
          <w:szCs w:val="24"/>
          <w:lang w:val="es-CO"/>
        </w:rPr>
      </w:pPr>
      <w:bookmarkStart w:id="0" w:name="_Hlk49761891"/>
      <w:r w:rsidRPr="00720E03">
        <w:rPr>
          <w:rFonts w:cs="Arial"/>
          <w:sz w:val="24"/>
          <w:szCs w:val="24"/>
        </w:rPr>
        <w:t>La Sala decide, en primera instancia, la acción de tutela incoada por Henry Valencia Prieto</w:t>
      </w:r>
      <w:r w:rsidRPr="00720E03">
        <w:rPr>
          <w:rFonts w:cs="Arial"/>
          <w:sz w:val="24"/>
          <w:szCs w:val="24"/>
          <w:lang w:val="es-CO"/>
        </w:rPr>
        <w:t xml:space="preserve"> en contra</w:t>
      </w:r>
      <w:r w:rsidRPr="00720E03">
        <w:rPr>
          <w:rFonts w:cs="Arial"/>
          <w:bCs/>
          <w:sz w:val="24"/>
          <w:szCs w:val="24"/>
        </w:rPr>
        <w:t xml:space="preserve"> del </w:t>
      </w:r>
      <w:r w:rsidR="00A30C55">
        <w:rPr>
          <w:rFonts w:cs="Arial"/>
          <w:bCs/>
          <w:sz w:val="24"/>
          <w:szCs w:val="24"/>
        </w:rPr>
        <w:t xml:space="preserve">Despacho núm. 5 </w:t>
      </w:r>
      <w:r w:rsidR="00985E75" w:rsidRPr="00720E03">
        <w:rPr>
          <w:rFonts w:cs="Arial"/>
          <w:bCs/>
          <w:sz w:val="24"/>
          <w:szCs w:val="24"/>
        </w:rPr>
        <w:t>de la Sección Tercera del Consejo de Estado</w:t>
      </w:r>
      <w:r w:rsidRPr="00720E03">
        <w:rPr>
          <w:rFonts w:cs="Arial"/>
          <w:sz w:val="24"/>
          <w:szCs w:val="24"/>
        </w:rPr>
        <w:t xml:space="preserve">. </w:t>
      </w:r>
    </w:p>
    <w:p w14:paraId="327D7374" w14:textId="77777777" w:rsidR="000E2BBB" w:rsidRPr="00720E03" w:rsidRDefault="000E2BBB" w:rsidP="00720E03">
      <w:pPr>
        <w:pStyle w:val="Textoindependiente21"/>
        <w:spacing w:after="0"/>
        <w:ind w:left="0"/>
        <w:jc w:val="both"/>
        <w:rPr>
          <w:rFonts w:cs="Arial"/>
          <w:bCs/>
          <w:sz w:val="24"/>
          <w:szCs w:val="24"/>
          <w:lang w:val="es-CO"/>
        </w:rPr>
      </w:pPr>
    </w:p>
    <w:bookmarkEnd w:id="0"/>
    <w:p w14:paraId="11C2FBCA" w14:textId="77777777" w:rsidR="000E2BBB" w:rsidRPr="00720E03" w:rsidRDefault="000E2BBB" w:rsidP="00720E03">
      <w:pPr>
        <w:pStyle w:val="Ttulo1"/>
        <w:spacing w:before="0" w:after="0" w:line="240" w:lineRule="auto"/>
        <w:rPr>
          <w:rFonts w:cs="Arial"/>
          <w:szCs w:val="24"/>
        </w:rPr>
      </w:pPr>
      <w:r w:rsidRPr="00720E03">
        <w:rPr>
          <w:rFonts w:cs="Arial"/>
          <w:szCs w:val="24"/>
        </w:rPr>
        <w:t>ANTECEDENTES</w:t>
      </w:r>
    </w:p>
    <w:p w14:paraId="00423546" w14:textId="77777777" w:rsidR="000E2BBB" w:rsidRPr="00720E03" w:rsidRDefault="000E2BBB" w:rsidP="00720E03">
      <w:pPr>
        <w:rPr>
          <w:sz w:val="24"/>
          <w:szCs w:val="24"/>
        </w:rPr>
      </w:pPr>
    </w:p>
    <w:p w14:paraId="07027D73" w14:textId="1297CB3F" w:rsidR="000E2BBB" w:rsidRPr="00720E03" w:rsidRDefault="00F61F65" w:rsidP="00720E03">
      <w:pPr>
        <w:pStyle w:val="Ttulo2"/>
        <w:numPr>
          <w:ilvl w:val="0"/>
          <w:numId w:val="0"/>
        </w:numPr>
        <w:spacing w:before="0" w:after="0"/>
        <w:ind w:left="360" w:hanging="360"/>
        <w:rPr>
          <w:rFonts w:cs="Arial"/>
          <w:szCs w:val="24"/>
          <w:lang w:eastAsia="es-ES"/>
        </w:rPr>
      </w:pPr>
      <w:r w:rsidRPr="00720E03">
        <w:rPr>
          <w:rFonts w:cs="Arial"/>
          <w:szCs w:val="24"/>
          <w:lang w:eastAsia="es-ES"/>
        </w:rPr>
        <w:t xml:space="preserve">1.1. </w:t>
      </w:r>
      <w:r w:rsidR="000E2BBB" w:rsidRPr="00720E03">
        <w:rPr>
          <w:rFonts w:cs="Arial"/>
          <w:szCs w:val="24"/>
          <w:lang w:eastAsia="es-ES"/>
        </w:rPr>
        <w:t>Solicitud de tutela</w:t>
      </w:r>
    </w:p>
    <w:p w14:paraId="05934F0B" w14:textId="77777777" w:rsidR="000E2BBB" w:rsidRPr="00720E03" w:rsidRDefault="000E2BBB" w:rsidP="00720E03">
      <w:pPr>
        <w:overflowPunct w:val="0"/>
        <w:autoSpaceDE w:val="0"/>
        <w:autoSpaceDN w:val="0"/>
        <w:adjustRightInd w:val="0"/>
        <w:contextualSpacing/>
        <w:textAlignment w:val="baseline"/>
        <w:rPr>
          <w:sz w:val="24"/>
          <w:szCs w:val="24"/>
        </w:rPr>
      </w:pPr>
    </w:p>
    <w:p w14:paraId="54FCEA8C" w14:textId="17742737" w:rsidR="000A2397" w:rsidRPr="00720E03" w:rsidRDefault="000A2397" w:rsidP="00720E03">
      <w:pPr>
        <w:tabs>
          <w:tab w:val="left" w:pos="1985"/>
        </w:tabs>
        <w:rPr>
          <w:sz w:val="24"/>
          <w:szCs w:val="24"/>
        </w:rPr>
      </w:pPr>
      <w:r w:rsidRPr="00720E03">
        <w:rPr>
          <w:sz w:val="24"/>
          <w:szCs w:val="24"/>
        </w:rPr>
        <w:t>Henry Valencia Prieto presentó solicitud de amparo de su derecho fundamental al debido proceso, que consideró vulnerado por el</w:t>
      </w:r>
      <w:r w:rsidRPr="00720E03">
        <w:rPr>
          <w:bCs/>
          <w:sz w:val="24"/>
          <w:szCs w:val="24"/>
        </w:rPr>
        <w:t xml:space="preserve"> magistrado Alberto Montaña Plat</w:t>
      </w:r>
      <w:r w:rsidR="00C129B2">
        <w:rPr>
          <w:bCs/>
          <w:sz w:val="24"/>
          <w:szCs w:val="24"/>
        </w:rPr>
        <w:t>a</w:t>
      </w:r>
      <w:r w:rsidRPr="00720E03">
        <w:rPr>
          <w:bCs/>
          <w:sz w:val="24"/>
          <w:szCs w:val="24"/>
        </w:rPr>
        <w:t xml:space="preserve"> de la Subsección B de la Sección Tercera del Consejo de Estado</w:t>
      </w:r>
      <w:r w:rsidRPr="00720E03">
        <w:rPr>
          <w:sz w:val="24"/>
          <w:szCs w:val="24"/>
        </w:rPr>
        <w:t>, con ocasión del auto del 23 de junio de 2021 que dicha autoridad profirió dentro del trámite de tutela con radicado núm. 11001</w:t>
      </w:r>
      <w:r w:rsidR="003E62FB" w:rsidRPr="00720E03">
        <w:rPr>
          <w:sz w:val="24"/>
          <w:szCs w:val="24"/>
        </w:rPr>
        <w:t>-</w:t>
      </w:r>
      <w:r w:rsidRPr="00720E03">
        <w:rPr>
          <w:sz w:val="24"/>
          <w:szCs w:val="24"/>
        </w:rPr>
        <w:t>03</w:t>
      </w:r>
      <w:r w:rsidR="003E62FB" w:rsidRPr="00720E03">
        <w:rPr>
          <w:sz w:val="24"/>
          <w:szCs w:val="24"/>
        </w:rPr>
        <w:t>-</w:t>
      </w:r>
      <w:r w:rsidRPr="00720E03">
        <w:rPr>
          <w:sz w:val="24"/>
          <w:szCs w:val="24"/>
        </w:rPr>
        <w:t>15</w:t>
      </w:r>
      <w:r w:rsidR="003E62FB" w:rsidRPr="00720E03">
        <w:rPr>
          <w:sz w:val="24"/>
          <w:szCs w:val="24"/>
        </w:rPr>
        <w:t>-</w:t>
      </w:r>
      <w:r w:rsidRPr="00720E03">
        <w:rPr>
          <w:sz w:val="24"/>
          <w:szCs w:val="24"/>
        </w:rPr>
        <w:t>000</w:t>
      </w:r>
      <w:r w:rsidR="003E62FB" w:rsidRPr="00720E03">
        <w:rPr>
          <w:sz w:val="24"/>
          <w:szCs w:val="24"/>
        </w:rPr>
        <w:t>-</w:t>
      </w:r>
      <w:r w:rsidRPr="00720E03">
        <w:rPr>
          <w:sz w:val="24"/>
          <w:szCs w:val="24"/>
        </w:rPr>
        <w:t>2021</w:t>
      </w:r>
      <w:r w:rsidR="003E62FB" w:rsidRPr="00720E03">
        <w:rPr>
          <w:sz w:val="24"/>
          <w:szCs w:val="24"/>
        </w:rPr>
        <w:t>-</w:t>
      </w:r>
      <w:r w:rsidRPr="00720E03">
        <w:rPr>
          <w:sz w:val="24"/>
          <w:szCs w:val="24"/>
        </w:rPr>
        <w:t>00794</w:t>
      </w:r>
      <w:r w:rsidR="003E62FB" w:rsidRPr="00720E03">
        <w:rPr>
          <w:sz w:val="24"/>
          <w:szCs w:val="24"/>
        </w:rPr>
        <w:t>-</w:t>
      </w:r>
      <w:r w:rsidRPr="00720E03">
        <w:rPr>
          <w:sz w:val="24"/>
          <w:szCs w:val="24"/>
        </w:rPr>
        <w:t xml:space="preserve">00, en el que decidió no reponer la providencia </w:t>
      </w:r>
      <w:r w:rsidR="00A30C55">
        <w:rPr>
          <w:sz w:val="24"/>
          <w:szCs w:val="24"/>
        </w:rPr>
        <w:t xml:space="preserve">del 27 de mayo del mismo año </w:t>
      </w:r>
      <w:r w:rsidRPr="00720E03">
        <w:rPr>
          <w:sz w:val="24"/>
          <w:szCs w:val="24"/>
        </w:rPr>
        <w:t xml:space="preserve">que rechazó por extemporáneo el recurso de impugnación interpuesto en contra de la sentencia del 9 de abril de 2021. </w:t>
      </w:r>
    </w:p>
    <w:p w14:paraId="227E7F8C" w14:textId="77777777" w:rsidR="000E2BBB" w:rsidRPr="00720E03" w:rsidRDefault="000E2BBB" w:rsidP="00720E03">
      <w:pPr>
        <w:contextualSpacing/>
        <w:rPr>
          <w:rFonts w:eastAsia="Verdana"/>
          <w:sz w:val="24"/>
          <w:szCs w:val="24"/>
          <w:lang w:val="es-MX"/>
        </w:rPr>
      </w:pPr>
    </w:p>
    <w:p w14:paraId="69EFD1C8" w14:textId="611EE300" w:rsidR="000E2BBB" w:rsidRPr="00720E03" w:rsidRDefault="00F61F65" w:rsidP="00720E03">
      <w:pPr>
        <w:contextualSpacing/>
        <w:rPr>
          <w:rFonts w:eastAsia="Verdana"/>
          <w:b/>
          <w:sz w:val="24"/>
          <w:szCs w:val="24"/>
        </w:rPr>
      </w:pPr>
      <w:r w:rsidRPr="00720E03">
        <w:rPr>
          <w:rFonts w:eastAsia="Verdana"/>
          <w:b/>
          <w:sz w:val="24"/>
          <w:szCs w:val="24"/>
        </w:rPr>
        <w:t xml:space="preserve">1.2. </w:t>
      </w:r>
      <w:r w:rsidR="000E2BBB" w:rsidRPr="00720E03">
        <w:rPr>
          <w:rFonts w:eastAsia="Verdana"/>
          <w:b/>
          <w:sz w:val="24"/>
          <w:szCs w:val="24"/>
        </w:rPr>
        <w:t>Hechos</w:t>
      </w:r>
      <w:r w:rsidR="008A7D71">
        <w:rPr>
          <w:rFonts w:eastAsia="Verdana"/>
          <w:b/>
          <w:sz w:val="24"/>
          <w:szCs w:val="24"/>
        </w:rPr>
        <w:t xml:space="preserve"> probados</w:t>
      </w:r>
    </w:p>
    <w:p w14:paraId="304FE124" w14:textId="77777777" w:rsidR="000E2BBB" w:rsidRPr="00720E03" w:rsidRDefault="000E2BBB" w:rsidP="00720E03">
      <w:pPr>
        <w:contextualSpacing/>
        <w:rPr>
          <w:rFonts w:eastAsia="Verdana"/>
          <w:sz w:val="24"/>
          <w:szCs w:val="24"/>
        </w:rPr>
      </w:pPr>
    </w:p>
    <w:p w14:paraId="428DB404" w14:textId="28D38211" w:rsidR="000A2397" w:rsidRPr="00720E03" w:rsidRDefault="00F61F65" w:rsidP="00720E03">
      <w:pPr>
        <w:pStyle w:val="Default"/>
        <w:jc w:val="both"/>
      </w:pPr>
      <w:r w:rsidRPr="00720E03">
        <w:rPr>
          <w:b/>
          <w:color w:val="auto"/>
        </w:rPr>
        <w:t>1.2.1.</w:t>
      </w:r>
      <w:r w:rsidRPr="00720E03">
        <w:rPr>
          <w:color w:val="auto"/>
        </w:rPr>
        <w:t xml:space="preserve"> </w:t>
      </w:r>
      <w:r w:rsidR="000A2397" w:rsidRPr="00720E03">
        <w:t xml:space="preserve">Henry Valencia Prieto, Jairo Valencia Rendón y Oscar Valencia Prieto </w:t>
      </w:r>
      <w:r w:rsidR="003E62FB" w:rsidRPr="00720E03">
        <w:t>iniciaron</w:t>
      </w:r>
      <w:r w:rsidR="000A2397" w:rsidRPr="00720E03">
        <w:t xml:space="preserve"> acción de tutela, bajo el radicado núm. 11001</w:t>
      </w:r>
      <w:r w:rsidR="003E62FB" w:rsidRPr="00720E03">
        <w:t>-</w:t>
      </w:r>
      <w:r w:rsidR="000A2397" w:rsidRPr="00720E03">
        <w:t>03</w:t>
      </w:r>
      <w:r w:rsidR="003E62FB" w:rsidRPr="00720E03">
        <w:t>-</w:t>
      </w:r>
      <w:r w:rsidR="000A2397" w:rsidRPr="00720E03">
        <w:t>15</w:t>
      </w:r>
      <w:r w:rsidR="003E62FB" w:rsidRPr="00720E03">
        <w:t>-</w:t>
      </w:r>
      <w:r w:rsidR="000A2397" w:rsidRPr="00720E03">
        <w:t>000</w:t>
      </w:r>
      <w:r w:rsidR="003E62FB" w:rsidRPr="00720E03">
        <w:t>-</w:t>
      </w:r>
      <w:r w:rsidR="000A2397" w:rsidRPr="00720E03">
        <w:t>2021</w:t>
      </w:r>
      <w:r w:rsidR="003E62FB" w:rsidRPr="00720E03">
        <w:t>-</w:t>
      </w:r>
      <w:r w:rsidR="000A2397" w:rsidRPr="00720E03">
        <w:t>00794</w:t>
      </w:r>
      <w:r w:rsidR="003E62FB" w:rsidRPr="00720E03">
        <w:t>-</w:t>
      </w:r>
      <w:r w:rsidR="000A2397" w:rsidRPr="00720E03">
        <w:t xml:space="preserve">00, en contra del </w:t>
      </w:r>
      <w:r w:rsidR="000A2397" w:rsidRPr="00720E03">
        <w:rPr>
          <w:rFonts w:eastAsia="DejaVu Sans"/>
          <w:kern w:val="1"/>
          <w:lang w:eastAsia="zh-CN" w:bidi="hi-IN"/>
        </w:rPr>
        <w:t>Juzgado Veintinueve Administrativo Oral de Medellín</w:t>
      </w:r>
      <w:r w:rsidR="000A2397" w:rsidRPr="00720E03">
        <w:rPr>
          <w:rFonts w:eastAsia="Times New Roman"/>
          <w:lang w:eastAsia="es-ES"/>
        </w:rPr>
        <w:t xml:space="preserve"> y el Tribunal Administrativo de Antioquia,</w:t>
      </w:r>
      <w:r w:rsidR="003E62FB" w:rsidRPr="00720E03">
        <w:rPr>
          <w:rFonts w:eastAsia="Times New Roman"/>
          <w:lang w:eastAsia="es-ES"/>
        </w:rPr>
        <w:t xml:space="preserve"> para obtener el amparo del derecho fundamental al debido proceso, que consideraron</w:t>
      </w:r>
      <w:r w:rsidR="006F5BAA" w:rsidRPr="00720E03">
        <w:rPr>
          <w:rFonts w:eastAsia="Times New Roman"/>
          <w:lang w:eastAsia="es-ES"/>
        </w:rPr>
        <w:t xml:space="preserve"> </w:t>
      </w:r>
      <w:r w:rsidR="003E62FB" w:rsidRPr="00720E03">
        <w:rPr>
          <w:rFonts w:eastAsia="Times New Roman"/>
          <w:lang w:eastAsia="es-ES"/>
        </w:rPr>
        <w:t>vulnerado con</w:t>
      </w:r>
      <w:r w:rsidR="000A2397" w:rsidRPr="00720E03">
        <w:rPr>
          <w:rFonts w:eastAsia="Times New Roman"/>
          <w:lang w:eastAsia="es-ES"/>
        </w:rPr>
        <w:t xml:space="preserve"> ocasión de las sentencias que estas autoridades profirieron</w:t>
      </w:r>
      <w:r w:rsidR="003E62FB" w:rsidRPr="00720E03">
        <w:rPr>
          <w:lang w:eastAsia="es-ES"/>
        </w:rPr>
        <w:t>, respectivamente,</w:t>
      </w:r>
      <w:r w:rsidR="000A2397" w:rsidRPr="00720E03">
        <w:rPr>
          <w:rFonts w:eastAsia="Times New Roman"/>
          <w:lang w:eastAsia="es-ES"/>
        </w:rPr>
        <w:t xml:space="preserve"> </w:t>
      </w:r>
      <w:r w:rsidR="000A2397" w:rsidRPr="00720E03">
        <w:rPr>
          <w:lang w:eastAsia="es-ES"/>
        </w:rPr>
        <w:t>el 28 de marzo de 2017 y el 10 de noviembre de 2020</w:t>
      </w:r>
      <w:r w:rsidR="006E5B56">
        <w:rPr>
          <w:lang w:eastAsia="es-ES"/>
        </w:rPr>
        <w:t>,</w:t>
      </w:r>
      <w:r w:rsidR="000A2397" w:rsidRPr="00720E03">
        <w:rPr>
          <w:lang w:eastAsia="es-ES"/>
        </w:rPr>
        <w:t xml:space="preserve"> </w:t>
      </w:r>
      <w:r w:rsidR="003E62FB" w:rsidRPr="00720E03">
        <w:rPr>
          <w:lang w:eastAsia="es-ES"/>
        </w:rPr>
        <w:t>dentro del proceso judicial</w:t>
      </w:r>
      <w:r w:rsidR="006E5B56">
        <w:rPr>
          <w:lang w:eastAsia="es-ES"/>
        </w:rPr>
        <w:t xml:space="preserve"> de reparación directa</w:t>
      </w:r>
      <w:r w:rsidR="003E62FB" w:rsidRPr="00720E03">
        <w:rPr>
          <w:lang w:eastAsia="es-ES"/>
        </w:rPr>
        <w:t xml:space="preserve"> con radicado núm. </w:t>
      </w:r>
      <w:r w:rsidR="003E62FB" w:rsidRPr="00720E03">
        <w:t>05001-33-33-029-2012- 00374-00</w:t>
      </w:r>
      <w:r w:rsidR="000A2397" w:rsidRPr="00720E03">
        <w:rPr>
          <w:rStyle w:val="Refdenotaalpie"/>
          <w:lang w:val="es-MX"/>
        </w:rPr>
        <w:footnoteReference w:id="1"/>
      </w:r>
      <w:r w:rsidR="003E62FB" w:rsidRPr="00720E03">
        <w:t>.</w:t>
      </w:r>
    </w:p>
    <w:p w14:paraId="0DBF1AEF" w14:textId="4ADB23ED" w:rsidR="003E62FB" w:rsidRPr="00720E03" w:rsidRDefault="003E62FB" w:rsidP="00720E03">
      <w:pPr>
        <w:pStyle w:val="Default"/>
        <w:jc w:val="both"/>
        <w:rPr>
          <w:color w:val="auto"/>
        </w:rPr>
      </w:pPr>
    </w:p>
    <w:p w14:paraId="53FE19E2" w14:textId="7FB34CB7" w:rsidR="009F1F63" w:rsidRPr="00720E03" w:rsidRDefault="009F1F63" w:rsidP="00720E03">
      <w:pPr>
        <w:pStyle w:val="Default"/>
        <w:jc w:val="both"/>
        <w:rPr>
          <w:color w:val="auto"/>
        </w:rPr>
      </w:pPr>
      <w:r w:rsidRPr="00720E03">
        <w:rPr>
          <w:color w:val="auto"/>
        </w:rPr>
        <w:t>Esta tutela fue radicada por medio de la página web dispuesta por el Consejo Superior de la Judicatura</w:t>
      </w:r>
      <w:r w:rsidR="00027E96" w:rsidRPr="00027E96">
        <w:rPr>
          <w:color w:val="auto"/>
        </w:rPr>
        <w:t xml:space="preserve"> </w:t>
      </w:r>
      <w:r w:rsidR="00027E96" w:rsidRPr="00720E03">
        <w:rPr>
          <w:color w:val="auto"/>
        </w:rPr>
        <w:t>para tal fin</w:t>
      </w:r>
      <w:r w:rsidRPr="00720E03">
        <w:rPr>
          <w:color w:val="auto"/>
        </w:rPr>
        <w:t xml:space="preserve">. En los datos de información del accionante, se aportó como dirección de correo electrónico, la siguiente: </w:t>
      </w:r>
      <w:r w:rsidRPr="00D24D9A">
        <w:rPr>
          <w:color w:val="auto"/>
          <w:u w:val="single"/>
        </w:rPr>
        <w:t>jiuvezjudicial@gmail.com</w:t>
      </w:r>
      <w:r w:rsidRPr="00720E03">
        <w:rPr>
          <w:rStyle w:val="Refdenotaalpie"/>
          <w:lang w:val="es-MX"/>
        </w:rPr>
        <w:footnoteReference w:id="2"/>
      </w:r>
      <w:r w:rsidRPr="00720E03">
        <w:rPr>
          <w:color w:val="auto"/>
        </w:rPr>
        <w:t xml:space="preserve">. </w:t>
      </w:r>
    </w:p>
    <w:p w14:paraId="1AFF7A19" w14:textId="77777777" w:rsidR="009F1F63" w:rsidRPr="00720E03" w:rsidRDefault="009F1F63" w:rsidP="00720E03">
      <w:pPr>
        <w:pStyle w:val="Default"/>
        <w:jc w:val="both"/>
        <w:rPr>
          <w:color w:val="auto"/>
        </w:rPr>
      </w:pPr>
    </w:p>
    <w:p w14:paraId="231D5483" w14:textId="03E0184E" w:rsidR="0089527D" w:rsidRDefault="006F5BAA" w:rsidP="00720E03">
      <w:pPr>
        <w:pStyle w:val="Default"/>
        <w:jc w:val="both"/>
        <w:rPr>
          <w:color w:val="auto"/>
        </w:rPr>
      </w:pPr>
      <w:r w:rsidRPr="00720E03">
        <w:rPr>
          <w:b/>
          <w:bCs/>
          <w:color w:val="auto"/>
        </w:rPr>
        <w:lastRenderedPageBreak/>
        <w:t xml:space="preserve">1.2.2. </w:t>
      </w:r>
      <w:r w:rsidRPr="00720E03">
        <w:rPr>
          <w:color w:val="auto"/>
        </w:rPr>
        <w:t>El asunto correspondió</w:t>
      </w:r>
      <w:r w:rsidR="00027E96">
        <w:rPr>
          <w:color w:val="auto"/>
        </w:rPr>
        <w:t>,</w:t>
      </w:r>
      <w:r w:rsidR="00A4359B">
        <w:rPr>
          <w:color w:val="auto"/>
        </w:rPr>
        <w:t xml:space="preserve"> </w:t>
      </w:r>
      <w:r w:rsidRPr="00720E03">
        <w:rPr>
          <w:color w:val="auto"/>
        </w:rPr>
        <w:t xml:space="preserve">en primera instancia, </w:t>
      </w:r>
      <w:r w:rsidR="008A7D71">
        <w:rPr>
          <w:color w:val="auto"/>
        </w:rPr>
        <w:t xml:space="preserve">al </w:t>
      </w:r>
      <w:r w:rsidR="007F6704">
        <w:rPr>
          <w:color w:val="auto"/>
        </w:rPr>
        <w:t>D</w:t>
      </w:r>
      <w:r w:rsidR="008A7D71">
        <w:rPr>
          <w:color w:val="auto"/>
        </w:rPr>
        <w:t>espacho núm. 5 integrante</w:t>
      </w:r>
      <w:r w:rsidR="0097420D">
        <w:rPr>
          <w:color w:val="auto"/>
        </w:rPr>
        <w:t xml:space="preserve"> de</w:t>
      </w:r>
      <w:r w:rsidRPr="00720E03">
        <w:rPr>
          <w:color w:val="auto"/>
        </w:rPr>
        <w:t xml:space="preserve"> la Sección Tercera del Consejo de Estado,</w:t>
      </w:r>
      <w:r w:rsidR="00A4359B">
        <w:rPr>
          <w:color w:val="auto"/>
        </w:rPr>
        <w:t xml:space="preserve"> presidido en su momento por el exmagistrado Ramiro Pazos Guerrero</w:t>
      </w:r>
      <w:r w:rsidR="00B33DE5">
        <w:rPr>
          <w:rStyle w:val="Refdenotaalpie"/>
          <w:color w:val="auto"/>
        </w:rPr>
        <w:footnoteReference w:id="3"/>
      </w:r>
      <w:r w:rsidR="00A4359B">
        <w:rPr>
          <w:color w:val="auto"/>
        </w:rPr>
        <w:t>,</w:t>
      </w:r>
      <w:r w:rsidRPr="00720E03">
        <w:rPr>
          <w:color w:val="auto"/>
        </w:rPr>
        <w:t xml:space="preserve"> autoridad que</w:t>
      </w:r>
      <w:r w:rsidR="00A4359B">
        <w:rPr>
          <w:color w:val="auto"/>
        </w:rPr>
        <w:t>, en auto del 2 de marzo de 2021,</w:t>
      </w:r>
      <w:r w:rsidRPr="00720E03">
        <w:rPr>
          <w:color w:val="auto"/>
        </w:rPr>
        <w:t xml:space="preserve"> </w:t>
      </w:r>
      <w:r w:rsidR="0089527D">
        <w:rPr>
          <w:color w:val="auto"/>
        </w:rPr>
        <w:t>vinculó</w:t>
      </w:r>
      <w:r w:rsidRPr="00720E03">
        <w:rPr>
          <w:color w:val="auto"/>
        </w:rPr>
        <w:t xml:space="preserve"> </w:t>
      </w:r>
      <w:r w:rsidR="004261D1" w:rsidRPr="00720E03">
        <w:rPr>
          <w:color w:val="auto"/>
        </w:rPr>
        <w:t>al trámite constitucional</w:t>
      </w:r>
      <w:r w:rsidR="0089527D">
        <w:rPr>
          <w:color w:val="auto"/>
        </w:rPr>
        <w:t>,</w:t>
      </w:r>
      <w:r w:rsidR="004261D1" w:rsidRPr="00720E03">
        <w:rPr>
          <w:color w:val="auto"/>
        </w:rPr>
        <w:t xml:space="preserve"> </w:t>
      </w:r>
      <w:r w:rsidRPr="00720E03">
        <w:rPr>
          <w:color w:val="auto"/>
        </w:rPr>
        <w:t>como terceros</w:t>
      </w:r>
      <w:r w:rsidR="0089527D">
        <w:rPr>
          <w:color w:val="auto"/>
        </w:rPr>
        <w:t>,</w:t>
      </w:r>
      <w:r w:rsidRPr="00720E03">
        <w:rPr>
          <w:color w:val="auto"/>
        </w:rPr>
        <w:t xml:space="preserve"> interesados </w:t>
      </w:r>
      <w:r w:rsidRPr="00720E03">
        <w:rPr>
          <w:lang w:val="es-ES_tradnl"/>
        </w:rPr>
        <w:t xml:space="preserve">al </w:t>
      </w:r>
      <w:r w:rsidRPr="00720E03">
        <w:rPr>
          <w:rFonts w:eastAsia="SimSun"/>
          <w:lang w:eastAsia="es-ES"/>
        </w:rPr>
        <w:t>Juzgado Primero Civil Municipal de Medellín, al Juzgado Tercero Civil del Circuito Judicial de Medellín, al Tribunal Superior de Medellín y a Seguros Generales Condor S.A</w:t>
      </w:r>
      <w:r w:rsidRPr="00720E03">
        <w:t>.</w:t>
      </w:r>
    </w:p>
    <w:p w14:paraId="2C623A34" w14:textId="77777777" w:rsidR="0089527D" w:rsidRDefault="0089527D" w:rsidP="00720E03">
      <w:pPr>
        <w:pStyle w:val="Default"/>
        <w:jc w:val="both"/>
        <w:rPr>
          <w:color w:val="auto"/>
        </w:rPr>
      </w:pPr>
    </w:p>
    <w:p w14:paraId="7E4486EE" w14:textId="7F29C995" w:rsidR="000D2C59" w:rsidRDefault="0089527D" w:rsidP="00720E03">
      <w:pPr>
        <w:pStyle w:val="Default"/>
        <w:jc w:val="both"/>
        <w:rPr>
          <w:color w:val="auto"/>
        </w:rPr>
      </w:pPr>
      <w:r>
        <w:rPr>
          <w:color w:val="auto"/>
        </w:rPr>
        <w:t xml:space="preserve">Posteriormente, la Subsección B de la Sección Tercera </w:t>
      </w:r>
      <w:r w:rsidR="006F5BAA" w:rsidRPr="00720E03">
        <w:rPr>
          <w:color w:val="auto"/>
        </w:rPr>
        <w:t>emitió fallo el 9 de abril de 2021</w:t>
      </w:r>
      <w:r w:rsidR="00FC573A" w:rsidRPr="00720E03">
        <w:rPr>
          <w:rStyle w:val="Refdenotaalpie"/>
          <w:lang w:val="es-MX"/>
        </w:rPr>
        <w:footnoteReference w:id="4"/>
      </w:r>
      <w:r w:rsidR="006F5BAA" w:rsidRPr="00720E03">
        <w:rPr>
          <w:color w:val="auto"/>
        </w:rPr>
        <w:t xml:space="preserve">, en el que </w:t>
      </w:r>
      <w:r w:rsidR="004261D1" w:rsidRPr="00720E03">
        <w:rPr>
          <w:color w:val="auto"/>
        </w:rPr>
        <w:t xml:space="preserve">declaró improcedente </w:t>
      </w:r>
      <w:r>
        <w:rPr>
          <w:color w:val="auto"/>
        </w:rPr>
        <w:t>la</w:t>
      </w:r>
      <w:r w:rsidR="004261D1" w:rsidRPr="00720E03">
        <w:rPr>
          <w:color w:val="auto"/>
        </w:rPr>
        <w:t xml:space="preserve"> tutela.</w:t>
      </w:r>
      <w:r w:rsidR="00D24D9A">
        <w:rPr>
          <w:color w:val="auto"/>
        </w:rPr>
        <w:t xml:space="preserve"> </w:t>
      </w:r>
      <w:r w:rsidR="000D2C59" w:rsidRPr="00720E03">
        <w:rPr>
          <w:color w:val="auto"/>
        </w:rPr>
        <w:t>Dicha providencia fue notificada por la Secretaría General del Consejo de Estado a la parte accionante</w:t>
      </w:r>
      <w:r w:rsidR="0084684B" w:rsidRPr="00720E03">
        <w:rPr>
          <w:color w:val="auto"/>
        </w:rPr>
        <w:t xml:space="preserve"> </w:t>
      </w:r>
      <w:r w:rsidR="000D2C59" w:rsidRPr="00720E03">
        <w:rPr>
          <w:color w:val="auto"/>
        </w:rPr>
        <w:t>con mensaje de datos enviado</w:t>
      </w:r>
      <w:r w:rsidR="00D24D9A">
        <w:rPr>
          <w:color w:val="auto"/>
        </w:rPr>
        <w:t xml:space="preserve"> el </w:t>
      </w:r>
      <w:r w:rsidR="00D24D9A" w:rsidRPr="006E5B56">
        <w:rPr>
          <w:b/>
          <w:bCs/>
          <w:color w:val="auto"/>
        </w:rPr>
        <w:t>20 de abril de 2021</w:t>
      </w:r>
      <w:r w:rsidR="00D24D9A">
        <w:rPr>
          <w:color w:val="auto"/>
        </w:rPr>
        <w:t>,</w:t>
      </w:r>
      <w:r w:rsidR="000D2C59" w:rsidRPr="00720E03">
        <w:rPr>
          <w:color w:val="auto"/>
        </w:rPr>
        <w:t xml:space="preserve"> a la dirección de correo electrónico </w:t>
      </w:r>
      <w:r w:rsidR="000D2C59" w:rsidRPr="00D24D9A">
        <w:rPr>
          <w:color w:val="auto"/>
          <w:u w:val="single"/>
        </w:rPr>
        <w:t>jiuvezjudicial@gmail.com</w:t>
      </w:r>
      <w:r w:rsidR="0084684B" w:rsidRPr="00720E03">
        <w:rPr>
          <w:rStyle w:val="Refdenotaalpie"/>
          <w:lang w:val="es-MX"/>
        </w:rPr>
        <w:footnoteReference w:id="5"/>
      </w:r>
      <w:r w:rsidR="000D2C59" w:rsidRPr="00720E03">
        <w:rPr>
          <w:color w:val="auto"/>
        </w:rPr>
        <w:t xml:space="preserve">. </w:t>
      </w:r>
    </w:p>
    <w:p w14:paraId="15C3C9F5" w14:textId="4100DFE5" w:rsidR="007056E4" w:rsidRDefault="007056E4" w:rsidP="00720E03">
      <w:pPr>
        <w:pStyle w:val="Default"/>
        <w:jc w:val="both"/>
        <w:rPr>
          <w:color w:val="auto"/>
        </w:rPr>
      </w:pPr>
    </w:p>
    <w:p w14:paraId="599A2FD4" w14:textId="67D2CE38" w:rsidR="00A1277B" w:rsidRDefault="00A1277B" w:rsidP="00720E03">
      <w:pPr>
        <w:pStyle w:val="Default"/>
        <w:jc w:val="both"/>
        <w:rPr>
          <w:color w:val="auto"/>
        </w:rPr>
      </w:pPr>
      <w:r>
        <w:rPr>
          <w:color w:val="auto"/>
        </w:rPr>
        <w:t>(Imagen 1)</w:t>
      </w:r>
    </w:p>
    <w:p w14:paraId="77866782" w14:textId="60EF0903" w:rsidR="007056E4" w:rsidRPr="00720E03" w:rsidRDefault="007056E4" w:rsidP="00720E03">
      <w:pPr>
        <w:pStyle w:val="Default"/>
        <w:jc w:val="both"/>
        <w:rPr>
          <w:color w:val="auto"/>
        </w:rPr>
      </w:pPr>
      <w:r>
        <w:rPr>
          <w:noProof/>
        </w:rPr>
        <mc:AlternateContent>
          <mc:Choice Requires="wps">
            <w:drawing>
              <wp:anchor distT="0" distB="0" distL="114300" distR="114300" simplePos="0" relativeHeight="251659264" behindDoc="0" locked="0" layoutInCell="1" allowOverlap="1" wp14:anchorId="4D399F6A" wp14:editId="5668E844">
                <wp:simplePos x="0" y="0"/>
                <wp:positionH relativeFrom="column">
                  <wp:posOffset>5220335</wp:posOffset>
                </wp:positionH>
                <wp:positionV relativeFrom="paragraph">
                  <wp:posOffset>1230630</wp:posOffset>
                </wp:positionV>
                <wp:extent cx="1246909" cy="270164"/>
                <wp:effectExtent l="19050" t="19050" r="10795" b="34925"/>
                <wp:wrapNone/>
                <wp:docPr id="5" name="Flecha: hacia la izquierda 5"/>
                <wp:cNvGraphicFramePr/>
                <a:graphic xmlns:a="http://schemas.openxmlformats.org/drawingml/2006/main">
                  <a:graphicData uri="http://schemas.microsoft.com/office/word/2010/wordprocessingShape">
                    <wps:wsp>
                      <wps:cNvSpPr/>
                      <wps:spPr>
                        <a:xfrm>
                          <a:off x="0" y="0"/>
                          <a:ext cx="1246909" cy="27016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96196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411.05pt;margin-top:96.9pt;width:98.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" adj="2340" fillcolor="#4472c4 [3204]" strokecolor="#1f3763 [1604]" strokeweight="1pt"/>
            </w:pict>
          </mc:Fallback>
        </mc:AlternateContent>
      </w:r>
      <w:r>
        <w:rPr>
          <w:noProof/>
        </w:rPr>
        <w:drawing>
          <wp:inline distT="0" distB="0" distL="0" distR="0" wp14:anchorId="3DE7A73A" wp14:editId="1A2E33D4">
            <wp:extent cx="5903128" cy="366268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1785" cy="3680461"/>
                    </a:xfrm>
                    <a:prstGeom prst="rect">
                      <a:avLst/>
                    </a:prstGeom>
                  </pic:spPr>
                </pic:pic>
              </a:graphicData>
            </a:graphic>
          </wp:inline>
        </w:drawing>
      </w:r>
    </w:p>
    <w:p w14:paraId="192D0E9C" w14:textId="77777777" w:rsidR="00FE79A5" w:rsidRDefault="00FE79A5" w:rsidP="00720E03">
      <w:pPr>
        <w:pStyle w:val="Default"/>
        <w:jc w:val="both"/>
        <w:rPr>
          <w:b/>
          <w:bCs/>
          <w:color w:val="auto"/>
        </w:rPr>
      </w:pPr>
    </w:p>
    <w:p w14:paraId="1E55D959" w14:textId="101538B4" w:rsidR="00D73B5B" w:rsidRDefault="004261D1" w:rsidP="00720E03">
      <w:pPr>
        <w:pStyle w:val="Default"/>
        <w:jc w:val="both"/>
        <w:rPr>
          <w:color w:val="auto"/>
        </w:rPr>
      </w:pPr>
      <w:r w:rsidRPr="00720E03">
        <w:rPr>
          <w:b/>
          <w:bCs/>
          <w:color w:val="auto"/>
        </w:rPr>
        <w:lastRenderedPageBreak/>
        <w:t xml:space="preserve">1.2.3. </w:t>
      </w:r>
      <w:r w:rsidR="00D24D9A">
        <w:rPr>
          <w:color w:val="auto"/>
        </w:rPr>
        <w:t xml:space="preserve">El 11 de mayo de 2021 </w:t>
      </w:r>
      <w:r w:rsidR="00D73B5B">
        <w:rPr>
          <w:color w:val="auto"/>
        </w:rPr>
        <w:t>los tutelantes</w:t>
      </w:r>
      <w:r w:rsidR="00D24D9A">
        <w:rPr>
          <w:color w:val="auto"/>
        </w:rPr>
        <w:t xml:space="preserve"> radic</w:t>
      </w:r>
      <w:r w:rsidR="00D73B5B">
        <w:rPr>
          <w:color w:val="auto"/>
        </w:rPr>
        <w:t>aron</w:t>
      </w:r>
      <w:r w:rsidR="00D24D9A">
        <w:rPr>
          <w:color w:val="auto"/>
        </w:rPr>
        <w:t xml:space="preserve"> memorial en el que solicit</w:t>
      </w:r>
      <w:r w:rsidR="00D73B5B">
        <w:rPr>
          <w:color w:val="auto"/>
        </w:rPr>
        <w:t>aron</w:t>
      </w:r>
      <w:r w:rsidR="00D24D9A">
        <w:rPr>
          <w:color w:val="auto"/>
        </w:rPr>
        <w:t xml:space="preserve"> que le</w:t>
      </w:r>
      <w:r w:rsidR="00D73B5B">
        <w:rPr>
          <w:color w:val="auto"/>
        </w:rPr>
        <w:t>s</w:t>
      </w:r>
      <w:r w:rsidR="00D24D9A">
        <w:rPr>
          <w:color w:val="auto"/>
        </w:rPr>
        <w:t xml:space="preserve"> notificaran la sentencia del 9 de abril del mismo año. Este documento fue remitido</w:t>
      </w:r>
      <w:r w:rsidR="001D3A05">
        <w:rPr>
          <w:color w:val="auto"/>
        </w:rPr>
        <w:t xml:space="preserve"> </w:t>
      </w:r>
      <w:r w:rsidR="00D24D9A">
        <w:rPr>
          <w:color w:val="auto"/>
        </w:rPr>
        <w:t xml:space="preserve">desde el correo </w:t>
      </w:r>
      <w:r w:rsidR="001D3A05" w:rsidRPr="00D24D9A">
        <w:rPr>
          <w:color w:val="auto"/>
          <w:u w:val="single"/>
        </w:rPr>
        <w:t>jiuvezjudicial@gmail.com</w:t>
      </w:r>
      <w:r w:rsidR="001D3A05" w:rsidRPr="00720E03">
        <w:rPr>
          <w:rStyle w:val="Refdenotaalpie"/>
          <w:lang w:val="es-MX"/>
        </w:rPr>
        <w:t xml:space="preserve"> </w:t>
      </w:r>
      <w:r w:rsidR="00D24D9A" w:rsidRPr="00720E03">
        <w:rPr>
          <w:rStyle w:val="Refdenotaalpie"/>
          <w:lang w:val="es-MX"/>
        </w:rPr>
        <w:footnoteReference w:id="6"/>
      </w:r>
      <w:r w:rsidR="00D24D9A">
        <w:rPr>
          <w:color w:val="auto"/>
        </w:rPr>
        <w:t>.</w:t>
      </w:r>
      <w:r w:rsidR="00D73B5B">
        <w:rPr>
          <w:color w:val="auto"/>
        </w:rPr>
        <w:t xml:space="preserve"> </w:t>
      </w:r>
    </w:p>
    <w:p w14:paraId="435EFA7D" w14:textId="77777777" w:rsidR="005D0408" w:rsidRDefault="005D0408" w:rsidP="00720E03">
      <w:pPr>
        <w:pStyle w:val="Default"/>
        <w:jc w:val="both"/>
        <w:rPr>
          <w:color w:val="auto"/>
        </w:rPr>
      </w:pPr>
    </w:p>
    <w:p w14:paraId="126B0AE6" w14:textId="5E7E084D" w:rsidR="005C1533" w:rsidRDefault="00D73B5B" w:rsidP="00720E03">
      <w:pPr>
        <w:pStyle w:val="Default"/>
        <w:jc w:val="both"/>
        <w:rPr>
          <w:color w:val="auto"/>
        </w:rPr>
      </w:pPr>
      <w:r>
        <w:rPr>
          <w:color w:val="auto"/>
        </w:rPr>
        <w:t xml:space="preserve">Al respecto, la Secretaría General </w:t>
      </w:r>
      <w:r w:rsidR="00027E96">
        <w:rPr>
          <w:color w:val="auto"/>
        </w:rPr>
        <w:t xml:space="preserve">del Alto Tribunal Contencioso Administrativo </w:t>
      </w:r>
      <w:r>
        <w:rPr>
          <w:color w:val="auto"/>
        </w:rPr>
        <w:t>respondió, en Oficio JJ/2082 del 13 de mayo del 2021</w:t>
      </w:r>
      <w:r w:rsidR="003B2156" w:rsidRPr="00720E03">
        <w:rPr>
          <w:rStyle w:val="Refdenotaalpie"/>
          <w:lang w:val="es-MX"/>
        </w:rPr>
        <w:footnoteReference w:id="7"/>
      </w:r>
      <w:r>
        <w:rPr>
          <w:color w:val="auto"/>
        </w:rPr>
        <w:t xml:space="preserve">, que la sentencia del 9 de abril de 2021 proferida por la Subsección B de la Sección Tercera fue notificada al correo electrónico </w:t>
      </w:r>
      <w:r w:rsidRPr="00D24D9A">
        <w:rPr>
          <w:color w:val="auto"/>
          <w:u w:val="single"/>
        </w:rPr>
        <w:t>jiuvezjudicial@gmail.com</w:t>
      </w:r>
      <w:r w:rsidRPr="00D73B5B">
        <w:rPr>
          <w:color w:val="auto"/>
        </w:rPr>
        <w:t xml:space="preserve">, el </w:t>
      </w:r>
      <w:r>
        <w:rPr>
          <w:color w:val="auto"/>
        </w:rPr>
        <w:t>20 de abril siguient</w:t>
      </w:r>
      <w:r w:rsidR="004234C4">
        <w:rPr>
          <w:color w:val="auto"/>
        </w:rPr>
        <w:t>e, actuaciones procesales que tenía la posibilidad de revisar en la opción “consulta de procesos” de la página web del Consejo de Estado o en el aplicativo de SAMAI.</w:t>
      </w:r>
      <w:r>
        <w:rPr>
          <w:color w:val="auto"/>
        </w:rPr>
        <w:t xml:space="preserve"> </w:t>
      </w:r>
    </w:p>
    <w:p w14:paraId="7ECB76F7" w14:textId="5E9FDB56" w:rsidR="00A1277B" w:rsidRDefault="00A1277B" w:rsidP="00720E03">
      <w:pPr>
        <w:pStyle w:val="Default"/>
        <w:jc w:val="both"/>
        <w:rPr>
          <w:color w:val="auto"/>
        </w:rPr>
      </w:pPr>
    </w:p>
    <w:p w14:paraId="35AE6AF4" w14:textId="24116BE2" w:rsidR="00A1277B" w:rsidRDefault="00A1277B" w:rsidP="00A1277B">
      <w:pPr>
        <w:pStyle w:val="Default"/>
        <w:jc w:val="center"/>
        <w:rPr>
          <w:color w:val="auto"/>
        </w:rPr>
      </w:pPr>
      <w:r>
        <w:rPr>
          <w:noProof/>
        </w:rPr>
        <w:drawing>
          <wp:inline distT="0" distB="0" distL="0" distR="0" wp14:anchorId="13DEC6F5" wp14:editId="2BB5448A">
            <wp:extent cx="4063093" cy="2480611"/>
            <wp:effectExtent l="19050" t="19050" r="13970"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4029" cy="2487288"/>
                    </a:xfrm>
                    <a:prstGeom prst="rect">
                      <a:avLst/>
                    </a:prstGeom>
                    <a:ln>
                      <a:solidFill>
                        <a:schemeClr val="tx1"/>
                      </a:solidFill>
                    </a:ln>
                  </pic:spPr>
                </pic:pic>
              </a:graphicData>
            </a:graphic>
          </wp:inline>
        </w:drawing>
      </w:r>
    </w:p>
    <w:p w14:paraId="49ED91E0" w14:textId="6D872B27" w:rsidR="00027E96" w:rsidRDefault="00027E96" w:rsidP="00027E96">
      <w:pPr>
        <w:pStyle w:val="Default"/>
        <w:rPr>
          <w:color w:val="auto"/>
        </w:rPr>
      </w:pPr>
    </w:p>
    <w:p w14:paraId="177C7BF5" w14:textId="7C386EDD" w:rsidR="00027E96" w:rsidRDefault="00027E96" w:rsidP="00027E96">
      <w:pPr>
        <w:pStyle w:val="Default"/>
        <w:jc w:val="both"/>
        <w:rPr>
          <w:color w:val="auto"/>
        </w:rPr>
      </w:pPr>
      <w:r>
        <w:rPr>
          <w:color w:val="auto"/>
        </w:rPr>
        <w:t>Posteriormente, los accionante</w:t>
      </w:r>
      <w:r w:rsidR="006C3D52">
        <w:rPr>
          <w:color w:val="auto"/>
        </w:rPr>
        <w:t>s</w:t>
      </w:r>
      <w:r>
        <w:rPr>
          <w:color w:val="auto"/>
        </w:rPr>
        <w:t xml:space="preserve"> presentaron recurso de impugnación en contra de la referida sentencia el 19 de mayo del mismo año</w:t>
      </w:r>
      <w:r w:rsidRPr="00720E03">
        <w:rPr>
          <w:rStyle w:val="Refdenotaalpie"/>
          <w:lang w:val="es-MX"/>
        </w:rPr>
        <w:footnoteReference w:id="8"/>
      </w:r>
      <w:r>
        <w:rPr>
          <w:color w:val="auto"/>
        </w:rPr>
        <w:t>.</w:t>
      </w:r>
    </w:p>
    <w:p w14:paraId="6CB20C94" w14:textId="77777777" w:rsidR="005C1533" w:rsidRDefault="005C1533" w:rsidP="00720E03">
      <w:pPr>
        <w:pStyle w:val="Default"/>
        <w:jc w:val="both"/>
        <w:rPr>
          <w:color w:val="auto"/>
        </w:rPr>
      </w:pPr>
    </w:p>
    <w:p w14:paraId="3D949EA7" w14:textId="14C33652" w:rsidR="00A4359B" w:rsidRDefault="006076B2" w:rsidP="00720E03">
      <w:pPr>
        <w:pStyle w:val="Default"/>
        <w:jc w:val="both"/>
        <w:rPr>
          <w:color w:val="auto"/>
        </w:rPr>
      </w:pPr>
      <w:r>
        <w:rPr>
          <w:b/>
          <w:bCs/>
          <w:color w:val="auto"/>
        </w:rPr>
        <w:t xml:space="preserve">1.2.4. </w:t>
      </w:r>
      <w:r w:rsidR="00A35882">
        <w:rPr>
          <w:color w:val="auto"/>
        </w:rPr>
        <w:t xml:space="preserve">El Despacho </w:t>
      </w:r>
      <w:r w:rsidR="0097420D">
        <w:rPr>
          <w:color w:val="auto"/>
        </w:rPr>
        <w:t>núm. 5 de la Sección Tercera</w:t>
      </w:r>
      <w:r w:rsidR="00356EDE">
        <w:rPr>
          <w:color w:val="auto"/>
        </w:rPr>
        <w:t xml:space="preserve"> </w:t>
      </w:r>
      <w:r w:rsidR="00A35882">
        <w:rPr>
          <w:color w:val="auto"/>
        </w:rPr>
        <w:t>emitió aut</w:t>
      </w:r>
      <w:r w:rsidR="0097420D">
        <w:rPr>
          <w:color w:val="auto"/>
        </w:rPr>
        <w:t>o</w:t>
      </w:r>
      <w:r w:rsidR="00A35882">
        <w:rPr>
          <w:color w:val="auto"/>
        </w:rPr>
        <w:t xml:space="preserve"> </w:t>
      </w:r>
      <w:bookmarkStart w:id="1" w:name="_Hlk96377334"/>
      <w:r w:rsidR="00A35882">
        <w:rPr>
          <w:color w:val="auto"/>
        </w:rPr>
        <w:t>el 27 de mayo de 20</w:t>
      </w:r>
      <w:r w:rsidR="003141CB">
        <w:rPr>
          <w:color w:val="auto"/>
        </w:rPr>
        <w:t>21</w:t>
      </w:r>
      <w:r w:rsidR="00B33DE5">
        <w:rPr>
          <w:color w:val="auto"/>
        </w:rPr>
        <w:t xml:space="preserve"> </w:t>
      </w:r>
      <w:bookmarkEnd w:id="1"/>
      <w:r w:rsidR="00B33DE5">
        <w:rPr>
          <w:color w:val="auto"/>
        </w:rPr>
        <w:t>(</w:t>
      </w:r>
      <w:r>
        <w:rPr>
          <w:color w:val="auto"/>
        </w:rPr>
        <w:t xml:space="preserve">que fue notificado </w:t>
      </w:r>
      <w:r w:rsidRPr="006076B2">
        <w:rPr>
          <w:color w:val="auto"/>
        </w:rPr>
        <w:t xml:space="preserve">mediante correo enviado el 2 de junio del mismo año a la dirección electrónica </w:t>
      </w:r>
      <w:r w:rsidRPr="00432A58">
        <w:rPr>
          <w:color w:val="auto"/>
          <w:u w:val="single"/>
        </w:rPr>
        <w:t>jiuvezjudicial@gmail.com</w:t>
      </w:r>
      <w:r w:rsidRPr="006076B2">
        <w:rPr>
          <w:rStyle w:val="Refdenotaalpie"/>
          <w:lang w:val="es-MX"/>
        </w:rPr>
        <w:footnoteReference w:id="9"/>
      </w:r>
      <w:r w:rsidR="00B33DE5" w:rsidRPr="00B33DE5">
        <w:rPr>
          <w:color w:val="auto"/>
        </w:rPr>
        <w:t>),</w:t>
      </w:r>
      <w:r w:rsidR="00B33DE5">
        <w:rPr>
          <w:color w:val="auto"/>
        </w:rPr>
        <w:t xml:space="preserve"> </w:t>
      </w:r>
      <w:r w:rsidR="003141CB">
        <w:rPr>
          <w:color w:val="auto"/>
        </w:rPr>
        <w:t xml:space="preserve">en el que </w:t>
      </w:r>
      <w:r w:rsidR="00846569">
        <w:rPr>
          <w:color w:val="auto"/>
        </w:rPr>
        <w:t>rechazó</w:t>
      </w:r>
      <w:r w:rsidR="003141CB">
        <w:rPr>
          <w:color w:val="auto"/>
        </w:rPr>
        <w:t xml:space="preserve"> el recurso de impugnación, </w:t>
      </w:r>
      <w:r w:rsidR="007056E4">
        <w:rPr>
          <w:color w:val="auto"/>
        </w:rPr>
        <w:t>por las siguientes razones:</w:t>
      </w:r>
    </w:p>
    <w:p w14:paraId="63C75882" w14:textId="12555566" w:rsidR="007056E4" w:rsidRDefault="007056E4" w:rsidP="00720E03">
      <w:pPr>
        <w:pStyle w:val="Default"/>
        <w:jc w:val="both"/>
        <w:rPr>
          <w:color w:val="auto"/>
        </w:rPr>
      </w:pPr>
    </w:p>
    <w:p w14:paraId="6EB9E9F7" w14:textId="30577C6E" w:rsidR="007056E4" w:rsidRPr="007056E4" w:rsidRDefault="007056E4" w:rsidP="007056E4">
      <w:pPr>
        <w:pStyle w:val="Default"/>
        <w:ind w:left="708"/>
        <w:jc w:val="both"/>
        <w:rPr>
          <w:color w:val="auto"/>
          <w:sz w:val="22"/>
          <w:szCs w:val="22"/>
        </w:rPr>
      </w:pPr>
      <w:r w:rsidRPr="007056E4">
        <w:rPr>
          <w:color w:val="auto"/>
          <w:sz w:val="22"/>
          <w:szCs w:val="22"/>
        </w:rPr>
        <w:t xml:space="preserve">“3. Al respecto, el despacho advierte que en el expediente reposan pruebas del envío de la notificación realizado por la Secretaría General del Consejo de Estado el 20 de abril de 2021 al correo </w:t>
      </w:r>
      <w:r w:rsidRPr="007056E4">
        <w:rPr>
          <w:b/>
          <w:bCs/>
          <w:color w:val="auto"/>
          <w:sz w:val="22"/>
          <w:szCs w:val="22"/>
        </w:rPr>
        <w:t>jiuvezjudiciales@gmail.com</w:t>
      </w:r>
      <w:r w:rsidRPr="007056E4">
        <w:rPr>
          <w:color w:val="auto"/>
          <w:sz w:val="22"/>
          <w:szCs w:val="22"/>
        </w:rPr>
        <w:t xml:space="preserve"> perteneciente al accionante</w:t>
      </w:r>
      <w:r w:rsidR="00F74504">
        <w:rPr>
          <w:color w:val="auto"/>
          <w:sz w:val="22"/>
          <w:szCs w:val="22"/>
        </w:rPr>
        <w:t>.</w:t>
      </w:r>
    </w:p>
    <w:p w14:paraId="6C11B022" w14:textId="51159EBA" w:rsidR="006076B2" w:rsidRPr="006076B2" w:rsidRDefault="007056E4" w:rsidP="006076B2">
      <w:pPr>
        <w:pStyle w:val="Default"/>
        <w:ind w:left="708"/>
        <w:jc w:val="both"/>
        <w:rPr>
          <w:color w:val="auto"/>
          <w:sz w:val="22"/>
          <w:szCs w:val="22"/>
        </w:rPr>
      </w:pPr>
      <w:r w:rsidRPr="007056E4">
        <w:rPr>
          <w:color w:val="auto"/>
          <w:sz w:val="22"/>
          <w:szCs w:val="22"/>
        </w:rPr>
        <w:lastRenderedPageBreak/>
        <w:t xml:space="preserve">4. Así las cosas, </w:t>
      </w:r>
      <w:r w:rsidR="004B1D27" w:rsidRPr="007056E4">
        <w:rPr>
          <w:color w:val="auto"/>
          <w:sz w:val="22"/>
          <w:szCs w:val="22"/>
        </w:rPr>
        <w:t xml:space="preserve">al haberse notificado el fallo de primera instancia el 20 de abril de 2021[,] el plazo para presentar la impugnación [vencía] el 23 de abril de 2021, por lo tanto, al ser interpuesta el 20 de mayo de esta anualidad el escrito </w:t>
      </w:r>
      <w:r w:rsidR="008C1EF1" w:rsidRPr="007056E4">
        <w:rPr>
          <w:color w:val="auto"/>
          <w:sz w:val="22"/>
          <w:szCs w:val="22"/>
        </w:rPr>
        <w:t>[fue]</w:t>
      </w:r>
      <w:r w:rsidR="004B1D27" w:rsidRPr="007056E4">
        <w:rPr>
          <w:color w:val="auto"/>
          <w:sz w:val="22"/>
          <w:szCs w:val="22"/>
        </w:rPr>
        <w:t xml:space="preserve"> extemporáneo”</w:t>
      </w:r>
      <w:r w:rsidR="004B1D27" w:rsidRPr="007056E4">
        <w:rPr>
          <w:rStyle w:val="Refdenotaalpie"/>
          <w:sz w:val="22"/>
          <w:szCs w:val="22"/>
          <w:lang w:val="es-MX"/>
        </w:rPr>
        <w:footnoteReference w:id="10"/>
      </w:r>
      <w:r>
        <w:rPr>
          <w:color w:val="auto"/>
          <w:sz w:val="22"/>
          <w:szCs w:val="22"/>
        </w:rPr>
        <w:t>.</w:t>
      </w:r>
      <w:r w:rsidR="006076B2">
        <w:rPr>
          <w:color w:val="auto"/>
          <w:sz w:val="22"/>
          <w:szCs w:val="22"/>
        </w:rPr>
        <w:t xml:space="preserve"> (La Sala subraya)</w:t>
      </w:r>
      <w:r w:rsidR="00072957">
        <w:rPr>
          <w:color w:val="auto"/>
          <w:sz w:val="22"/>
          <w:szCs w:val="22"/>
        </w:rPr>
        <w:t>.</w:t>
      </w:r>
    </w:p>
    <w:p w14:paraId="2C6CAE94" w14:textId="34A3DA2D" w:rsidR="00D24D9A" w:rsidRPr="006076B2" w:rsidRDefault="00D24D9A" w:rsidP="00720E03">
      <w:pPr>
        <w:pStyle w:val="Default"/>
        <w:jc w:val="both"/>
        <w:rPr>
          <w:color w:val="auto"/>
        </w:rPr>
      </w:pPr>
    </w:p>
    <w:p w14:paraId="12CE68A3" w14:textId="13525CB5" w:rsidR="006076B2" w:rsidRDefault="006076B2" w:rsidP="00720E03">
      <w:pPr>
        <w:pStyle w:val="Default"/>
        <w:jc w:val="both"/>
        <w:rPr>
          <w:color w:val="auto"/>
        </w:rPr>
      </w:pPr>
      <w:r w:rsidRPr="006076B2">
        <w:rPr>
          <w:color w:val="auto"/>
        </w:rPr>
        <w:t xml:space="preserve">En esta providencia, por error, se indicó que la notificación de la sentencia del 9 de abril de 2021 fue realizada a la parte accionante por conducto del correo </w:t>
      </w:r>
      <w:r w:rsidRPr="00027E96">
        <w:rPr>
          <w:color w:val="auto"/>
          <w:u w:val="single"/>
        </w:rPr>
        <w:t>jiuvezjudiciales@gmail.com</w:t>
      </w:r>
      <w:r w:rsidRPr="006076B2">
        <w:rPr>
          <w:color w:val="auto"/>
        </w:rPr>
        <w:t>,</w:t>
      </w:r>
      <w:r w:rsidRPr="006076B2">
        <w:rPr>
          <w:b/>
          <w:bCs/>
          <w:color w:val="auto"/>
        </w:rPr>
        <w:t xml:space="preserve"> </w:t>
      </w:r>
      <w:r w:rsidRPr="006076B2">
        <w:rPr>
          <w:color w:val="auto"/>
        </w:rPr>
        <w:t>no obstante, de acuerdo a la constancia secretar</w:t>
      </w:r>
      <w:r w:rsidR="00356EDE">
        <w:rPr>
          <w:color w:val="auto"/>
        </w:rPr>
        <w:t>i</w:t>
      </w:r>
      <w:r w:rsidRPr="006076B2">
        <w:rPr>
          <w:color w:val="auto"/>
        </w:rPr>
        <w:t>a</w:t>
      </w:r>
      <w:r w:rsidR="00356EDE">
        <w:rPr>
          <w:color w:val="auto"/>
        </w:rPr>
        <w:t>l</w:t>
      </w:r>
      <w:r w:rsidRPr="006076B2">
        <w:rPr>
          <w:color w:val="auto"/>
        </w:rPr>
        <w:t xml:space="preserve"> visible en el índice 18 del expediente </w:t>
      </w:r>
      <w:r w:rsidR="00356EDE">
        <w:rPr>
          <w:color w:val="auto"/>
        </w:rPr>
        <w:t xml:space="preserve">digital </w:t>
      </w:r>
      <w:r w:rsidRPr="006076B2">
        <w:rPr>
          <w:color w:val="auto"/>
        </w:rPr>
        <w:t>de tutela</w:t>
      </w:r>
      <w:r w:rsidR="00356EDE">
        <w:rPr>
          <w:color w:val="auto"/>
        </w:rPr>
        <w:t xml:space="preserve"> en el aplicativo </w:t>
      </w:r>
      <w:r w:rsidR="006C3D52">
        <w:rPr>
          <w:color w:val="auto"/>
        </w:rPr>
        <w:t>SAMAÍ</w:t>
      </w:r>
      <w:r w:rsidRPr="006076B2">
        <w:rPr>
          <w:color w:val="auto"/>
        </w:rPr>
        <w:t xml:space="preserve">, la notificación fue enviada a la dirección </w:t>
      </w:r>
      <w:r>
        <w:rPr>
          <w:color w:val="auto"/>
        </w:rPr>
        <w:t xml:space="preserve">electrónica </w:t>
      </w:r>
      <w:r w:rsidRPr="00432A58">
        <w:rPr>
          <w:color w:val="auto"/>
          <w:u w:val="single"/>
        </w:rPr>
        <w:t>jiuvezjudicial@gmail.com</w:t>
      </w:r>
      <w:r>
        <w:rPr>
          <w:color w:val="auto"/>
        </w:rPr>
        <w:t xml:space="preserve">. </w:t>
      </w:r>
    </w:p>
    <w:p w14:paraId="1EFC06CE" w14:textId="459DC39C" w:rsidR="00687D22" w:rsidRDefault="00687D22" w:rsidP="00720E03">
      <w:pPr>
        <w:pStyle w:val="Default"/>
        <w:jc w:val="both"/>
        <w:rPr>
          <w:color w:val="auto"/>
        </w:rPr>
      </w:pPr>
    </w:p>
    <w:p w14:paraId="02FA260A" w14:textId="37E659D8" w:rsidR="007056E4" w:rsidRDefault="00010421" w:rsidP="000A52CC">
      <w:pPr>
        <w:pStyle w:val="Default"/>
        <w:jc w:val="both"/>
        <w:rPr>
          <w:color w:val="auto"/>
        </w:rPr>
      </w:pPr>
      <w:r>
        <w:rPr>
          <w:b/>
          <w:bCs/>
          <w:color w:val="auto"/>
        </w:rPr>
        <w:t xml:space="preserve">1.2.5. </w:t>
      </w:r>
      <w:r>
        <w:rPr>
          <w:color w:val="auto"/>
        </w:rPr>
        <w:t xml:space="preserve">En contra de la anterior providencia el apoderado de los interesados presentó recurso de reposición, </w:t>
      </w:r>
      <w:r w:rsidR="00B33DE5">
        <w:rPr>
          <w:color w:val="auto"/>
        </w:rPr>
        <w:t xml:space="preserve">principalmente, </w:t>
      </w:r>
      <w:r>
        <w:rPr>
          <w:color w:val="auto"/>
        </w:rPr>
        <w:t xml:space="preserve">con el argumento de que el correo </w:t>
      </w:r>
      <w:r w:rsidRPr="00432A58">
        <w:rPr>
          <w:color w:val="auto"/>
        </w:rPr>
        <w:t>jiuvezjudiciales@gmail.com</w:t>
      </w:r>
      <w:r>
        <w:rPr>
          <w:color w:val="auto"/>
        </w:rPr>
        <w:t xml:space="preserve"> no correspond</w:t>
      </w:r>
      <w:r w:rsidR="00432489">
        <w:rPr>
          <w:color w:val="auto"/>
        </w:rPr>
        <w:t>ía</w:t>
      </w:r>
      <w:r>
        <w:rPr>
          <w:color w:val="auto"/>
        </w:rPr>
        <w:t xml:space="preserve"> a la dirección de notificaciones </w:t>
      </w:r>
      <w:r w:rsidR="00424655">
        <w:rPr>
          <w:color w:val="auto"/>
        </w:rPr>
        <w:t xml:space="preserve">que </w:t>
      </w:r>
      <w:r>
        <w:rPr>
          <w:color w:val="auto"/>
        </w:rPr>
        <w:t>aport</w:t>
      </w:r>
      <w:r w:rsidR="00424655">
        <w:rPr>
          <w:color w:val="auto"/>
        </w:rPr>
        <w:t>ó</w:t>
      </w:r>
      <w:r>
        <w:rPr>
          <w:color w:val="auto"/>
        </w:rPr>
        <w:t xml:space="preserve"> para tal fin, por lo que la notificación del fallo del 9 de abril de 2021 había sido inv</w:t>
      </w:r>
      <w:r w:rsidR="00400A18">
        <w:rPr>
          <w:color w:val="auto"/>
        </w:rPr>
        <w:t>á</w:t>
      </w:r>
      <w:r>
        <w:rPr>
          <w:color w:val="auto"/>
        </w:rPr>
        <w:t>lida</w:t>
      </w:r>
      <w:r w:rsidR="00432489" w:rsidRPr="006076B2">
        <w:rPr>
          <w:rStyle w:val="Refdenotaalpie"/>
          <w:lang w:val="es-MX"/>
        </w:rPr>
        <w:footnoteReference w:id="11"/>
      </w:r>
      <w:r>
        <w:rPr>
          <w:color w:val="auto"/>
        </w:rPr>
        <w:t xml:space="preserve">. </w:t>
      </w:r>
    </w:p>
    <w:p w14:paraId="2D52541F" w14:textId="4A7201C0" w:rsidR="000A52CC" w:rsidRDefault="000A52CC" w:rsidP="000A52CC">
      <w:pPr>
        <w:pStyle w:val="Default"/>
        <w:jc w:val="both"/>
        <w:rPr>
          <w:color w:val="auto"/>
        </w:rPr>
      </w:pPr>
    </w:p>
    <w:p w14:paraId="12BA1073" w14:textId="7539D9AE" w:rsidR="000A52CC" w:rsidRDefault="000A52CC" w:rsidP="000A52CC">
      <w:pPr>
        <w:pStyle w:val="Default"/>
        <w:jc w:val="both"/>
        <w:rPr>
          <w:color w:val="auto"/>
        </w:rPr>
      </w:pPr>
      <w:r>
        <w:rPr>
          <w:b/>
          <w:bCs/>
          <w:color w:val="auto"/>
        </w:rPr>
        <w:t xml:space="preserve">1.2.6. </w:t>
      </w:r>
      <w:r>
        <w:rPr>
          <w:color w:val="auto"/>
        </w:rPr>
        <w:t xml:space="preserve">Finalmente, el consejero de Estado Alberto Montaña Plata, en su condición de </w:t>
      </w:r>
      <w:r w:rsidR="005C7668">
        <w:rPr>
          <w:color w:val="auto"/>
        </w:rPr>
        <w:t xml:space="preserve">autoridad </w:t>
      </w:r>
      <w:r>
        <w:rPr>
          <w:color w:val="auto"/>
        </w:rPr>
        <w:t>encargad</w:t>
      </w:r>
      <w:r w:rsidR="005C7668">
        <w:rPr>
          <w:color w:val="auto"/>
        </w:rPr>
        <w:t>a</w:t>
      </w:r>
      <w:r>
        <w:rPr>
          <w:color w:val="auto"/>
        </w:rPr>
        <w:t xml:space="preserve"> del </w:t>
      </w:r>
      <w:r w:rsidR="007F6704">
        <w:rPr>
          <w:color w:val="auto"/>
        </w:rPr>
        <w:t>D</w:t>
      </w:r>
      <w:r>
        <w:rPr>
          <w:color w:val="auto"/>
        </w:rPr>
        <w:t xml:space="preserve">espacho </w:t>
      </w:r>
      <w:r w:rsidR="00B33DE5">
        <w:rPr>
          <w:color w:val="auto"/>
        </w:rPr>
        <w:t>núm. 5</w:t>
      </w:r>
      <w:r w:rsidR="005C7668">
        <w:rPr>
          <w:color w:val="auto"/>
        </w:rPr>
        <w:t xml:space="preserve"> de la Sección Tercera</w:t>
      </w:r>
      <w:r>
        <w:rPr>
          <w:color w:val="auto"/>
        </w:rPr>
        <w:t xml:space="preserve">, emitió auto el 23 de junio de 2021, en el que resolvió no reponer la providencia del 27 de mayo de 2021, </w:t>
      </w:r>
      <w:r w:rsidR="001C20E6">
        <w:rPr>
          <w:color w:val="auto"/>
        </w:rPr>
        <w:t xml:space="preserve">por los motivos que a continuación son citados: </w:t>
      </w:r>
    </w:p>
    <w:p w14:paraId="540DCF08" w14:textId="752D5D55" w:rsidR="001C20E6" w:rsidRDefault="001C20E6" w:rsidP="000A52CC">
      <w:pPr>
        <w:pStyle w:val="Default"/>
        <w:jc w:val="both"/>
        <w:rPr>
          <w:color w:val="auto"/>
        </w:rPr>
      </w:pPr>
    </w:p>
    <w:p w14:paraId="0A90EF74" w14:textId="130DED56" w:rsidR="001C20E6" w:rsidRPr="001C20E6" w:rsidRDefault="001C20E6" w:rsidP="001C20E6">
      <w:pPr>
        <w:pStyle w:val="Default"/>
        <w:ind w:left="708"/>
        <w:jc w:val="both"/>
        <w:rPr>
          <w:color w:val="auto"/>
          <w:sz w:val="22"/>
          <w:szCs w:val="22"/>
        </w:rPr>
      </w:pPr>
      <w:r>
        <w:rPr>
          <w:color w:val="auto"/>
          <w:sz w:val="22"/>
          <w:szCs w:val="22"/>
        </w:rPr>
        <w:t>“</w:t>
      </w:r>
      <w:r w:rsidRPr="001C20E6">
        <w:rPr>
          <w:color w:val="auto"/>
          <w:sz w:val="22"/>
          <w:szCs w:val="22"/>
        </w:rPr>
        <w:t xml:space="preserve">19. Para resolver sobre el particular, la Sala advierte que una vez revisado el aplicativo “SAMAI” es posible evidenciar que el fallo dictado el 9 de abril de 2021 fue debidamente notificado al accionante al buzón jiuvezjudicial@gmail.com el 20 de abril de 2021, dirección electrónica que el accionante reconoce es la que corresponde. </w:t>
      </w:r>
    </w:p>
    <w:p w14:paraId="07833D30" w14:textId="77E80847" w:rsidR="001C20E6" w:rsidRPr="001C20E6" w:rsidRDefault="001C20E6" w:rsidP="001C20E6">
      <w:pPr>
        <w:pStyle w:val="Default"/>
        <w:ind w:left="708"/>
        <w:jc w:val="both"/>
        <w:rPr>
          <w:color w:val="auto"/>
          <w:sz w:val="22"/>
          <w:szCs w:val="22"/>
        </w:rPr>
      </w:pPr>
      <w:r w:rsidRPr="001C20E6">
        <w:rPr>
          <w:color w:val="auto"/>
          <w:sz w:val="22"/>
          <w:szCs w:val="22"/>
        </w:rPr>
        <w:t xml:space="preserve">20. Así las cosas, al haberse notificado el fallo de primera instancia el 20 de abril de 2021 al correo electrónico del accionante, el plazo para presentar la impugnación era hasta el 23 de abril de 2021, por lo tanto, al ser interpuesta el 20 de mayo de esta anualidad, la impugnación es extemporánea. </w:t>
      </w:r>
    </w:p>
    <w:p w14:paraId="686283E8" w14:textId="7663BE4F" w:rsidR="001C20E6" w:rsidRPr="000A52CC" w:rsidRDefault="001C20E6" w:rsidP="001C20E6">
      <w:pPr>
        <w:pStyle w:val="Default"/>
        <w:ind w:left="708"/>
        <w:jc w:val="both"/>
        <w:rPr>
          <w:color w:val="auto"/>
        </w:rPr>
      </w:pPr>
      <w:r w:rsidRPr="001C20E6">
        <w:rPr>
          <w:color w:val="auto"/>
          <w:sz w:val="22"/>
          <w:szCs w:val="22"/>
        </w:rPr>
        <w:t>21. Ahora bien, el despacho advierte que por un error involuntario en el auto de 27 de mayo de 2021, mediante el cual se rechazó la impugnación, efectivamente se plasmó que el fallo de primera instancia le fue notificado al actor al correo electrónico jiuvezjudiciales@gmail.com; no obstante, se trató de un error de digitación porque, como se indicó en precedencia, la decisión de primera instancia fue debidamente notificada al correo que el propio accionante reconoce como de su propiedad</w:t>
      </w:r>
      <w:r>
        <w:rPr>
          <w:color w:val="auto"/>
          <w:sz w:val="22"/>
          <w:szCs w:val="22"/>
        </w:rPr>
        <w:t>”</w:t>
      </w:r>
      <w:r w:rsidRPr="007056E4">
        <w:rPr>
          <w:rStyle w:val="Refdenotaalpie"/>
          <w:sz w:val="22"/>
          <w:szCs w:val="22"/>
          <w:lang w:val="es-MX"/>
        </w:rPr>
        <w:footnoteReference w:id="12"/>
      </w:r>
      <w:r w:rsidRPr="001C20E6">
        <w:rPr>
          <w:color w:val="auto"/>
          <w:sz w:val="22"/>
          <w:szCs w:val="22"/>
        </w:rPr>
        <w:t>.</w:t>
      </w:r>
    </w:p>
    <w:p w14:paraId="6A721323" w14:textId="35550746" w:rsidR="007056E4" w:rsidRDefault="007056E4" w:rsidP="00720E03">
      <w:pPr>
        <w:pStyle w:val="Default"/>
        <w:jc w:val="both"/>
        <w:rPr>
          <w:color w:val="auto"/>
        </w:rPr>
      </w:pPr>
    </w:p>
    <w:p w14:paraId="31A284B0" w14:textId="4A1FBF3C" w:rsidR="000E2BBB" w:rsidRPr="00720E03" w:rsidRDefault="00BC6347" w:rsidP="00720E03">
      <w:pPr>
        <w:overflowPunct w:val="0"/>
        <w:autoSpaceDE w:val="0"/>
        <w:autoSpaceDN w:val="0"/>
        <w:adjustRightInd w:val="0"/>
        <w:contextualSpacing/>
        <w:rPr>
          <w:rFonts w:eastAsia="Times New Roman"/>
          <w:b/>
          <w:sz w:val="24"/>
          <w:szCs w:val="24"/>
          <w:lang w:eastAsia="es-ES"/>
        </w:rPr>
      </w:pPr>
      <w:r w:rsidRPr="00720E03">
        <w:rPr>
          <w:rFonts w:eastAsia="Times New Roman"/>
          <w:b/>
          <w:sz w:val="24"/>
          <w:szCs w:val="24"/>
          <w:lang w:eastAsia="es-ES"/>
        </w:rPr>
        <w:t>1.3</w:t>
      </w:r>
      <w:r w:rsidR="00C92A17">
        <w:rPr>
          <w:rFonts w:eastAsia="Times New Roman"/>
          <w:b/>
          <w:sz w:val="24"/>
          <w:szCs w:val="24"/>
          <w:lang w:eastAsia="es-ES"/>
        </w:rPr>
        <w:t>. Argumentos y p</w:t>
      </w:r>
      <w:r w:rsidR="000E2BBB" w:rsidRPr="00720E03">
        <w:rPr>
          <w:rFonts w:eastAsia="Times New Roman"/>
          <w:b/>
          <w:sz w:val="24"/>
          <w:szCs w:val="24"/>
          <w:lang w:eastAsia="es-ES"/>
        </w:rPr>
        <w:t>retensiones de tutela</w:t>
      </w:r>
    </w:p>
    <w:p w14:paraId="42C92576" w14:textId="77777777" w:rsidR="000E2BBB" w:rsidRPr="00720E03" w:rsidRDefault="000E2BBB" w:rsidP="00720E03">
      <w:pPr>
        <w:overflowPunct w:val="0"/>
        <w:autoSpaceDE w:val="0"/>
        <w:autoSpaceDN w:val="0"/>
        <w:adjustRightInd w:val="0"/>
        <w:contextualSpacing/>
        <w:rPr>
          <w:rFonts w:eastAsia="Times New Roman"/>
          <w:sz w:val="24"/>
          <w:szCs w:val="24"/>
          <w:lang w:eastAsia="es-ES"/>
        </w:rPr>
      </w:pPr>
    </w:p>
    <w:p w14:paraId="027BE1DE" w14:textId="033590AC" w:rsidR="00432A58" w:rsidRDefault="00C92A17" w:rsidP="000013A2">
      <w:pPr>
        <w:autoSpaceDE w:val="0"/>
        <w:autoSpaceDN w:val="0"/>
        <w:adjustRightInd w:val="0"/>
        <w:rPr>
          <w:sz w:val="24"/>
          <w:szCs w:val="24"/>
        </w:rPr>
      </w:pPr>
      <w:r>
        <w:rPr>
          <w:sz w:val="24"/>
          <w:szCs w:val="24"/>
        </w:rPr>
        <w:t xml:space="preserve">El accionante </w:t>
      </w:r>
      <w:r w:rsidR="000013A2">
        <w:rPr>
          <w:sz w:val="24"/>
          <w:szCs w:val="24"/>
        </w:rPr>
        <w:t>sostuvo</w:t>
      </w:r>
      <w:r>
        <w:rPr>
          <w:sz w:val="24"/>
          <w:szCs w:val="24"/>
        </w:rPr>
        <w:t xml:space="preserve"> q</w:t>
      </w:r>
      <w:r w:rsidR="00027E96">
        <w:rPr>
          <w:sz w:val="24"/>
          <w:szCs w:val="24"/>
        </w:rPr>
        <w:t>ue</w:t>
      </w:r>
      <w:r>
        <w:rPr>
          <w:sz w:val="24"/>
          <w:szCs w:val="24"/>
        </w:rPr>
        <w:t xml:space="preserve"> </w:t>
      </w:r>
      <w:r w:rsidR="000013A2">
        <w:rPr>
          <w:sz w:val="24"/>
          <w:szCs w:val="24"/>
        </w:rPr>
        <w:t xml:space="preserve">no tuvo conocimiento </w:t>
      </w:r>
      <w:r w:rsidR="00C019B6">
        <w:rPr>
          <w:sz w:val="24"/>
          <w:szCs w:val="24"/>
        </w:rPr>
        <w:t xml:space="preserve">en debida forma </w:t>
      </w:r>
      <w:r w:rsidR="000013A2">
        <w:rPr>
          <w:sz w:val="24"/>
          <w:szCs w:val="24"/>
        </w:rPr>
        <w:t>d</w:t>
      </w:r>
      <w:r>
        <w:rPr>
          <w:sz w:val="24"/>
          <w:szCs w:val="24"/>
        </w:rPr>
        <w:t xml:space="preserve">el fallo del 9 de abril de 2021 proferido </w:t>
      </w:r>
      <w:r w:rsidR="003D40CB">
        <w:rPr>
          <w:sz w:val="24"/>
          <w:szCs w:val="24"/>
        </w:rPr>
        <w:t>dentro del trámite de tutela</w:t>
      </w:r>
      <w:r w:rsidR="00C019B6">
        <w:rPr>
          <w:sz w:val="24"/>
          <w:szCs w:val="24"/>
        </w:rPr>
        <w:t xml:space="preserve"> que inició</w:t>
      </w:r>
      <w:r w:rsidR="003D40CB">
        <w:rPr>
          <w:sz w:val="24"/>
          <w:szCs w:val="24"/>
        </w:rPr>
        <w:t xml:space="preserve"> con radicado núm. </w:t>
      </w:r>
      <w:r w:rsidR="003D40CB" w:rsidRPr="00C92A17">
        <w:rPr>
          <w:sz w:val="24"/>
          <w:szCs w:val="24"/>
          <w:lang w:val="es-MX" w:eastAsia="ja-JP"/>
        </w:rPr>
        <w:t>2021</w:t>
      </w:r>
      <w:r w:rsidR="00041DB0">
        <w:rPr>
          <w:sz w:val="24"/>
          <w:szCs w:val="24"/>
          <w:lang w:val="es-MX" w:eastAsia="ja-JP"/>
        </w:rPr>
        <w:t>-</w:t>
      </w:r>
      <w:r w:rsidR="003D40CB" w:rsidRPr="00C92A17">
        <w:rPr>
          <w:sz w:val="24"/>
          <w:szCs w:val="24"/>
          <w:lang w:val="es-MX" w:eastAsia="ja-JP"/>
        </w:rPr>
        <w:lastRenderedPageBreak/>
        <w:t>00794</w:t>
      </w:r>
      <w:r w:rsidR="00041DB0">
        <w:rPr>
          <w:sz w:val="24"/>
          <w:szCs w:val="24"/>
          <w:lang w:val="es-MX" w:eastAsia="ja-JP"/>
        </w:rPr>
        <w:t>-</w:t>
      </w:r>
      <w:r w:rsidR="003D40CB" w:rsidRPr="00C92A17">
        <w:rPr>
          <w:sz w:val="24"/>
          <w:szCs w:val="24"/>
          <w:lang w:val="es-MX" w:eastAsia="ja-JP"/>
        </w:rPr>
        <w:t>00</w:t>
      </w:r>
      <w:r w:rsidR="003D40CB">
        <w:rPr>
          <w:sz w:val="24"/>
          <w:szCs w:val="24"/>
        </w:rPr>
        <w:t>, porque</w:t>
      </w:r>
      <w:r w:rsidR="000013A2">
        <w:rPr>
          <w:sz w:val="24"/>
          <w:szCs w:val="24"/>
        </w:rPr>
        <w:t xml:space="preserve"> la notificación del mismo fue enviada a</w:t>
      </w:r>
      <w:r w:rsidR="003D40CB">
        <w:rPr>
          <w:sz w:val="24"/>
          <w:szCs w:val="24"/>
        </w:rPr>
        <w:t xml:space="preserve"> </w:t>
      </w:r>
      <w:r w:rsidR="000013A2">
        <w:rPr>
          <w:sz w:val="24"/>
          <w:szCs w:val="24"/>
        </w:rPr>
        <w:t xml:space="preserve">la dirección de correo electrónico </w:t>
      </w:r>
      <w:r w:rsidR="000013A2" w:rsidRPr="000013A2">
        <w:rPr>
          <w:sz w:val="24"/>
          <w:szCs w:val="24"/>
        </w:rPr>
        <w:t>jiuvezjudiciales@gmail.com</w:t>
      </w:r>
      <w:r w:rsidR="000013A2">
        <w:rPr>
          <w:sz w:val="24"/>
          <w:szCs w:val="24"/>
        </w:rPr>
        <w:t xml:space="preserve"> que no corresponde con la que aportó para tal fin</w:t>
      </w:r>
      <w:r w:rsidR="00027E96">
        <w:rPr>
          <w:sz w:val="24"/>
          <w:szCs w:val="24"/>
        </w:rPr>
        <w:t xml:space="preserve"> en la solicitud de amparo</w:t>
      </w:r>
      <w:r w:rsidR="000013A2">
        <w:rPr>
          <w:sz w:val="24"/>
          <w:szCs w:val="24"/>
        </w:rPr>
        <w:t>,</w:t>
      </w:r>
      <w:r w:rsidR="00432A58">
        <w:rPr>
          <w:sz w:val="24"/>
          <w:szCs w:val="24"/>
        </w:rPr>
        <w:t xml:space="preserve"> la cual es </w:t>
      </w:r>
      <w:r w:rsidR="00432A58" w:rsidRPr="00432A58">
        <w:rPr>
          <w:sz w:val="24"/>
          <w:szCs w:val="24"/>
        </w:rPr>
        <w:t>jiuvezjudicial@gmail.com</w:t>
      </w:r>
      <w:r w:rsidR="00432A58">
        <w:rPr>
          <w:sz w:val="24"/>
          <w:szCs w:val="24"/>
        </w:rPr>
        <w:t>,</w:t>
      </w:r>
      <w:r w:rsidR="000013A2">
        <w:rPr>
          <w:sz w:val="24"/>
          <w:szCs w:val="24"/>
        </w:rPr>
        <w:t xml:space="preserve"> circunstancia que le impidió ejercer los recursos pertinentes en contra de la mencionada decisión. </w:t>
      </w:r>
    </w:p>
    <w:p w14:paraId="1548BA8D" w14:textId="77777777" w:rsidR="00432A58" w:rsidRDefault="00432A58" w:rsidP="000013A2">
      <w:pPr>
        <w:autoSpaceDE w:val="0"/>
        <w:autoSpaceDN w:val="0"/>
        <w:adjustRightInd w:val="0"/>
        <w:rPr>
          <w:sz w:val="24"/>
          <w:szCs w:val="24"/>
        </w:rPr>
      </w:pPr>
    </w:p>
    <w:p w14:paraId="2410D9E3" w14:textId="1A0CE173" w:rsidR="003B1C6D" w:rsidRPr="00720E03" w:rsidRDefault="000013A2" w:rsidP="000013A2">
      <w:pPr>
        <w:autoSpaceDE w:val="0"/>
        <w:autoSpaceDN w:val="0"/>
        <w:adjustRightInd w:val="0"/>
        <w:rPr>
          <w:sz w:val="24"/>
          <w:szCs w:val="24"/>
          <w:lang w:val="es-MX" w:eastAsia="ja-JP"/>
        </w:rPr>
      </w:pPr>
      <w:r>
        <w:rPr>
          <w:sz w:val="24"/>
          <w:szCs w:val="24"/>
        </w:rPr>
        <w:t xml:space="preserve">Además, </w:t>
      </w:r>
      <w:r w:rsidR="00D56DB7">
        <w:rPr>
          <w:sz w:val="24"/>
          <w:szCs w:val="24"/>
        </w:rPr>
        <w:t xml:space="preserve">adujo </w:t>
      </w:r>
      <w:r>
        <w:rPr>
          <w:sz w:val="24"/>
          <w:szCs w:val="24"/>
        </w:rPr>
        <w:t xml:space="preserve">que el </w:t>
      </w:r>
      <w:r w:rsidR="007F6704">
        <w:rPr>
          <w:sz w:val="24"/>
          <w:szCs w:val="24"/>
        </w:rPr>
        <w:t>D</w:t>
      </w:r>
      <w:r>
        <w:rPr>
          <w:sz w:val="24"/>
          <w:szCs w:val="24"/>
        </w:rPr>
        <w:t xml:space="preserve">espacho del magistrado ponente </w:t>
      </w:r>
      <w:r w:rsidR="00432A58">
        <w:rPr>
          <w:sz w:val="24"/>
          <w:szCs w:val="24"/>
        </w:rPr>
        <w:t>de</w:t>
      </w:r>
      <w:r w:rsidR="00041DB0">
        <w:rPr>
          <w:sz w:val="24"/>
          <w:szCs w:val="24"/>
        </w:rPr>
        <w:t xml:space="preserve">l referido trámite constitucional no resolvió </w:t>
      </w:r>
      <w:r w:rsidR="00D56DB7">
        <w:rPr>
          <w:sz w:val="24"/>
          <w:szCs w:val="24"/>
        </w:rPr>
        <w:t xml:space="preserve">su </w:t>
      </w:r>
      <w:r w:rsidR="00041DB0">
        <w:rPr>
          <w:sz w:val="24"/>
          <w:szCs w:val="24"/>
        </w:rPr>
        <w:t xml:space="preserve">solicitud de que </w:t>
      </w:r>
      <w:r w:rsidR="00D56DB7">
        <w:rPr>
          <w:sz w:val="24"/>
          <w:szCs w:val="24"/>
        </w:rPr>
        <w:t xml:space="preserve">le </w:t>
      </w:r>
      <w:r w:rsidR="001A2A66">
        <w:rPr>
          <w:sz w:val="24"/>
          <w:szCs w:val="24"/>
        </w:rPr>
        <w:t xml:space="preserve">fuera </w:t>
      </w:r>
      <w:r w:rsidR="00D56DB7">
        <w:rPr>
          <w:sz w:val="24"/>
          <w:szCs w:val="24"/>
        </w:rPr>
        <w:t>envia</w:t>
      </w:r>
      <w:r w:rsidR="001A2A66">
        <w:rPr>
          <w:sz w:val="24"/>
          <w:szCs w:val="24"/>
        </w:rPr>
        <w:t>da</w:t>
      </w:r>
      <w:r w:rsidR="00D56DB7">
        <w:rPr>
          <w:sz w:val="24"/>
          <w:szCs w:val="24"/>
        </w:rPr>
        <w:t xml:space="preserve"> </w:t>
      </w:r>
      <w:r w:rsidR="00041DB0">
        <w:rPr>
          <w:sz w:val="24"/>
          <w:szCs w:val="24"/>
        </w:rPr>
        <w:t xml:space="preserve">la </w:t>
      </w:r>
      <w:r w:rsidR="00B34637">
        <w:rPr>
          <w:sz w:val="24"/>
          <w:szCs w:val="24"/>
        </w:rPr>
        <w:t xml:space="preserve">respectiva </w:t>
      </w:r>
      <w:r w:rsidR="00041DB0">
        <w:rPr>
          <w:sz w:val="24"/>
          <w:szCs w:val="24"/>
        </w:rPr>
        <w:t>constancia de notificación del fallo del 9 de abril de 2021.</w:t>
      </w:r>
    </w:p>
    <w:p w14:paraId="3A165B40" w14:textId="77777777" w:rsidR="004D58F4" w:rsidRPr="00720E03" w:rsidRDefault="004D58F4" w:rsidP="00720E03">
      <w:pPr>
        <w:overflowPunct w:val="0"/>
        <w:autoSpaceDE w:val="0"/>
        <w:autoSpaceDN w:val="0"/>
        <w:adjustRightInd w:val="0"/>
        <w:contextualSpacing/>
        <w:rPr>
          <w:sz w:val="24"/>
          <w:szCs w:val="24"/>
        </w:rPr>
      </w:pPr>
    </w:p>
    <w:p w14:paraId="50537E46" w14:textId="4C7A2AE9" w:rsidR="000E2BBB" w:rsidRPr="00720E03" w:rsidRDefault="00ED2941" w:rsidP="00720E03">
      <w:pPr>
        <w:overflowPunct w:val="0"/>
        <w:autoSpaceDE w:val="0"/>
        <w:autoSpaceDN w:val="0"/>
        <w:adjustRightInd w:val="0"/>
        <w:contextualSpacing/>
        <w:rPr>
          <w:rFonts w:eastAsia="Verdana"/>
          <w:b/>
          <w:sz w:val="24"/>
          <w:szCs w:val="24"/>
        </w:rPr>
      </w:pPr>
      <w:r w:rsidRPr="00720E03">
        <w:rPr>
          <w:rFonts w:eastAsia="Verdana"/>
          <w:b/>
          <w:sz w:val="24"/>
          <w:szCs w:val="24"/>
        </w:rPr>
        <w:t>1.</w:t>
      </w:r>
      <w:r w:rsidR="008D5B52">
        <w:rPr>
          <w:rFonts w:eastAsia="Verdana"/>
          <w:b/>
          <w:sz w:val="24"/>
          <w:szCs w:val="24"/>
        </w:rPr>
        <w:t>4</w:t>
      </w:r>
      <w:r w:rsidR="000E2BBB" w:rsidRPr="00720E03">
        <w:rPr>
          <w:rFonts w:eastAsia="Verdana"/>
          <w:b/>
          <w:sz w:val="24"/>
          <w:szCs w:val="24"/>
        </w:rPr>
        <w:t>. Trámite en primera instancia</w:t>
      </w:r>
    </w:p>
    <w:p w14:paraId="2E203625" w14:textId="77777777" w:rsidR="000E2BBB" w:rsidRPr="00720E03" w:rsidRDefault="000E2BBB" w:rsidP="00720E03">
      <w:pPr>
        <w:rPr>
          <w:rFonts w:eastAsia="Verdana"/>
          <w:sz w:val="24"/>
          <w:szCs w:val="24"/>
        </w:rPr>
      </w:pPr>
    </w:p>
    <w:p w14:paraId="6871CF80" w14:textId="25873455" w:rsidR="00036A46" w:rsidRPr="00720E03" w:rsidRDefault="00ED2941" w:rsidP="00036A46">
      <w:pPr>
        <w:tabs>
          <w:tab w:val="left" w:pos="1985"/>
        </w:tabs>
        <w:rPr>
          <w:rFonts w:eastAsia="Verdana"/>
          <w:sz w:val="24"/>
          <w:szCs w:val="24"/>
        </w:rPr>
      </w:pPr>
      <w:r w:rsidRPr="00720E03">
        <w:rPr>
          <w:rFonts w:eastAsia="Verdana"/>
          <w:b/>
          <w:sz w:val="24"/>
          <w:szCs w:val="24"/>
        </w:rPr>
        <w:t>1.</w:t>
      </w:r>
      <w:r w:rsidR="008D5B52">
        <w:rPr>
          <w:rFonts w:eastAsia="Verdana"/>
          <w:b/>
          <w:sz w:val="24"/>
          <w:szCs w:val="24"/>
        </w:rPr>
        <w:t>4</w:t>
      </w:r>
      <w:r w:rsidR="000E2BBB" w:rsidRPr="00720E03">
        <w:rPr>
          <w:rFonts w:eastAsia="Verdana"/>
          <w:b/>
          <w:sz w:val="24"/>
          <w:szCs w:val="24"/>
        </w:rPr>
        <w:t>.1</w:t>
      </w:r>
      <w:r w:rsidR="005E2F08">
        <w:rPr>
          <w:rFonts w:eastAsia="Verdana"/>
          <w:bCs/>
          <w:sz w:val="24"/>
          <w:szCs w:val="24"/>
        </w:rPr>
        <w:t xml:space="preserve"> El Despacho del magistrado ponente, con auto del </w:t>
      </w:r>
      <w:r w:rsidR="005E2F08" w:rsidRPr="008D5B52">
        <w:rPr>
          <w:rFonts w:eastAsia="Verdana"/>
          <w:b/>
          <w:sz w:val="24"/>
          <w:szCs w:val="24"/>
        </w:rPr>
        <w:t>2 de diciembre de 2021</w:t>
      </w:r>
      <w:r w:rsidR="000E2BBB" w:rsidRPr="00720E03">
        <w:rPr>
          <w:rStyle w:val="Refdenotaalpie"/>
          <w:rFonts w:eastAsia="Times New Roman"/>
          <w:sz w:val="24"/>
          <w:szCs w:val="24"/>
          <w:lang w:eastAsia="es-ES"/>
        </w:rPr>
        <w:footnoteReference w:id="13"/>
      </w:r>
      <w:r w:rsidR="000E2BBB" w:rsidRPr="00720E03">
        <w:rPr>
          <w:rFonts w:eastAsia="Verdana"/>
          <w:sz w:val="24"/>
          <w:szCs w:val="24"/>
        </w:rPr>
        <w:t xml:space="preserve">, </w:t>
      </w:r>
      <w:r w:rsidR="00036A46">
        <w:rPr>
          <w:rFonts w:eastAsia="Verdana"/>
          <w:sz w:val="24"/>
          <w:szCs w:val="24"/>
        </w:rPr>
        <w:t xml:space="preserve">admitió la tutela; vinculó como tercero interesado a </w:t>
      </w:r>
      <w:r w:rsidR="00036A46" w:rsidRPr="005E230D">
        <w:rPr>
          <w:sz w:val="24"/>
          <w:szCs w:val="24"/>
        </w:rPr>
        <w:t>Jairo Valencia Rendón</w:t>
      </w:r>
      <w:r w:rsidR="00036A46">
        <w:rPr>
          <w:sz w:val="24"/>
          <w:szCs w:val="24"/>
        </w:rPr>
        <w:t>,</w:t>
      </w:r>
      <w:r w:rsidR="00036A46" w:rsidRPr="005E230D">
        <w:rPr>
          <w:sz w:val="24"/>
          <w:szCs w:val="24"/>
        </w:rPr>
        <w:t xml:space="preserve"> Oscar Valencia Prieto</w:t>
      </w:r>
      <w:r w:rsidR="00036A46">
        <w:rPr>
          <w:sz w:val="24"/>
          <w:szCs w:val="24"/>
        </w:rPr>
        <w:t xml:space="preserve">, al Tribunal Administrativo de Antioquia, al Juzgado Veintinueve Administrativo de Medellín, al </w:t>
      </w:r>
      <w:r w:rsidR="00036A46" w:rsidRPr="005E230D">
        <w:rPr>
          <w:sz w:val="24"/>
          <w:szCs w:val="24"/>
        </w:rPr>
        <w:t xml:space="preserve">Juzgado Primero Civil Municipal de Medellín, </w:t>
      </w:r>
      <w:r w:rsidR="00036A46">
        <w:rPr>
          <w:sz w:val="24"/>
          <w:szCs w:val="24"/>
        </w:rPr>
        <w:t xml:space="preserve">al </w:t>
      </w:r>
      <w:r w:rsidR="00036A46" w:rsidRPr="005E230D">
        <w:rPr>
          <w:sz w:val="24"/>
          <w:szCs w:val="24"/>
        </w:rPr>
        <w:t>Juzgado Tercero Civil del Circuito Judicial de Medellín</w:t>
      </w:r>
      <w:r w:rsidR="00036A46">
        <w:rPr>
          <w:sz w:val="24"/>
          <w:szCs w:val="24"/>
        </w:rPr>
        <w:t xml:space="preserve">, al </w:t>
      </w:r>
      <w:r w:rsidR="00036A46" w:rsidRPr="005E230D">
        <w:rPr>
          <w:sz w:val="24"/>
          <w:szCs w:val="24"/>
        </w:rPr>
        <w:t>Tribunal Superior de Medellín Sala Civil y a Seguros Generales Condor S.A.</w:t>
      </w:r>
      <w:r w:rsidR="00036A46">
        <w:rPr>
          <w:sz w:val="24"/>
          <w:szCs w:val="24"/>
        </w:rPr>
        <w:t xml:space="preserve">, y ordenó notificar a todos los sujetos procesales. </w:t>
      </w:r>
    </w:p>
    <w:p w14:paraId="7AAEF0DA" w14:textId="77777777" w:rsidR="00313A09" w:rsidRPr="00720E03" w:rsidRDefault="00313A09" w:rsidP="00720E03">
      <w:pPr>
        <w:rPr>
          <w:rFonts w:eastAsia="Verdana"/>
          <w:sz w:val="24"/>
          <w:szCs w:val="24"/>
        </w:rPr>
      </w:pPr>
    </w:p>
    <w:p w14:paraId="0CCBDED4" w14:textId="07FB4EB2" w:rsidR="008D5B52" w:rsidRPr="008D5B52" w:rsidRDefault="00ED2941" w:rsidP="00720E03">
      <w:pPr>
        <w:rPr>
          <w:rFonts w:eastAsia="Verdana"/>
          <w:bCs/>
          <w:sz w:val="24"/>
          <w:szCs w:val="24"/>
        </w:rPr>
      </w:pPr>
      <w:r w:rsidRPr="00720E03">
        <w:rPr>
          <w:rFonts w:eastAsia="Verdana"/>
          <w:b/>
          <w:sz w:val="24"/>
          <w:szCs w:val="24"/>
        </w:rPr>
        <w:t>1.</w:t>
      </w:r>
      <w:r w:rsidR="008D5B52">
        <w:rPr>
          <w:rFonts w:eastAsia="Verdana"/>
          <w:b/>
          <w:sz w:val="24"/>
          <w:szCs w:val="24"/>
        </w:rPr>
        <w:t>4</w:t>
      </w:r>
      <w:r w:rsidR="00AE0A75" w:rsidRPr="00720E03">
        <w:rPr>
          <w:rFonts w:eastAsia="Verdana"/>
          <w:b/>
          <w:sz w:val="24"/>
          <w:szCs w:val="24"/>
        </w:rPr>
        <w:t xml:space="preserve">.2. </w:t>
      </w:r>
      <w:r w:rsidR="008D5B52">
        <w:rPr>
          <w:rFonts w:eastAsia="Verdana"/>
          <w:bCs/>
          <w:sz w:val="24"/>
          <w:szCs w:val="24"/>
        </w:rPr>
        <w:t xml:space="preserve">El consejero de Estado </w:t>
      </w:r>
      <w:r w:rsidR="008D5B52" w:rsidRPr="007E4642">
        <w:rPr>
          <w:rFonts w:eastAsia="Verdana"/>
          <w:b/>
          <w:sz w:val="24"/>
          <w:szCs w:val="24"/>
        </w:rPr>
        <w:t>Alberto Montaña Plata</w:t>
      </w:r>
      <w:r w:rsidR="008D5B52">
        <w:rPr>
          <w:rFonts w:eastAsia="Verdana"/>
          <w:bCs/>
          <w:sz w:val="24"/>
          <w:szCs w:val="24"/>
        </w:rPr>
        <w:t xml:space="preserve"> presentó memorial en el que informó que el auto del 23 de junio de 2021 lo suscribió en su condición de </w:t>
      </w:r>
      <w:r w:rsidR="00055CD8">
        <w:rPr>
          <w:rFonts w:eastAsia="Verdana"/>
          <w:bCs/>
          <w:sz w:val="24"/>
          <w:szCs w:val="24"/>
        </w:rPr>
        <w:t>autoridad</w:t>
      </w:r>
      <w:r w:rsidR="008D5B52">
        <w:rPr>
          <w:rFonts w:eastAsia="Verdana"/>
          <w:bCs/>
          <w:sz w:val="24"/>
          <w:szCs w:val="24"/>
        </w:rPr>
        <w:t xml:space="preserve"> encargad</w:t>
      </w:r>
      <w:r w:rsidR="00055CD8">
        <w:rPr>
          <w:rFonts w:eastAsia="Verdana"/>
          <w:bCs/>
          <w:sz w:val="24"/>
          <w:szCs w:val="24"/>
        </w:rPr>
        <w:t>a</w:t>
      </w:r>
      <w:r w:rsidR="008D5B52">
        <w:rPr>
          <w:rFonts w:eastAsia="Verdana"/>
          <w:bCs/>
          <w:sz w:val="24"/>
          <w:szCs w:val="24"/>
        </w:rPr>
        <w:t xml:space="preserve"> del </w:t>
      </w:r>
      <w:r w:rsidR="007F6704">
        <w:rPr>
          <w:rFonts w:eastAsia="Verdana"/>
          <w:bCs/>
          <w:sz w:val="24"/>
          <w:szCs w:val="24"/>
        </w:rPr>
        <w:t>D</w:t>
      </w:r>
      <w:r w:rsidR="008D5B52">
        <w:rPr>
          <w:rFonts w:eastAsia="Verdana"/>
          <w:bCs/>
          <w:sz w:val="24"/>
          <w:szCs w:val="24"/>
        </w:rPr>
        <w:t xml:space="preserve">espacho que actualmente dirige el magistrado Fredy Ibarra Martínez, que </w:t>
      </w:r>
      <w:r w:rsidR="00055CD8">
        <w:rPr>
          <w:rFonts w:eastAsia="Verdana"/>
          <w:bCs/>
          <w:sz w:val="24"/>
          <w:szCs w:val="24"/>
        </w:rPr>
        <w:t>es</w:t>
      </w:r>
      <w:r w:rsidR="008D5B52">
        <w:rPr>
          <w:rFonts w:eastAsia="Verdana"/>
          <w:bCs/>
          <w:sz w:val="24"/>
          <w:szCs w:val="24"/>
        </w:rPr>
        <w:t xml:space="preserve"> </w:t>
      </w:r>
      <w:r w:rsidR="007E4642">
        <w:rPr>
          <w:rFonts w:eastAsia="Verdana"/>
          <w:bCs/>
          <w:sz w:val="24"/>
          <w:szCs w:val="24"/>
        </w:rPr>
        <w:t>el que debería dar cumplimiento a una eventual orden de tutela. Agregó que la providencia cuestionada por el accionante contiene los argumentos y elementos necesarios que la justifi</w:t>
      </w:r>
      <w:r w:rsidR="00055CD8">
        <w:rPr>
          <w:rFonts w:eastAsia="Verdana"/>
          <w:bCs/>
          <w:sz w:val="24"/>
          <w:szCs w:val="24"/>
        </w:rPr>
        <w:t>can</w:t>
      </w:r>
      <w:r w:rsidR="00003813" w:rsidRPr="00720E03">
        <w:rPr>
          <w:rStyle w:val="Refdenotaalpie"/>
          <w:rFonts w:eastAsia="Times New Roman"/>
          <w:sz w:val="24"/>
          <w:szCs w:val="24"/>
          <w:lang w:eastAsia="es-ES"/>
        </w:rPr>
        <w:footnoteReference w:id="14"/>
      </w:r>
      <w:r w:rsidR="007E4642">
        <w:rPr>
          <w:rFonts w:eastAsia="Verdana"/>
          <w:bCs/>
          <w:sz w:val="24"/>
          <w:szCs w:val="24"/>
        </w:rPr>
        <w:t xml:space="preserve">. </w:t>
      </w:r>
    </w:p>
    <w:p w14:paraId="5812FB8B" w14:textId="77777777" w:rsidR="005A0911" w:rsidRPr="00720E03" w:rsidRDefault="005A0911" w:rsidP="00720E03">
      <w:pPr>
        <w:rPr>
          <w:rFonts w:eastAsia="Verdana"/>
          <w:sz w:val="24"/>
          <w:szCs w:val="24"/>
        </w:rPr>
      </w:pPr>
    </w:p>
    <w:p w14:paraId="28B940BB" w14:textId="362F3CFC" w:rsidR="007E66D8" w:rsidRPr="009C2698" w:rsidRDefault="005A0911" w:rsidP="00720E03">
      <w:pPr>
        <w:rPr>
          <w:rFonts w:eastAsia="Verdana"/>
          <w:bCs/>
          <w:sz w:val="24"/>
          <w:szCs w:val="24"/>
        </w:rPr>
      </w:pPr>
      <w:r w:rsidRPr="00720E03">
        <w:rPr>
          <w:rFonts w:eastAsia="Verdana"/>
          <w:b/>
          <w:sz w:val="24"/>
          <w:szCs w:val="24"/>
        </w:rPr>
        <w:t>1.</w:t>
      </w:r>
      <w:r w:rsidR="00003813">
        <w:rPr>
          <w:rFonts w:eastAsia="Verdana"/>
          <w:b/>
          <w:sz w:val="24"/>
          <w:szCs w:val="24"/>
        </w:rPr>
        <w:t>4</w:t>
      </w:r>
      <w:r w:rsidRPr="00720E03">
        <w:rPr>
          <w:rFonts w:eastAsia="Verdana"/>
          <w:b/>
          <w:sz w:val="24"/>
          <w:szCs w:val="24"/>
        </w:rPr>
        <w:t>.</w:t>
      </w:r>
      <w:r w:rsidR="00DB0835" w:rsidRPr="00720E03">
        <w:rPr>
          <w:rFonts w:eastAsia="Verdana"/>
          <w:b/>
          <w:sz w:val="24"/>
          <w:szCs w:val="24"/>
        </w:rPr>
        <w:t>3</w:t>
      </w:r>
      <w:r w:rsidRPr="00720E03">
        <w:rPr>
          <w:rFonts w:eastAsia="Verdana"/>
          <w:b/>
          <w:sz w:val="24"/>
          <w:szCs w:val="24"/>
        </w:rPr>
        <w:t xml:space="preserve">. </w:t>
      </w:r>
      <w:r w:rsidR="00D14A0A">
        <w:rPr>
          <w:rFonts w:eastAsia="Verdana"/>
          <w:bCs/>
          <w:sz w:val="24"/>
          <w:szCs w:val="24"/>
        </w:rPr>
        <w:t xml:space="preserve">Por su parte, el magistrado </w:t>
      </w:r>
      <w:r w:rsidR="00D14A0A" w:rsidRPr="008E6282">
        <w:rPr>
          <w:rFonts w:eastAsia="Verdana"/>
          <w:b/>
          <w:sz w:val="24"/>
          <w:szCs w:val="24"/>
        </w:rPr>
        <w:t>Fredy Ibarra Martínez</w:t>
      </w:r>
      <w:r w:rsidR="00D14A0A">
        <w:rPr>
          <w:rFonts w:eastAsia="Verdana"/>
          <w:bCs/>
          <w:sz w:val="24"/>
          <w:szCs w:val="24"/>
        </w:rPr>
        <w:t xml:space="preserve"> </w:t>
      </w:r>
      <w:r w:rsidR="008E6282">
        <w:rPr>
          <w:rFonts w:eastAsia="Verdana"/>
          <w:bCs/>
          <w:sz w:val="24"/>
          <w:szCs w:val="24"/>
        </w:rPr>
        <w:t>allegó memorial de</w:t>
      </w:r>
      <w:r w:rsidR="00D14A0A">
        <w:rPr>
          <w:rFonts w:eastAsia="Verdana"/>
          <w:bCs/>
          <w:sz w:val="24"/>
          <w:szCs w:val="24"/>
        </w:rPr>
        <w:t xml:space="preserve"> contestación</w:t>
      </w:r>
      <w:r w:rsidR="00035AD8" w:rsidRPr="00720E03">
        <w:rPr>
          <w:rStyle w:val="Refdenotaalpie"/>
          <w:rFonts w:eastAsia="Times New Roman"/>
          <w:sz w:val="24"/>
          <w:szCs w:val="24"/>
          <w:lang w:eastAsia="es-ES"/>
        </w:rPr>
        <w:footnoteReference w:id="15"/>
      </w:r>
      <w:r w:rsidR="00D14A0A">
        <w:rPr>
          <w:rFonts w:eastAsia="Verdana"/>
          <w:bCs/>
          <w:sz w:val="24"/>
          <w:szCs w:val="24"/>
        </w:rPr>
        <w:t xml:space="preserve">, </w:t>
      </w:r>
      <w:r w:rsidR="008E6282">
        <w:rPr>
          <w:rFonts w:eastAsia="Verdana"/>
          <w:bCs/>
          <w:sz w:val="24"/>
          <w:szCs w:val="24"/>
        </w:rPr>
        <w:t xml:space="preserve">en el que </w:t>
      </w:r>
      <w:r w:rsidR="00D14A0A">
        <w:rPr>
          <w:rFonts w:eastAsia="Verdana"/>
          <w:bCs/>
          <w:sz w:val="24"/>
          <w:szCs w:val="24"/>
        </w:rPr>
        <w:t xml:space="preserve">indicó que el trámite con radicado núm. 2021-00794-00 fue adelantado por el </w:t>
      </w:r>
      <w:r w:rsidR="007F6704">
        <w:rPr>
          <w:rFonts w:eastAsia="Verdana"/>
          <w:bCs/>
          <w:sz w:val="24"/>
          <w:szCs w:val="24"/>
        </w:rPr>
        <w:t>D</w:t>
      </w:r>
      <w:r w:rsidR="00D14A0A">
        <w:rPr>
          <w:rFonts w:eastAsia="Verdana"/>
          <w:bCs/>
          <w:sz w:val="24"/>
          <w:szCs w:val="24"/>
        </w:rPr>
        <w:t xml:space="preserve">espacho que preside, </w:t>
      </w:r>
      <w:r w:rsidR="008E6282">
        <w:rPr>
          <w:rFonts w:eastAsia="Verdana"/>
          <w:bCs/>
          <w:sz w:val="24"/>
          <w:szCs w:val="24"/>
        </w:rPr>
        <w:t>bajo la dirección del</w:t>
      </w:r>
      <w:r w:rsidR="00D14A0A">
        <w:rPr>
          <w:rFonts w:eastAsia="Verdana"/>
          <w:bCs/>
          <w:sz w:val="24"/>
          <w:szCs w:val="24"/>
        </w:rPr>
        <w:t xml:space="preserve"> exmagistrado Ramiro Pazos Guerrero y</w:t>
      </w:r>
      <w:r w:rsidR="008E6282">
        <w:rPr>
          <w:rFonts w:eastAsia="Verdana"/>
          <w:bCs/>
          <w:sz w:val="24"/>
          <w:szCs w:val="24"/>
        </w:rPr>
        <w:t>,</w:t>
      </w:r>
      <w:r w:rsidR="00D14A0A">
        <w:rPr>
          <w:rFonts w:eastAsia="Verdana"/>
          <w:bCs/>
          <w:sz w:val="24"/>
          <w:szCs w:val="24"/>
        </w:rPr>
        <w:t xml:space="preserve"> posteriormente, en encargo,</w:t>
      </w:r>
      <w:r w:rsidR="008E6282">
        <w:rPr>
          <w:rFonts w:eastAsia="Verdana"/>
          <w:bCs/>
          <w:sz w:val="24"/>
          <w:szCs w:val="24"/>
        </w:rPr>
        <w:t xml:space="preserve"> el consejero </w:t>
      </w:r>
      <w:r w:rsidR="00D14A0A">
        <w:rPr>
          <w:rFonts w:eastAsia="Verdana"/>
          <w:bCs/>
          <w:sz w:val="24"/>
          <w:szCs w:val="24"/>
        </w:rPr>
        <w:t xml:space="preserve">Alberto Montaña Plata. </w:t>
      </w:r>
      <w:r w:rsidR="008E6282">
        <w:rPr>
          <w:rFonts w:eastAsia="Verdana"/>
          <w:bCs/>
          <w:sz w:val="24"/>
          <w:szCs w:val="24"/>
        </w:rPr>
        <w:t>Adujo que las diligencias de notificación corresponde</w:t>
      </w:r>
      <w:r w:rsidR="009C2698">
        <w:rPr>
          <w:rFonts w:eastAsia="Verdana"/>
          <w:bCs/>
          <w:sz w:val="24"/>
          <w:szCs w:val="24"/>
        </w:rPr>
        <w:t xml:space="preserve"> realizarlas</w:t>
      </w:r>
      <w:r w:rsidR="008E6282">
        <w:rPr>
          <w:rFonts w:eastAsia="Verdana"/>
          <w:bCs/>
          <w:sz w:val="24"/>
          <w:szCs w:val="24"/>
        </w:rPr>
        <w:t xml:space="preserve"> a la Secretaría General del Consejo de Estado, y que el fallo del 9 de abril de 2021 fue debidamente notificado a la </w:t>
      </w:r>
      <w:r w:rsidR="007E66D8">
        <w:rPr>
          <w:rFonts w:eastAsia="Verdana"/>
          <w:bCs/>
          <w:sz w:val="24"/>
          <w:szCs w:val="24"/>
        </w:rPr>
        <w:t xml:space="preserve">dirección de correo electrónico </w:t>
      </w:r>
      <w:r w:rsidR="007E66D8" w:rsidRPr="007E66D8">
        <w:rPr>
          <w:sz w:val="24"/>
          <w:szCs w:val="24"/>
        </w:rPr>
        <w:t>jiuvezjudicial@gmail.com</w:t>
      </w:r>
      <w:r w:rsidR="007E66D8">
        <w:rPr>
          <w:sz w:val="24"/>
          <w:szCs w:val="24"/>
        </w:rPr>
        <w:t xml:space="preserve"> que fue proporcionada en el escrito de tutela. </w:t>
      </w:r>
    </w:p>
    <w:p w14:paraId="0461282E" w14:textId="77777777" w:rsidR="007E66D8" w:rsidRDefault="007E66D8" w:rsidP="00720E03">
      <w:pPr>
        <w:rPr>
          <w:sz w:val="24"/>
          <w:szCs w:val="24"/>
        </w:rPr>
      </w:pPr>
    </w:p>
    <w:p w14:paraId="0072FBEE" w14:textId="18F9672D" w:rsidR="008E6282" w:rsidRDefault="007E66D8" w:rsidP="00720E03">
      <w:pPr>
        <w:rPr>
          <w:rFonts w:eastAsia="Verdana"/>
          <w:bCs/>
          <w:sz w:val="24"/>
          <w:szCs w:val="24"/>
        </w:rPr>
      </w:pPr>
      <w:r>
        <w:rPr>
          <w:sz w:val="24"/>
          <w:szCs w:val="24"/>
        </w:rPr>
        <w:t>Manifestó</w:t>
      </w:r>
      <w:r w:rsidR="00262D7A">
        <w:rPr>
          <w:sz w:val="24"/>
          <w:szCs w:val="24"/>
        </w:rPr>
        <w:t xml:space="preserve"> que el error</w:t>
      </w:r>
      <w:r>
        <w:rPr>
          <w:sz w:val="24"/>
          <w:szCs w:val="24"/>
        </w:rPr>
        <w:t xml:space="preserve"> </w:t>
      </w:r>
      <w:r w:rsidR="00262D7A">
        <w:rPr>
          <w:sz w:val="24"/>
          <w:szCs w:val="24"/>
        </w:rPr>
        <w:t xml:space="preserve">de transcripción </w:t>
      </w:r>
      <w:r w:rsidR="009C2698">
        <w:rPr>
          <w:sz w:val="24"/>
          <w:szCs w:val="24"/>
        </w:rPr>
        <w:t>en</w:t>
      </w:r>
      <w:r w:rsidR="00262D7A">
        <w:rPr>
          <w:sz w:val="24"/>
          <w:szCs w:val="24"/>
        </w:rPr>
        <w:t xml:space="preserve"> la dirección de correo electrónico cometido en </w:t>
      </w:r>
      <w:r>
        <w:rPr>
          <w:sz w:val="24"/>
          <w:szCs w:val="24"/>
        </w:rPr>
        <w:t xml:space="preserve">el auto del </w:t>
      </w:r>
      <w:r w:rsidRPr="007E66D8">
        <w:rPr>
          <w:sz w:val="24"/>
          <w:szCs w:val="24"/>
        </w:rPr>
        <w:t>27 de mayo de 2021</w:t>
      </w:r>
      <w:r>
        <w:rPr>
          <w:sz w:val="24"/>
          <w:szCs w:val="24"/>
        </w:rPr>
        <w:t xml:space="preserve"> que rechazó el recurso de impugnación</w:t>
      </w:r>
      <w:r w:rsidR="00262D7A">
        <w:rPr>
          <w:sz w:val="24"/>
          <w:szCs w:val="24"/>
        </w:rPr>
        <w:t>,</w:t>
      </w:r>
      <w:r>
        <w:rPr>
          <w:sz w:val="24"/>
          <w:szCs w:val="24"/>
        </w:rPr>
        <w:t xml:space="preserve"> </w:t>
      </w:r>
      <w:r w:rsidR="00262D7A">
        <w:rPr>
          <w:sz w:val="24"/>
          <w:szCs w:val="24"/>
        </w:rPr>
        <w:t>no varió o afectó la validez de la notificación de la sentencia del 9 de abril de 2021.</w:t>
      </w:r>
    </w:p>
    <w:p w14:paraId="1ACBFB49" w14:textId="32F7DF72" w:rsidR="008E6282" w:rsidRDefault="008E6282" w:rsidP="00720E03">
      <w:pPr>
        <w:rPr>
          <w:rFonts w:eastAsia="Verdana"/>
          <w:bCs/>
          <w:sz w:val="24"/>
          <w:szCs w:val="24"/>
        </w:rPr>
      </w:pPr>
    </w:p>
    <w:p w14:paraId="6A43F7CC" w14:textId="5967A2EB" w:rsidR="001947B1" w:rsidRDefault="001947B1" w:rsidP="00720E03">
      <w:pPr>
        <w:rPr>
          <w:rFonts w:eastAsia="Verdana"/>
          <w:bCs/>
          <w:sz w:val="24"/>
          <w:szCs w:val="24"/>
        </w:rPr>
      </w:pPr>
      <w:r>
        <w:rPr>
          <w:rFonts w:eastAsia="Verdana"/>
          <w:bCs/>
          <w:sz w:val="24"/>
          <w:szCs w:val="24"/>
        </w:rPr>
        <w:t>Por último, advirtió que si bien en contra de la providencia que rechaza el recurso de impugnación no procede</w:t>
      </w:r>
      <w:r w:rsidR="006C3D52">
        <w:rPr>
          <w:rFonts w:eastAsia="Verdana"/>
          <w:bCs/>
          <w:sz w:val="24"/>
          <w:szCs w:val="24"/>
        </w:rPr>
        <w:t>n</w:t>
      </w:r>
      <w:r>
        <w:rPr>
          <w:rFonts w:eastAsia="Verdana"/>
          <w:bCs/>
          <w:sz w:val="24"/>
          <w:szCs w:val="24"/>
        </w:rPr>
        <w:t xml:space="preserve"> recursos, lo cierto es que el auto del 23 de junio de 2021 garantizó</w:t>
      </w:r>
      <w:r w:rsidR="00E63FE4">
        <w:rPr>
          <w:rFonts w:eastAsia="Verdana"/>
          <w:bCs/>
          <w:sz w:val="24"/>
          <w:szCs w:val="24"/>
        </w:rPr>
        <w:t xml:space="preserve"> los</w:t>
      </w:r>
      <w:r>
        <w:rPr>
          <w:rFonts w:eastAsia="Verdana"/>
          <w:bCs/>
          <w:sz w:val="24"/>
          <w:szCs w:val="24"/>
        </w:rPr>
        <w:t xml:space="preserve"> </w:t>
      </w:r>
      <w:r w:rsidR="00E63FE4">
        <w:rPr>
          <w:rFonts w:eastAsia="Verdana"/>
          <w:bCs/>
          <w:sz w:val="24"/>
          <w:szCs w:val="24"/>
        </w:rPr>
        <w:t xml:space="preserve">derechos fundamentales del actor. En tal sentido, </w:t>
      </w:r>
      <w:r w:rsidR="00A25CCC">
        <w:rPr>
          <w:rFonts w:eastAsia="Verdana"/>
          <w:bCs/>
          <w:sz w:val="24"/>
          <w:szCs w:val="24"/>
        </w:rPr>
        <w:t xml:space="preserve">expresó que el interés </w:t>
      </w:r>
      <w:r w:rsidR="00A25CCC">
        <w:rPr>
          <w:rFonts w:eastAsia="Verdana"/>
          <w:bCs/>
          <w:sz w:val="24"/>
          <w:szCs w:val="24"/>
        </w:rPr>
        <w:lastRenderedPageBreak/>
        <w:t xml:space="preserve">del señor Valencia Prieto </w:t>
      </w:r>
      <w:r w:rsidR="00FD5AE6">
        <w:rPr>
          <w:rFonts w:eastAsia="Verdana"/>
          <w:bCs/>
          <w:sz w:val="24"/>
          <w:szCs w:val="24"/>
        </w:rPr>
        <w:t>con la solicitud de amparo es</w:t>
      </w:r>
      <w:r w:rsidR="00A25CCC">
        <w:rPr>
          <w:rFonts w:eastAsia="Verdana"/>
          <w:bCs/>
          <w:sz w:val="24"/>
          <w:szCs w:val="24"/>
        </w:rPr>
        <w:t xml:space="preserve"> revivir la discusión que quedó zanjada en el proceso de tutela.</w:t>
      </w:r>
    </w:p>
    <w:p w14:paraId="0B8751D3" w14:textId="77777777" w:rsidR="005D0408" w:rsidRDefault="005D0408" w:rsidP="00720E03">
      <w:pPr>
        <w:rPr>
          <w:rFonts w:eastAsia="Verdana"/>
          <w:bCs/>
          <w:sz w:val="24"/>
          <w:szCs w:val="24"/>
        </w:rPr>
      </w:pPr>
    </w:p>
    <w:p w14:paraId="04157236" w14:textId="73F05844" w:rsidR="0000789C" w:rsidRPr="0000789C" w:rsidRDefault="00035AD8" w:rsidP="00720E03">
      <w:pPr>
        <w:rPr>
          <w:rFonts w:eastAsia="Verdana"/>
          <w:bCs/>
          <w:sz w:val="24"/>
          <w:szCs w:val="24"/>
        </w:rPr>
      </w:pPr>
      <w:r>
        <w:rPr>
          <w:rFonts w:eastAsia="Verdana"/>
          <w:b/>
          <w:sz w:val="24"/>
          <w:szCs w:val="24"/>
        </w:rPr>
        <w:t xml:space="preserve">1.4.4. </w:t>
      </w:r>
      <w:r w:rsidR="0000789C">
        <w:rPr>
          <w:rFonts w:eastAsia="Verdana"/>
          <w:bCs/>
          <w:sz w:val="24"/>
          <w:szCs w:val="24"/>
        </w:rPr>
        <w:t>El Juez Primero Civil Municipal de Medellín indicó que se atiene a lo que se pruebe en el trámite de tutela de la referencia</w:t>
      </w:r>
      <w:r w:rsidR="0000789C" w:rsidRPr="00720E03">
        <w:rPr>
          <w:rStyle w:val="Refdenotaalpie"/>
          <w:rFonts w:eastAsia="Times New Roman"/>
          <w:sz w:val="24"/>
          <w:szCs w:val="24"/>
          <w:lang w:eastAsia="es-ES"/>
        </w:rPr>
        <w:footnoteReference w:id="16"/>
      </w:r>
      <w:r w:rsidR="0000789C">
        <w:rPr>
          <w:rFonts w:eastAsia="Verdana"/>
          <w:bCs/>
          <w:sz w:val="24"/>
          <w:szCs w:val="24"/>
        </w:rPr>
        <w:t>.</w:t>
      </w:r>
    </w:p>
    <w:p w14:paraId="20648405" w14:textId="77777777" w:rsidR="0000789C" w:rsidRDefault="0000789C" w:rsidP="00720E03">
      <w:pPr>
        <w:rPr>
          <w:rFonts w:eastAsia="Verdana"/>
          <w:b/>
          <w:sz w:val="24"/>
          <w:szCs w:val="24"/>
        </w:rPr>
      </w:pPr>
    </w:p>
    <w:p w14:paraId="0B73869B" w14:textId="3A53AC73" w:rsidR="00035AD8" w:rsidRDefault="0000789C" w:rsidP="00720E03">
      <w:pPr>
        <w:rPr>
          <w:sz w:val="24"/>
          <w:szCs w:val="24"/>
        </w:rPr>
      </w:pPr>
      <w:r>
        <w:rPr>
          <w:rFonts w:eastAsia="Verdana"/>
          <w:b/>
          <w:sz w:val="24"/>
          <w:szCs w:val="24"/>
        </w:rPr>
        <w:t xml:space="preserve">1.4.5. </w:t>
      </w:r>
      <w:r w:rsidR="00035AD8">
        <w:rPr>
          <w:rFonts w:eastAsia="Verdana"/>
          <w:bCs/>
          <w:sz w:val="24"/>
          <w:szCs w:val="24"/>
        </w:rPr>
        <w:t xml:space="preserve">De otro lado, en atención a que la Secretaría General informó </w:t>
      </w:r>
      <w:r w:rsidR="00B43F8D">
        <w:rPr>
          <w:rFonts w:eastAsia="Verdana"/>
          <w:bCs/>
          <w:sz w:val="24"/>
          <w:szCs w:val="24"/>
        </w:rPr>
        <w:t xml:space="preserve">dentro del expediente de la referencia </w:t>
      </w:r>
      <w:r w:rsidR="00035AD8">
        <w:rPr>
          <w:rFonts w:eastAsia="Verdana"/>
          <w:bCs/>
          <w:sz w:val="24"/>
          <w:szCs w:val="24"/>
        </w:rPr>
        <w:t xml:space="preserve">que no fue posible </w:t>
      </w:r>
      <w:r w:rsidR="00B43F8D">
        <w:rPr>
          <w:rFonts w:eastAsia="Verdana"/>
          <w:bCs/>
          <w:sz w:val="24"/>
          <w:szCs w:val="24"/>
        </w:rPr>
        <w:t>notificar el auto admisorio del 9 de abril de 2021 a</w:t>
      </w:r>
      <w:r w:rsidR="00035AD8">
        <w:rPr>
          <w:rFonts w:eastAsia="Verdana"/>
          <w:bCs/>
          <w:sz w:val="24"/>
          <w:szCs w:val="24"/>
        </w:rPr>
        <w:t xml:space="preserve"> Seguros Generales Condor S.A. y </w:t>
      </w:r>
      <w:r w:rsidR="00E01A87">
        <w:rPr>
          <w:rFonts w:eastAsia="Verdana"/>
          <w:bCs/>
          <w:sz w:val="24"/>
          <w:szCs w:val="24"/>
        </w:rPr>
        <w:t xml:space="preserve">a </w:t>
      </w:r>
      <w:r w:rsidR="00035AD8">
        <w:rPr>
          <w:rFonts w:eastAsia="Verdana"/>
          <w:bCs/>
          <w:sz w:val="24"/>
          <w:szCs w:val="24"/>
        </w:rPr>
        <w:t xml:space="preserve">los señores </w:t>
      </w:r>
      <w:r w:rsidR="00035AD8" w:rsidRPr="008345C0">
        <w:rPr>
          <w:sz w:val="24"/>
          <w:szCs w:val="24"/>
        </w:rPr>
        <w:t>Jairo Valencia Rendón</w:t>
      </w:r>
      <w:r w:rsidR="00035AD8">
        <w:rPr>
          <w:sz w:val="24"/>
          <w:szCs w:val="24"/>
        </w:rPr>
        <w:t xml:space="preserve"> y </w:t>
      </w:r>
      <w:r w:rsidR="00035AD8" w:rsidRPr="008345C0">
        <w:rPr>
          <w:sz w:val="24"/>
          <w:szCs w:val="24"/>
        </w:rPr>
        <w:t>Oscar Valencia Prieto</w:t>
      </w:r>
      <w:r w:rsidR="00035AD8">
        <w:rPr>
          <w:sz w:val="24"/>
          <w:szCs w:val="24"/>
        </w:rPr>
        <w:t xml:space="preserve">, </w:t>
      </w:r>
      <w:r w:rsidR="00035AD8">
        <w:rPr>
          <w:rFonts w:eastAsia="Verdana"/>
          <w:bCs/>
          <w:sz w:val="24"/>
          <w:szCs w:val="24"/>
        </w:rPr>
        <w:t xml:space="preserve">el Despacho del magistrado ponente ordenó, en auto del </w:t>
      </w:r>
      <w:r w:rsidR="00035AD8" w:rsidRPr="00E43E94">
        <w:rPr>
          <w:rFonts w:eastAsia="Verdana"/>
          <w:b/>
          <w:sz w:val="24"/>
          <w:szCs w:val="24"/>
        </w:rPr>
        <w:t>11 de febrero de 2021</w:t>
      </w:r>
      <w:r w:rsidR="00035AD8" w:rsidRPr="00720E03">
        <w:rPr>
          <w:rStyle w:val="Refdenotaalpie"/>
          <w:rFonts w:eastAsia="Times New Roman"/>
          <w:sz w:val="24"/>
          <w:szCs w:val="24"/>
          <w:lang w:eastAsia="es-ES"/>
        </w:rPr>
        <w:footnoteReference w:id="17"/>
      </w:r>
      <w:r w:rsidR="00035AD8">
        <w:rPr>
          <w:rFonts w:eastAsia="Verdana"/>
          <w:bCs/>
          <w:sz w:val="24"/>
          <w:szCs w:val="24"/>
        </w:rPr>
        <w:t xml:space="preserve">, que los sujetos procesales mencionados fueran notificados a través </w:t>
      </w:r>
      <w:r w:rsidR="00035AD8">
        <w:rPr>
          <w:sz w:val="24"/>
          <w:szCs w:val="24"/>
        </w:rPr>
        <w:t xml:space="preserve">del </w:t>
      </w:r>
      <w:r w:rsidR="00035AD8" w:rsidRPr="00791880">
        <w:rPr>
          <w:sz w:val="24"/>
          <w:szCs w:val="24"/>
        </w:rPr>
        <w:t xml:space="preserve">Fondo </w:t>
      </w:r>
      <w:r w:rsidR="00035AD8">
        <w:rPr>
          <w:sz w:val="24"/>
          <w:szCs w:val="24"/>
        </w:rPr>
        <w:t>d</w:t>
      </w:r>
      <w:r w:rsidR="00035AD8" w:rsidRPr="00791880">
        <w:rPr>
          <w:sz w:val="24"/>
          <w:szCs w:val="24"/>
        </w:rPr>
        <w:t>e Garan</w:t>
      </w:r>
      <w:r w:rsidR="00035AD8">
        <w:rPr>
          <w:sz w:val="24"/>
          <w:szCs w:val="24"/>
        </w:rPr>
        <w:t>tí</w:t>
      </w:r>
      <w:r w:rsidR="00035AD8" w:rsidRPr="00791880">
        <w:rPr>
          <w:sz w:val="24"/>
          <w:szCs w:val="24"/>
        </w:rPr>
        <w:t xml:space="preserve">as </w:t>
      </w:r>
      <w:r w:rsidR="00035AD8">
        <w:rPr>
          <w:sz w:val="24"/>
          <w:szCs w:val="24"/>
        </w:rPr>
        <w:t>d</w:t>
      </w:r>
      <w:r w:rsidR="00035AD8" w:rsidRPr="00791880">
        <w:rPr>
          <w:sz w:val="24"/>
          <w:szCs w:val="24"/>
        </w:rPr>
        <w:t>e Instituciones Financieras</w:t>
      </w:r>
      <w:r w:rsidR="00035AD8">
        <w:rPr>
          <w:sz w:val="24"/>
          <w:szCs w:val="24"/>
        </w:rPr>
        <w:t xml:space="preserve">, de </w:t>
      </w:r>
      <w:r w:rsidR="00035AD8" w:rsidRPr="00B36DA9">
        <w:rPr>
          <w:sz w:val="24"/>
          <w:szCs w:val="24"/>
        </w:rPr>
        <w:t xml:space="preserve">Nacional </w:t>
      </w:r>
      <w:r w:rsidR="00035AD8">
        <w:rPr>
          <w:sz w:val="24"/>
          <w:szCs w:val="24"/>
        </w:rPr>
        <w:t>d</w:t>
      </w:r>
      <w:r w:rsidR="00035AD8" w:rsidRPr="00B36DA9">
        <w:rPr>
          <w:sz w:val="24"/>
          <w:szCs w:val="24"/>
        </w:rPr>
        <w:t>e Seguros</w:t>
      </w:r>
      <w:r w:rsidR="00035AD8">
        <w:rPr>
          <w:sz w:val="24"/>
          <w:szCs w:val="24"/>
        </w:rPr>
        <w:t xml:space="preserve">, de la </w:t>
      </w:r>
      <w:r w:rsidR="00035AD8" w:rsidRPr="00165BAC">
        <w:rPr>
          <w:sz w:val="24"/>
          <w:szCs w:val="24"/>
        </w:rPr>
        <w:t xml:space="preserve">Sociedad Fiduciaria de Desarrollo Agropecuario </w:t>
      </w:r>
      <w:proofErr w:type="spellStart"/>
      <w:r w:rsidR="00035AD8" w:rsidRPr="00165BAC">
        <w:rPr>
          <w:sz w:val="24"/>
          <w:szCs w:val="24"/>
        </w:rPr>
        <w:t>Fiduagraria</w:t>
      </w:r>
      <w:proofErr w:type="spellEnd"/>
      <w:r w:rsidR="00035AD8" w:rsidRPr="00165BAC">
        <w:rPr>
          <w:sz w:val="24"/>
          <w:szCs w:val="24"/>
        </w:rPr>
        <w:t xml:space="preserve"> S</w:t>
      </w:r>
      <w:r w:rsidR="00035AD8">
        <w:rPr>
          <w:sz w:val="24"/>
          <w:szCs w:val="24"/>
        </w:rPr>
        <w:t xml:space="preserve">.A., y de la página web del Consejo de Estado y la Rama Judicial, respectivamente. </w:t>
      </w:r>
    </w:p>
    <w:p w14:paraId="4F17A2C1" w14:textId="387A5018" w:rsidR="0000789C" w:rsidRDefault="0000789C" w:rsidP="00720E03">
      <w:pPr>
        <w:rPr>
          <w:sz w:val="24"/>
          <w:szCs w:val="24"/>
        </w:rPr>
      </w:pPr>
    </w:p>
    <w:p w14:paraId="2058B69C" w14:textId="1C958CDE" w:rsidR="00B43F8D" w:rsidRDefault="0000789C" w:rsidP="00720E03">
      <w:pPr>
        <w:rPr>
          <w:sz w:val="24"/>
          <w:szCs w:val="24"/>
        </w:rPr>
      </w:pPr>
      <w:r>
        <w:rPr>
          <w:b/>
          <w:bCs/>
          <w:sz w:val="24"/>
          <w:szCs w:val="24"/>
        </w:rPr>
        <w:t>1.4.</w:t>
      </w:r>
      <w:r w:rsidR="000A19DC">
        <w:rPr>
          <w:b/>
          <w:bCs/>
          <w:sz w:val="24"/>
          <w:szCs w:val="24"/>
        </w:rPr>
        <w:t>6</w:t>
      </w:r>
      <w:r>
        <w:rPr>
          <w:b/>
          <w:bCs/>
          <w:sz w:val="24"/>
          <w:szCs w:val="24"/>
        </w:rPr>
        <w:t xml:space="preserve">. </w:t>
      </w:r>
      <w:r>
        <w:rPr>
          <w:sz w:val="24"/>
          <w:szCs w:val="24"/>
        </w:rPr>
        <w:t xml:space="preserve">Nacional de Seguros </w:t>
      </w:r>
      <w:r w:rsidR="001F29B1">
        <w:rPr>
          <w:sz w:val="24"/>
          <w:szCs w:val="24"/>
        </w:rPr>
        <w:t>expresó</w:t>
      </w:r>
      <w:r>
        <w:rPr>
          <w:sz w:val="24"/>
          <w:szCs w:val="24"/>
        </w:rPr>
        <w:t xml:space="preserve"> que no tenía relación con Seguros Generales Condor S.A.</w:t>
      </w:r>
      <w:r w:rsidRPr="00720E03">
        <w:rPr>
          <w:rStyle w:val="Refdenotaalpie"/>
          <w:rFonts w:eastAsia="Times New Roman"/>
          <w:sz w:val="24"/>
          <w:szCs w:val="24"/>
          <w:lang w:eastAsia="es-ES"/>
        </w:rPr>
        <w:footnoteReference w:id="18"/>
      </w:r>
      <w:r>
        <w:rPr>
          <w:sz w:val="24"/>
          <w:szCs w:val="24"/>
        </w:rPr>
        <w:t>.</w:t>
      </w:r>
      <w:r w:rsidR="001F29B1">
        <w:rPr>
          <w:sz w:val="24"/>
          <w:szCs w:val="24"/>
        </w:rPr>
        <w:t xml:space="preserve"> Por su parte, el </w:t>
      </w:r>
      <w:r w:rsidR="001F29B1" w:rsidRPr="00791880">
        <w:rPr>
          <w:sz w:val="24"/>
          <w:szCs w:val="24"/>
        </w:rPr>
        <w:t xml:space="preserve">Fondo </w:t>
      </w:r>
      <w:r w:rsidR="001F29B1">
        <w:rPr>
          <w:sz w:val="24"/>
          <w:szCs w:val="24"/>
        </w:rPr>
        <w:t>d</w:t>
      </w:r>
      <w:r w:rsidR="001F29B1" w:rsidRPr="00791880">
        <w:rPr>
          <w:sz w:val="24"/>
          <w:szCs w:val="24"/>
        </w:rPr>
        <w:t>e Garan</w:t>
      </w:r>
      <w:r w:rsidR="001F29B1">
        <w:rPr>
          <w:sz w:val="24"/>
          <w:szCs w:val="24"/>
        </w:rPr>
        <w:t>tí</w:t>
      </w:r>
      <w:r w:rsidR="001F29B1" w:rsidRPr="00791880">
        <w:rPr>
          <w:sz w:val="24"/>
          <w:szCs w:val="24"/>
        </w:rPr>
        <w:t xml:space="preserve">as </w:t>
      </w:r>
      <w:r w:rsidR="001F29B1">
        <w:rPr>
          <w:sz w:val="24"/>
          <w:szCs w:val="24"/>
        </w:rPr>
        <w:t>d</w:t>
      </w:r>
      <w:r w:rsidR="001F29B1" w:rsidRPr="00791880">
        <w:rPr>
          <w:sz w:val="24"/>
          <w:szCs w:val="24"/>
        </w:rPr>
        <w:t>e Instituciones Financieras</w:t>
      </w:r>
      <w:r w:rsidR="001F29B1">
        <w:rPr>
          <w:sz w:val="24"/>
          <w:szCs w:val="24"/>
        </w:rPr>
        <w:t xml:space="preserve"> manifestó que no es sucesor procesal, causahabiente o cesionario de Seguros Generales Condor S.A., quien actualmente se encuentra extinta</w:t>
      </w:r>
      <w:r w:rsidR="00A304DD" w:rsidRPr="00720E03">
        <w:rPr>
          <w:rStyle w:val="Refdenotaalpie"/>
          <w:rFonts w:eastAsia="Times New Roman"/>
          <w:sz w:val="24"/>
          <w:szCs w:val="24"/>
          <w:lang w:eastAsia="es-ES"/>
        </w:rPr>
        <w:footnoteReference w:id="19"/>
      </w:r>
      <w:r w:rsidR="001F29B1">
        <w:rPr>
          <w:sz w:val="24"/>
          <w:szCs w:val="24"/>
        </w:rPr>
        <w:t>.</w:t>
      </w:r>
    </w:p>
    <w:p w14:paraId="0E7C3A1D" w14:textId="77777777" w:rsidR="0000789C" w:rsidRDefault="0000789C" w:rsidP="00720E03">
      <w:pPr>
        <w:rPr>
          <w:sz w:val="24"/>
          <w:szCs w:val="24"/>
        </w:rPr>
      </w:pPr>
    </w:p>
    <w:p w14:paraId="030A8C60" w14:textId="7FEBB67F" w:rsidR="00B43F8D" w:rsidRPr="00B43F8D" w:rsidRDefault="00B43F8D" w:rsidP="00720E03">
      <w:pPr>
        <w:rPr>
          <w:rFonts w:eastAsia="Verdana"/>
          <w:sz w:val="24"/>
          <w:szCs w:val="24"/>
        </w:rPr>
      </w:pPr>
      <w:r>
        <w:rPr>
          <w:b/>
          <w:bCs/>
          <w:sz w:val="24"/>
          <w:szCs w:val="24"/>
        </w:rPr>
        <w:t>1.4.</w:t>
      </w:r>
      <w:r w:rsidR="000A19DC">
        <w:rPr>
          <w:b/>
          <w:bCs/>
          <w:sz w:val="24"/>
          <w:szCs w:val="24"/>
        </w:rPr>
        <w:t>7</w:t>
      </w:r>
      <w:r>
        <w:rPr>
          <w:b/>
          <w:bCs/>
          <w:sz w:val="24"/>
          <w:szCs w:val="24"/>
        </w:rPr>
        <w:t xml:space="preserve">. </w:t>
      </w:r>
      <w:r w:rsidR="007F6704">
        <w:rPr>
          <w:sz w:val="24"/>
          <w:szCs w:val="24"/>
        </w:rPr>
        <w:t>L</w:t>
      </w:r>
      <w:r>
        <w:rPr>
          <w:sz w:val="24"/>
          <w:szCs w:val="24"/>
        </w:rPr>
        <w:t xml:space="preserve">os </w:t>
      </w:r>
      <w:r w:rsidR="007F6704">
        <w:rPr>
          <w:sz w:val="24"/>
          <w:szCs w:val="24"/>
        </w:rPr>
        <w:t xml:space="preserve">demás </w:t>
      </w:r>
      <w:r>
        <w:rPr>
          <w:sz w:val="24"/>
          <w:szCs w:val="24"/>
        </w:rPr>
        <w:t xml:space="preserve">sujetos procesales, </w:t>
      </w:r>
      <w:r w:rsidR="007F6704">
        <w:rPr>
          <w:sz w:val="24"/>
          <w:szCs w:val="24"/>
        </w:rPr>
        <w:t xml:space="preserve">a pesar de ser notificados, </w:t>
      </w:r>
      <w:r>
        <w:rPr>
          <w:sz w:val="24"/>
          <w:szCs w:val="24"/>
        </w:rPr>
        <w:t>guardaron silencio.</w:t>
      </w:r>
    </w:p>
    <w:p w14:paraId="1CE433E4" w14:textId="79A76839" w:rsidR="00FD5AE6" w:rsidRDefault="00FD5AE6" w:rsidP="00720E03">
      <w:pPr>
        <w:rPr>
          <w:rFonts w:eastAsia="Verdana"/>
          <w:bCs/>
          <w:sz w:val="24"/>
          <w:szCs w:val="24"/>
        </w:rPr>
      </w:pPr>
    </w:p>
    <w:p w14:paraId="2F9988F2" w14:textId="77777777" w:rsidR="000E2BBB" w:rsidRPr="00720E03" w:rsidRDefault="000E2BBB" w:rsidP="00720E03">
      <w:pPr>
        <w:pStyle w:val="Ttulo1"/>
        <w:spacing w:before="0" w:after="0" w:line="240" w:lineRule="auto"/>
        <w:rPr>
          <w:rFonts w:cs="Arial"/>
          <w:szCs w:val="24"/>
          <w:lang w:val="es-ES_tradnl"/>
        </w:rPr>
      </w:pPr>
      <w:r w:rsidRPr="00720E03">
        <w:rPr>
          <w:rFonts w:cs="Arial"/>
          <w:szCs w:val="24"/>
          <w:lang w:val="es-ES_tradnl"/>
        </w:rPr>
        <w:t>CONSIDERACIONES</w:t>
      </w:r>
    </w:p>
    <w:p w14:paraId="30276DB4" w14:textId="77777777" w:rsidR="000E2BBB" w:rsidRPr="00720E03" w:rsidRDefault="000E2BBB" w:rsidP="00720E03">
      <w:pPr>
        <w:rPr>
          <w:sz w:val="24"/>
          <w:szCs w:val="24"/>
          <w:lang w:val="es-ES_tradnl"/>
        </w:rPr>
      </w:pPr>
    </w:p>
    <w:p w14:paraId="73A8584C" w14:textId="79373CD2" w:rsidR="000E2BBB" w:rsidRPr="00720E03" w:rsidRDefault="00490F3D" w:rsidP="00720E03">
      <w:pPr>
        <w:tabs>
          <w:tab w:val="left" w:pos="426"/>
        </w:tabs>
        <w:contextualSpacing/>
        <w:rPr>
          <w:b/>
          <w:sz w:val="24"/>
          <w:szCs w:val="24"/>
          <w:lang w:val="es-ES_tradnl"/>
        </w:rPr>
      </w:pPr>
      <w:r w:rsidRPr="00720E03">
        <w:rPr>
          <w:b/>
          <w:sz w:val="24"/>
          <w:szCs w:val="24"/>
          <w:lang w:val="es-ES_tradnl"/>
        </w:rPr>
        <w:t xml:space="preserve">2.1. </w:t>
      </w:r>
      <w:r w:rsidR="000E2BBB" w:rsidRPr="00720E03">
        <w:rPr>
          <w:b/>
          <w:sz w:val="24"/>
          <w:szCs w:val="24"/>
          <w:lang w:val="es-ES_tradnl"/>
        </w:rPr>
        <w:t>Competencia</w:t>
      </w:r>
    </w:p>
    <w:p w14:paraId="1C504782" w14:textId="77777777" w:rsidR="000E2BBB" w:rsidRPr="00720E03" w:rsidRDefault="000E2BBB" w:rsidP="00720E03">
      <w:pPr>
        <w:tabs>
          <w:tab w:val="left" w:pos="426"/>
        </w:tabs>
        <w:contextualSpacing/>
        <w:rPr>
          <w:b/>
          <w:sz w:val="24"/>
          <w:szCs w:val="24"/>
          <w:lang w:val="es-ES_tradnl"/>
        </w:rPr>
      </w:pPr>
    </w:p>
    <w:p w14:paraId="4ED40F48" w14:textId="5992910D" w:rsidR="000E2BBB" w:rsidRPr="00720E03" w:rsidRDefault="00767B30" w:rsidP="00720E03">
      <w:pPr>
        <w:overflowPunct w:val="0"/>
        <w:autoSpaceDE w:val="0"/>
        <w:autoSpaceDN w:val="0"/>
        <w:adjustRightInd w:val="0"/>
        <w:contextualSpacing/>
        <w:rPr>
          <w:rFonts w:eastAsia="Times New Roman"/>
          <w:sz w:val="24"/>
          <w:szCs w:val="24"/>
          <w:lang w:eastAsia="es-ES"/>
        </w:rPr>
      </w:pPr>
      <w:r w:rsidRPr="00720E03">
        <w:rPr>
          <w:rFonts w:eastAsia="Times New Roman"/>
          <w:sz w:val="24"/>
          <w:szCs w:val="24"/>
          <w:lang w:eastAsia="es-ES"/>
        </w:rPr>
        <w:t xml:space="preserve">La Sala tiene competencia </w:t>
      </w:r>
      <w:r w:rsidR="000E2BBB" w:rsidRPr="00720E03">
        <w:rPr>
          <w:rFonts w:eastAsia="Times New Roman"/>
          <w:sz w:val="24"/>
          <w:szCs w:val="24"/>
          <w:lang w:eastAsia="es-ES"/>
        </w:rPr>
        <w:t>para conocer de la impugnación presentada, en virtud de lo dispuesto en el artículo 86 de la Constitución Política de Colombia y en el artículo 3</w:t>
      </w:r>
      <w:r w:rsidR="00B43F8D">
        <w:rPr>
          <w:rFonts w:eastAsia="Times New Roman"/>
          <w:sz w:val="24"/>
          <w:szCs w:val="24"/>
          <w:lang w:eastAsia="es-ES"/>
        </w:rPr>
        <w:t>7</w:t>
      </w:r>
      <w:r w:rsidR="000E2BBB" w:rsidRPr="00720E03">
        <w:rPr>
          <w:rFonts w:eastAsia="Times New Roman"/>
          <w:sz w:val="24"/>
          <w:szCs w:val="24"/>
          <w:lang w:eastAsia="es-ES"/>
        </w:rPr>
        <w:t xml:space="preserve"> del Decreto 2591 de 1991.</w:t>
      </w:r>
    </w:p>
    <w:p w14:paraId="385B1AD1" w14:textId="77777777" w:rsidR="000E2BBB" w:rsidRPr="00720E03" w:rsidRDefault="000E2BBB" w:rsidP="00720E03">
      <w:pPr>
        <w:overflowPunct w:val="0"/>
        <w:autoSpaceDE w:val="0"/>
        <w:autoSpaceDN w:val="0"/>
        <w:adjustRightInd w:val="0"/>
        <w:contextualSpacing/>
        <w:rPr>
          <w:rFonts w:eastAsia="Times New Roman"/>
          <w:sz w:val="24"/>
          <w:szCs w:val="24"/>
          <w:lang w:eastAsia="es-ES"/>
        </w:rPr>
      </w:pPr>
    </w:p>
    <w:p w14:paraId="05214B4A" w14:textId="66D387F2" w:rsidR="004304B8" w:rsidRDefault="004304B8" w:rsidP="00720E03">
      <w:pPr>
        <w:autoSpaceDE w:val="0"/>
        <w:autoSpaceDN w:val="0"/>
        <w:adjustRightInd w:val="0"/>
        <w:rPr>
          <w:rFonts w:eastAsia="Verdana"/>
          <w:b/>
          <w:sz w:val="24"/>
          <w:szCs w:val="24"/>
          <w:lang w:val="es-ES_tradnl"/>
        </w:rPr>
      </w:pPr>
      <w:r w:rsidRPr="00720E03">
        <w:rPr>
          <w:rFonts w:eastAsia="Verdana"/>
          <w:b/>
          <w:sz w:val="24"/>
          <w:szCs w:val="24"/>
          <w:lang w:val="es-ES_tradnl"/>
        </w:rPr>
        <w:t xml:space="preserve">2.2. Legitimación en la causa </w:t>
      </w:r>
    </w:p>
    <w:p w14:paraId="5C134227" w14:textId="07A4CF42" w:rsidR="00B43F8D" w:rsidRDefault="00B43F8D" w:rsidP="00720E03">
      <w:pPr>
        <w:autoSpaceDE w:val="0"/>
        <w:autoSpaceDN w:val="0"/>
        <w:adjustRightInd w:val="0"/>
        <w:rPr>
          <w:rFonts w:eastAsia="Verdana"/>
          <w:b/>
          <w:sz w:val="24"/>
          <w:szCs w:val="24"/>
          <w:lang w:val="es-ES_tradnl"/>
        </w:rPr>
      </w:pPr>
    </w:p>
    <w:p w14:paraId="58AFD863" w14:textId="0B0FFA46" w:rsidR="00B43F8D" w:rsidRDefault="008A7D71" w:rsidP="00720E03">
      <w:pPr>
        <w:autoSpaceDE w:val="0"/>
        <w:autoSpaceDN w:val="0"/>
        <w:adjustRightInd w:val="0"/>
        <w:rPr>
          <w:sz w:val="24"/>
          <w:szCs w:val="24"/>
        </w:rPr>
      </w:pPr>
      <w:r>
        <w:rPr>
          <w:rFonts w:eastAsia="Verdana"/>
          <w:bCs/>
          <w:sz w:val="24"/>
          <w:szCs w:val="24"/>
          <w:lang w:val="es-ES_tradnl"/>
        </w:rPr>
        <w:t xml:space="preserve">Antes de estudiar el cumplimiento de los requisitos de legitimación en la causa de las partes, para la Sala es preciso aclarar que, aunque la acción de tutela estuvo dirigida en contra del magistrado Alberto Montaña Plata, la revisión de los hechos probados permiten comprender que en verdad, está dirigida en contra </w:t>
      </w:r>
      <w:r w:rsidR="00C93E3B">
        <w:rPr>
          <w:rFonts w:eastAsia="Verdana"/>
          <w:bCs/>
          <w:sz w:val="24"/>
          <w:szCs w:val="24"/>
          <w:lang w:val="es-ES_tradnl"/>
        </w:rPr>
        <w:t>del</w:t>
      </w:r>
      <w:r>
        <w:rPr>
          <w:rFonts w:eastAsia="Verdana"/>
          <w:bCs/>
          <w:sz w:val="24"/>
          <w:szCs w:val="24"/>
          <w:lang w:val="es-ES_tradnl"/>
        </w:rPr>
        <w:t xml:space="preserve"> </w:t>
      </w:r>
      <w:r w:rsidR="007F6704">
        <w:rPr>
          <w:rFonts w:eastAsia="Verdana"/>
          <w:bCs/>
          <w:sz w:val="24"/>
          <w:szCs w:val="24"/>
          <w:lang w:val="es-ES_tradnl"/>
        </w:rPr>
        <w:t>D</w:t>
      </w:r>
      <w:r>
        <w:rPr>
          <w:rFonts w:eastAsia="Verdana"/>
          <w:bCs/>
          <w:sz w:val="24"/>
          <w:szCs w:val="24"/>
          <w:lang w:val="es-ES_tradnl"/>
        </w:rPr>
        <w:t>espacho</w:t>
      </w:r>
      <w:r w:rsidR="00C93E3B">
        <w:rPr>
          <w:rFonts w:eastAsia="Verdana"/>
          <w:bCs/>
          <w:sz w:val="24"/>
          <w:szCs w:val="24"/>
          <w:lang w:val="es-ES_tradnl"/>
        </w:rPr>
        <w:t xml:space="preserve"> núm.</w:t>
      </w:r>
      <w:r>
        <w:rPr>
          <w:rFonts w:eastAsia="Verdana"/>
          <w:bCs/>
          <w:sz w:val="24"/>
          <w:szCs w:val="24"/>
          <w:lang w:val="es-ES_tradnl"/>
        </w:rPr>
        <w:t xml:space="preserve"> 5 de l</w:t>
      </w:r>
      <w:r w:rsidR="005C7668">
        <w:rPr>
          <w:rFonts w:eastAsia="Verdana"/>
          <w:bCs/>
          <w:sz w:val="24"/>
          <w:szCs w:val="24"/>
          <w:lang w:val="es-ES_tradnl"/>
        </w:rPr>
        <w:t>a Sección Tercera del Consejo de Estado</w:t>
      </w:r>
      <w:r w:rsidR="00E43E94">
        <w:rPr>
          <w:rFonts w:eastAsia="Verdana"/>
          <w:bCs/>
          <w:sz w:val="24"/>
          <w:szCs w:val="24"/>
          <w:lang w:val="es-ES_tradnl"/>
        </w:rPr>
        <w:t xml:space="preserve"> </w:t>
      </w:r>
      <w:r w:rsidR="005C7668">
        <w:rPr>
          <w:rFonts w:eastAsia="Verdana"/>
          <w:bCs/>
          <w:sz w:val="24"/>
          <w:szCs w:val="24"/>
          <w:lang w:val="es-ES_tradnl"/>
        </w:rPr>
        <w:t xml:space="preserve">que profirió el auto del </w:t>
      </w:r>
      <w:r w:rsidR="005C7668" w:rsidRPr="00720E03">
        <w:rPr>
          <w:sz w:val="24"/>
          <w:szCs w:val="24"/>
        </w:rPr>
        <w:t>23 de junio de 2021</w:t>
      </w:r>
      <w:r w:rsidR="00E43E94">
        <w:rPr>
          <w:sz w:val="24"/>
          <w:szCs w:val="24"/>
        </w:rPr>
        <w:t xml:space="preserve"> y que tuvo la sustanciación del expediente con radicado núm. </w:t>
      </w:r>
      <w:r w:rsidR="00E43E94" w:rsidRPr="00720E03">
        <w:rPr>
          <w:sz w:val="24"/>
          <w:szCs w:val="24"/>
        </w:rPr>
        <w:t>11001-03-15-000-2021-00794-00</w:t>
      </w:r>
      <w:r w:rsidR="005C7668">
        <w:rPr>
          <w:sz w:val="24"/>
          <w:szCs w:val="24"/>
        </w:rPr>
        <w:t>.</w:t>
      </w:r>
    </w:p>
    <w:p w14:paraId="375C9CDC" w14:textId="76FA81F4" w:rsidR="005C7668" w:rsidRDefault="005C7668" w:rsidP="00720E03">
      <w:pPr>
        <w:autoSpaceDE w:val="0"/>
        <w:autoSpaceDN w:val="0"/>
        <w:adjustRightInd w:val="0"/>
        <w:rPr>
          <w:sz w:val="24"/>
          <w:szCs w:val="24"/>
        </w:rPr>
      </w:pPr>
    </w:p>
    <w:p w14:paraId="03586C46" w14:textId="67C0CD6E" w:rsidR="005C7668" w:rsidRPr="008A7D71" w:rsidRDefault="005C7668" w:rsidP="00720E03">
      <w:pPr>
        <w:autoSpaceDE w:val="0"/>
        <w:autoSpaceDN w:val="0"/>
        <w:adjustRightInd w:val="0"/>
        <w:rPr>
          <w:rFonts w:eastAsia="Verdana"/>
          <w:bCs/>
          <w:sz w:val="24"/>
          <w:szCs w:val="24"/>
          <w:lang w:val="es-ES_tradnl"/>
        </w:rPr>
      </w:pPr>
      <w:r>
        <w:rPr>
          <w:sz w:val="24"/>
          <w:szCs w:val="24"/>
        </w:rPr>
        <w:lastRenderedPageBreak/>
        <w:t xml:space="preserve">El mencionado </w:t>
      </w:r>
      <w:r w:rsidR="007F6704">
        <w:rPr>
          <w:sz w:val="24"/>
          <w:szCs w:val="24"/>
        </w:rPr>
        <w:t>D</w:t>
      </w:r>
      <w:r>
        <w:rPr>
          <w:sz w:val="24"/>
          <w:szCs w:val="24"/>
        </w:rPr>
        <w:t>espacho actualmente es presidio por el consejero de Estado Fredy Ibarra M</w:t>
      </w:r>
      <w:r w:rsidRPr="00C93E3B">
        <w:rPr>
          <w:sz w:val="24"/>
          <w:szCs w:val="24"/>
        </w:rPr>
        <w:t xml:space="preserve">artínez, magistrado que fue notificado del auto admisorio </w:t>
      </w:r>
      <w:r w:rsidR="00C93E3B" w:rsidRPr="00C93E3B">
        <w:rPr>
          <w:sz w:val="24"/>
          <w:szCs w:val="24"/>
        </w:rPr>
        <w:t xml:space="preserve">del </w:t>
      </w:r>
      <w:r w:rsidR="00C93E3B" w:rsidRPr="00C93E3B">
        <w:rPr>
          <w:rFonts w:eastAsia="Verdana"/>
          <w:sz w:val="24"/>
          <w:szCs w:val="24"/>
        </w:rPr>
        <w:t>2 de diciembre de 2021</w:t>
      </w:r>
      <w:r w:rsidR="00C93E3B">
        <w:rPr>
          <w:rFonts w:eastAsia="Verdana"/>
          <w:sz w:val="24"/>
          <w:szCs w:val="24"/>
        </w:rPr>
        <w:t xml:space="preserve"> y que presentó sus argumentos de defensa frente a la tutela de la referencia.</w:t>
      </w:r>
    </w:p>
    <w:p w14:paraId="0D74269F" w14:textId="77777777" w:rsidR="004304B8" w:rsidRPr="00720E03" w:rsidRDefault="004304B8" w:rsidP="00720E03">
      <w:pPr>
        <w:autoSpaceDE w:val="0"/>
        <w:autoSpaceDN w:val="0"/>
        <w:adjustRightInd w:val="0"/>
        <w:rPr>
          <w:rFonts w:eastAsia="Verdana"/>
          <w:b/>
          <w:sz w:val="24"/>
          <w:szCs w:val="24"/>
          <w:lang w:val="es-ES_tradnl"/>
        </w:rPr>
      </w:pPr>
    </w:p>
    <w:p w14:paraId="045999F2" w14:textId="544E286B" w:rsidR="004304B8" w:rsidRPr="00720E03" w:rsidRDefault="004304B8" w:rsidP="00720E03">
      <w:pPr>
        <w:autoSpaceDE w:val="0"/>
        <w:autoSpaceDN w:val="0"/>
        <w:adjustRightInd w:val="0"/>
        <w:rPr>
          <w:sz w:val="24"/>
          <w:szCs w:val="24"/>
          <w:lang w:val="es-MX" w:eastAsia="ja-JP"/>
        </w:rPr>
      </w:pPr>
      <w:r w:rsidRPr="00720E03">
        <w:rPr>
          <w:rFonts w:eastAsia="Verdana"/>
          <w:b/>
          <w:sz w:val="24"/>
          <w:szCs w:val="24"/>
          <w:lang w:val="es-ES_tradnl"/>
        </w:rPr>
        <w:t xml:space="preserve">2.2.1. La </w:t>
      </w:r>
      <w:r w:rsidRPr="00720E03">
        <w:rPr>
          <w:b/>
          <w:sz w:val="24"/>
          <w:szCs w:val="24"/>
          <w:lang w:val="es-ES_tradnl"/>
        </w:rPr>
        <w:t>legitimación en la causa por activa</w:t>
      </w:r>
      <w:r w:rsidRPr="00720E03">
        <w:rPr>
          <w:sz w:val="24"/>
          <w:szCs w:val="24"/>
          <w:lang w:val="es-ES_tradnl"/>
        </w:rPr>
        <w:t xml:space="preserve"> de </w:t>
      </w:r>
      <w:r w:rsidR="00C93E3B" w:rsidRPr="00720E03">
        <w:rPr>
          <w:sz w:val="24"/>
          <w:szCs w:val="24"/>
        </w:rPr>
        <w:t>Henry Valencia Prieto</w:t>
      </w:r>
      <w:r w:rsidR="00C93E3B" w:rsidRPr="00720E03">
        <w:rPr>
          <w:sz w:val="24"/>
          <w:szCs w:val="24"/>
          <w:lang w:val="es-ES_tradnl"/>
        </w:rPr>
        <w:t xml:space="preserve"> </w:t>
      </w:r>
      <w:r w:rsidRPr="00720E03">
        <w:rPr>
          <w:sz w:val="24"/>
          <w:szCs w:val="24"/>
          <w:lang w:val="es-ES_tradnl"/>
        </w:rPr>
        <w:t xml:space="preserve">se encuentra acreditada, pues presentó la acción de tutela radicada bajo el consecutivo núm. </w:t>
      </w:r>
      <w:r w:rsidR="00C93E3B" w:rsidRPr="00720E03">
        <w:rPr>
          <w:sz w:val="24"/>
          <w:szCs w:val="24"/>
        </w:rPr>
        <w:t>11001-03-15-000-2021-00794-00</w:t>
      </w:r>
      <w:r w:rsidRPr="00720E03">
        <w:rPr>
          <w:sz w:val="24"/>
          <w:szCs w:val="24"/>
          <w:lang w:val="es-ES_tradnl"/>
        </w:rPr>
        <w:t xml:space="preserve">, y, por lo tanto, </w:t>
      </w:r>
      <w:r w:rsidRPr="00720E03">
        <w:rPr>
          <w:sz w:val="24"/>
          <w:szCs w:val="24"/>
          <w:lang w:val="es-MX" w:eastAsia="ja-JP"/>
        </w:rPr>
        <w:t>es el titular de</w:t>
      </w:r>
      <w:r w:rsidR="00C93E3B">
        <w:rPr>
          <w:sz w:val="24"/>
          <w:szCs w:val="24"/>
          <w:lang w:val="es-MX" w:eastAsia="ja-JP"/>
        </w:rPr>
        <w:t>l</w:t>
      </w:r>
      <w:r w:rsidRPr="00720E03">
        <w:rPr>
          <w:sz w:val="24"/>
          <w:szCs w:val="24"/>
          <w:lang w:val="es-MX" w:eastAsia="ja-JP"/>
        </w:rPr>
        <w:t xml:space="preserve"> derecho fundamental cuyo amparo pretende.</w:t>
      </w:r>
    </w:p>
    <w:p w14:paraId="7C738139" w14:textId="52A8745D" w:rsidR="004304B8" w:rsidRPr="00720E03" w:rsidRDefault="004304B8" w:rsidP="00720E03">
      <w:pPr>
        <w:tabs>
          <w:tab w:val="left" w:pos="0"/>
        </w:tabs>
        <w:contextualSpacing/>
        <w:rPr>
          <w:sz w:val="24"/>
          <w:szCs w:val="24"/>
          <w:lang w:val="es-ES_tradnl"/>
        </w:rPr>
      </w:pPr>
    </w:p>
    <w:p w14:paraId="76315D44" w14:textId="7DE8F5CD" w:rsidR="004304B8" w:rsidRPr="00720E03" w:rsidRDefault="004304B8" w:rsidP="00720E03">
      <w:pPr>
        <w:tabs>
          <w:tab w:val="left" w:pos="0"/>
        </w:tabs>
        <w:contextualSpacing/>
        <w:rPr>
          <w:sz w:val="24"/>
          <w:szCs w:val="24"/>
          <w:lang w:val="es-ES_tradnl"/>
        </w:rPr>
      </w:pPr>
      <w:r w:rsidRPr="00720E03">
        <w:rPr>
          <w:b/>
          <w:sz w:val="24"/>
          <w:szCs w:val="24"/>
          <w:lang w:val="es-ES_tradnl"/>
        </w:rPr>
        <w:t xml:space="preserve">2.2.2. </w:t>
      </w:r>
      <w:r w:rsidRPr="00720E03">
        <w:rPr>
          <w:sz w:val="24"/>
          <w:szCs w:val="24"/>
          <w:lang w:val="es-ES_tradnl"/>
        </w:rPr>
        <w:t xml:space="preserve">También está probada </w:t>
      </w:r>
      <w:r w:rsidRPr="00720E03">
        <w:rPr>
          <w:b/>
          <w:sz w:val="24"/>
          <w:szCs w:val="24"/>
          <w:lang w:val="es-ES_tradnl"/>
        </w:rPr>
        <w:t>la legitimación en la causa por pasiva</w:t>
      </w:r>
      <w:r w:rsidR="00767B30" w:rsidRPr="00720E03">
        <w:rPr>
          <w:sz w:val="24"/>
          <w:szCs w:val="24"/>
          <w:lang w:val="es-ES_tradnl"/>
        </w:rPr>
        <w:t xml:space="preserve"> de</w:t>
      </w:r>
      <w:r w:rsidR="00C93E3B">
        <w:rPr>
          <w:sz w:val="24"/>
          <w:szCs w:val="24"/>
          <w:lang w:val="es-ES_tradnl"/>
        </w:rPr>
        <w:t xml:space="preserve">l </w:t>
      </w:r>
      <w:r w:rsidR="007F6704">
        <w:rPr>
          <w:sz w:val="24"/>
          <w:szCs w:val="24"/>
          <w:lang w:val="es-ES_tradnl"/>
        </w:rPr>
        <w:t>D</w:t>
      </w:r>
      <w:r w:rsidR="00C93E3B">
        <w:rPr>
          <w:sz w:val="24"/>
          <w:szCs w:val="24"/>
          <w:lang w:val="es-ES_tradnl"/>
        </w:rPr>
        <w:t>espacho núm. 5 de la Sección Tercera del Consejo de Estado</w:t>
      </w:r>
      <w:r w:rsidRPr="00720E03">
        <w:rPr>
          <w:sz w:val="24"/>
          <w:szCs w:val="24"/>
          <w:lang w:val="es-ES_tradnl"/>
        </w:rPr>
        <w:t xml:space="preserve">, </w:t>
      </w:r>
      <w:r w:rsidR="00C93E3B">
        <w:rPr>
          <w:sz w:val="24"/>
          <w:szCs w:val="24"/>
          <w:lang w:val="es-ES_tradnl"/>
        </w:rPr>
        <w:t xml:space="preserve">dirigido por el magistrado Fredy Ibarra Martínez, </w:t>
      </w:r>
      <w:r w:rsidRPr="00720E03">
        <w:rPr>
          <w:sz w:val="24"/>
          <w:szCs w:val="24"/>
          <w:lang w:val="es-ES_tradnl"/>
        </w:rPr>
        <w:t>en la medida en que emiti</w:t>
      </w:r>
      <w:r w:rsidR="00607E7F">
        <w:rPr>
          <w:sz w:val="24"/>
          <w:szCs w:val="24"/>
          <w:lang w:val="es-ES_tradnl"/>
        </w:rPr>
        <w:t>ó el auto del 23 de junio de 2021</w:t>
      </w:r>
      <w:r w:rsidRPr="00720E03">
        <w:rPr>
          <w:sz w:val="24"/>
          <w:szCs w:val="24"/>
          <w:lang w:val="es-ES_tradnl"/>
        </w:rPr>
        <w:t>, que según el tutelante</w:t>
      </w:r>
      <w:r w:rsidR="007F6704">
        <w:rPr>
          <w:sz w:val="24"/>
          <w:szCs w:val="24"/>
          <w:lang w:val="es-ES_tradnl"/>
        </w:rPr>
        <w:t>,</w:t>
      </w:r>
      <w:r w:rsidRPr="00720E03">
        <w:rPr>
          <w:sz w:val="24"/>
          <w:szCs w:val="24"/>
          <w:lang w:val="es-ES_tradnl"/>
        </w:rPr>
        <w:t xml:space="preserve"> vulner</w:t>
      </w:r>
      <w:r w:rsidR="00607E7F">
        <w:rPr>
          <w:sz w:val="24"/>
          <w:szCs w:val="24"/>
          <w:lang w:val="es-ES_tradnl"/>
        </w:rPr>
        <w:t>ó</w:t>
      </w:r>
      <w:r w:rsidRPr="00720E03">
        <w:rPr>
          <w:sz w:val="24"/>
          <w:szCs w:val="24"/>
          <w:lang w:val="es-ES_tradnl"/>
        </w:rPr>
        <w:t xml:space="preserve"> su derecho fundamental</w:t>
      </w:r>
      <w:r w:rsidR="00607E7F">
        <w:rPr>
          <w:sz w:val="24"/>
          <w:szCs w:val="24"/>
          <w:lang w:val="es-ES_tradnl"/>
        </w:rPr>
        <w:t xml:space="preserve"> invocado</w:t>
      </w:r>
      <w:r w:rsidRPr="00720E03">
        <w:rPr>
          <w:sz w:val="24"/>
          <w:szCs w:val="24"/>
          <w:lang w:val="es-ES_tradnl"/>
        </w:rPr>
        <w:t>.</w:t>
      </w:r>
    </w:p>
    <w:p w14:paraId="3BC7DFFE" w14:textId="77777777" w:rsidR="00E43E94" w:rsidRPr="00720E03" w:rsidRDefault="00E43E94" w:rsidP="00720E03">
      <w:pPr>
        <w:tabs>
          <w:tab w:val="left" w:pos="0"/>
        </w:tabs>
        <w:contextualSpacing/>
        <w:rPr>
          <w:sz w:val="24"/>
          <w:szCs w:val="24"/>
          <w:lang w:val="es-ES_tradnl"/>
        </w:rPr>
      </w:pPr>
    </w:p>
    <w:p w14:paraId="2939C81D" w14:textId="716A0C57" w:rsidR="004304B8" w:rsidRPr="00720E03" w:rsidRDefault="004304B8" w:rsidP="00720E03">
      <w:pPr>
        <w:contextualSpacing/>
        <w:rPr>
          <w:color w:val="000000" w:themeColor="text1"/>
          <w:sz w:val="24"/>
          <w:szCs w:val="24"/>
        </w:rPr>
      </w:pPr>
      <w:r w:rsidRPr="00720E03">
        <w:rPr>
          <w:b/>
          <w:color w:val="000000" w:themeColor="text1"/>
          <w:sz w:val="24"/>
          <w:szCs w:val="24"/>
        </w:rPr>
        <w:t xml:space="preserve">2.3. Procedibilidad de la acción </w:t>
      </w:r>
    </w:p>
    <w:p w14:paraId="28BEBBA8" w14:textId="77777777" w:rsidR="004304B8" w:rsidRPr="00720E03" w:rsidRDefault="004304B8" w:rsidP="00720E03">
      <w:pPr>
        <w:contextualSpacing/>
        <w:rPr>
          <w:rFonts w:eastAsia="Times New Roman"/>
          <w:bCs/>
          <w:color w:val="000000" w:themeColor="text1"/>
          <w:sz w:val="24"/>
          <w:szCs w:val="24"/>
          <w:lang w:val="es-ES_tradnl" w:eastAsia="es-ES"/>
        </w:rPr>
      </w:pPr>
    </w:p>
    <w:p w14:paraId="79CB3B2B" w14:textId="6DBBE942" w:rsidR="00C9137E" w:rsidRDefault="00C9137E" w:rsidP="00720E03">
      <w:pPr>
        <w:pStyle w:val="paragraph"/>
        <w:spacing w:before="0" w:beforeAutospacing="0" w:after="0" w:afterAutospacing="0"/>
        <w:jc w:val="both"/>
        <w:textAlignment w:val="baseline"/>
        <w:rPr>
          <w:rStyle w:val="eop"/>
          <w:rFonts w:ascii="Arial" w:hAnsi="Arial" w:cs="Arial"/>
          <w:color w:val="000000"/>
        </w:rPr>
      </w:pPr>
      <w:r w:rsidRPr="00720E03">
        <w:rPr>
          <w:rStyle w:val="normaltextrun"/>
          <w:rFonts w:ascii="Arial" w:hAnsi="Arial" w:cs="Arial"/>
          <w:color w:val="000000"/>
          <w:lang w:val="es-MX"/>
        </w:rPr>
        <w:t>En los casos en que </w:t>
      </w:r>
      <w:r w:rsidRPr="00720E03">
        <w:rPr>
          <w:rStyle w:val="normaltextrun"/>
          <w:rFonts w:ascii="Arial" w:hAnsi="Arial" w:cs="Arial"/>
          <w:color w:val="000000"/>
        </w:rPr>
        <w:t>la solicitud de amparo ataca una providencia judicial, la doctrina constitucional</w:t>
      </w:r>
      <w:r w:rsidRPr="00720E03">
        <w:rPr>
          <w:rStyle w:val="Refdenotaalpie"/>
          <w:rFonts w:ascii="Arial" w:hAnsi="Arial" w:cs="Arial"/>
          <w:color w:val="000000"/>
        </w:rPr>
        <w:footnoteReference w:id="20"/>
      </w:r>
      <w:r w:rsidRPr="00720E03">
        <w:rPr>
          <w:rStyle w:val="normaltextrun"/>
          <w:rFonts w:ascii="Arial" w:hAnsi="Arial" w:cs="Arial"/>
          <w:color w:val="000000"/>
        </w:rPr>
        <w:t xml:space="preserve"> establece que es pertinente realizar, primero, un examen de procedibilidad general</w:t>
      </w:r>
      <w:r w:rsidRPr="00720E03">
        <w:rPr>
          <w:rStyle w:val="Refdenotaalpie"/>
          <w:rFonts w:ascii="Arial" w:hAnsi="Arial" w:cs="Arial"/>
          <w:color w:val="000000"/>
        </w:rPr>
        <w:footnoteReference w:id="21"/>
      </w:r>
      <w:r w:rsidRPr="00720E03">
        <w:rPr>
          <w:rStyle w:val="normaltextrun"/>
          <w:rFonts w:ascii="Arial" w:hAnsi="Arial" w:cs="Arial"/>
          <w:color w:val="000000"/>
        </w:rPr>
        <w:t> para, luego, en caso de resultar superado dicho estudio, proceder al pronunciamiento de fondo en el que se resuelva el problema jurídico relacionado con los defectos aducidos por la parte actora</w:t>
      </w:r>
      <w:r w:rsidRPr="00720E03">
        <w:rPr>
          <w:rStyle w:val="Refdenotaalpie"/>
          <w:rFonts w:ascii="Arial" w:hAnsi="Arial" w:cs="Arial"/>
          <w:color w:val="000000"/>
        </w:rPr>
        <w:footnoteReference w:id="22"/>
      </w:r>
      <w:r w:rsidRPr="00720E03">
        <w:rPr>
          <w:rStyle w:val="normaltextrun"/>
          <w:rFonts w:ascii="Arial" w:hAnsi="Arial" w:cs="Arial"/>
          <w:color w:val="000000"/>
        </w:rPr>
        <w:t>.</w:t>
      </w:r>
      <w:r w:rsidRPr="00720E03">
        <w:rPr>
          <w:rStyle w:val="eop"/>
          <w:rFonts w:ascii="Arial" w:hAnsi="Arial" w:cs="Arial"/>
          <w:color w:val="000000"/>
        </w:rPr>
        <w:t> </w:t>
      </w:r>
    </w:p>
    <w:p w14:paraId="5CF08582" w14:textId="77777777" w:rsidR="00A1277B" w:rsidRPr="00720E03" w:rsidRDefault="00A1277B" w:rsidP="00720E03">
      <w:pPr>
        <w:pStyle w:val="paragraph"/>
        <w:spacing w:before="0" w:beforeAutospacing="0" w:after="0" w:afterAutospacing="0"/>
        <w:jc w:val="both"/>
        <w:textAlignment w:val="baseline"/>
        <w:rPr>
          <w:rStyle w:val="eop"/>
          <w:rFonts w:ascii="Arial" w:hAnsi="Arial" w:cs="Arial"/>
          <w:color w:val="000000"/>
        </w:rPr>
      </w:pPr>
    </w:p>
    <w:p w14:paraId="00CD16E3" w14:textId="77777777" w:rsidR="00C9137E" w:rsidRPr="00720E03" w:rsidRDefault="00C9137E" w:rsidP="00720E03">
      <w:pPr>
        <w:pStyle w:val="paragraph"/>
        <w:spacing w:before="0" w:beforeAutospacing="0" w:after="0" w:afterAutospacing="0"/>
        <w:jc w:val="both"/>
        <w:textAlignment w:val="baseline"/>
        <w:rPr>
          <w:rStyle w:val="eop"/>
          <w:rFonts w:ascii="Arial" w:hAnsi="Arial" w:cs="Arial"/>
        </w:rPr>
      </w:pPr>
      <w:r w:rsidRPr="00720E03">
        <w:rPr>
          <w:rStyle w:val="normaltextrun"/>
          <w:rFonts w:ascii="Arial" w:hAnsi="Arial" w:cs="Arial"/>
          <w:lang w:val="es-ES"/>
        </w:rPr>
        <w:t xml:space="preserve">Uno de los requisitos a los que se hace alusión en el párrafo anterior es el que exige que la acción de tutela no se dirija contra una sentencia dictada en sede de tutela. El </w:t>
      </w:r>
      <w:r w:rsidRPr="00720E03">
        <w:rPr>
          <w:rStyle w:val="normaltextrun"/>
          <w:rFonts w:ascii="Arial" w:hAnsi="Arial" w:cs="Arial"/>
          <w:lang w:val="es-ES"/>
        </w:rPr>
        <w:lastRenderedPageBreak/>
        <w:t>requisito</w:t>
      </w:r>
      <w:r w:rsidRPr="00720E03">
        <w:rPr>
          <w:rStyle w:val="Refdenotaalpie"/>
          <w:rFonts w:ascii="Arial" w:hAnsi="Arial" w:cs="Arial"/>
          <w:lang w:val="es-ES"/>
        </w:rPr>
        <w:footnoteReference w:id="23"/>
      </w:r>
      <w:r w:rsidRPr="00720E03">
        <w:rPr>
          <w:rStyle w:val="normaltextrun"/>
          <w:rFonts w:ascii="Arial" w:hAnsi="Arial" w:cs="Arial"/>
          <w:lang w:val="es-ES"/>
        </w:rPr>
        <w:t xml:space="preserve"> en comento persigue como objetivo evitar que la controversia se prolongue indefinidamente</w:t>
      </w:r>
      <w:r w:rsidRPr="00720E03">
        <w:rPr>
          <w:rStyle w:val="Refdenotaalpie"/>
          <w:rFonts w:ascii="Arial" w:hAnsi="Arial" w:cs="Arial"/>
          <w:lang w:val="es-ES"/>
        </w:rPr>
        <w:footnoteReference w:id="24"/>
      </w:r>
      <w:r w:rsidRPr="00720E03">
        <w:rPr>
          <w:rStyle w:val="normaltextrun"/>
          <w:rFonts w:ascii="Arial" w:hAnsi="Arial" w:cs="Arial"/>
          <w:lang w:val="es-ES"/>
        </w:rPr>
        <w:t>, pues ello iría en contra del principio de seguridad jurídica y del goce efectivo de los derechos que converjan en el asunto</w:t>
      </w:r>
      <w:r w:rsidRPr="00720E03">
        <w:rPr>
          <w:rStyle w:val="Refdenotaalpie"/>
          <w:rFonts w:ascii="Arial" w:hAnsi="Arial" w:cs="Arial"/>
          <w:lang w:val="es-ES"/>
        </w:rPr>
        <w:footnoteReference w:id="25"/>
      </w:r>
      <w:r w:rsidRPr="00720E03">
        <w:rPr>
          <w:rStyle w:val="normaltextrun"/>
          <w:rFonts w:ascii="Arial" w:hAnsi="Arial" w:cs="Arial"/>
          <w:lang w:val="es-ES"/>
        </w:rPr>
        <w:t>.</w:t>
      </w:r>
      <w:r w:rsidRPr="00720E03">
        <w:rPr>
          <w:rStyle w:val="eop"/>
          <w:rFonts w:ascii="Arial" w:hAnsi="Arial" w:cs="Arial"/>
        </w:rPr>
        <w:t> </w:t>
      </w:r>
    </w:p>
    <w:p w14:paraId="56F3BFC1" w14:textId="77777777" w:rsidR="00C9137E" w:rsidRPr="00720E03" w:rsidRDefault="00C9137E" w:rsidP="00720E03">
      <w:pPr>
        <w:pStyle w:val="paragraph"/>
        <w:spacing w:before="0" w:beforeAutospacing="0" w:after="0" w:afterAutospacing="0"/>
        <w:jc w:val="both"/>
        <w:textAlignment w:val="baseline"/>
        <w:rPr>
          <w:rFonts w:ascii="Arial" w:hAnsi="Arial" w:cs="Arial"/>
        </w:rPr>
      </w:pPr>
    </w:p>
    <w:p w14:paraId="60103F48" w14:textId="769003B2" w:rsidR="00C9137E" w:rsidRDefault="00C9137E" w:rsidP="00720E03">
      <w:pPr>
        <w:pStyle w:val="Prrafodelista"/>
        <w:ind w:left="0"/>
        <w:jc w:val="both"/>
        <w:rPr>
          <w:rFonts w:ascii="Arial" w:hAnsi="Arial" w:cs="Arial"/>
        </w:rPr>
      </w:pPr>
      <w:r w:rsidRPr="00720E03">
        <w:rPr>
          <w:rFonts w:ascii="Arial" w:hAnsi="Arial" w:cs="Arial"/>
        </w:rPr>
        <w:t xml:space="preserve">Al respecto, en la sentencia </w:t>
      </w:r>
      <w:r w:rsidRPr="00720E03">
        <w:rPr>
          <w:rFonts w:ascii="Arial" w:hAnsi="Arial" w:cs="Arial"/>
          <w:b/>
        </w:rPr>
        <w:t>SU-1219 de 2001</w:t>
      </w:r>
      <w:r w:rsidRPr="00720E03">
        <w:rPr>
          <w:rFonts w:ascii="Arial" w:hAnsi="Arial" w:cs="Arial"/>
        </w:rPr>
        <w:t>, la Corte Constitucional estableció la regla jurisprudencial de no admitir el amparo constitucional contra las sentencias de tutela</w:t>
      </w:r>
      <w:r w:rsidRPr="00720E03">
        <w:rPr>
          <w:rStyle w:val="Refdenotaalpie"/>
          <w:rFonts w:ascii="Arial" w:hAnsi="Arial" w:cs="Arial"/>
        </w:rPr>
        <w:footnoteReference w:id="26"/>
      </w:r>
      <w:r w:rsidRPr="00720E03">
        <w:rPr>
          <w:rFonts w:ascii="Arial" w:hAnsi="Arial" w:cs="Arial"/>
        </w:rPr>
        <w:t>, pues de lo contrario, se prolongaría indefinidamente la resolución de conflictos en quebranto de la seguridad jurídica y el goce efectivo de los derechos fundamentales</w:t>
      </w:r>
      <w:r w:rsidRPr="00720E03">
        <w:rPr>
          <w:rStyle w:val="Refdenotaalpie"/>
          <w:rFonts w:ascii="Arial" w:hAnsi="Arial" w:cs="Arial"/>
        </w:rPr>
        <w:footnoteReference w:id="27"/>
      </w:r>
      <w:r w:rsidRPr="00720E03">
        <w:rPr>
          <w:rFonts w:ascii="Arial" w:hAnsi="Arial" w:cs="Arial"/>
        </w:rPr>
        <w:t xml:space="preserve">. Sin embargo, el Alto Tribunal Constitucional replanteó el anterior criterio a partir de la sentencia SU-627 de 2015, desde la cual ha reconocido que en algunos supuestos se pueden presentar afectaciones del derecho al debido proceso que, </w:t>
      </w:r>
      <w:r w:rsidRPr="00720E03">
        <w:rPr>
          <w:rFonts w:ascii="Arial" w:hAnsi="Arial" w:cs="Arial"/>
          <w:b/>
        </w:rPr>
        <w:t>excepcionalmente</w:t>
      </w:r>
      <w:r w:rsidRPr="00720E03">
        <w:rPr>
          <w:rFonts w:ascii="Arial" w:hAnsi="Arial" w:cs="Arial"/>
        </w:rPr>
        <w:t>, hacen procedente la acción. En particular, esta providencia distinguió entre cuestiones relativas a la sentencia de tutela reprochada, o a actuaciones del proceso de tutela diferentes a la sentencia, y estableció requisitos distintos para cada caso</w:t>
      </w:r>
      <w:r w:rsidRPr="00720E03">
        <w:rPr>
          <w:rStyle w:val="Refdenotaalpie"/>
          <w:rFonts w:ascii="Arial" w:hAnsi="Arial" w:cs="Arial"/>
        </w:rPr>
        <w:footnoteReference w:id="28"/>
      </w:r>
      <w:r w:rsidRPr="00720E03">
        <w:rPr>
          <w:rFonts w:ascii="Arial" w:hAnsi="Arial" w:cs="Arial"/>
        </w:rPr>
        <w:t>.</w:t>
      </w:r>
    </w:p>
    <w:p w14:paraId="42979CEE" w14:textId="101789F3" w:rsidR="00C9137E" w:rsidRPr="00720E03" w:rsidRDefault="00C9137E" w:rsidP="00720E03">
      <w:pPr>
        <w:pStyle w:val="Prrafodelista"/>
        <w:ind w:left="0"/>
        <w:jc w:val="both"/>
        <w:rPr>
          <w:rFonts w:ascii="Arial" w:hAnsi="Arial" w:cs="Arial"/>
        </w:rPr>
      </w:pPr>
      <w:r w:rsidRPr="00720E03">
        <w:rPr>
          <w:rFonts w:ascii="Arial" w:hAnsi="Arial" w:cs="Arial"/>
        </w:rPr>
        <w:lastRenderedPageBreak/>
        <w:t xml:space="preserve">En conclusión, por regla general no procede la acción de tutela contra sentencia de tutela; empero, frente a esta regla existe la excepción de cosa juzgada fraudulenta, la cual, por tratarse del cuestionamiento que se hace de una providencia judicial, es preciso que el interesado la alegue y demuestre tal situación en la nueva solicitud de amparo, </w:t>
      </w:r>
      <w:r w:rsidR="00D55299" w:rsidRPr="00720E03">
        <w:rPr>
          <w:rFonts w:ascii="Arial" w:hAnsi="Arial" w:cs="Arial"/>
        </w:rPr>
        <w:t>satisfaciendo, en todo caso</w:t>
      </w:r>
      <w:r w:rsidR="00E559A0">
        <w:rPr>
          <w:rFonts w:ascii="Arial" w:hAnsi="Arial" w:cs="Arial"/>
        </w:rPr>
        <w:t xml:space="preserve"> y en primer lugar, </w:t>
      </w:r>
      <w:r w:rsidRPr="00720E03">
        <w:rPr>
          <w:rFonts w:ascii="Arial" w:hAnsi="Arial" w:cs="Arial"/>
        </w:rPr>
        <w:t xml:space="preserve">los </w:t>
      </w:r>
      <w:r w:rsidR="00D55299" w:rsidRPr="00720E03">
        <w:rPr>
          <w:rFonts w:ascii="Arial" w:hAnsi="Arial" w:cs="Arial"/>
        </w:rPr>
        <w:t xml:space="preserve">demás </w:t>
      </w:r>
      <w:r w:rsidRPr="00720E03">
        <w:rPr>
          <w:rFonts w:ascii="Arial" w:hAnsi="Arial" w:cs="Arial"/>
        </w:rPr>
        <w:t xml:space="preserve">requisitos </w:t>
      </w:r>
      <w:r w:rsidR="00D55299" w:rsidRPr="00720E03">
        <w:rPr>
          <w:rFonts w:ascii="Arial" w:hAnsi="Arial" w:cs="Arial"/>
        </w:rPr>
        <w:t>de procedibilidad</w:t>
      </w:r>
      <w:r w:rsidRPr="00720E03">
        <w:rPr>
          <w:rFonts w:ascii="Arial" w:hAnsi="Arial" w:cs="Arial"/>
        </w:rPr>
        <w:t xml:space="preserve"> establecidos en la jurisprudencia constitucional.</w:t>
      </w:r>
    </w:p>
    <w:p w14:paraId="64478A7F" w14:textId="77777777" w:rsidR="00D55299" w:rsidRPr="00720E03" w:rsidRDefault="00D55299" w:rsidP="00720E03">
      <w:pPr>
        <w:pStyle w:val="Prrafodelista"/>
        <w:ind w:left="0"/>
        <w:jc w:val="both"/>
        <w:rPr>
          <w:rFonts w:ascii="Arial" w:hAnsi="Arial" w:cs="Arial"/>
        </w:rPr>
      </w:pPr>
    </w:p>
    <w:p w14:paraId="0175C633" w14:textId="068370F0" w:rsidR="00E559A0" w:rsidRDefault="00A64835" w:rsidP="00720E03">
      <w:pPr>
        <w:pStyle w:val="Prrafodelista"/>
        <w:ind w:left="0"/>
        <w:jc w:val="both"/>
        <w:rPr>
          <w:rFonts w:ascii="Arial" w:hAnsi="Arial" w:cs="Arial"/>
        </w:rPr>
      </w:pPr>
      <w:r>
        <w:rPr>
          <w:rFonts w:ascii="Arial" w:hAnsi="Arial" w:cs="Arial"/>
          <w:b/>
          <w:bCs/>
        </w:rPr>
        <w:t xml:space="preserve">2.3.1. </w:t>
      </w:r>
      <w:r w:rsidR="00D55299" w:rsidRPr="00720E03">
        <w:rPr>
          <w:rFonts w:ascii="Arial" w:hAnsi="Arial" w:cs="Arial"/>
        </w:rPr>
        <w:t xml:space="preserve">En el </w:t>
      </w:r>
      <w:r w:rsidR="00D55299" w:rsidRPr="00720E03">
        <w:rPr>
          <w:rFonts w:ascii="Arial" w:hAnsi="Arial" w:cs="Arial"/>
          <w:b/>
        </w:rPr>
        <w:t xml:space="preserve">caso </w:t>
      </w:r>
      <w:r w:rsidR="00FA4C3A">
        <w:rPr>
          <w:rFonts w:ascii="Arial" w:hAnsi="Arial" w:cs="Arial"/>
          <w:b/>
        </w:rPr>
        <w:t>bajo estudio</w:t>
      </w:r>
      <w:r w:rsidR="00D55299" w:rsidRPr="00720E03">
        <w:rPr>
          <w:rFonts w:ascii="Arial" w:hAnsi="Arial" w:cs="Arial"/>
        </w:rPr>
        <w:t xml:space="preserve">, </w:t>
      </w:r>
      <w:r w:rsidR="00E559A0">
        <w:rPr>
          <w:rFonts w:ascii="Arial" w:hAnsi="Arial" w:cs="Arial"/>
        </w:rPr>
        <w:t xml:space="preserve">Henry Valencia Prieto manifestó que el auto del 23 de junio de 2021 vulneró su derecho fundamental al debido proceso, </w:t>
      </w:r>
      <w:r>
        <w:rPr>
          <w:rFonts w:ascii="Arial" w:hAnsi="Arial" w:cs="Arial"/>
        </w:rPr>
        <w:t xml:space="preserve">porque </w:t>
      </w:r>
      <w:r w:rsidR="00FA4C3A">
        <w:rPr>
          <w:rFonts w:ascii="Arial" w:hAnsi="Arial" w:cs="Arial"/>
        </w:rPr>
        <w:t>en é</w:t>
      </w:r>
      <w:r>
        <w:rPr>
          <w:rFonts w:ascii="Arial" w:hAnsi="Arial" w:cs="Arial"/>
        </w:rPr>
        <w:t>l</w:t>
      </w:r>
      <w:r w:rsidR="00FA4C3A">
        <w:rPr>
          <w:rFonts w:ascii="Arial" w:hAnsi="Arial" w:cs="Arial"/>
        </w:rPr>
        <w:t>, el</w:t>
      </w:r>
      <w:r>
        <w:rPr>
          <w:rFonts w:ascii="Arial" w:hAnsi="Arial" w:cs="Arial"/>
        </w:rPr>
        <w:t xml:space="preserve"> </w:t>
      </w:r>
      <w:r w:rsidR="007F6704">
        <w:rPr>
          <w:rFonts w:ascii="Arial" w:hAnsi="Arial" w:cs="Arial"/>
        </w:rPr>
        <w:t>D</w:t>
      </w:r>
      <w:r>
        <w:rPr>
          <w:rFonts w:ascii="Arial" w:hAnsi="Arial" w:cs="Arial"/>
        </w:rPr>
        <w:t>espacho núm. 5 de la Sección Tercera</w:t>
      </w:r>
      <w:r w:rsidR="00FA4C3A">
        <w:rPr>
          <w:rFonts w:ascii="Arial" w:hAnsi="Arial" w:cs="Arial"/>
        </w:rPr>
        <w:t xml:space="preserve"> del Consejo de Estado</w:t>
      </w:r>
      <w:r>
        <w:rPr>
          <w:rFonts w:ascii="Arial" w:hAnsi="Arial" w:cs="Arial"/>
        </w:rPr>
        <w:t xml:space="preserve"> desconoció que </w:t>
      </w:r>
      <w:r w:rsidRPr="00A64835">
        <w:rPr>
          <w:rFonts w:ascii="Arial" w:hAnsi="Arial" w:cs="Arial"/>
        </w:rPr>
        <w:t>la notificación de</w:t>
      </w:r>
      <w:r>
        <w:rPr>
          <w:rFonts w:ascii="Arial" w:hAnsi="Arial" w:cs="Arial"/>
        </w:rPr>
        <w:t xml:space="preserve"> la</w:t>
      </w:r>
      <w:r w:rsidRPr="00A64835">
        <w:rPr>
          <w:rFonts w:ascii="Arial" w:hAnsi="Arial" w:cs="Arial"/>
        </w:rPr>
        <w:t xml:space="preserve"> </w:t>
      </w:r>
      <w:r>
        <w:rPr>
          <w:rFonts w:ascii="Arial" w:hAnsi="Arial" w:cs="Arial"/>
        </w:rPr>
        <w:t>sentencia del 9 de abril del mismo año</w:t>
      </w:r>
      <w:r w:rsidRPr="00A64835">
        <w:rPr>
          <w:rFonts w:ascii="Arial" w:hAnsi="Arial" w:cs="Arial"/>
        </w:rPr>
        <w:t xml:space="preserve"> fue enviada a la dirección de correo electrónic</w:t>
      </w:r>
      <w:r w:rsidR="00FA4C3A">
        <w:rPr>
          <w:rFonts w:ascii="Arial" w:hAnsi="Arial" w:cs="Arial"/>
        </w:rPr>
        <w:t>a</w:t>
      </w:r>
      <w:r w:rsidRPr="00A64835">
        <w:rPr>
          <w:rFonts w:ascii="Arial" w:hAnsi="Arial" w:cs="Arial"/>
        </w:rPr>
        <w:t xml:space="preserve"> jiuvezjudiciales@gmail.com, que no corresponde </w:t>
      </w:r>
      <w:r w:rsidR="00D56DB7">
        <w:rPr>
          <w:rFonts w:ascii="Arial" w:hAnsi="Arial" w:cs="Arial"/>
        </w:rPr>
        <w:t>con</w:t>
      </w:r>
      <w:r w:rsidRPr="00A64835">
        <w:rPr>
          <w:rFonts w:ascii="Arial" w:hAnsi="Arial" w:cs="Arial"/>
        </w:rPr>
        <w:t xml:space="preserve"> la que aportó para tal fin</w:t>
      </w:r>
      <w:r w:rsidR="00A069EE">
        <w:rPr>
          <w:rFonts w:ascii="Arial" w:hAnsi="Arial" w:cs="Arial"/>
        </w:rPr>
        <w:t xml:space="preserve"> en el escrito de tutela</w:t>
      </w:r>
      <w:r w:rsidRPr="00A64835">
        <w:rPr>
          <w:rFonts w:ascii="Arial" w:hAnsi="Arial" w:cs="Arial"/>
        </w:rPr>
        <w:t>, la cual es jiuvezjudicial@gmail.com</w:t>
      </w:r>
      <w:r w:rsidR="00A069EE">
        <w:rPr>
          <w:rFonts w:ascii="Arial" w:hAnsi="Arial" w:cs="Arial"/>
        </w:rPr>
        <w:t xml:space="preserve">. </w:t>
      </w:r>
      <w:r w:rsidR="004234C4">
        <w:rPr>
          <w:rFonts w:ascii="Arial" w:hAnsi="Arial" w:cs="Arial"/>
        </w:rPr>
        <w:t xml:space="preserve">Además, porque su solicitud </w:t>
      </w:r>
      <w:r w:rsidR="007F6704">
        <w:rPr>
          <w:rFonts w:ascii="Arial" w:hAnsi="Arial" w:cs="Arial"/>
        </w:rPr>
        <w:t xml:space="preserve">de que le fueran enviadas las constancias de notificación no fue atendida. </w:t>
      </w:r>
    </w:p>
    <w:p w14:paraId="40269A00" w14:textId="23EECD31" w:rsidR="00A069EE" w:rsidRDefault="00A069EE" w:rsidP="00720E03">
      <w:pPr>
        <w:pStyle w:val="Prrafodelista"/>
        <w:ind w:left="0"/>
        <w:jc w:val="both"/>
        <w:rPr>
          <w:rFonts w:ascii="Arial" w:hAnsi="Arial" w:cs="Arial"/>
        </w:rPr>
      </w:pPr>
    </w:p>
    <w:p w14:paraId="0B4B27BA" w14:textId="66713F35" w:rsidR="00B97283" w:rsidRDefault="00A069EE" w:rsidP="00720E03">
      <w:pPr>
        <w:pStyle w:val="Prrafodelista"/>
        <w:ind w:left="0"/>
        <w:jc w:val="both"/>
        <w:rPr>
          <w:rFonts w:ascii="Arial" w:hAnsi="Arial" w:cs="Arial"/>
        </w:rPr>
      </w:pPr>
      <w:r>
        <w:rPr>
          <w:rFonts w:ascii="Arial" w:hAnsi="Arial" w:cs="Arial"/>
        </w:rPr>
        <w:t>Al respecto, es preciso recordar</w:t>
      </w:r>
      <w:r w:rsidR="003A04A6">
        <w:rPr>
          <w:rFonts w:ascii="Arial" w:hAnsi="Arial" w:cs="Arial"/>
        </w:rPr>
        <w:t xml:space="preserve"> que el </w:t>
      </w:r>
      <w:r w:rsidR="007F6704">
        <w:rPr>
          <w:rFonts w:ascii="Arial" w:hAnsi="Arial" w:cs="Arial"/>
        </w:rPr>
        <w:t>D</w:t>
      </w:r>
      <w:r w:rsidR="003A04A6">
        <w:rPr>
          <w:rFonts w:ascii="Arial" w:hAnsi="Arial" w:cs="Arial"/>
        </w:rPr>
        <w:t xml:space="preserve">espacho cuestionado, en la providencia del 23 de junio de 2021, </w:t>
      </w:r>
      <w:r w:rsidR="00DE6929">
        <w:rPr>
          <w:rFonts w:ascii="Arial" w:hAnsi="Arial" w:cs="Arial"/>
        </w:rPr>
        <w:t>explicó que a pesar de que en el auto de</w:t>
      </w:r>
      <w:r w:rsidR="0081747C" w:rsidRPr="0081747C">
        <w:rPr>
          <w:rFonts w:ascii="Arial" w:hAnsi="Arial" w:cs="Arial"/>
        </w:rPr>
        <w:t>l 27 de mayo de</w:t>
      </w:r>
      <w:r w:rsidR="00FA4C3A">
        <w:rPr>
          <w:rFonts w:ascii="Arial" w:hAnsi="Arial" w:cs="Arial"/>
        </w:rPr>
        <w:t xml:space="preserve"> la misma anualidad</w:t>
      </w:r>
      <w:r w:rsidR="0081747C">
        <w:rPr>
          <w:rFonts w:ascii="Arial" w:hAnsi="Arial" w:cs="Arial"/>
        </w:rPr>
        <w:t xml:space="preserve"> se indicó por error que la notificación de la sentencia del 9 de abril de 2021 fue realizada al correo </w:t>
      </w:r>
      <w:r w:rsidR="0081747C" w:rsidRPr="0081747C">
        <w:rPr>
          <w:rFonts w:ascii="Arial" w:hAnsi="Arial" w:cs="Arial"/>
        </w:rPr>
        <w:t>jiuvezjudiciales@gmail.com</w:t>
      </w:r>
      <w:r w:rsidR="0081747C">
        <w:rPr>
          <w:rFonts w:ascii="Arial" w:hAnsi="Arial" w:cs="Arial"/>
        </w:rPr>
        <w:t>, lo cierto e</w:t>
      </w:r>
      <w:r w:rsidR="00D56DB7">
        <w:rPr>
          <w:rFonts w:ascii="Arial" w:hAnsi="Arial" w:cs="Arial"/>
        </w:rPr>
        <w:t>ra</w:t>
      </w:r>
      <w:r w:rsidR="0081747C">
        <w:rPr>
          <w:rFonts w:ascii="Arial" w:hAnsi="Arial" w:cs="Arial"/>
        </w:rPr>
        <w:t xml:space="preserve"> que la Secretaría General del Consejo de Estado envió la referida notificación a la dirección electrónica </w:t>
      </w:r>
      <w:r w:rsidR="0081747C" w:rsidRPr="00A64835">
        <w:rPr>
          <w:rFonts w:ascii="Arial" w:hAnsi="Arial" w:cs="Arial"/>
        </w:rPr>
        <w:t>jiuvezjudicial@gmail.com</w:t>
      </w:r>
      <w:r w:rsidR="0081747C">
        <w:rPr>
          <w:rFonts w:ascii="Arial" w:hAnsi="Arial" w:cs="Arial"/>
        </w:rPr>
        <w:t xml:space="preserve"> que, precisamente, fue la </w:t>
      </w:r>
      <w:r w:rsidR="00FA4C3A">
        <w:rPr>
          <w:rFonts w:ascii="Arial" w:hAnsi="Arial" w:cs="Arial"/>
        </w:rPr>
        <w:t>allegada</w:t>
      </w:r>
      <w:r w:rsidR="0081747C">
        <w:rPr>
          <w:rFonts w:ascii="Arial" w:hAnsi="Arial" w:cs="Arial"/>
        </w:rPr>
        <w:t xml:space="preserve"> en el escrito de amparo</w:t>
      </w:r>
      <w:r w:rsidR="00D56DB7">
        <w:rPr>
          <w:rFonts w:ascii="Arial" w:hAnsi="Arial" w:cs="Arial"/>
        </w:rPr>
        <w:t>.</w:t>
      </w:r>
    </w:p>
    <w:p w14:paraId="48DB07E6" w14:textId="15CAE131" w:rsidR="00B97283" w:rsidRDefault="00B97283" w:rsidP="00720E03">
      <w:pPr>
        <w:pStyle w:val="Prrafodelista"/>
        <w:ind w:left="0"/>
        <w:jc w:val="both"/>
        <w:rPr>
          <w:rFonts w:ascii="Arial" w:hAnsi="Arial" w:cs="Arial"/>
        </w:rPr>
      </w:pPr>
    </w:p>
    <w:p w14:paraId="70B75133" w14:textId="0E799C82" w:rsidR="0043778C" w:rsidRDefault="00B97283" w:rsidP="00720E03">
      <w:pPr>
        <w:pStyle w:val="Prrafodelista"/>
        <w:ind w:left="0"/>
        <w:jc w:val="both"/>
        <w:rPr>
          <w:rFonts w:ascii="Arial" w:hAnsi="Arial" w:cs="Arial"/>
        </w:rPr>
      </w:pPr>
      <w:r>
        <w:rPr>
          <w:rFonts w:ascii="Arial" w:hAnsi="Arial" w:cs="Arial"/>
        </w:rPr>
        <w:t xml:space="preserve">Pues bien, visto lo anterior, la Sala encuentra que el señor Valencia Prieto, en su </w:t>
      </w:r>
      <w:r w:rsidR="00322F05">
        <w:rPr>
          <w:rFonts w:ascii="Arial" w:hAnsi="Arial" w:cs="Arial"/>
        </w:rPr>
        <w:t>tutela, no debatió los argumentos que sustentaron el auto del 2</w:t>
      </w:r>
      <w:r w:rsidR="00FA4C3A">
        <w:rPr>
          <w:rFonts w:ascii="Arial" w:hAnsi="Arial" w:cs="Arial"/>
        </w:rPr>
        <w:t>3</w:t>
      </w:r>
      <w:r w:rsidR="00322F05">
        <w:rPr>
          <w:rFonts w:ascii="Arial" w:hAnsi="Arial" w:cs="Arial"/>
        </w:rPr>
        <w:t xml:space="preserve"> de </w:t>
      </w:r>
      <w:r w:rsidR="00FA4C3A">
        <w:rPr>
          <w:rFonts w:ascii="Arial" w:hAnsi="Arial" w:cs="Arial"/>
        </w:rPr>
        <w:t>junio</w:t>
      </w:r>
      <w:r w:rsidR="00322F05">
        <w:rPr>
          <w:rFonts w:ascii="Arial" w:hAnsi="Arial" w:cs="Arial"/>
        </w:rPr>
        <w:t xml:space="preserve"> de 2021, concretamente, que de acuerdo con las constancias visibles en el expediente digital de tutela</w:t>
      </w:r>
      <w:r w:rsidR="00E43E94">
        <w:rPr>
          <w:rFonts w:ascii="Arial" w:hAnsi="Arial" w:cs="Arial"/>
        </w:rPr>
        <w:t xml:space="preserve"> </w:t>
      </w:r>
      <w:r w:rsidR="0043778C">
        <w:rPr>
          <w:rFonts w:ascii="Arial" w:hAnsi="Arial" w:cs="Arial"/>
        </w:rPr>
        <w:t>la notificación de la sentencia del 9 de abril de 2021 se realizó con mensaje de datos enviado al correo aportado</w:t>
      </w:r>
      <w:r w:rsidR="00D56DB7">
        <w:rPr>
          <w:rFonts w:ascii="Arial" w:hAnsi="Arial" w:cs="Arial"/>
        </w:rPr>
        <w:t xml:space="preserve"> por la parte accionante</w:t>
      </w:r>
      <w:r w:rsidR="0043778C">
        <w:rPr>
          <w:rFonts w:ascii="Arial" w:hAnsi="Arial" w:cs="Arial"/>
        </w:rPr>
        <w:t xml:space="preserve"> para </w:t>
      </w:r>
      <w:r w:rsidR="00D56DB7">
        <w:rPr>
          <w:rFonts w:ascii="Arial" w:hAnsi="Arial" w:cs="Arial"/>
        </w:rPr>
        <w:t>dichos efectos</w:t>
      </w:r>
      <w:r w:rsidR="0043778C">
        <w:rPr>
          <w:rFonts w:ascii="Arial" w:hAnsi="Arial" w:cs="Arial"/>
        </w:rPr>
        <w:t xml:space="preserve">. </w:t>
      </w:r>
      <w:r w:rsidR="00A1277B">
        <w:rPr>
          <w:rFonts w:ascii="Arial" w:hAnsi="Arial" w:cs="Arial"/>
        </w:rPr>
        <w:t>(Ver imagen en el punto 1.2.2. del acápite de antecedentes de esta providencia).</w:t>
      </w:r>
    </w:p>
    <w:p w14:paraId="4315FA39" w14:textId="77777777" w:rsidR="0043778C" w:rsidRDefault="0043778C" w:rsidP="00720E03">
      <w:pPr>
        <w:pStyle w:val="Prrafodelista"/>
        <w:ind w:left="0"/>
        <w:jc w:val="both"/>
        <w:rPr>
          <w:rFonts w:ascii="Arial" w:hAnsi="Arial" w:cs="Arial"/>
        </w:rPr>
      </w:pPr>
    </w:p>
    <w:p w14:paraId="1833054B" w14:textId="32CC0E8C" w:rsidR="0043778C" w:rsidRDefault="0043778C" w:rsidP="00720E03">
      <w:pPr>
        <w:pStyle w:val="Prrafodelista"/>
        <w:ind w:left="0"/>
        <w:jc w:val="both"/>
        <w:rPr>
          <w:rFonts w:ascii="Arial" w:hAnsi="Arial" w:cs="Arial"/>
        </w:rPr>
      </w:pPr>
      <w:r>
        <w:rPr>
          <w:rFonts w:ascii="Arial" w:hAnsi="Arial" w:cs="Arial"/>
        </w:rPr>
        <w:t>En tal sentido, cabe resaltar que el</w:t>
      </w:r>
      <w:r w:rsidR="001E7772">
        <w:rPr>
          <w:rFonts w:ascii="Arial" w:hAnsi="Arial" w:cs="Arial"/>
        </w:rPr>
        <w:t xml:space="preserve"> señor</w:t>
      </w:r>
      <w:r>
        <w:rPr>
          <w:rFonts w:ascii="Arial" w:hAnsi="Arial" w:cs="Arial"/>
        </w:rPr>
        <w:t xml:space="preserve"> </w:t>
      </w:r>
      <w:r w:rsidR="00D56DB7">
        <w:rPr>
          <w:rFonts w:ascii="Arial" w:hAnsi="Arial" w:cs="Arial"/>
        </w:rPr>
        <w:t>Henry Valencia Prieto</w:t>
      </w:r>
      <w:r>
        <w:rPr>
          <w:rFonts w:ascii="Arial" w:hAnsi="Arial" w:cs="Arial"/>
        </w:rPr>
        <w:t xml:space="preserve"> no propuso la configuración de un defecto</w:t>
      </w:r>
      <w:r w:rsidR="00C93C89">
        <w:rPr>
          <w:rFonts w:ascii="Arial" w:hAnsi="Arial" w:cs="Arial"/>
        </w:rPr>
        <w:t>,</w:t>
      </w:r>
      <w:r>
        <w:rPr>
          <w:rFonts w:ascii="Arial" w:hAnsi="Arial" w:cs="Arial"/>
        </w:rPr>
        <w:t xml:space="preserve"> sino que se limitó a reiterar que la dirección electrónica </w:t>
      </w:r>
      <w:r w:rsidRPr="0081747C">
        <w:rPr>
          <w:rFonts w:ascii="Arial" w:hAnsi="Arial" w:cs="Arial"/>
        </w:rPr>
        <w:t>jiuvezjudiciales@gmail.com</w:t>
      </w:r>
      <w:r>
        <w:rPr>
          <w:rFonts w:ascii="Arial" w:hAnsi="Arial" w:cs="Arial"/>
        </w:rPr>
        <w:t xml:space="preserve"> no corresponde con </w:t>
      </w:r>
      <w:r w:rsidR="00B4218B">
        <w:rPr>
          <w:rFonts w:ascii="Arial" w:hAnsi="Arial" w:cs="Arial"/>
        </w:rPr>
        <w:t xml:space="preserve">el correo que dispuso para ser </w:t>
      </w:r>
      <w:r>
        <w:rPr>
          <w:rFonts w:ascii="Arial" w:hAnsi="Arial" w:cs="Arial"/>
        </w:rPr>
        <w:t>notifica</w:t>
      </w:r>
      <w:r w:rsidR="00B4218B">
        <w:rPr>
          <w:rFonts w:ascii="Arial" w:hAnsi="Arial" w:cs="Arial"/>
        </w:rPr>
        <w:t>do</w:t>
      </w:r>
      <w:r>
        <w:rPr>
          <w:rFonts w:ascii="Arial" w:hAnsi="Arial" w:cs="Arial"/>
        </w:rPr>
        <w:t>, asunto que ya fue objeto de debate en el trámite con radicado 2021-00734-00</w:t>
      </w:r>
      <w:r w:rsidR="00730E15">
        <w:rPr>
          <w:rFonts w:ascii="Arial" w:hAnsi="Arial" w:cs="Arial"/>
        </w:rPr>
        <w:t>794</w:t>
      </w:r>
      <w:r>
        <w:rPr>
          <w:rFonts w:ascii="Arial" w:hAnsi="Arial" w:cs="Arial"/>
        </w:rPr>
        <w:t>-00 y que fue resuelto, incluso</w:t>
      </w:r>
      <w:r w:rsidR="00D56DB7">
        <w:rPr>
          <w:rFonts w:ascii="Arial" w:hAnsi="Arial" w:cs="Arial"/>
        </w:rPr>
        <w:t>,</w:t>
      </w:r>
      <w:r>
        <w:rPr>
          <w:rFonts w:ascii="Arial" w:hAnsi="Arial" w:cs="Arial"/>
        </w:rPr>
        <w:t xml:space="preserve"> desde el auto que rechazó por extemporáneo el recurso de impugnación, del 27 de mayo de 2021</w:t>
      </w:r>
      <w:r w:rsidR="00E43E94">
        <w:rPr>
          <w:rFonts w:ascii="Arial" w:hAnsi="Arial" w:cs="Arial"/>
        </w:rPr>
        <w:t>, al margen del mencionado error de transcripción</w:t>
      </w:r>
      <w:r>
        <w:rPr>
          <w:rFonts w:ascii="Arial" w:hAnsi="Arial" w:cs="Arial"/>
        </w:rPr>
        <w:t xml:space="preserve">. </w:t>
      </w:r>
    </w:p>
    <w:p w14:paraId="795FA272" w14:textId="64E7E4FA" w:rsidR="006D7924" w:rsidRDefault="006D7924" w:rsidP="00720E03">
      <w:pPr>
        <w:pStyle w:val="Prrafodelista"/>
        <w:ind w:left="0"/>
        <w:jc w:val="both"/>
        <w:rPr>
          <w:rFonts w:ascii="Arial" w:hAnsi="Arial" w:cs="Arial"/>
        </w:rPr>
      </w:pPr>
    </w:p>
    <w:p w14:paraId="2F482483" w14:textId="40C28C34" w:rsidR="006D7924" w:rsidRDefault="006D7924" w:rsidP="00720E03">
      <w:pPr>
        <w:pStyle w:val="Prrafodelista"/>
        <w:ind w:left="0"/>
        <w:jc w:val="both"/>
        <w:rPr>
          <w:rFonts w:ascii="Arial" w:hAnsi="Arial" w:cs="Arial"/>
        </w:rPr>
      </w:pPr>
      <w:r>
        <w:rPr>
          <w:rFonts w:ascii="Arial" w:hAnsi="Arial" w:cs="Arial"/>
        </w:rPr>
        <w:t xml:space="preserve">Las </w:t>
      </w:r>
      <w:r w:rsidR="00174517">
        <w:rPr>
          <w:rFonts w:ascii="Arial" w:hAnsi="Arial" w:cs="Arial"/>
        </w:rPr>
        <w:t>condiciones</w:t>
      </w:r>
      <w:r>
        <w:rPr>
          <w:rFonts w:ascii="Arial" w:hAnsi="Arial" w:cs="Arial"/>
        </w:rPr>
        <w:t xml:space="preserve"> expuestas permiten concluir que el accionante pretende, con la solicitud de amparo, reabrir el trámite con radicado 2021-00734-00794-00, para obtener una decisión del juez de tutela que le permita enmendar su error </w:t>
      </w:r>
      <w:r w:rsidR="00B4218B">
        <w:rPr>
          <w:rFonts w:ascii="Arial" w:hAnsi="Arial" w:cs="Arial"/>
        </w:rPr>
        <w:t>de</w:t>
      </w:r>
      <w:r>
        <w:rPr>
          <w:rFonts w:ascii="Arial" w:hAnsi="Arial" w:cs="Arial"/>
        </w:rPr>
        <w:t xml:space="preserve"> presentar extemporáneamente el recurso de impugnación </w:t>
      </w:r>
      <w:r w:rsidR="00B4218B">
        <w:rPr>
          <w:rFonts w:ascii="Arial" w:hAnsi="Arial" w:cs="Arial"/>
        </w:rPr>
        <w:t xml:space="preserve">en </w:t>
      </w:r>
      <w:r>
        <w:rPr>
          <w:rFonts w:ascii="Arial" w:hAnsi="Arial" w:cs="Arial"/>
        </w:rPr>
        <w:t>contra la sentencia del 9 de abril de 2021, asunto que carece de relevancia constitucional</w:t>
      </w:r>
      <w:r w:rsidR="00660B11">
        <w:rPr>
          <w:rFonts w:ascii="Arial" w:hAnsi="Arial" w:cs="Arial"/>
        </w:rPr>
        <w:t>.</w:t>
      </w:r>
    </w:p>
    <w:p w14:paraId="2D15BBB4" w14:textId="35CEB07A" w:rsidR="0043778C" w:rsidRDefault="0043778C" w:rsidP="00720E03">
      <w:pPr>
        <w:pStyle w:val="Prrafodelista"/>
        <w:ind w:left="0"/>
        <w:jc w:val="both"/>
        <w:rPr>
          <w:rFonts w:ascii="Arial" w:hAnsi="Arial" w:cs="Arial"/>
        </w:rPr>
      </w:pPr>
    </w:p>
    <w:p w14:paraId="5554F8C2" w14:textId="021859F5" w:rsidR="0043778C" w:rsidRDefault="0043778C" w:rsidP="00720E03">
      <w:pPr>
        <w:pStyle w:val="Prrafodelista"/>
        <w:ind w:left="0"/>
        <w:jc w:val="both"/>
        <w:rPr>
          <w:rFonts w:ascii="Arial" w:hAnsi="Arial" w:cs="Arial"/>
        </w:rPr>
      </w:pPr>
      <w:r>
        <w:rPr>
          <w:rFonts w:ascii="Arial" w:hAnsi="Arial" w:cs="Arial"/>
        </w:rPr>
        <w:t xml:space="preserve">Finalmente, </w:t>
      </w:r>
      <w:r w:rsidR="00D56DB7">
        <w:rPr>
          <w:rFonts w:ascii="Arial" w:hAnsi="Arial" w:cs="Arial"/>
        </w:rPr>
        <w:t xml:space="preserve">esta Judicatura no pasa por alto que en </w:t>
      </w:r>
      <w:r w:rsidR="00660B11">
        <w:rPr>
          <w:rFonts w:ascii="Arial" w:hAnsi="Arial" w:cs="Arial"/>
        </w:rPr>
        <w:t>el</w:t>
      </w:r>
      <w:r w:rsidR="00D56DB7">
        <w:rPr>
          <w:rFonts w:ascii="Arial" w:hAnsi="Arial" w:cs="Arial"/>
        </w:rPr>
        <w:t xml:space="preserve"> </w:t>
      </w:r>
      <w:r w:rsidR="00B4218B">
        <w:rPr>
          <w:rFonts w:ascii="Arial" w:hAnsi="Arial" w:cs="Arial"/>
        </w:rPr>
        <w:t>escrito</w:t>
      </w:r>
      <w:r w:rsidR="00D56DB7">
        <w:rPr>
          <w:rFonts w:ascii="Arial" w:hAnsi="Arial" w:cs="Arial"/>
        </w:rPr>
        <w:t xml:space="preserve"> de amparo se afirmó que el </w:t>
      </w:r>
      <w:r w:rsidR="007F6704">
        <w:rPr>
          <w:rFonts w:ascii="Arial" w:hAnsi="Arial" w:cs="Arial"/>
        </w:rPr>
        <w:t>D</w:t>
      </w:r>
      <w:r w:rsidR="00D56DB7">
        <w:rPr>
          <w:rFonts w:ascii="Arial" w:hAnsi="Arial" w:cs="Arial"/>
        </w:rPr>
        <w:t>espacho</w:t>
      </w:r>
      <w:r w:rsidR="009F216F">
        <w:rPr>
          <w:rFonts w:ascii="Arial" w:hAnsi="Arial" w:cs="Arial"/>
        </w:rPr>
        <w:t xml:space="preserve"> cuestionado no resolvió la solicitud del accionante de que le fuera enviada la constancia de notificación de la sentencia del 9 de abril de 2021. Sobre este punto, es necesario </w:t>
      </w:r>
      <w:r w:rsidR="00A1277B">
        <w:rPr>
          <w:rFonts w:ascii="Arial" w:hAnsi="Arial" w:cs="Arial"/>
        </w:rPr>
        <w:t>recordar</w:t>
      </w:r>
      <w:r w:rsidR="009F216F">
        <w:rPr>
          <w:rFonts w:ascii="Arial" w:hAnsi="Arial" w:cs="Arial"/>
        </w:rPr>
        <w:t xml:space="preserve"> que</w:t>
      </w:r>
      <w:r w:rsidR="00730E15">
        <w:rPr>
          <w:rFonts w:ascii="Arial" w:hAnsi="Arial" w:cs="Arial"/>
        </w:rPr>
        <w:t xml:space="preserve"> la Secretaría General del Consejo de Estado</w:t>
      </w:r>
      <w:r w:rsidR="00A1277B">
        <w:rPr>
          <w:rFonts w:ascii="Arial" w:hAnsi="Arial" w:cs="Arial"/>
        </w:rPr>
        <w:t xml:space="preserve"> le informó al interesado, en Oficio JJ/2082 del 13 de mayo siguiente, que </w:t>
      </w:r>
      <w:r w:rsidR="004234C4">
        <w:rPr>
          <w:rFonts w:ascii="Arial" w:hAnsi="Arial" w:cs="Arial"/>
        </w:rPr>
        <w:t xml:space="preserve">el mencionado </w:t>
      </w:r>
      <w:r w:rsidR="004234C4">
        <w:rPr>
          <w:rFonts w:ascii="Arial" w:hAnsi="Arial" w:cs="Arial"/>
        </w:rPr>
        <w:lastRenderedPageBreak/>
        <w:t xml:space="preserve">fallo fue notificado el 20 de abril de la misma anualidad, </w:t>
      </w:r>
      <w:r w:rsidR="004234C4" w:rsidRPr="004234C4">
        <w:rPr>
          <w:rFonts w:ascii="Arial" w:hAnsi="Arial" w:cs="Arial"/>
        </w:rPr>
        <w:t>actuaciones que tenía la posibilidad de revisar en la opción “consulta de procesos” de la página web del Consejo de Estado o en el aplicativo de SAMAI</w:t>
      </w:r>
      <w:r w:rsidR="004234C4">
        <w:rPr>
          <w:rFonts w:ascii="Arial" w:hAnsi="Arial" w:cs="Arial"/>
        </w:rPr>
        <w:t>.</w:t>
      </w:r>
    </w:p>
    <w:p w14:paraId="62E5C008" w14:textId="77777777" w:rsidR="00655117" w:rsidRPr="00720E03" w:rsidRDefault="00655117" w:rsidP="00720E03">
      <w:pPr>
        <w:tabs>
          <w:tab w:val="left" w:pos="0"/>
        </w:tabs>
        <w:rPr>
          <w:sz w:val="24"/>
          <w:szCs w:val="24"/>
        </w:rPr>
      </w:pPr>
    </w:p>
    <w:p w14:paraId="0A303D91" w14:textId="27E49113" w:rsidR="006D7924" w:rsidRDefault="006D7924" w:rsidP="006D7924">
      <w:pPr>
        <w:contextualSpacing/>
        <w:rPr>
          <w:sz w:val="24"/>
          <w:szCs w:val="24"/>
          <w:lang w:val="es-ES_tradnl"/>
        </w:rPr>
      </w:pPr>
      <w:r>
        <w:rPr>
          <w:sz w:val="24"/>
          <w:szCs w:val="24"/>
        </w:rPr>
        <w:t xml:space="preserve">En consecuencia, </w:t>
      </w:r>
      <w:r w:rsidRPr="00530352">
        <w:rPr>
          <w:sz w:val="24"/>
          <w:szCs w:val="24"/>
          <w:lang w:val="es-ES_tradnl"/>
        </w:rPr>
        <w:t xml:space="preserve">esta Sala declarará la </w:t>
      </w:r>
      <w:r>
        <w:rPr>
          <w:sz w:val="24"/>
          <w:szCs w:val="24"/>
          <w:lang w:val="es-ES_tradnl"/>
        </w:rPr>
        <w:t xml:space="preserve">improcedencia </w:t>
      </w:r>
      <w:r w:rsidRPr="00530352">
        <w:rPr>
          <w:sz w:val="24"/>
          <w:szCs w:val="24"/>
          <w:lang w:val="es-ES_tradnl"/>
        </w:rPr>
        <w:t>de la acción de tutela interpuesta en contra</w:t>
      </w:r>
      <w:r>
        <w:rPr>
          <w:sz w:val="24"/>
          <w:szCs w:val="24"/>
          <w:lang w:val="es-ES_tradnl"/>
        </w:rPr>
        <w:t xml:space="preserve"> del </w:t>
      </w:r>
      <w:r w:rsidR="007F6704">
        <w:rPr>
          <w:sz w:val="24"/>
          <w:szCs w:val="24"/>
          <w:lang w:val="es-ES_tradnl"/>
        </w:rPr>
        <w:t>D</w:t>
      </w:r>
      <w:r>
        <w:rPr>
          <w:sz w:val="24"/>
          <w:szCs w:val="24"/>
          <w:lang w:val="es-ES_tradnl"/>
        </w:rPr>
        <w:t xml:space="preserve">espacho núm. 5 de la Sección Tercera del Consejo de Estado, dado que no se cumplió con el requisito de procedibilidad de relevancia constitucional, conforme a las consideraciones expuestas en esta providencia. </w:t>
      </w:r>
    </w:p>
    <w:p w14:paraId="3418D5B3" w14:textId="77777777" w:rsidR="00F37EDA" w:rsidRPr="00720E03" w:rsidRDefault="00F37EDA" w:rsidP="00720E03">
      <w:pPr>
        <w:ind w:right="-93"/>
        <w:rPr>
          <w:sz w:val="24"/>
          <w:szCs w:val="24"/>
        </w:rPr>
      </w:pPr>
    </w:p>
    <w:p w14:paraId="3FAFAC1E" w14:textId="75741A64" w:rsidR="00490F3D" w:rsidRDefault="00490F3D" w:rsidP="00720E03">
      <w:pPr>
        <w:rPr>
          <w:sz w:val="24"/>
          <w:szCs w:val="24"/>
          <w:lang w:eastAsia="es-CO"/>
        </w:rPr>
      </w:pPr>
      <w:r w:rsidRPr="00720E03">
        <w:rPr>
          <w:sz w:val="24"/>
          <w:szCs w:val="24"/>
          <w:lang w:eastAsia="es-CO"/>
        </w:rPr>
        <w:t>En mérito de lo expuesto, el Consejo de Estado en Sala de lo Contencioso Administrativo, Sección Tercera, Subsección C administrando justicia en nombre de la República y por autoridad de la ley,</w:t>
      </w:r>
    </w:p>
    <w:p w14:paraId="022562D9" w14:textId="77777777" w:rsidR="00FE79A5" w:rsidRPr="00720E03" w:rsidRDefault="00FE79A5" w:rsidP="00720E03">
      <w:pPr>
        <w:rPr>
          <w:sz w:val="24"/>
          <w:szCs w:val="24"/>
          <w:lang w:eastAsia="es-CO"/>
        </w:rPr>
      </w:pPr>
    </w:p>
    <w:p w14:paraId="12B2328B" w14:textId="77777777" w:rsidR="000E2BBB" w:rsidRPr="00720E03" w:rsidRDefault="000E2BBB" w:rsidP="00720E03">
      <w:pPr>
        <w:tabs>
          <w:tab w:val="left" w:pos="851"/>
        </w:tabs>
        <w:jc w:val="center"/>
        <w:rPr>
          <w:rFonts w:eastAsia="Verdana"/>
          <w:sz w:val="24"/>
          <w:szCs w:val="24"/>
        </w:rPr>
      </w:pPr>
      <w:r w:rsidRPr="00720E03">
        <w:rPr>
          <w:rFonts w:eastAsia="Verdana"/>
          <w:b/>
          <w:sz w:val="24"/>
          <w:szCs w:val="24"/>
        </w:rPr>
        <w:t>FALLA</w:t>
      </w:r>
    </w:p>
    <w:p w14:paraId="5949C78D" w14:textId="77777777" w:rsidR="000E2BBB" w:rsidRPr="00720E03" w:rsidRDefault="000E2BBB" w:rsidP="00720E03">
      <w:pPr>
        <w:tabs>
          <w:tab w:val="left" w:pos="709"/>
          <w:tab w:val="left" w:pos="9000"/>
        </w:tabs>
        <w:outlineLvl w:val="6"/>
        <w:rPr>
          <w:sz w:val="24"/>
          <w:szCs w:val="24"/>
        </w:rPr>
      </w:pPr>
    </w:p>
    <w:p w14:paraId="4BB2F489" w14:textId="357FAC2D" w:rsidR="00FF72D3" w:rsidRPr="00174517" w:rsidRDefault="00FF72D3" w:rsidP="00720E03">
      <w:pPr>
        <w:pStyle w:val="Textoindependiente"/>
        <w:spacing w:after="0"/>
        <w:rPr>
          <w:bCs/>
          <w:sz w:val="24"/>
          <w:szCs w:val="24"/>
          <w:bdr w:val="none" w:sz="0" w:space="0" w:color="auto" w:frame="1"/>
          <w:lang w:eastAsia="es-CO"/>
        </w:rPr>
      </w:pPr>
      <w:r w:rsidRPr="00720E03">
        <w:rPr>
          <w:b/>
          <w:sz w:val="24"/>
          <w:szCs w:val="24"/>
        </w:rPr>
        <w:t xml:space="preserve">PRIMERO: </w:t>
      </w:r>
      <w:r w:rsidR="00174517">
        <w:rPr>
          <w:b/>
          <w:sz w:val="24"/>
          <w:szCs w:val="24"/>
        </w:rPr>
        <w:t xml:space="preserve">DECLARAR </w:t>
      </w:r>
      <w:r w:rsidR="00174517">
        <w:rPr>
          <w:bCs/>
          <w:sz w:val="24"/>
          <w:szCs w:val="24"/>
        </w:rPr>
        <w:t xml:space="preserve">improcedente la acción de tutela interpuesta por Henry Valencia Prieto en contra del Despacho núm. 5 de la Sección Tercera del Consejo de Estado, por los motivos expuestos en esta providencia. </w:t>
      </w:r>
    </w:p>
    <w:p w14:paraId="2B5C1917" w14:textId="77777777" w:rsidR="00FF72D3" w:rsidRPr="00720E03" w:rsidRDefault="00FF72D3" w:rsidP="00720E03">
      <w:pPr>
        <w:tabs>
          <w:tab w:val="left" w:pos="709"/>
        </w:tabs>
        <w:autoSpaceDE w:val="0"/>
        <w:autoSpaceDN w:val="0"/>
        <w:adjustRightInd w:val="0"/>
        <w:rPr>
          <w:bCs/>
          <w:sz w:val="24"/>
          <w:szCs w:val="24"/>
        </w:rPr>
      </w:pPr>
    </w:p>
    <w:p w14:paraId="073B61B9" w14:textId="0CF451B1" w:rsidR="00FF72D3" w:rsidRPr="00720E03" w:rsidRDefault="00FF72D3" w:rsidP="00720E03">
      <w:pPr>
        <w:tabs>
          <w:tab w:val="left" w:pos="709"/>
        </w:tabs>
        <w:autoSpaceDE w:val="0"/>
        <w:autoSpaceDN w:val="0"/>
        <w:adjustRightInd w:val="0"/>
        <w:rPr>
          <w:sz w:val="24"/>
          <w:szCs w:val="24"/>
        </w:rPr>
      </w:pPr>
      <w:r w:rsidRPr="00720E03">
        <w:rPr>
          <w:b/>
          <w:bCs/>
          <w:sz w:val="24"/>
          <w:szCs w:val="24"/>
        </w:rPr>
        <w:t>SEGUNDO: NOTIFICAR</w:t>
      </w:r>
      <w:r w:rsidRPr="00720E03">
        <w:rPr>
          <w:sz w:val="24"/>
          <w:szCs w:val="24"/>
        </w:rPr>
        <w:t xml:space="preserve"> </w:t>
      </w:r>
      <w:r w:rsidR="00174517" w:rsidRPr="00174517">
        <w:rPr>
          <w:sz w:val="24"/>
          <w:szCs w:val="24"/>
        </w:rPr>
        <w:t>a las partes e intervinientes en la forma prevista en el artículo 30 del Decreto Ley 2591 de 1991.</w:t>
      </w:r>
    </w:p>
    <w:p w14:paraId="0C20ABEF" w14:textId="77777777" w:rsidR="00FF72D3" w:rsidRPr="00720E03" w:rsidRDefault="00FF72D3" w:rsidP="00720E03">
      <w:pPr>
        <w:tabs>
          <w:tab w:val="left" w:pos="709"/>
        </w:tabs>
        <w:autoSpaceDE w:val="0"/>
        <w:autoSpaceDN w:val="0"/>
        <w:adjustRightInd w:val="0"/>
        <w:rPr>
          <w:b/>
          <w:bCs/>
          <w:sz w:val="24"/>
          <w:szCs w:val="24"/>
        </w:rPr>
      </w:pPr>
    </w:p>
    <w:p w14:paraId="5C70AC5D" w14:textId="1D80CBCD" w:rsidR="00FF72D3" w:rsidRPr="00720E03" w:rsidRDefault="00FF72D3" w:rsidP="00720E03">
      <w:pPr>
        <w:tabs>
          <w:tab w:val="left" w:pos="709"/>
        </w:tabs>
        <w:autoSpaceDE w:val="0"/>
        <w:autoSpaceDN w:val="0"/>
        <w:adjustRightInd w:val="0"/>
        <w:rPr>
          <w:b/>
          <w:bCs/>
          <w:sz w:val="24"/>
          <w:szCs w:val="24"/>
        </w:rPr>
      </w:pPr>
      <w:r w:rsidRPr="00720E03">
        <w:rPr>
          <w:rFonts w:eastAsia="Verdana"/>
          <w:b/>
          <w:sz w:val="24"/>
          <w:szCs w:val="24"/>
        </w:rPr>
        <w:t>TERCERO: REMITIR</w:t>
      </w:r>
      <w:r w:rsidRPr="00720E03">
        <w:rPr>
          <w:rFonts w:eastAsia="Verdana"/>
          <w:sz w:val="24"/>
          <w:szCs w:val="24"/>
        </w:rPr>
        <w:t xml:space="preserve"> la presente providencia</w:t>
      </w:r>
      <w:r w:rsidR="00174517">
        <w:rPr>
          <w:rFonts w:eastAsia="Verdana"/>
          <w:sz w:val="24"/>
          <w:szCs w:val="24"/>
        </w:rPr>
        <w:t>, si no fuere impugn</w:t>
      </w:r>
      <w:r w:rsidR="00750378">
        <w:rPr>
          <w:rFonts w:eastAsia="Verdana"/>
          <w:sz w:val="24"/>
          <w:szCs w:val="24"/>
        </w:rPr>
        <w:t>ad</w:t>
      </w:r>
      <w:r w:rsidR="00174517">
        <w:rPr>
          <w:rFonts w:eastAsia="Verdana"/>
          <w:sz w:val="24"/>
          <w:szCs w:val="24"/>
        </w:rPr>
        <w:t>a,</w:t>
      </w:r>
      <w:r w:rsidRPr="00720E03">
        <w:rPr>
          <w:rFonts w:eastAsia="Verdana"/>
          <w:sz w:val="24"/>
          <w:szCs w:val="24"/>
        </w:rPr>
        <w:t xml:space="preserve"> a la Corte Constitucional para su eventual revisión.</w:t>
      </w:r>
    </w:p>
    <w:p w14:paraId="21A13640" w14:textId="77777777" w:rsidR="000E2BBB" w:rsidRPr="00720E03" w:rsidRDefault="000E2BBB" w:rsidP="00720E03">
      <w:pPr>
        <w:tabs>
          <w:tab w:val="left" w:pos="709"/>
          <w:tab w:val="left" w:pos="9000"/>
        </w:tabs>
        <w:outlineLvl w:val="6"/>
        <w:rPr>
          <w:rFonts w:eastAsia="Verdana"/>
          <w:sz w:val="24"/>
          <w:szCs w:val="24"/>
        </w:rPr>
      </w:pPr>
    </w:p>
    <w:p w14:paraId="40AAFF0E" w14:textId="2CA40197" w:rsidR="000E2BBB" w:rsidRDefault="000E2BBB" w:rsidP="00720E03">
      <w:pPr>
        <w:tabs>
          <w:tab w:val="left" w:pos="709"/>
          <w:tab w:val="left" w:pos="9000"/>
        </w:tabs>
        <w:outlineLvl w:val="6"/>
        <w:rPr>
          <w:rFonts w:eastAsia="Verdana"/>
          <w:b/>
          <w:sz w:val="24"/>
          <w:szCs w:val="24"/>
        </w:rPr>
      </w:pPr>
      <w:r w:rsidRPr="00720E03">
        <w:rPr>
          <w:rFonts w:eastAsia="Verdana"/>
          <w:b/>
          <w:sz w:val="24"/>
          <w:szCs w:val="24"/>
        </w:rPr>
        <w:t>Notifíquese y cúmplase</w:t>
      </w:r>
    </w:p>
    <w:p w14:paraId="2ADDB800" w14:textId="16E8B00B" w:rsidR="008F6A51" w:rsidRDefault="008F6A51" w:rsidP="00720E03">
      <w:pPr>
        <w:tabs>
          <w:tab w:val="left" w:pos="709"/>
          <w:tab w:val="left" w:pos="9000"/>
        </w:tabs>
        <w:outlineLvl w:val="6"/>
        <w:rPr>
          <w:rFonts w:eastAsia="Verdana"/>
          <w:b/>
          <w:sz w:val="24"/>
          <w:szCs w:val="24"/>
        </w:rPr>
      </w:pPr>
    </w:p>
    <w:p w14:paraId="77B659E1" w14:textId="698692F3" w:rsidR="008F6A51" w:rsidRDefault="008F6A51" w:rsidP="00720E03">
      <w:pPr>
        <w:tabs>
          <w:tab w:val="left" w:pos="709"/>
          <w:tab w:val="left" w:pos="9000"/>
        </w:tabs>
        <w:outlineLvl w:val="6"/>
        <w:rPr>
          <w:rFonts w:eastAsia="Verdana"/>
          <w:b/>
          <w:sz w:val="24"/>
          <w:szCs w:val="24"/>
        </w:rPr>
      </w:pPr>
    </w:p>
    <w:p w14:paraId="6AC06125" w14:textId="77777777" w:rsidR="008F6A51" w:rsidRPr="00720E03" w:rsidRDefault="008F6A51" w:rsidP="00720E03">
      <w:pPr>
        <w:tabs>
          <w:tab w:val="left" w:pos="709"/>
          <w:tab w:val="left" w:pos="9000"/>
        </w:tabs>
        <w:outlineLvl w:val="6"/>
        <w:rPr>
          <w:rFonts w:eastAsia="Verdana"/>
          <w:b/>
          <w:sz w:val="24"/>
          <w:szCs w:val="24"/>
        </w:rPr>
      </w:pPr>
    </w:p>
    <w:p w14:paraId="5B04C6B7" w14:textId="77777777" w:rsidR="008F6A51" w:rsidRPr="00720E03" w:rsidRDefault="008F6A51" w:rsidP="008F6A51">
      <w:pPr>
        <w:pStyle w:val="Textodecuerpo31"/>
        <w:widowControl w:val="0"/>
        <w:tabs>
          <w:tab w:val="left" w:pos="708"/>
        </w:tabs>
        <w:spacing w:line="240" w:lineRule="auto"/>
        <w:ind w:right="51"/>
        <w:jc w:val="center"/>
        <w:rPr>
          <w:rFonts w:cs="Arial"/>
          <w:b/>
          <w:szCs w:val="24"/>
        </w:rPr>
      </w:pPr>
      <w:r w:rsidRPr="00720E03">
        <w:rPr>
          <w:rFonts w:cs="Arial"/>
          <w:b/>
          <w:szCs w:val="24"/>
        </w:rPr>
        <w:t>NICOLÁS YEPES CORRALES</w:t>
      </w:r>
    </w:p>
    <w:p w14:paraId="5138F9CC" w14:textId="77777777" w:rsidR="008F6A51" w:rsidRPr="00720E03" w:rsidRDefault="008F6A51" w:rsidP="008F6A51">
      <w:pPr>
        <w:pStyle w:val="Textodecuerpo31"/>
        <w:widowControl w:val="0"/>
        <w:tabs>
          <w:tab w:val="left" w:pos="708"/>
        </w:tabs>
        <w:spacing w:line="240" w:lineRule="auto"/>
        <w:ind w:right="51"/>
        <w:jc w:val="center"/>
        <w:rPr>
          <w:rFonts w:cs="Arial"/>
          <w:b/>
          <w:szCs w:val="24"/>
        </w:rPr>
      </w:pPr>
      <w:r w:rsidRPr="00720E03">
        <w:rPr>
          <w:rFonts w:cs="Arial"/>
          <w:b/>
          <w:szCs w:val="24"/>
        </w:rPr>
        <w:t>Presidente de Sala</w:t>
      </w:r>
    </w:p>
    <w:p w14:paraId="41F92F43" w14:textId="77777777" w:rsidR="00816158" w:rsidRPr="00720E03" w:rsidRDefault="00816158" w:rsidP="00720E03">
      <w:pPr>
        <w:tabs>
          <w:tab w:val="left" w:pos="709"/>
          <w:tab w:val="left" w:pos="9000"/>
        </w:tabs>
        <w:jc w:val="center"/>
        <w:outlineLvl w:val="6"/>
        <w:rPr>
          <w:rFonts w:eastAsia="Verdana"/>
          <w:b/>
          <w:sz w:val="24"/>
          <w:szCs w:val="24"/>
        </w:rPr>
      </w:pPr>
    </w:p>
    <w:p w14:paraId="08C42543" w14:textId="77777777" w:rsidR="00E87A10" w:rsidRPr="00720E03" w:rsidRDefault="00E87A10" w:rsidP="00720E03">
      <w:pPr>
        <w:tabs>
          <w:tab w:val="left" w:pos="709"/>
          <w:tab w:val="left" w:pos="9000"/>
        </w:tabs>
        <w:jc w:val="center"/>
        <w:outlineLvl w:val="6"/>
        <w:rPr>
          <w:rFonts w:eastAsia="Verdana"/>
          <w:b/>
          <w:sz w:val="24"/>
          <w:szCs w:val="24"/>
        </w:rPr>
      </w:pPr>
    </w:p>
    <w:p w14:paraId="0F96E2F4" w14:textId="77777777" w:rsidR="00816158" w:rsidRPr="00720E03" w:rsidRDefault="00816158" w:rsidP="00720E03">
      <w:pPr>
        <w:tabs>
          <w:tab w:val="left" w:pos="709"/>
          <w:tab w:val="left" w:pos="9000"/>
        </w:tabs>
        <w:jc w:val="center"/>
        <w:outlineLvl w:val="6"/>
        <w:rPr>
          <w:rFonts w:eastAsia="Verdana"/>
          <w:b/>
          <w:sz w:val="24"/>
          <w:szCs w:val="24"/>
        </w:rPr>
      </w:pPr>
    </w:p>
    <w:p w14:paraId="41407878" w14:textId="7C28DD29" w:rsidR="003B65B2" w:rsidRDefault="003B65B2" w:rsidP="00720E03">
      <w:pPr>
        <w:pStyle w:val="Textodecuerpo31"/>
        <w:widowControl w:val="0"/>
        <w:tabs>
          <w:tab w:val="left" w:pos="708"/>
        </w:tabs>
        <w:spacing w:line="240" w:lineRule="auto"/>
        <w:ind w:right="51"/>
        <w:jc w:val="center"/>
        <w:rPr>
          <w:rFonts w:cs="Arial"/>
          <w:b/>
          <w:szCs w:val="24"/>
        </w:rPr>
      </w:pPr>
      <w:r w:rsidRPr="00720E03">
        <w:rPr>
          <w:rFonts w:cs="Arial"/>
          <w:b/>
          <w:szCs w:val="24"/>
        </w:rPr>
        <w:t>JAIME ENRIQUE RODRÍGUEZ NAVAS</w:t>
      </w:r>
    </w:p>
    <w:p w14:paraId="515FF6A9" w14:textId="77777777" w:rsidR="008F6A51" w:rsidRPr="00720E03" w:rsidRDefault="008F6A51" w:rsidP="008F6A51">
      <w:pPr>
        <w:pStyle w:val="Textodecuerpo31"/>
        <w:widowControl w:val="0"/>
        <w:tabs>
          <w:tab w:val="left" w:pos="708"/>
        </w:tabs>
        <w:spacing w:line="240" w:lineRule="auto"/>
        <w:ind w:right="51"/>
        <w:jc w:val="center"/>
        <w:rPr>
          <w:rFonts w:cs="Arial"/>
          <w:b/>
          <w:szCs w:val="24"/>
        </w:rPr>
      </w:pPr>
      <w:r w:rsidRPr="00720E03">
        <w:rPr>
          <w:rFonts w:cs="Arial"/>
          <w:b/>
          <w:szCs w:val="24"/>
        </w:rPr>
        <w:t>Magistrado</w:t>
      </w:r>
    </w:p>
    <w:p w14:paraId="46B964E1" w14:textId="77777777" w:rsidR="008F6A51" w:rsidRPr="00720E03" w:rsidRDefault="008F6A51" w:rsidP="00720E03">
      <w:pPr>
        <w:pStyle w:val="Textodecuerpo31"/>
        <w:widowControl w:val="0"/>
        <w:tabs>
          <w:tab w:val="left" w:pos="708"/>
        </w:tabs>
        <w:spacing w:line="240" w:lineRule="auto"/>
        <w:ind w:right="51"/>
        <w:jc w:val="center"/>
        <w:rPr>
          <w:rFonts w:cs="Arial"/>
          <w:b/>
          <w:szCs w:val="24"/>
        </w:rPr>
      </w:pPr>
    </w:p>
    <w:p w14:paraId="7DADCFF8" w14:textId="77777777" w:rsidR="00FF093D" w:rsidRPr="00720E03" w:rsidRDefault="00FF093D" w:rsidP="00720E03">
      <w:pPr>
        <w:pStyle w:val="Textodecuerpo31"/>
        <w:widowControl w:val="0"/>
        <w:tabs>
          <w:tab w:val="left" w:pos="708"/>
        </w:tabs>
        <w:spacing w:line="240" w:lineRule="auto"/>
        <w:ind w:right="51"/>
        <w:jc w:val="center"/>
        <w:rPr>
          <w:rFonts w:cs="Arial"/>
          <w:b/>
          <w:szCs w:val="24"/>
        </w:rPr>
      </w:pPr>
    </w:p>
    <w:p w14:paraId="67D6424B" w14:textId="77777777" w:rsidR="00E87A10" w:rsidRPr="00720E03" w:rsidRDefault="00E87A10" w:rsidP="00720E03">
      <w:pPr>
        <w:pStyle w:val="Textodecuerpo31"/>
        <w:widowControl w:val="0"/>
        <w:tabs>
          <w:tab w:val="left" w:pos="708"/>
        </w:tabs>
        <w:spacing w:line="240" w:lineRule="auto"/>
        <w:ind w:right="51"/>
        <w:jc w:val="center"/>
        <w:rPr>
          <w:rFonts w:cs="Arial"/>
          <w:b/>
          <w:szCs w:val="24"/>
        </w:rPr>
      </w:pPr>
    </w:p>
    <w:p w14:paraId="505462BF" w14:textId="1F7AB84C" w:rsidR="00FF093D" w:rsidRPr="00720E03" w:rsidRDefault="003B65B2" w:rsidP="00720E03">
      <w:pPr>
        <w:pStyle w:val="Textodecuerpo31"/>
        <w:widowControl w:val="0"/>
        <w:tabs>
          <w:tab w:val="left" w:pos="708"/>
        </w:tabs>
        <w:spacing w:line="240" w:lineRule="auto"/>
        <w:ind w:right="51"/>
        <w:jc w:val="center"/>
        <w:rPr>
          <w:rFonts w:cs="Arial"/>
          <w:b/>
          <w:szCs w:val="24"/>
        </w:rPr>
      </w:pPr>
      <w:r w:rsidRPr="00720E03">
        <w:rPr>
          <w:rFonts w:cs="Arial"/>
          <w:b/>
          <w:szCs w:val="24"/>
        </w:rPr>
        <w:t>GUILLERMO SÁNCHEZ LUQUE</w:t>
      </w:r>
    </w:p>
    <w:p w14:paraId="1D03C1DD" w14:textId="5F3C2B71" w:rsidR="00FF093D" w:rsidRDefault="000E2BBB" w:rsidP="00720E03">
      <w:pPr>
        <w:pStyle w:val="Textodecuerpo31"/>
        <w:widowControl w:val="0"/>
        <w:tabs>
          <w:tab w:val="left" w:pos="708"/>
        </w:tabs>
        <w:spacing w:line="240" w:lineRule="auto"/>
        <w:ind w:right="51"/>
        <w:jc w:val="center"/>
        <w:rPr>
          <w:rFonts w:cs="Arial"/>
          <w:b/>
          <w:szCs w:val="24"/>
        </w:rPr>
      </w:pPr>
      <w:r w:rsidRPr="00720E03">
        <w:rPr>
          <w:rFonts w:cs="Arial"/>
          <w:b/>
          <w:szCs w:val="24"/>
        </w:rPr>
        <w:t>Magistrado</w:t>
      </w:r>
    </w:p>
    <w:p w14:paraId="225B6EDD" w14:textId="77D969E9" w:rsidR="008F6A51" w:rsidRPr="00720E03" w:rsidRDefault="008F6A51" w:rsidP="00720E03">
      <w:pPr>
        <w:pStyle w:val="Textodecuerpo31"/>
        <w:widowControl w:val="0"/>
        <w:tabs>
          <w:tab w:val="left" w:pos="708"/>
        </w:tabs>
        <w:spacing w:line="240" w:lineRule="auto"/>
        <w:ind w:right="51"/>
        <w:jc w:val="center"/>
        <w:rPr>
          <w:rFonts w:cs="Arial"/>
          <w:b/>
          <w:szCs w:val="24"/>
        </w:rPr>
      </w:pPr>
      <w:r w:rsidRPr="008F6A51">
        <w:rPr>
          <w:rFonts w:cs="Arial"/>
          <w:b/>
          <w:szCs w:val="24"/>
        </w:rPr>
        <w:t>Aclaración de voto Cfr. Rad. 11001-03-15-000-2019-01299-00</w:t>
      </w:r>
    </w:p>
    <w:p w14:paraId="20068AE8" w14:textId="0F03AD70" w:rsidR="00F32CD1" w:rsidRDefault="00F32CD1" w:rsidP="00720E03">
      <w:pPr>
        <w:pStyle w:val="Textodecuerpo31"/>
        <w:widowControl w:val="0"/>
        <w:tabs>
          <w:tab w:val="left" w:pos="708"/>
        </w:tabs>
        <w:spacing w:line="240" w:lineRule="auto"/>
        <w:ind w:right="51"/>
        <w:jc w:val="center"/>
        <w:rPr>
          <w:rFonts w:cs="Arial"/>
          <w:b/>
          <w:szCs w:val="24"/>
        </w:rPr>
      </w:pPr>
    </w:p>
    <w:p w14:paraId="1B214F2C" w14:textId="77777777" w:rsidR="00FA4C3A" w:rsidRPr="00720E03" w:rsidRDefault="00FA4C3A" w:rsidP="00720E03">
      <w:pPr>
        <w:pStyle w:val="Textodecuerpo31"/>
        <w:widowControl w:val="0"/>
        <w:tabs>
          <w:tab w:val="left" w:pos="708"/>
        </w:tabs>
        <w:spacing w:line="240" w:lineRule="auto"/>
        <w:ind w:right="51"/>
        <w:jc w:val="center"/>
        <w:rPr>
          <w:rFonts w:cs="Arial"/>
          <w:b/>
          <w:szCs w:val="24"/>
        </w:rPr>
      </w:pPr>
    </w:p>
    <w:p w14:paraId="21BA37FA" w14:textId="77777777" w:rsidR="00E87A10" w:rsidRPr="00720E03" w:rsidRDefault="00E87A10" w:rsidP="00720E03">
      <w:pPr>
        <w:pStyle w:val="Textodecuerpo31"/>
        <w:widowControl w:val="0"/>
        <w:tabs>
          <w:tab w:val="left" w:pos="708"/>
        </w:tabs>
        <w:spacing w:line="240" w:lineRule="auto"/>
        <w:ind w:right="51"/>
        <w:jc w:val="center"/>
        <w:rPr>
          <w:rFonts w:cs="Arial"/>
          <w:b/>
          <w:szCs w:val="24"/>
        </w:rPr>
      </w:pPr>
    </w:p>
    <w:p w14:paraId="2204F2CB" w14:textId="77777777" w:rsidR="00F32CD1" w:rsidRPr="00720E03" w:rsidRDefault="00F32CD1" w:rsidP="00720E03">
      <w:pPr>
        <w:pStyle w:val="Textodecuerpo31"/>
        <w:widowControl w:val="0"/>
        <w:tabs>
          <w:tab w:val="left" w:pos="708"/>
        </w:tabs>
        <w:spacing w:line="240" w:lineRule="auto"/>
        <w:ind w:right="51"/>
        <w:jc w:val="center"/>
        <w:rPr>
          <w:rFonts w:cs="Arial"/>
          <w:b/>
          <w:szCs w:val="24"/>
        </w:rPr>
      </w:pPr>
    </w:p>
    <w:p w14:paraId="2BA03331" w14:textId="77777777" w:rsidR="00623E57" w:rsidRPr="00720E03" w:rsidRDefault="00623E57" w:rsidP="00720E03">
      <w:pPr>
        <w:pStyle w:val="Textodecuerpo31"/>
        <w:widowControl w:val="0"/>
        <w:tabs>
          <w:tab w:val="left" w:pos="708"/>
        </w:tabs>
        <w:spacing w:line="240" w:lineRule="auto"/>
        <w:ind w:right="51"/>
        <w:jc w:val="center"/>
        <w:rPr>
          <w:rFonts w:cs="Arial"/>
          <w:b/>
          <w:szCs w:val="24"/>
        </w:rPr>
      </w:pPr>
    </w:p>
    <w:sectPr w:rsidR="00623E57" w:rsidRPr="00720E03" w:rsidSect="00BE3AFE">
      <w:headerReference w:type="default" r:id="rId13"/>
      <w:footerReference w:type="default" r:id="rId14"/>
      <w:headerReference w:type="first" r:id="rId15"/>
      <w:footerReference w:type="first" r:id="rId16"/>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BA4D" w14:textId="77777777" w:rsidR="00386984" w:rsidRDefault="00386984" w:rsidP="00117091">
      <w:r>
        <w:separator/>
      </w:r>
    </w:p>
  </w:endnote>
  <w:endnote w:type="continuationSeparator" w:id="0">
    <w:p w14:paraId="1FFDAC55" w14:textId="77777777" w:rsidR="00386984" w:rsidRDefault="00386984"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charset w:val="8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2718B1" w14:paraId="4830A873" w14:textId="77777777" w:rsidTr="00B6429B">
      <w:trPr>
        <w:jc w:val="right"/>
      </w:trPr>
      <w:tc>
        <w:tcPr>
          <w:tcW w:w="4795" w:type="dxa"/>
          <w:vAlign w:val="center"/>
        </w:tcPr>
        <w:p w14:paraId="0C43E376" w14:textId="77777777" w:rsidR="002718B1" w:rsidRDefault="002718B1"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2718B1" w:rsidRPr="00A21194" w:rsidRDefault="002718B1"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462CDA79" w:rsidR="002718B1" w:rsidRPr="00B6429B" w:rsidRDefault="002718B1" w:rsidP="00B6429B">
          <w:pPr>
            <w:pStyle w:val="Piedepgina"/>
            <w:jc w:val="center"/>
          </w:pPr>
          <w:r w:rsidRPr="00B6429B">
            <w:fldChar w:fldCharType="begin"/>
          </w:r>
          <w:r w:rsidRPr="00B6429B">
            <w:instrText>PAGE   \* MERGEFORMAT</w:instrText>
          </w:r>
          <w:r w:rsidRPr="00B6429B">
            <w:fldChar w:fldCharType="separate"/>
          </w:r>
          <w:r w:rsidR="00E87A10" w:rsidRPr="00E87A10">
            <w:rPr>
              <w:noProof/>
              <w:lang w:val="es-ES"/>
            </w:rPr>
            <w:t>10</w:t>
          </w:r>
          <w:r w:rsidRPr="00B6429B">
            <w:fldChar w:fldCharType="end"/>
          </w:r>
        </w:p>
      </w:tc>
    </w:tr>
  </w:tbl>
  <w:p w14:paraId="17AD93B2" w14:textId="77777777" w:rsidR="002718B1" w:rsidRPr="008C0DBE" w:rsidRDefault="002718B1"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2718B1" w14:paraId="7BC39794" w14:textId="77777777" w:rsidTr="00B6429B">
      <w:trPr>
        <w:jc w:val="right"/>
      </w:trPr>
      <w:tc>
        <w:tcPr>
          <w:tcW w:w="4795" w:type="dxa"/>
          <w:vAlign w:val="center"/>
        </w:tcPr>
        <w:p w14:paraId="60E1FF49" w14:textId="77777777" w:rsidR="002718B1" w:rsidRDefault="002718B1"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2718B1" w:rsidRPr="00A21194" w:rsidRDefault="002718B1"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22E21159" w:rsidR="002718B1" w:rsidRPr="00B6429B" w:rsidRDefault="002718B1">
          <w:pPr>
            <w:pStyle w:val="Piedepgina"/>
            <w:jc w:val="center"/>
          </w:pPr>
          <w:r w:rsidRPr="00B6429B">
            <w:fldChar w:fldCharType="begin"/>
          </w:r>
          <w:r w:rsidRPr="00B6429B">
            <w:instrText>PAGE   \* MERGEFORMAT</w:instrText>
          </w:r>
          <w:r w:rsidRPr="00B6429B">
            <w:fldChar w:fldCharType="separate"/>
          </w:r>
          <w:r w:rsidR="00854CA3" w:rsidRPr="00854CA3">
            <w:rPr>
              <w:noProof/>
              <w:lang w:val="es-ES"/>
            </w:rPr>
            <w:t>1</w:t>
          </w:r>
          <w:r w:rsidRPr="00B6429B">
            <w:fldChar w:fldCharType="end"/>
          </w:r>
        </w:p>
      </w:tc>
    </w:tr>
  </w:tbl>
  <w:p w14:paraId="5630AD66" w14:textId="77777777" w:rsidR="002718B1" w:rsidRDefault="00271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D087" w14:textId="77777777" w:rsidR="00386984" w:rsidRDefault="00386984" w:rsidP="00117091">
      <w:r>
        <w:separator/>
      </w:r>
    </w:p>
  </w:footnote>
  <w:footnote w:type="continuationSeparator" w:id="0">
    <w:p w14:paraId="78005FC3" w14:textId="77777777" w:rsidR="00386984" w:rsidRDefault="00386984" w:rsidP="00117091">
      <w:r>
        <w:continuationSeparator/>
      </w:r>
    </w:p>
  </w:footnote>
  <w:footnote w:id="1">
    <w:p w14:paraId="05F11697" w14:textId="21D18A55" w:rsidR="000A2397" w:rsidRPr="00427248" w:rsidRDefault="000A2397" w:rsidP="005E207B">
      <w:pPr>
        <w:pStyle w:val="Textonotapie"/>
        <w:rPr>
          <w:sz w:val="20"/>
          <w:szCs w:val="20"/>
        </w:rPr>
      </w:pPr>
      <w:r w:rsidRPr="00427248">
        <w:rPr>
          <w:rStyle w:val="Refdenotaalpie"/>
          <w:sz w:val="20"/>
          <w:szCs w:val="20"/>
        </w:rPr>
        <w:footnoteRef/>
      </w:r>
      <w:r w:rsidRPr="00427248">
        <w:rPr>
          <w:sz w:val="20"/>
          <w:szCs w:val="20"/>
        </w:rPr>
        <w:t xml:space="preserve"> </w:t>
      </w:r>
      <w:r w:rsidR="00FC573A" w:rsidRPr="00427248">
        <w:rPr>
          <w:sz w:val="20"/>
          <w:szCs w:val="20"/>
        </w:rPr>
        <w:t>D</w:t>
      </w:r>
      <w:r w:rsidRPr="00427248">
        <w:rPr>
          <w:sz w:val="20"/>
          <w:szCs w:val="20"/>
        </w:rPr>
        <w:t>ocumento visible en el expediente digital de tutela</w:t>
      </w:r>
      <w:r w:rsidR="00FC573A" w:rsidRPr="00427248">
        <w:rPr>
          <w:sz w:val="20"/>
          <w:szCs w:val="20"/>
        </w:rPr>
        <w:t xml:space="preserve"> con radicado núm. 11001-03-15-000-2021-00794-00</w:t>
      </w:r>
      <w:r w:rsidRPr="00427248">
        <w:rPr>
          <w:sz w:val="20"/>
          <w:szCs w:val="20"/>
        </w:rPr>
        <w:t xml:space="preserve">, con certificado </w:t>
      </w:r>
      <w:r w:rsidR="00FC573A" w:rsidRPr="00427248">
        <w:rPr>
          <w:sz w:val="20"/>
          <w:szCs w:val="20"/>
        </w:rPr>
        <w:t>D99FEE4ABFAD7B2A 60ACAB1D5AAE2C40 97A5DE57D2E221DF 1FDF6EBEF729C706</w:t>
      </w:r>
      <w:r w:rsidRPr="00427248">
        <w:rPr>
          <w:sz w:val="20"/>
          <w:szCs w:val="20"/>
        </w:rPr>
        <w:t>.</w:t>
      </w:r>
    </w:p>
  </w:footnote>
  <w:footnote w:id="2">
    <w:p w14:paraId="74353A99" w14:textId="75281D9F" w:rsidR="009F1F63" w:rsidRPr="00427248" w:rsidRDefault="009F1F63" w:rsidP="005E207B">
      <w:pPr>
        <w:pStyle w:val="Textonotapie"/>
        <w:rPr>
          <w:sz w:val="20"/>
          <w:szCs w:val="20"/>
        </w:rPr>
      </w:pPr>
      <w:r w:rsidRPr="00427248">
        <w:rPr>
          <w:rStyle w:val="Refdenotaalpie"/>
          <w:sz w:val="20"/>
          <w:szCs w:val="20"/>
        </w:rPr>
        <w:footnoteRef/>
      </w:r>
      <w:r w:rsidRPr="00427248">
        <w:rPr>
          <w:sz w:val="20"/>
          <w:szCs w:val="20"/>
        </w:rPr>
        <w:t xml:space="preserve"> Documento visible en el expediente digital de tutela con radicado núm. 11001-03-15-000-2021-00794-00, con certificado </w:t>
      </w:r>
      <w:r w:rsidR="00A41562" w:rsidRPr="00427248">
        <w:rPr>
          <w:sz w:val="20"/>
          <w:szCs w:val="20"/>
        </w:rPr>
        <w:t>D1EB4744D6AC374C B92DDF1063C44FFA FA1AA8D4597B31CD F5F3F689C2552D24</w:t>
      </w:r>
      <w:r w:rsidRPr="00427248">
        <w:rPr>
          <w:sz w:val="20"/>
          <w:szCs w:val="20"/>
        </w:rPr>
        <w:t>.</w:t>
      </w:r>
    </w:p>
  </w:footnote>
  <w:footnote w:id="3">
    <w:p w14:paraId="0A44A584" w14:textId="69B0DCD5" w:rsidR="00B33DE5" w:rsidRPr="00427248" w:rsidRDefault="00B33DE5" w:rsidP="005E207B">
      <w:pPr>
        <w:pStyle w:val="Textonotapie"/>
        <w:rPr>
          <w:sz w:val="20"/>
          <w:szCs w:val="20"/>
          <w:lang w:val="es-MX"/>
        </w:rPr>
      </w:pPr>
      <w:r w:rsidRPr="00427248">
        <w:rPr>
          <w:rStyle w:val="Refdenotaalpie"/>
          <w:sz w:val="20"/>
          <w:szCs w:val="20"/>
        </w:rPr>
        <w:footnoteRef/>
      </w:r>
      <w:r w:rsidRPr="00427248">
        <w:rPr>
          <w:sz w:val="20"/>
          <w:szCs w:val="20"/>
        </w:rPr>
        <w:t xml:space="preserve"> </w:t>
      </w:r>
      <w:r w:rsidRPr="00427248">
        <w:rPr>
          <w:sz w:val="20"/>
          <w:szCs w:val="20"/>
          <w:lang w:val="es-MX"/>
        </w:rPr>
        <w:t>El consejero de Estado Ramiro Pazos Guerrero finalizó su periodo constitucional el 20 de junio de 2021</w:t>
      </w:r>
      <w:r w:rsidR="00427248" w:rsidRPr="00427248">
        <w:rPr>
          <w:sz w:val="20"/>
          <w:szCs w:val="20"/>
          <w:lang w:val="es-MX"/>
        </w:rPr>
        <w:t xml:space="preserve">. </w:t>
      </w:r>
    </w:p>
  </w:footnote>
  <w:footnote w:id="4">
    <w:p w14:paraId="2D21D1E1" w14:textId="309E222C" w:rsidR="00FC573A" w:rsidRPr="00427248" w:rsidRDefault="00FC573A" w:rsidP="005E207B">
      <w:pPr>
        <w:pStyle w:val="Textonotapie"/>
        <w:rPr>
          <w:sz w:val="20"/>
          <w:szCs w:val="20"/>
        </w:rPr>
      </w:pPr>
      <w:r w:rsidRPr="00427248">
        <w:rPr>
          <w:rStyle w:val="Refdenotaalpie"/>
          <w:sz w:val="20"/>
          <w:szCs w:val="20"/>
        </w:rPr>
        <w:footnoteRef/>
      </w:r>
      <w:r w:rsidRPr="00427248">
        <w:rPr>
          <w:sz w:val="20"/>
          <w:szCs w:val="20"/>
        </w:rPr>
        <w:t xml:space="preserve"> Documento visible en el expediente digital de tutela con radicado núm. 11001-03-15-000-2021-00794-00, con certificado 2D76A5643D1594FE 85DC0B65BB4436F8 0F7F223A0969DA93 9BC6D5F58EB153B1.</w:t>
      </w:r>
    </w:p>
  </w:footnote>
  <w:footnote w:id="5">
    <w:p w14:paraId="10851F8C" w14:textId="5C608CCF" w:rsidR="0084684B" w:rsidRPr="00427248" w:rsidRDefault="0084684B" w:rsidP="005E207B">
      <w:pPr>
        <w:pStyle w:val="Textonotapie"/>
        <w:rPr>
          <w:sz w:val="20"/>
          <w:szCs w:val="20"/>
        </w:rPr>
      </w:pPr>
      <w:r w:rsidRPr="00427248">
        <w:rPr>
          <w:rStyle w:val="Refdenotaalpie"/>
          <w:sz w:val="20"/>
          <w:szCs w:val="20"/>
        </w:rPr>
        <w:footnoteRef/>
      </w:r>
      <w:r w:rsidRPr="00427248">
        <w:rPr>
          <w:sz w:val="20"/>
          <w:szCs w:val="20"/>
        </w:rPr>
        <w:t xml:space="preserve"> </w:t>
      </w:r>
      <w:r w:rsidR="00A22D02" w:rsidRPr="00427248">
        <w:rPr>
          <w:sz w:val="20"/>
          <w:szCs w:val="20"/>
        </w:rPr>
        <w:t>D</w:t>
      </w:r>
      <w:r w:rsidRPr="00427248">
        <w:rPr>
          <w:sz w:val="20"/>
          <w:szCs w:val="20"/>
        </w:rPr>
        <w:t>ocumento visible en el expediente digital de tutela con radicado núm. 11001-03-15-000-2021-00794-00, con certificado E3F084174F5B2233 39606F8597F2C649 E2C57F942AB2F0A5 3F55CAEB11F81996.</w:t>
      </w:r>
    </w:p>
  </w:footnote>
  <w:footnote w:id="6">
    <w:p w14:paraId="285A5CFE" w14:textId="4FBB3481" w:rsidR="00D24D9A" w:rsidRPr="00427248" w:rsidRDefault="00D24D9A" w:rsidP="005E207B">
      <w:pPr>
        <w:pStyle w:val="Textonotapie"/>
        <w:rPr>
          <w:sz w:val="20"/>
          <w:szCs w:val="20"/>
        </w:rPr>
      </w:pPr>
      <w:r w:rsidRPr="00427248">
        <w:rPr>
          <w:rStyle w:val="Refdenotaalpie"/>
          <w:sz w:val="20"/>
          <w:szCs w:val="20"/>
        </w:rPr>
        <w:footnoteRef/>
      </w:r>
      <w:r w:rsidRPr="00427248">
        <w:rPr>
          <w:sz w:val="20"/>
          <w:szCs w:val="20"/>
        </w:rPr>
        <w:t xml:space="preserve"> </w:t>
      </w:r>
      <w:r w:rsidR="00C77324" w:rsidRPr="00427248">
        <w:rPr>
          <w:sz w:val="20"/>
          <w:szCs w:val="20"/>
        </w:rPr>
        <w:t>D</w:t>
      </w:r>
      <w:r w:rsidRPr="00427248">
        <w:rPr>
          <w:sz w:val="20"/>
          <w:szCs w:val="20"/>
        </w:rPr>
        <w:t xml:space="preserve">ocumento visible en el expediente digital de tutela con radicado núm. 11001-03-15-000-2021-00794-00, con certificado </w:t>
      </w:r>
      <w:r w:rsidR="00A22D02" w:rsidRPr="00427248">
        <w:rPr>
          <w:sz w:val="20"/>
          <w:szCs w:val="20"/>
        </w:rPr>
        <w:t>34EADE02926052F7 07557656826A12E6 6CBEF10E2C381B3A 90C0E548E1D69AA4</w:t>
      </w:r>
      <w:r w:rsidRPr="00427248">
        <w:rPr>
          <w:sz w:val="20"/>
          <w:szCs w:val="20"/>
        </w:rPr>
        <w:t>.</w:t>
      </w:r>
    </w:p>
  </w:footnote>
  <w:footnote w:id="7">
    <w:p w14:paraId="3BBD6E86" w14:textId="648B50A5" w:rsidR="003B2156" w:rsidRPr="00427248" w:rsidRDefault="003B2156" w:rsidP="005E207B">
      <w:pPr>
        <w:pStyle w:val="Textonotapie"/>
        <w:rPr>
          <w:sz w:val="20"/>
          <w:szCs w:val="20"/>
        </w:rPr>
      </w:pPr>
      <w:r w:rsidRPr="00427248">
        <w:rPr>
          <w:rStyle w:val="Refdenotaalpie"/>
          <w:sz w:val="20"/>
          <w:szCs w:val="20"/>
        </w:rPr>
        <w:footnoteRef/>
      </w:r>
      <w:r w:rsidRPr="00427248">
        <w:rPr>
          <w:sz w:val="20"/>
          <w:szCs w:val="20"/>
        </w:rPr>
        <w:t xml:space="preserve"> </w:t>
      </w:r>
      <w:r w:rsidR="00C77324" w:rsidRPr="00427248">
        <w:rPr>
          <w:sz w:val="20"/>
          <w:szCs w:val="20"/>
        </w:rPr>
        <w:t>D</w:t>
      </w:r>
      <w:r w:rsidRPr="00427248">
        <w:rPr>
          <w:sz w:val="20"/>
          <w:szCs w:val="20"/>
        </w:rPr>
        <w:t xml:space="preserve">ocumento visible en el expediente digital de tutela con radicado núm. 11001-03-15-000-2021-00794-00, con certificado </w:t>
      </w:r>
      <w:r w:rsidR="00A22D02" w:rsidRPr="00427248">
        <w:rPr>
          <w:sz w:val="20"/>
          <w:szCs w:val="20"/>
        </w:rPr>
        <w:t>3B788FC03DBF38F5 E6CA87CF50388B5E DE017917BCDF8D8B 2C8D3C6D84951D79</w:t>
      </w:r>
      <w:r w:rsidRPr="00427248">
        <w:rPr>
          <w:sz w:val="20"/>
          <w:szCs w:val="20"/>
        </w:rPr>
        <w:t>.</w:t>
      </w:r>
    </w:p>
  </w:footnote>
  <w:footnote w:id="8">
    <w:p w14:paraId="1DAC2446" w14:textId="77777777" w:rsidR="00027E96" w:rsidRPr="00427248" w:rsidRDefault="00027E96" w:rsidP="005E207B">
      <w:pPr>
        <w:pStyle w:val="Textonotapie"/>
        <w:rPr>
          <w:sz w:val="20"/>
          <w:szCs w:val="20"/>
        </w:rPr>
      </w:pPr>
      <w:r w:rsidRPr="00427248">
        <w:rPr>
          <w:rStyle w:val="Refdenotaalpie"/>
          <w:sz w:val="20"/>
          <w:szCs w:val="20"/>
        </w:rPr>
        <w:footnoteRef/>
      </w:r>
      <w:r w:rsidRPr="00427248">
        <w:rPr>
          <w:sz w:val="20"/>
          <w:szCs w:val="20"/>
        </w:rPr>
        <w:t xml:space="preserve"> Documento visible en el expediente digital de tutela con radicado núm. 11001-03-15-000-2021-00794-00, con certificado 57236AF34B1A762A FE2487A1465617B0 283BE62225CAB4A0 F488CB6EB943B1A2.</w:t>
      </w:r>
    </w:p>
  </w:footnote>
  <w:footnote w:id="9">
    <w:p w14:paraId="312D053E" w14:textId="77777777" w:rsidR="006076B2" w:rsidRPr="00427248" w:rsidRDefault="006076B2" w:rsidP="005E207B">
      <w:pPr>
        <w:pStyle w:val="Textonotapie"/>
        <w:rPr>
          <w:sz w:val="20"/>
          <w:szCs w:val="20"/>
        </w:rPr>
      </w:pPr>
      <w:r w:rsidRPr="00427248">
        <w:rPr>
          <w:rStyle w:val="Refdenotaalpie"/>
          <w:sz w:val="20"/>
          <w:szCs w:val="20"/>
        </w:rPr>
        <w:footnoteRef/>
      </w:r>
      <w:r w:rsidRPr="00427248">
        <w:rPr>
          <w:sz w:val="20"/>
          <w:szCs w:val="20"/>
        </w:rPr>
        <w:t xml:space="preserve"> Documento visible en el expediente digital de tutela con radicado núm. 11001-03-15-000-2021-00794-00, con certificado AE15AC0D41A5CE18 9A444E0812F9BF81 A99C63DE506998AC 8E05C034D4A9E3ED.</w:t>
      </w:r>
    </w:p>
  </w:footnote>
  <w:footnote w:id="10">
    <w:p w14:paraId="54C4AA5E" w14:textId="451ADACE" w:rsidR="004B1D27" w:rsidRPr="00427248" w:rsidRDefault="004B1D27" w:rsidP="005E207B">
      <w:pPr>
        <w:pStyle w:val="Textonotapie"/>
        <w:rPr>
          <w:sz w:val="20"/>
          <w:szCs w:val="20"/>
        </w:rPr>
      </w:pPr>
      <w:r w:rsidRPr="00427248">
        <w:rPr>
          <w:rStyle w:val="Refdenotaalpie"/>
          <w:sz w:val="20"/>
          <w:szCs w:val="20"/>
        </w:rPr>
        <w:footnoteRef/>
      </w:r>
      <w:r w:rsidRPr="00427248">
        <w:rPr>
          <w:sz w:val="20"/>
          <w:szCs w:val="20"/>
        </w:rPr>
        <w:t xml:space="preserve"> Documento visible en el expediente digital de tutela con radicado núm. 11001-03-15-000-2021-00794-00, con certificado </w:t>
      </w:r>
      <w:r w:rsidR="00846569" w:rsidRPr="00427248">
        <w:rPr>
          <w:sz w:val="20"/>
          <w:szCs w:val="20"/>
        </w:rPr>
        <w:t>3FDEF1BD01D37E36 A5069EDB5DCAD391 F6D218C57061ACFF E9F71FD32247E4D8</w:t>
      </w:r>
      <w:r w:rsidRPr="00427248">
        <w:rPr>
          <w:sz w:val="20"/>
          <w:szCs w:val="20"/>
        </w:rPr>
        <w:t>.</w:t>
      </w:r>
    </w:p>
  </w:footnote>
  <w:footnote w:id="11">
    <w:p w14:paraId="433AF25B" w14:textId="3FDC0F6B" w:rsidR="00432489" w:rsidRPr="00427248" w:rsidRDefault="00432489" w:rsidP="005E207B">
      <w:pPr>
        <w:pStyle w:val="Textonotapie"/>
        <w:rPr>
          <w:sz w:val="20"/>
          <w:szCs w:val="20"/>
        </w:rPr>
      </w:pPr>
      <w:r w:rsidRPr="00427248">
        <w:rPr>
          <w:rStyle w:val="Refdenotaalpie"/>
          <w:sz w:val="20"/>
          <w:szCs w:val="20"/>
        </w:rPr>
        <w:footnoteRef/>
      </w:r>
      <w:r w:rsidRPr="00427248">
        <w:rPr>
          <w:sz w:val="20"/>
          <w:szCs w:val="20"/>
        </w:rPr>
        <w:t xml:space="preserve"> Memorial denominado “MEMORIAL HENRY JHOVANNY VALENCIA.docx”, visible en el archivo del expediente digital de tutela con radicado núm. 11001-03-15-000-2021-00794-00, con certificado 1C75D93E5C829EBE 01EA9E925A9E1D8E A54083128BFE43E0 4C61E606127D6867.</w:t>
      </w:r>
    </w:p>
  </w:footnote>
  <w:footnote w:id="12">
    <w:p w14:paraId="763EAC8D" w14:textId="2163EFA4" w:rsidR="001C20E6" w:rsidRPr="00427248" w:rsidRDefault="001C20E6" w:rsidP="005E207B">
      <w:pPr>
        <w:pStyle w:val="Textonotapie"/>
        <w:rPr>
          <w:sz w:val="20"/>
          <w:szCs w:val="20"/>
        </w:rPr>
      </w:pPr>
      <w:r w:rsidRPr="00427248">
        <w:rPr>
          <w:rStyle w:val="Refdenotaalpie"/>
          <w:sz w:val="20"/>
          <w:szCs w:val="20"/>
        </w:rPr>
        <w:footnoteRef/>
      </w:r>
      <w:r w:rsidRPr="00427248">
        <w:rPr>
          <w:sz w:val="20"/>
          <w:szCs w:val="20"/>
        </w:rPr>
        <w:t xml:space="preserve"> Documento visible en el expediente digital de tutela con radicado núm. 11001-03-15-000-2021-00794-00, con certificado B195D1F911AE72D5 F6C6143E57C8D8D2 3836338367A8B0C5 8F6136AF5077C8A4.</w:t>
      </w:r>
    </w:p>
  </w:footnote>
  <w:footnote w:id="13">
    <w:p w14:paraId="69F8972A" w14:textId="4C0DA9EA"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w:t>
      </w:r>
      <w:r w:rsidR="005E2F08" w:rsidRPr="00427248">
        <w:rPr>
          <w:sz w:val="20"/>
          <w:szCs w:val="20"/>
        </w:rPr>
        <w:t>16BF6DA83F4B7F29 90B4646717E28015 9D27F38D413B6C8B 987DDE2EF1F8A7C5</w:t>
      </w:r>
      <w:r w:rsidRPr="00427248">
        <w:rPr>
          <w:sz w:val="20"/>
          <w:szCs w:val="20"/>
        </w:rPr>
        <w:t>.</w:t>
      </w:r>
    </w:p>
  </w:footnote>
  <w:footnote w:id="14">
    <w:p w14:paraId="388F5D64" w14:textId="030A5B70" w:rsidR="00003813" w:rsidRPr="00427248" w:rsidRDefault="00003813"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5A1C4673F675E20A 31B0F1790E785781 DEBAF4C681DF7CCA FAF93C0C0AEDA91C.</w:t>
      </w:r>
    </w:p>
  </w:footnote>
  <w:footnote w:id="15">
    <w:p w14:paraId="056ECE80" w14:textId="77777777" w:rsidR="00035AD8" w:rsidRPr="00427248" w:rsidRDefault="00035AD8"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5A1C4673F675E20A 31B0F1790E785781 DEBAF4C681DF7CCA FAF93C0C0AEDA91C.</w:t>
      </w:r>
    </w:p>
  </w:footnote>
  <w:footnote w:id="16">
    <w:p w14:paraId="66771918" w14:textId="2169A615" w:rsidR="0000789C" w:rsidRPr="00427248" w:rsidRDefault="0000789C"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w:t>
      </w:r>
      <w:r w:rsidR="000A19DC" w:rsidRPr="00427248">
        <w:rPr>
          <w:sz w:val="20"/>
          <w:szCs w:val="20"/>
        </w:rPr>
        <w:t>51519B6ED3F7C2A1 BD66B55B9BD7D06E 69C644AA6FF25435 22FDFAF1EE3D863C</w:t>
      </w:r>
      <w:r w:rsidRPr="00427248">
        <w:rPr>
          <w:sz w:val="20"/>
          <w:szCs w:val="20"/>
        </w:rPr>
        <w:t>.</w:t>
      </w:r>
    </w:p>
  </w:footnote>
  <w:footnote w:id="17">
    <w:p w14:paraId="74F2471C" w14:textId="77777777" w:rsidR="00035AD8" w:rsidRPr="00427248" w:rsidRDefault="00035AD8"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5A1C4673F675E20A 31B0F1790E785781 DEBAF4C681DF7CCA FAF93C0C0AEDA91C.</w:t>
      </w:r>
    </w:p>
  </w:footnote>
  <w:footnote w:id="18">
    <w:p w14:paraId="2CEAD356" w14:textId="6559C551" w:rsidR="0000789C" w:rsidRPr="00427248" w:rsidRDefault="0000789C"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w:t>
      </w:r>
      <w:r w:rsidR="00A304DD" w:rsidRPr="00427248">
        <w:rPr>
          <w:sz w:val="20"/>
          <w:szCs w:val="20"/>
        </w:rPr>
        <w:t>B7A7ED80AB5CBF7A DD9C9BAAB633718C CEE18EB675A57ED1 85BB639EED35AAA8</w:t>
      </w:r>
      <w:r w:rsidRPr="00427248">
        <w:rPr>
          <w:sz w:val="20"/>
          <w:szCs w:val="20"/>
        </w:rPr>
        <w:t>.</w:t>
      </w:r>
    </w:p>
  </w:footnote>
  <w:footnote w:id="19">
    <w:p w14:paraId="3049D8B2" w14:textId="353BC79B" w:rsidR="00A304DD" w:rsidRPr="00427248" w:rsidRDefault="00A304DD" w:rsidP="005E207B">
      <w:pPr>
        <w:pStyle w:val="Textonotapie"/>
        <w:rPr>
          <w:sz w:val="20"/>
          <w:szCs w:val="20"/>
        </w:rPr>
      </w:pPr>
      <w:r w:rsidRPr="00427248">
        <w:rPr>
          <w:rStyle w:val="Refdenotaalpie"/>
          <w:sz w:val="20"/>
          <w:szCs w:val="20"/>
        </w:rPr>
        <w:footnoteRef/>
      </w:r>
      <w:r w:rsidRPr="00427248">
        <w:rPr>
          <w:sz w:val="20"/>
          <w:szCs w:val="20"/>
        </w:rPr>
        <w:t xml:space="preserve"> Documento contenido en el expediente digital de tutela de primera instancia, con certificado 748099BA9FD84250 EC1F1AE611B098FD 882D633F31C67BF1 DB26F93719C71BBF.</w:t>
      </w:r>
    </w:p>
  </w:footnote>
  <w:footnote w:id="20">
    <w:p w14:paraId="4D6C2642" w14:textId="77777777"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Corte Constitucional C-590 de 2005.</w:t>
      </w:r>
    </w:p>
  </w:footnote>
  <w:footnote w:id="21">
    <w:p w14:paraId="49049CF9" w14:textId="77777777"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 </w:t>
      </w:r>
    </w:p>
  </w:footnote>
  <w:footnote w:id="22">
    <w:p w14:paraId="5106E4FB" w14:textId="77777777"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L</w:t>
      </w:r>
      <w:r w:rsidRPr="00427248">
        <w:rPr>
          <w:rStyle w:val="normaltextrun"/>
          <w:color w:val="000000"/>
          <w:sz w:val="20"/>
          <w:szCs w:val="20"/>
          <w:shd w:val="clear" w:color="auto" w:fill="FFFFFF"/>
        </w:rPr>
        <w:t>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r w:rsidRPr="00427248">
        <w:rPr>
          <w:rStyle w:val="eop"/>
          <w:color w:val="000000"/>
          <w:sz w:val="20"/>
          <w:szCs w:val="20"/>
          <w:shd w:val="clear" w:color="auto" w:fill="FFFFFF"/>
        </w:rPr>
        <w:t> </w:t>
      </w:r>
    </w:p>
  </w:footnote>
  <w:footnote w:id="23">
    <w:p w14:paraId="108B59F0" w14:textId="77777777"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w:t>
      </w:r>
      <w:r w:rsidRPr="00427248">
        <w:rPr>
          <w:rStyle w:val="normaltextrun"/>
          <w:color w:val="000000"/>
          <w:sz w:val="20"/>
          <w:szCs w:val="20"/>
          <w:shd w:val="clear" w:color="auto" w:fill="FFFFFF"/>
        </w:rPr>
        <w:t>Corte Constitucional. Sentencia T-218 de 2012. En esta sentencia se reconstruyó el camino argumentativo que recorrió la Corte Constitucional desde la primera vez que señaló que, para efectos de cuestionar una sentencia de tutela, estaba dispuesto el mecanismo de revisión ante la citada Alta Corporación. En esa tesis descansa la improcedibilidad de la tutela contra tutela.</w:t>
      </w:r>
      <w:r w:rsidRPr="00427248">
        <w:rPr>
          <w:rStyle w:val="eop"/>
          <w:color w:val="000000"/>
          <w:sz w:val="20"/>
          <w:szCs w:val="20"/>
          <w:shd w:val="clear" w:color="auto" w:fill="FFFFFF"/>
        </w:rPr>
        <w:t> </w:t>
      </w:r>
    </w:p>
  </w:footnote>
  <w:footnote w:id="24">
    <w:p w14:paraId="4D05FD1D" w14:textId="77777777"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w:t>
      </w:r>
      <w:r w:rsidRPr="00427248">
        <w:rPr>
          <w:rStyle w:val="normaltextrun"/>
          <w:color w:val="000000"/>
          <w:sz w:val="20"/>
          <w:szCs w:val="20"/>
          <w:shd w:val="clear" w:color="auto" w:fill="FFFFFF"/>
        </w:rPr>
        <w:t> Cfr. Corte Constitucional. Sentencia C-590 de 2005, citada.</w:t>
      </w:r>
    </w:p>
  </w:footnote>
  <w:footnote w:id="25">
    <w:p w14:paraId="79CC32D3" w14:textId="77777777"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w:t>
      </w:r>
      <w:r w:rsidRPr="00427248">
        <w:rPr>
          <w:rStyle w:val="normaltextrun"/>
          <w:color w:val="000000"/>
          <w:sz w:val="20"/>
          <w:szCs w:val="20"/>
          <w:shd w:val="clear" w:color="auto" w:fill="FFFFFF"/>
        </w:rPr>
        <w:t>Cfr. Corte Constitucional. Sentencia SU-1219 de 2001.</w:t>
      </w:r>
    </w:p>
  </w:footnote>
  <w:footnote w:id="26">
    <w:p w14:paraId="29C6BB12" w14:textId="27C7D80E" w:rsidR="002718B1" w:rsidRPr="00427248" w:rsidRDefault="002718B1" w:rsidP="005E207B">
      <w:pPr>
        <w:pStyle w:val="Textonotapie"/>
        <w:rPr>
          <w:sz w:val="20"/>
          <w:szCs w:val="20"/>
        </w:rPr>
      </w:pPr>
      <w:r w:rsidRPr="00427248">
        <w:rPr>
          <w:rStyle w:val="Refdenotaalpie"/>
          <w:sz w:val="20"/>
          <w:szCs w:val="20"/>
        </w:rPr>
        <w:footnoteRef/>
      </w:r>
      <w:r w:rsidRPr="00427248">
        <w:rPr>
          <w:sz w:val="20"/>
          <w:szCs w:val="20"/>
        </w:rPr>
        <w:t xml:space="preserve"> Regla reiterada en las sentencias: T-021, T-174, T-192, T-354, T-444, T-623 y T-625 de 2002; T-200, T-502 y T-1028 de 2003;</w:t>
      </w:r>
      <w:r w:rsidR="00F74FE8" w:rsidRPr="00427248">
        <w:rPr>
          <w:sz w:val="20"/>
          <w:szCs w:val="20"/>
        </w:rPr>
        <w:t xml:space="preserve"> </w:t>
      </w:r>
      <w:r w:rsidRPr="00427248">
        <w:rPr>
          <w:sz w:val="20"/>
          <w:szCs w:val="20"/>
        </w:rPr>
        <w:t>T-528 de 2004; T-368 y T-944 de 2005; T-059 y T-237 de 2006; T-104 de 2007; T-1208 de 2008; T-282 de 2009; T-041, T-137, T-151 y T-813 de 2010; T-474 y T-701 de 2011; T-208 de</w:t>
      </w:r>
      <w:r w:rsidR="004812A2" w:rsidRPr="00427248">
        <w:rPr>
          <w:sz w:val="20"/>
          <w:szCs w:val="20"/>
        </w:rPr>
        <w:t xml:space="preserve"> </w:t>
      </w:r>
      <w:r w:rsidRPr="00427248">
        <w:rPr>
          <w:sz w:val="20"/>
          <w:szCs w:val="20"/>
        </w:rPr>
        <w:t xml:space="preserve">2003. Ver también la sentencia SU-627 de 2015. </w:t>
      </w:r>
    </w:p>
  </w:footnote>
  <w:footnote w:id="27">
    <w:p w14:paraId="4803631A" w14:textId="77777777" w:rsidR="002718B1" w:rsidRPr="00427248" w:rsidRDefault="002718B1" w:rsidP="005E207B">
      <w:pPr>
        <w:pStyle w:val="Textonotapie"/>
        <w:rPr>
          <w:sz w:val="20"/>
          <w:szCs w:val="20"/>
        </w:rPr>
      </w:pPr>
      <w:r w:rsidRPr="00427248">
        <w:rPr>
          <w:rStyle w:val="Refdenotaalpie"/>
          <w:b/>
          <w:bCs w:val="0"/>
          <w:sz w:val="20"/>
          <w:szCs w:val="20"/>
        </w:rPr>
        <w:footnoteRef/>
      </w:r>
      <w:r w:rsidRPr="00427248">
        <w:rPr>
          <w:sz w:val="20"/>
          <w:szCs w:val="20"/>
        </w:rPr>
        <w:t xml:space="preserve"> Corte Constitucional sentencia SU 116 de 2018 y en este sentido las sentencias T-162 de 1997 y T-1009 de 1999.</w:t>
      </w:r>
    </w:p>
  </w:footnote>
  <w:footnote w:id="28">
    <w:p w14:paraId="44FDB3D0" w14:textId="77777777" w:rsidR="002718B1" w:rsidRPr="00427248" w:rsidRDefault="002718B1" w:rsidP="00F215E7">
      <w:pPr>
        <w:pStyle w:val="Prrafodelista"/>
        <w:ind w:left="0"/>
        <w:jc w:val="both"/>
        <w:rPr>
          <w:rFonts w:ascii="Arial" w:hAnsi="Arial" w:cs="Arial"/>
          <w:bCs/>
          <w:sz w:val="20"/>
          <w:szCs w:val="20"/>
        </w:rPr>
      </w:pPr>
      <w:r w:rsidRPr="00427248">
        <w:rPr>
          <w:rStyle w:val="Refdenotaalpie"/>
          <w:rFonts w:ascii="Arial" w:hAnsi="Arial" w:cs="Arial"/>
          <w:bCs/>
          <w:sz w:val="20"/>
          <w:szCs w:val="20"/>
        </w:rPr>
        <w:footnoteRef/>
      </w:r>
      <w:r w:rsidRPr="00427248">
        <w:rPr>
          <w:rFonts w:ascii="Arial" w:hAnsi="Arial" w:cs="Arial"/>
          <w:bCs/>
          <w:sz w:val="20"/>
          <w:szCs w:val="20"/>
        </w:rPr>
        <w:t xml:space="preserve"> La Corte Constitucional, en la sentencia SU-627 de 2015, se refirió al tema en los siguientes términos: </w:t>
      </w:r>
    </w:p>
    <w:p w14:paraId="53E80475" w14:textId="77777777" w:rsidR="002718B1" w:rsidRPr="00427248" w:rsidRDefault="002718B1" w:rsidP="00F215E7">
      <w:pPr>
        <w:pStyle w:val="Prrafodelista"/>
        <w:ind w:left="0"/>
        <w:jc w:val="both"/>
        <w:rPr>
          <w:rFonts w:ascii="Arial" w:hAnsi="Arial" w:cs="Arial"/>
          <w:bCs/>
          <w:sz w:val="20"/>
          <w:szCs w:val="20"/>
        </w:rPr>
      </w:pPr>
      <w:r w:rsidRPr="00427248">
        <w:rPr>
          <w:rFonts w:ascii="Arial" w:hAnsi="Arial" w:cs="Arial"/>
          <w:bCs/>
          <w:sz w:val="20"/>
          <w:szCs w:val="20"/>
        </w:rPr>
        <w:t>“4.6.2. Si la acción de tutela se dirige contra la sentencia de tutela, la regla es la de que no procede.  </w:t>
      </w:r>
    </w:p>
    <w:p w14:paraId="06FFEACD" w14:textId="77777777" w:rsidR="002718B1" w:rsidRPr="00427248" w:rsidRDefault="002718B1" w:rsidP="00F215E7">
      <w:pPr>
        <w:pStyle w:val="Prrafodelista"/>
        <w:ind w:left="0"/>
        <w:jc w:val="both"/>
        <w:rPr>
          <w:rFonts w:ascii="Arial" w:hAnsi="Arial" w:cs="Arial"/>
          <w:bCs/>
          <w:sz w:val="20"/>
          <w:szCs w:val="20"/>
        </w:rPr>
      </w:pPr>
      <w:r w:rsidRPr="00427248">
        <w:rPr>
          <w:rFonts w:ascii="Arial" w:hAnsi="Arial" w:cs="Arial"/>
          <w:bCs/>
          <w:sz w:val="20"/>
          <w:szCs w:val="20"/>
        </w:rPr>
        <w:t>4.6.2.1. Esta regla no admite ninguna excepción cuando la sentencia ha sido proferida por la Corte Constitucional, sea por su Sala Plena o sea por sus Salas de Revisión de Tutela. En este evento solo procede el incidente de nulidad de dichas sentencias, que debe promoverse ante la Corte Constitucional.  </w:t>
      </w:r>
    </w:p>
    <w:p w14:paraId="22DF7C56" w14:textId="77777777" w:rsidR="002718B1" w:rsidRPr="00427248" w:rsidRDefault="002718B1" w:rsidP="00F215E7">
      <w:pPr>
        <w:pStyle w:val="Prrafodelista"/>
        <w:ind w:left="0"/>
        <w:jc w:val="both"/>
        <w:rPr>
          <w:rFonts w:ascii="Arial" w:hAnsi="Arial" w:cs="Arial"/>
          <w:bCs/>
          <w:sz w:val="20"/>
          <w:szCs w:val="20"/>
        </w:rPr>
      </w:pPr>
      <w:r w:rsidRPr="00427248">
        <w:rPr>
          <w:rFonts w:ascii="Arial" w:hAnsi="Arial" w:cs="Arial"/>
          <w:bCs/>
          <w:sz w:val="20"/>
          <w:szCs w:val="20"/>
        </w:rPr>
        <w:t xml:space="preserve">4.6.2.2. Si la sentencia de tutela ha sido proferida por otro juez o tribunal de la República, la acción de tutela puede proceder de manera excepcional, cuando exista fraude y por tanto, se esté ante el fenómeno de la cosa juzgada fraudulenta, siempre y cuando, además de cumplir con los requisitos genéricos de procedibilidad de la tutela contra providencias judiciales, (i) la acción de tutela presentada no comparta identidad procesal con la solicitud de amparo cuestionada; (ii) se demuestre de manera clara y suficiente, que la decisión adoptada en la sentencia de tutela fue producto de una situación de fraude </w:t>
      </w:r>
      <w:r w:rsidRPr="00427248">
        <w:rPr>
          <w:rFonts w:ascii="Arial" w:hAnsi="Arial" w:cs="Arial"/>
          <w:bCs/>
          <w:i/>
          <w:iCs/>
          <w:sz w:val="20"/>
          <w:szCs w:val="20"/>
        </w:rPr>
        <w:t>(</w:t>
      </w:r>
      <w:proofErr w:type="spellStart"/>
      <w:r w:rsidRPr="00427248">
        <w:rPr>
          <w:rFonts w:ascii="Arial" w:hAnsi="Arial" w:cs="Arial"/>
          <w:bCs/>
          <w:i/>
          <w:iCs/>
          <w:sz w:val="20"/>
          <w:szCs w:val="20"/>
        </w:rPr>
        <w:t>Fraus</w:t>
      </w:r>
      <w:proofErr w:type="spellEnd"/>
      <w:r w:rsidRPr="00427248">
        <w:rPr>
          <w:rFonts w:ascii="Arial" w:hAnsi="Arial" w:cs="Arial"/>
          <w:bCs/>
          <w:i/>
          <w:iCs/>
          <w:sz w:val="20"/>
          <w:szCs w:val="20"/>
        </w:rPr>
        <w:t xml:space="preserve"> </w:t>
      </w:r>
      <w:proofErr w:type="spellStart"/>
      <w:r w:rsidRPr="00427248">
        <w:rPr>
          <w:rFonts w:ascii="Arial" w:hAnsi="Arial" w:cs="Arial"/>
          <w:bCs/>
          <w:i/>
          <w:iCs/>
          <w:sz w:val="20"/>
          <w:szCs w:val="20"/>
        </w:rPr>
        <w:t>omnia</w:t>
      </w:r>
      <w:proofErr w:type="spellEnd"/>
      <w:r w:rsidRPr="00427248">
        <w:rPr>
          <w:rFonts w:ascii="Arial" w:hAnsi="Arial" w:cs="Arial"/>
          <w:bCs/>
          <w:i/>
          <w:iCs/>
          <w:sz w:val="20"/>
          <w:szCs w:val="20"/>
        </w:rPr>
        <w:t xml:space="preserve"> </w:t>
      </w:r>
      <w:proofErr w:type="spellStart"/>
      <w:r w:rsidRPr="00427248">
        <w:rPr>
          <w:rFonts w:ascii="Arial" w:hAnsi="Arial" w:cs="Arial"/>
          <w:bCs/>
          <w:i/>
          <w:iCs/>
          <w:sz w:val="20"/>
          <w:szCs w:val="20"/>
        </w:rPr>
        <w:t>corrumpit</w:t>
      </w:r>
      <w:proofErr w:type="spellEnd"/>
      <w:r w:rsidRPr="00427248">
        <w:rPr>
          <w:rFonts w:ascii="Arial" w:hAnsi="Arial" w:cs="Arial"/>
          <w:bCs/>
          <w:i/>
          <w:iCs/>
          <w:sz w:val="20"/>
          <w:szCs w:val="20"/>
        </w:rPr>
        <w:t xml:space="preserve">); </w:t>
      </w:r>
      <w:r w:rsidRPr="00427248">
        <w:rPr>
          <w:rFonts w:ascii="Arial" w:hAnsi="Arial" w:cs="Arial"/>
          <w:bCs/>
          <w:sz w:val="20"/>
          <w:szCs w:val="20"/>
        </w:rPr>
        <w:t>y (iii) no exista otro medio, ordinario o extraordinario, eficaz para resolver la situación.</w:t>
      </w:r>
    </w:p>
    <w:p w14:paraId="72B1BC1E" w14:textId="77777777" w:rsidR="002718B1" w:rsidRPr="00427248" w:rsidRDefault="002718B1" w:rsidP="00F215E7">
      <w:pPr>
        <w:pStyle w:val="Prrafodelista"/>
        <w:ind w:left="0"/>
        <w:jc w:val="both"/>
        <w:rPr>
          <w:rFonts w:ascii="Arial" w:hAnsi="Arial" w:cs="Arial"/>
          <w:bCs/>
          <w:sz w:val="20"/>
          <w:szCs w:val="20"/>
        </w:rPr>
      </w:pPr>
      <w:r w:rsidRPr="00427248">
        <w:rPr>
          <w:rFonts w:ascii="Arial" w:hAnsi="Arial" w:cs="Arial"/>
          <w:bCs/>
          <w:sz w:val="20"/>
          <w:szCs w:val="20"/>
        </w:rPr>
        <w:t>4.6.3. Si la acción se de tutela se dirige contra actuaciones del proceso de tutela diferentes a la sentencia, se debe distinguir si éstas acaecieron con anterioridad o con posterioridad a la sentencia.</w:t>
      </w:r>
    </w:p>
    <w:p w14:paraId="278AB2AD" w14:textId="77777777" w:rsidR="002718B1" w:rsidRPr="00427248" w:rsidRDefault="002718B1" w:rsidP="00F215E7">
      <w:pPr>
        <w:pStyle w:val="Prrafodelista"/>
        <w:ind w:left="0"/>
        <w:jc w:val="both"/>
        <w:rPr>
          <w:rFonts w:ascii="Arial" w:hAnsi="Arial" w:cs="Arial"/>
          <w:bCs/>
          <w:sz w:val="20"/>
          <w:szCs w:val="20"/>
        </w:rPr>
      </w:pPr>
      <w:r w:rsidRPr="00427248">
        <w:rPr>
          <w:rFonts w:ascii="Arial" w:hAnsi="Arial" w:cs="Arial"/>
          <w:bCs/>
          <w:sz w:val="20"/>
          <w:szCs w:val="20"/>
        </w:rPr>
        <w:t>4.6.3.1. Si la actuación acaece con anterioridad a la sentencia y consiste en la omisión del juez de cumplir con su deber de informar, notificar o vincular a los terceros que serían afectados por la demanda de tutela, y se cumplen los requisitos generales de procedibilidad de la acción de tutela, la acción de tutela sí procede, incluso si la Corte Constitucional no ha seleccionado el asunto para su revisión.</w:t>
      </w:r>
    </w:p>
    <w:p w14:paraId="0EF5605B" w14:textId="77777777" w:rsidR="002718B1" w:rsidRPr="00427248" w:rsidRDefault="002718B1" w:rsidP="00F215E7">
      <w:pPr>
        <w:pStyle w:val="Prrafodelista"/>
        <w:ind w:left="0"/>
        <w:jc w:val="both"/>
        <w:rPr>
          <w:rFonts w:ascii="Arial" w:hAnsi="Arial" w:cs="Arial"/>
          <w:bCs/>
          <w:sz w:val="20"/>
          <w:szCs w:val="20"/>
        </w:rPr>
      </w:pPr>
      <w:r w:rsidRPr="00427248">
        <w:rPr>
          <w:rFonts w:ascii="Arial" w:hAnsi="Arial" w:cs="Arial"/>
          <w:bCs/>
          <w:sz w:val="20"/>
          <w:szCs w:val="20"/>
        </w:rPr>
        <w:t xml:space="preserve">4.6.3.2. Si la actuación acaece con posterioridad a la sentencia y se trata de lograr el cumplimiento de las órdenes impartidas en dicha sentencia, la acción de tutela no procede. Pero si se trata de obtener la protección de un derecho fundamental que habría sido vulnerado en el trámite del incidente de desacato, y se cumplen los requisitos generales de procedibilidad de la acción de tutela contra providencias judiciales, la acción de tutela puede proceder de manera excepcional”. (Resaltado de la Sala).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2718B1" w:rsidRPr="00A15ACE" w:rsidRDefault="002718B1">
    <w:pPr>
      <w:pStyle w:val="Encabezado"/>
    </w:pPr>
    <w:r>
      <w:rPr>
        <w:noProof/>
        <w:lang w:val="es-ES" w:eastAsia="es-ES"/>
      </w:rPr>
      <w:drawing>
        <wp:anchor distT="0" distB="0" distL="114300" distR="114300" simplePos="0" relativeHeight="25166028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2718B1" w:rsidRPr="00A15ACE" w:rsidRDefault="002718B1">
    <w:pPr>
      <w:pStyle w:val="Encabezado"/>
    </w:pPr>
  </w:p>
  <w:p w14:paraId="4B90DC7A" w14:textId="3C2449B7" w:rsidR="002718B1" w:rsidRPr="00A15ACE" w:rsidRDefault="002718B1">
    <w:pPr>
      <w:pStyle w:val="Encabezado"/>
    </w:pPr>
    <w:r w:rsidRPr="0070023E">
      <w:rPr>
        <w:noProof/>
        <w:sz w:val="20"/>
        <w:szCs w:val="20"/>
        <w:lang w:val="es-ES" w:eastAsia="es-ES"/>
      </w:rPr>
      <mc:AlternateContent>
        <mc:Choice Requires="wps">
          <w:drawing>
            <wp:anchor distT="0" distB="0" distL="114300" distR="114300" simplePos="0" relativeHeight="251656192"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8A61CB"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7D508FF0" w14:textId="0DDB761A" w:rsidR="002718B1" w:rsidRPr="006D7181" w:rsidRDefault="002718B1" w:rsidP="0054069D">
    <w:pPr>
      <w:pStyle w:val="Encabezado"/>
      <w:jc w:val="right"/>
      <w:rPr>
        <w:color w:val="767171"/>
        <w:sz w:val="20"/>
        <w:szCs w:val="20"/>
      </w:rPr>
    </w:pPr>
    <w:r w:rsidRPr="006D7181">
      <w:rPr>
        <w:color w:val="767171"/>
        <w:sz w:val="20"/>
        <w:szCs w:val="20"/>
      </w:rPr>
      <w:t>Rad</w:t>
    </w:r>
    <w:r>
      <w:rPr>
        <w:color w:val="767171"/>
        <w:sz w:val="20"/>
        <w:szCs w:val="20"/>
      </w:rPr>
      <w:t>icado: 11001-03-15-000-2021-</w:t>
    </w:r>
    <w:r w:rsidR="004261D1">
      <w:rPr>
        <w:color w:val="767171"/>
        <w:sz w:val="20"/>
        <w:szCs w:val="20"/>
      </w:rPr>
      <w:t>10543</w:t>
    </w:r>
    <w:r>
      <w:rPr>
        <w:color w:val="767171"/>
        <w:sz w:val="20"/>
        <w:szCs w:val="20"/>
      </w:rPr>
      <w:t>-0</w:t>
    </w:r>
    <w:r w:rsidR="004261D1">
      <w:rPr>
        <w:color w:val="767171"/>
        <w:sz w:val="20"/>
        <w:szCs w:val="20"/>
      </w:rPr>
      <w:t>0</w:t>
    </w:r>
  </w:p>
  <w:p w14:paraId="07B33FD0" w14:textId="0C7F863D" w:rsidR="002718B1" w:rsidRPr="00F532EA" w:rsidRDefault="002718B1" w:rsidP="0054069D">
    <w:pPr>
      <w:pStyle w:val="Encabezado"/>
      <w:jc w:val="right"/>
      <w:rPr>
        <w:color w:val="767171"/>
        <w:sz w:val="20"/>
        <w:szCs w:val="20"/>
      </w:rPr>
    </w:pPr>
    <w:r>
      <w:rPr>
        <w:color w:val="767171"/>
        <w:sz w:val="20"/>
        <w:szCs w:val="20"/>
      </w:rPr>
      <w:tab/>
    </w:r>
    <w:r>
      <w:rPr>
        <w:color w:val="767171"/>
        <w:sz w:val="20"/>
        <w:szCs w:val="20"/>
      </w:rPr>
      <w:tab/>
      <w:t xml:space="preserve">Accionante: </w:t>
    </w:r>
    <w:r w:rsidR="004261D1" w:rsidRPr="004261D1">
      <w:rPr>
        <w:color w:val="767171"/>
        <w:sz w:val="20"/>
        <w:szCs w:val="20"/>
      </w:rPr>
      <w:t>Henry Valencia Prieto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2718B1" w:rsidRPr="00A15ACE" w:rsidRDefault="002718B1"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2718B1" w:rsidRPr="00A15ACE" w:rsidRDefault="002718B1" w:rsidP="00F1441F">
    <w:pPr>
      <w:pStyle w:val="Encabezado"/>
      <w:rPr>
        <w:color w:val="767171"/>
      </w:rPr>
    </w:pPr>
  </w:p>
  <w:p w14:paraId="3F3B7A5B" w14:textId="77777777" w:rsidR="002718B1" w:rsidRPr="007F276C" w:rsidRDefault="002718B1" w:rsidP="00F74504">
    <w:pPr>
      <w:pStyle w:val="Sinespaciado"/>
    </w:pPr>
    <w:r w:rsidRPr="007F276C">
      <w:t>CONSEJO DE ESTADO</w:t>
    </w:r>
  </w:p>
  <w:p w14:paraId="6EF027A0" w14:textId="77777777" w:rsidR="002718B1" w:rsidRPr="007F276C" w:rsidRDefault="002718B1" w:rsidP="00F74504">
    <w:pPr>
      <w:pStyle w:val="Sinespaciado"/>
    </w:pPr>
    <w:r w:rsidRPr="007F276C">
      <w:t>SALA DE LO CONTENCIOSO ADMINISTRATIVO</w:t>
    </w:r>
  </w:p>
  <w:p w14:paraId="2FC4305D" w14:textId="77777777" w:rsidR="002718B1" w:rsidRPr="007F276C" w:rsidRDefault="002718B1" w:rsidP="00F74504">
    <w:pPr>
      <w:pStyle w:val="Sinespaciado"/>
    </w:pPr>
    <w:r w:rsidRPr="007F276C">
      <w:t>SECCIÓN TERCERA – SUBSECCIÓN C</w:t>
    </w:r>
  </w:p>
  <w:p w14:paraId="2BA226A1" w14:textId="77777777" w:rsidR="002718B1" w:rsidRDefault="002718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CD586D"/>
    <w:multiLevelType w:val="hybridMultilevel"/>
    <w:tmpl w:val="C2246D20"/>
    <w:lvl w:ilvl="0" w:tplc="AA80876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463851"/>
    <w:multiLevelType w:val="multilevel"/>
    <w:tmpl w:val="65A24F1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D374F73"/>
    <w:multiLevelType w:val="multilevel"/>
    <w:tmpl w:val="DE5610DC"/>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F30E8A"/>
    <w:multiLevelType w:val="multilevel"/>
    <w:tmpl w:val="EF40F3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6C333ED7"/>
    <w:multiLevelType w:val="multilevel"/>
    <w:tmpl w:val="E2186F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11"/>
  </w:num>
  <w:num w:numId="7">
    <w:abstractNumId w:val="8"/>
  </w:num>
  <w:num w:numId="8">
    <w:abstractNumId w:val="6"/>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1220"/>
    <w:rsid w:val="000013A2"/>
    <w:rsid w:val="00001765"/>
    <w:rsid w:val="00002CE2"/>
    <w:rsid w:val="000034C2"/>
    <w:rsid w:val="00003813"/>
    <w:rsid w:val="00004070"/>
    <w:rsid w:val="00004379"/>
    <w:rsid w:val="00004405"/>
    <w:rsid w:val="00004D80"/>
    <w:rsid w:val="00005B2C"/>
    <w:rsid w:val="00006B23"/>
    <w:rsid w:val="00006D3C"/>
    <w:rsid w:val="0000789C"/>
    <w:rsid w:val="0001012C"/>
    <w:rsid w:val="0001030E"/>
    <w:rsid w:val="00010421"/>
    <w:rsid w:val="00011344"/>
    <w:rsid w:val="00011F07"/>
    <w:rsid w:val="00012249"/>
    <w:rsid w:val="00012258"/>
    <w:rsid w:val="000123EB"/>
    <w:rsid w:val="0001454F"/>
    <w:rsid w:val="00015B96"/>
    <w:rsid w:val="00015C84"/>
    <w:rsid w:val="00015E01"/>
    <w:rsid w:val="0001698A"/>
    <w:rsid w:val="00016FD6"/>
    <w:rsid w:val="00017CB3"/>
    <w:rsid w:val="00020F92"/>
    <w:rsid w:val="00021284"/>
    <w:rsid w:val="000238D7"/>
    <w:rsid w:val="00023E74"/>
    <w:rsid w:val="0002471B"/>
    <w:rsid w:val="000263E4"/>
    <w:rsid w:val="00027E96"/>
    <w:rsid w:val="00031008"/>
    <w:rsid w:val="00032A04"/>
    <w:rsid w:val="00033162"/>
    <w:rsid w:val="00035AD8"/>
    <w:rsid w:val="00035B36"/>
    <w:rsid w:val="00036A46"/>
    <w:rsid w:val="000379C1"/>
    <w:rsid w:val="00037A9B"/>
    <w:rsid w:val="00037B04"/>
    <w:rsid w:val="00041747"/>
    <w:rsid w:val="00041DB0"/>
    <w:rsid w:val="00043A8A"/>
    <w:rsid w:val="00044737"/>
    <w:rsid w:val="00044E63"/>
    <w:rsid w:val="00045A3D"/>
    <w:rsid w:val="00045D82"/>
    <w:rsid w:val="0004652D"/>
    <w:rsid w:val="00051ECE"/>
    <w:rsid w:val="00052A0F"/>
    <w:rsid w:val="00052E65"/>
    <w:rsid w:val="00053BCB"/>
    <w:rsid w:val="00053D29"/>
    <w:rsid w:val="000549D4"/>
    <w:rsid w:val="000558C9"/>
    <w:rsid w:val="0005595B"/>
    <w:rsid w:val="00055CD8"/>
    <w:rsid w:val="000566B5"/>
    <w:rsid w:val="000572CE"/>
    <w:rsid w:val="000578BC"/>
    <w:rsid w:val="0006185D"/>
    <w:rsid w:val="00061B93"/>
    <w:rsid w:val="000640FF"/>
    <w:rsid w:val="00065048"/>
    <w:rsid w:val="00065263"/>
    <w:rsid w:val="00066EE4"/>
    <w:rsid w:val="0007017B"/>
    <w:rsid w:val="000711F7"/>
    <w:rsid w:val="00071EBA"/>
    <w:rsid w:val="00071F03"/>
    <w:rsid w:val="00072695"/>
    <w:rsid w:val="000728E0"/>
    <w:rsid w:val="00072957"/>
    <w:rsid w:val="00073800"/>
    <w:rsid w:val="00073869"/>
    <w:rsid w:val="00074919"/>
    <w:rsid w:val="00074D00"/>
    <w:rsid w:val="00075440"/>
    <w:rsid w:val="00076747"/>
    <w:rsid w:val="00076FB3"/>
    <w:rsid w:val="000813C9"/>
    <w:rsid w:val="000836FE"/>
    <w:rsid w:val="00083B8F"/>
    <w:rsid w:val="00084ACD"/>
    <w:rsid w:val="0008675F"/>
    <w:rsid w:val="00086B66"/>
    <w:rsid w:val="00091A9B"/>
    <w:rsid w:val="00094B1C"/>
    <w:rsid w:val="00094E7B"/>
    <w:rsid w:val="00094EAB"/>
    <w:rsid w:val="00095EDE"/>
    <w:rsid w:val="000A0338"/>
    <w:rsid w:val="000A093D"/>
    <w:rsid w:val="000A19DC"/>
    <w:rsid w:val="000A2397"/>
    <w:rsid w:val="000A3CA1"/>
    <w:rsid w:val="000A428A"/>
    <w:rsid w:val="000A52CC"/>
    <w:rsid w:val="000A54E3"/>
    <w:rsid w:val="000B0A8D"/>
    <w:rsid w:val="000B4310"/>
    <w:rsid w:val="000B5ABD"/>
    <w:rsid w:val="000C18BD"/>
    <w:rsid w:val="000C1A32"/>
    <w:rsid w:val="000C2B43"/>
    <w:rsid w:val="000C341D"/>
    <w:rsid w:val="000C342A"/>
    <w:rsid w:val="000C3525"/>
    <w:rsid w:val="000C5107"/>
    <w:rsid w:val="000C5688"/>
    <w:rsid w:val="000C5DB7"/>
    <w:rsid w:val="000C5F14"/>
    <w:rsid w:val="000C61A8"/>
    <w:rsid w:val="000C639A"/>
    <w:rsid w:val="000C7B4F"/>
    <w:rsid w:val="000D0E41"/>
    <w:rsid w:val="000D12BC"/>
    <w:rsid w:val="000D1969"/>
    <w:rsid w:val="000D1A55"/>
    <w:rsid w:val="000D298A"/>
    <w:rsid w:val="000D2A20"/>
    <w:rsid w:val="000D2C59"/>
    <w:rsid w:val="000D38FD"/>
    <w:rsid w:val="000D39FE"/>
    <w:rsid w:val="000D4AD7"/>
    <w:rsid w:val="000D4B50"/>
    <w:rsid w:val="000D5563"/>
    <w:rsid w:val="000D7042"/>
    <w:rsid w:val="000E121D"/>
    <w:rsid w:val="000E2BBB"/>
    <w:rsid w:val="000E2D62"/>
    <w:rsid w:val="000E76B5"/>
    <w:rsid w:val="000F0F67"/>
    <w:rsid w:val="000F189F"/>
    <w:rsid w:val="000F3FD8"/>
    <w:rsid w:val="000F4A94"/>
    <w:rsid w:val="000F7E10"/>
    <w:rsid w:val="00100DE6"/>
    <w:rsid w:val="00101D3B"/>
    <w:rsid w:val="00102722"/>
    <w:rsid w:val="00103370"/>
    <w:rsid w:val="001048F5"/>
    <w:rsid w:val="00104FFC"/>
    <w:rsid w:val="00105ABD"/>
    <w:rsid w:val="001064F3"/>
    <w:rsid w:val="00106D53"/>
    <w:rsid w:val="00106D86"/>
    <w:rsid w:val="001073C5"/>
    <w:rsid w:val="001102AC"/>
    <w:rsid w:val="001117E0"/>
    <w:rsid w:val="00111F8A"/>
    <w:rsid w:val="001121D7"/>
    <w:rsid w:val="00114418"/>
    <w:rsid w:val="00114E48"/>
    <w:rsid w:val="0011700D"/>
    <w:rsid w:val="00117091"/>
    <w:rsid w:val="0012059B"/>
    <w:rsid w:val="00120D7F"/>
    <w:rsid w:val="00121C55"/>
    <w:rsid w:val="001225C4"/>
    <w:rsid w:val="00125394"/>
    <w:rsid w:val="00125A89"/>
    <w:rsid w:val="001264E9"/>
    <w:rsid w:val="001314F6"/>
    <w:rsid w:val="001314FA"/>
    <w:rsid w:val="001321CE"/>
    <w:rsid w:val="0013280E"/>
    <w:rsid w:val="00132AB9"/>
    <w:rsid w:val="00133965"/>
    <w:rsid w:val="00133F91"/>
    <w:rsid w:val="001341B1"/>
    <w:rsid w:val="00134B91"/>
    <w:rsid w:val="001356CD"/>
    <w:rsid w:val="00135B29"/>
    <w:rsid w:val="00135BB6"/>
    <w:rsid w:val="00137D2F"/>
    <w:rsid w:val="00141CE0"/>
    <w:rsid w:val="00143749"/>
    <w:rsid w:val="00143CD4"/>
    <w:rsid w:val="00146828"/>
    <w:rsid w:val="00146A7C"/>
    <w:rsid w:val="001479E6"/>
    <w:rsid w:val="001502BD"/>
    <w:rsid w:val="0015104D"/>
    <w:rsid w:val="0015444A"/>
    <w:rsid w:val="00154D0E"/>
    <w:rsid w:val="00154F9F"/>
    <w:rsid w:val="00155129"/>
    <w:rsid w:val="00155E78"/>
    <w:rsid w:val="00155FE7"/>
    <w:rsid w:val="001576FE"/>
    <w:rsid w:val="00161A22"/>
    <w:rsid w:val="00161EAA"/>
    <w:rsid w:val="0016208B"/>
    <w:rsid w:val="00162961"/>
    <w:rsid w:val="0016439C"/>
    <w:rsid w:val="001658C9"/>
    <w:rsid w:val="00165935"/>
    <w:rsid w:val="00165C5B"/>
    <w:rsid w:val="00166AF6"/>
    <w:rsid w:val="001674CF"/>
    <w:rsid w:val="0017024A"/>
    <w:rsid w:val="00170FE3"/>
    <w:rsid w:val="00171038"/>
    <w:rsid w:val="00171E2D"/>
    <w:rsid w:val="00174517"/>
    <w:rsid w:val="00174C02"/>
    <w:rsid w:val="00175282"/>
    <w:rsid w:val="0017556A"/>
    <w:rsid w:val="001778F9"/>
    <w:rsid w:val="001820A7"/>
    <w:rsid w:val="001832E3"/>
    <w:rsid w:val="001837AC"/>
    <w:rsid w:val="001838C6"/>
    <w:rsid w:val="00184020"/>
    <w:rsid w:val="001840B8"/>
    <w:rsid w:val="00185A87"/>
    <w:rsid w:val="00190713"/>
    <w:rsid w:val="00190924"/>
    <w:rsid w:val="001909A8"/>
    <w:rsid w:val="001915E1"/>
    <w:rsid w:val="001947B1"/>
    <w:rsid w:val="00194CD0"/>
    <w:rsid w:val="0019660D"/>
    <w:rsid w:val="001A00B6"/>
    <w:rsid w:val="001A12BB"/>
    <w:rsid w:val="001A2A66"/>
    <w:rsid w:val="001A347E"/>
    <w:rsid w:val="001A354D"/>
    <w:rsid w:val="001A39F2"/>
    <w:rsid w:val="001A4224"/>
    <w:rsid w:val="001A44C6"/>
    <w:rsid w:val="001A4BD1"/>
    <w:rsid w:val="001A7318"/>
    <w:rsid w:val="001B05B4"/>
    <w:rsid w:val="001B2149"/>
    <w:rsid w:val="001B2CB3"/>
    <w:rsid w:val="001B35D8"/>
    <w:rsid w:val="001B5112"/>
    <w:rsid w:val="001B60B5"/>
    <w:rsid w:val="001B72F6"/>
    <w:rsid w:val="001B7944"/>
    <w:rsid w:val="001C0229"/>
    <w:rsid w:val="001C049C"/>
    <w:rsid w:val="001C0F29"/>
    <w:rsid w:val="001C1833"/>
    <w:rsid w:val="001C20E6"/>
    <w:rsid w:val="001C29C7"/>
    <w:rsid w:val="001C29D8"/>
    <w:rsid w:val="001C308D"/>
    <w:rsid w:val="001C319D"/>
    <w:rsid w:val="001C3C1F"/>
    <w:rsid w:val="001C4808"/>
    <w:rsid w:val="001C4D01"/>
    <w:rsid w:val="001D0208"/>
    <w:rsid w:val="001D07D6"/>
    <w:rsid w:val="001D1A65"/>
    <w:rsid w:val="001D26D4"/>
    <w:rsid w:val="001D36B2"/>
    <w:rsid w:val="001D3A05"/>
    <w:rsid w:val="001D4888"/>
    <w:rsid w:val="001D4B71"/>
    <w:rsid w:val="001D4E62"/>
    <w:rsid w:val="001D5BEE"/>
    <w:rsid w:val="001D60C0"/>
    <w:rsid w:val="001D61E8"/>
    <w:rsid w:val="001D67F0"/>
    <w:rsid w:val="001E29E3"/>
    <w:rsid w:val="001E4520"/>
    <w:rsid w:val="001E5D6A"/>
    <w:rsid w:val="001E6DF2"/>
    <w:rsid w:val="001E7772"/>
    <w:rsid w:val="001F0E32"/>
    <w:rsid w:val="001F18CE"/>
    <w:rsid w:val="001F29B1"/>
    <w:rsid w:val="001F31C1"/>
    <w:rsid w:val="001F34E5"/>
    <w:rsid w:val="001F3D31"/>
    <w:rsid w:val="001F4B0A"/>
    <w:rsid w:val="001F6D2F"/>
    <w:rsid w:val="00201930"/>
    <w:rsid w:val="00201EC3"/>
    <w:rsid w:val="002035BF"/>
    <w:rsid w:val="0020496E"/>
    <w:rsid w:val="00207116"/>
    <w:rsid w:val="00207919"/>
    <w:rsid w:val="00207B66"/>
    <w:rsid w:val="0021333D"/>
    <w:rsid w:val="00214D23"/>
    <w:rsid w:val="00220BBF"/>
    <w:rsid w:val="002230E3"/>
    <w:rsid w:val="002232EB"/>
    <w:rsid w:val="00223802"/>
    <w:rsid w:val="00223E8F"/>
    <w:rsid w:val="00224340"/>
    <w:rsid w:val="002253B6"/>
    <w:rsid w:val="002255B3"/>
    <w:rsid w:val="00225C37"/>
    <w:rsid w:val="00225FD3"/>
    <w:rsid w:val="00226D45"/>
    <w:rsid w:val="0023161F"/>
    <w:rsid w:val="002365FF"/>
    <w:rsid w:val="002378AC"/>
    <w:rsid w:val="00241A20"/>
    <w:rsid w:val="00243E3F"/>
    <w:rsid w:val="00243E64"/>
    <w:rsid w:val="00244C0D"/>
    <w:rsid w:val="00244FCE"/>
    <w:rsid w:val="00245202"/>
    <w:rsid w:val="00246239"/>
    <w:rsid w:val="002468A7"/>
    <w:rsid w:val="0025021D"/>
    <w:rsid w:val="00252DB0"/>
    <w:rsid w:val="00254098"/>
    <w:rsid w:val="00255C63"/>
    <w:rsid w:val="002566AF"/>
    <w:rsid w:val="0025780C"/>
    <w:rsid w:val="00260146"/>
    <w:rsid w:val="0026122E"/>
    <w:rsid w:val="002618FA"/>
    <w:rsid w:val="00262D7A"/>
    <w:rsid w:val="002630B2"/>
    <w:rsid w:val="002634ED"/>
    <w:rsid w:val="002635B4"/>
    <w:rsid w:val="00263F5A"/>
    <w:rsid w:val="002646E8"/>
    <w:rsid w:val="002647F9"/>
    <w:rsid w:val="002652EE"/>
    <w:rsid w:val="0026613C"/>
    <w:rsid w:val="00266DB7"/>
    <w:rsid w:val="00266DCD"/>
    <w:rsid w:val="002715FF"/>
    <w:rsid w:val="002718B1"/>
    <w:rsid w:val="0027248E"/>
    <w:rsid w:val="00272C3F"/>
    <w:rsid w:val="00273406"/>
    <w:rsid w:val="00274744"/>
    <w:rsid w:val="002753A1"/>
    <w:rsid w:val="00275638"/>
    <w:rsid w:val="00276E47"/>
    <w:rsid w:val="00277545"/>
    <w:rsid w:val="00277551"/>
    <w:rsid w:val="00280599"/>
    <w:rsid w:val="0028146D"/>
    <w:rsid w:val="00281874"/>
    <w:rsid w:val="0028309F"/>
    <w:rsid w:val="00283676"/>
    <w:rsid w:val="00285374"/>
    <w:rsid w:val="0028665C"/>
    <w:rsid w:val="00287048"/>
    <w:rsid w:val="00291407"/>
    <w:rsid w:val="0029280A"/>
    <w:rsid w:val="0029390A"/>
    <w:rsid w:val="00295308"/>
    <w:rsid w:val="002956F6"/>
    <w:rsid w:val="0029628B"/>
    <w:rsid w:val="002A04D0"/>
    <w:rsid w:val="002A1189"/>
    <w:rsid w:val="002A39C7"/>
    <w:rsid w:val="002A3BCF"/>
    <w:rsid w:val="002A5310"/>
    <w:rsid w:val="002A60B4"/>
    <w:rsid w:val="002A6BED"/>
    <w:rsid w:val="002A7DC7"/>
    <w:rsid w:val="002B0588"/>
    <w:rsid w:val="002B237C"/>
    <w:rsid w:val="002B26F8"/>
    <w:rsid w:val="002B3E8E"/>
    <w:rsid w:val="002B4ABC"/>
    <w:rsid w:val="002B4F8F"/>
    <w:rsid w:val="002B5870"/>
    <w:rsid w:val="002B6FC2"/>
    <w:rsid w:val="002B7816"/>
    <w:rsid w:val="002B7B5A"/>
    <w:rsid w:val="002C0F7C"/>
    <w:rsid w:val="002C12BC"/>
    <w:rsid w:val="002C2C7E"/>
    <w:rsid w:val="002C347F"/>
    <w:rsid w:val="002C396B"/>
    <w:rsid w:val="002C4C34"/>
    <w:rsid w:val="002C4E64"/>
    <w:rsid w:val="002C5144"/>
    <w:rsid w:val="002C6382"/>
    <w:rsid w:val="002D033D"/>
    <w:rsid w:val="002D1219"/>
    <w:rsid w:val="002D1F32"/>
    <w:rsid w:val="002D25E0"/>
    <w:rsid w:val="002D2B80"/>
    <w:rsid w:val="002D3CAC"/>
    <w:rsid w:val="002D3D05"/>
    <w:rsid w:val="002D42D1"/>
    <w:rsid w:val="002D480B"/>
    <w:rsid w:val="002D6A00"/>
    <w:rsid w:val="002E0126"/>
    <w:rsid w:val="002E1978"/>
    <w:rsid w:val="002F15C2"/>
    <w:rsid w:val="002F29A7"/>
    <w:rsid w:val="002F42B8"/>
    <w:rsid w:val="002F4E69"/>
    <w:rsid w:val="002F6F94"/>
    <w:rsid w:val="002F7B5B"/>
    <w:rsid w:val="002F7E24"/>
    <w:rsid w:val="002F7EAD"/>
    <w:rsid w:val="003007E6"/>
    <w:rsid w:val="00301037"/>
    <w:rsid w:val="003015B4"/>
    <w:rsid w:val="0030176A"/>
    <w:rsid w:val="00301EAE"/>
    <w:rsid w:val="00301FD7"/>
    <w:rsid w:val="0030212E"/>
    <w:rsid w:val="00302198"/>
    <w:rsid w:val="00302339"/>
    <w:rsid w:val="003026EB"/>
    <w:rsid w:val="00302CF5"/>
    <w:rsid w:val="003034EE"/>
    <w:rsid w:val="003049C7"/>
    <w:rsid w:val="00306708"/>
    <w:rsid w:val="00311B9C"/>
    <w:rsid w:val="00313A09"/>
    <w:rsid w:val="003141CB"/>
    <w:rsid w:val="0031514A"/>
    <w:rsid w:val="0031562F"/>
    <w:rsid w:val="00316A7F"/>
    <w:rsid w:val="00320783"/>
    <w:rsid w:val="0032083E"/>
    <w:rsid w:val="00322AE9"/>
    <w:rsid w:val="00322F05"/>
    <w:rsid w:val="00324724"/>
    <w:rsid w:val="00324BC6"/>
    <w:rsid w:val="0032546B"/>
    <w:rsid w:val="003260C7"/>
    <w:rsid w:val="00327C43"/>
    <w:rsid w:val="00331CC2"/>
    <w:rsid w:val="00332990"/>
    <w:rsid w:val="003336FD"/>
    <w:rsid w:val="00334ED8"/>
    <w:rsid w:val="003353F5"/>
    <w:rsid w:val="003358BF"/>
    <w:rsid w:val="00340AC8"/>
    <w:rsid w:val="00343105"/>
    <w:rsid w:val="0034340E"/>
    <w:rsid w:val="003435CA"/>
    <w:rsid w:val="00343766"/>
    <w:rsid w:val="003451B9"/>
    <w:rsid w:val="00345E1C"/>
    <w:rsid w:val="00346407"/>
    <w:rsid w:val="00347076"/>
    <w:rsid w:val="00351B5E"/>
    <w:rsid w:val="00352BAD"/>
    <w:rsid w:val="0035542D"/>
    <w:rsid w:val="00356E77"/>
    <w:rsid w:val="00356EDE"/>
    <w:rsid w:val="00357E22"/>
    <w:rsid w:val="00360658"/>
    <w:rsid w:val="00361478"/>
    <w:rsid w:val="003614D2"/>
    <w:rsid w:val="003628C8"/>
    <w:rsid w:val="0036383A"/>
    <w:rsid w:val="003639E2"/>
    <w:rsid w:val="00366494"/>
    <w:rsid w:val="003674B6"/>
    <w:rsid w:val="003674B8"/>
    <w:rsid w:val="003707A2"/>
    <w:rsid w:val="003727A7"/>
    <w:rsid w:val="003736AC"/>
    <w:rsid w:val="00373C11"/>
    <w:rsid w:val="00374674"/>
    <w:rsid w:val="00375C23"/>
    <w:rsid w:val="00376ADA"/>
    <w:rsid w:val="00376E2B"/>
    <w:rsid w:val="00377720"/>
    <w:rsid w:val="00377E1B"/>
    <w:rsid w:val="00380082"/>
    <w:rsid w:val="00382293"/>
    <w:rsid w:val="00383156"/>
    <w:rsid w:val="0038317C"/>
    <w:rsid w:val="00383425"/>
    <w:rsid w:val="00384507"/>
    <w:rsid w:val="00384C91"/>
    <w:rsid w:val="00386152"/>
    <w:rsid w:val="00386984"/>
    <w:rsid w:val="00386B09"/>
    <w:rsid w:val="003871C4"/>
    <w:rsid w:val="00387BBC"/>
    <w:rsid w:val="00387CA1"/>
    <w:rsid w:val="00392C97"/>
    <w:rsid w:val="00392D66"/>
    <w:rsid w:val="00393843"/>
    <w:rsid w:val="003939D6"/>
    <w:rsid w:val="003943FF"/>
    <w:rsid w:val="00394A69"/>
    <w:rsid w:val="0039548C"/>
    <w:rsid w:val="003A0174"/>
    <w:rsid w:val="003A04A6"/>
    <w:rsid w:val="003A12C4"/>
    <w:rsid w:val="003A1348"/>
    <w:rsid w:val="003A1C83"/>
    <w:rsid w:val="003A35B4"/>
    <w:rsid w:val="003A3FC4"/>
    <w:rsid w:val="003A4B37"/>
    <w:rsid w:val="003A637C"/>
    <w:rsid w:val="003B1539"/>
    <w:rsid w:val="003B1695"/>
    <w:rsid w:val="003B1C6D"/>
    <w:rsid w:val="003B2156"/>
    <w:rsid w:val="003B4515"/>
    <w:rsid w:val="003B65B2"/>
    <w:rsid w:val="003B6749"/>
    <w:rsid w:val="003B7A80"/>
    <w:rsid w:val="003C1844"/>
    <w:rsid w:val="003C24DE"/>
    <w:rsid w:val="003C484D"/>
    <w:rsid w:val="003C78FA"/>
    <w:rsid w:val="003D02C0"/>
    <w:rsid w:val="003D068E"/>
    <w:rsid w:val="003D0F7C"/>
    <w:rsid w:val="003D189F"/>
    <w:rsid w:val="003D1B94"/>
    <w:rsid w:val="003D2545"/>
    <w:rsid w:val="003D40CB"/>
    <w:rsid w:val="003D44B8"/>
    <w:rsid w:val="003D4892"/>
    <w:rsid w:val="003D4F13"/>
    <w:rsid w:val="003D543A"/>
    <w:rsid w:val="003D58E3"/>
    <w:rsid w:val="003D6548"/>
    <w:rsid w:val="003D7632"/>
    <w:rsid w:val="003E06B6"/>
    <w:rsid w:val="003E0965"/>
    <w:rsid w:val="003E09E7"/>
    <w:rsid w:val="003E25FB"/>
    <w:rsid w:val="003E2D55"/>
    <w:rsid w:val="003E4253"/>
    <w:rsid w:val="003E62BC"/>
    <w:rsid w:val="003E62FB"/>
    <w:rsid w:val="003E751B"/>
    <w:rsid w:val="003E7A58"/>
    <w:rsid w:val="003F1DF9"/>
    <w:rsid w:val="003F2236"/>
    <w:rsid w:val="003F2BA3"/>
    <w:rsid w:val="003F31BD"/>
    <w:rsid w:val="003F4EE1"/>
    <w:rsid w:val="003F6FF0"/>
    <w:rsid w:val="003F7144"/>
    <w:rsid w:val="003F7FF5"/>
    <w:rsid w:val="00400A18"/>
    <w:rsid w:val="0040213E"/>
    <w:rsid w:val="00402998"/>
    <w:rsid w:val="00402A22"/>
    <w:rsid w:val="00403849"/>
    <w:rsid w:val="00405122"/>
    <w:rsid w:val="00406772"/>
    <w:rsid w:val="00406D0E"/>
    <w:rsid w:val="004071F3"/>
    <w:rsid w:val="004109EF"/>
    <w:rsid w:val="00411F6E"/>
    <w:rsid w:val="0041226F"/>
    <w:rsid w:val="00412AA8"/>
    <w:rsid w:val="004139B0"/>
    <w:rsid w:val="004150BA"/>
    <w:rsid w:val="004168CB"/>
    <w:rsid w:val="00416A7B"/>
    <w:rsid w:val="00417E8B"/>
    <w:rsid w:val="00417F37"/>
    <w:rsid w:val="004211FA"/>
    <w:rsid w:val="00421243"/>
    <w:rsid w:val="0042227D"/>
    <w:rsid w:val="004224E1"/>
    <w:rsid w:val="00422B7B"/>
    <w:rsid w:val="004230AD"/>
    <w:rsid w:val="004232B9"/>
    <w:rsid w:val="004234C4"/>
    <w:rsid w:val="00423C1A"/>
    <w:rsid w:val="00424655"/>
    <w:rsid w:val="00424723"/>
    <w:rsid w:val="00425626"/>
    <w:rsid w:val="00425815"/>
    <w:rsid w:val="004261D1"/>
    <w:rsid w:val="004269E2"/>
    <w:rsid w:val="004270A8"/>
    <w:rsid w:val="00427248"/>
    <w:rsid w:val="0042774D"/>
    <w:rsid w:val="00430389"/>
    <w:rsid w:val="004304B8"/>
    <w:rsid w:val="00430D89"/>
    <w:rsid w:val="00432489"/>
    <w:rsid w:val="00432814"/>
    <w:rsid w:val="00432A58"/>
    <w:rsid w:val="00432E23"/>
    <w:rsid w:val="00432FAE"/>
    <w:rsid w:val="004336EC"/>
    <w:rsid w:val="00433C67"/>
    <w:rsid w:val="00433E19"/>
    <w:rsid w:val="00434E2F"/>
    <w:rsid w:val="00434E88"/>
    <w:rsid w:val="0043594A"/>
    <w:rsid w:val="0043778C"/>
    <w:rsid w:val="00440C87"/>
    <w:rsid w:val="00440DE3"/>
    <w:rsid w:val="004422C2"/>
    <w:rsid w:val="00443EC8"/>
    <w:rsid w:val="00444D42"/>
    <w:rsid w:val="00447745"/>
    <w:rsid w:val="00447956"/>
    <w:rsid w:val="00450F08"/>
    <w:rsid w:val="00452267"/>
    <w:rsid w:val="004529F6"/>
    <w:rsid w:val="00452B3F"/>
    <w:rsid w:val="00454FBA"/>
    <w:rsid w:val="00455545"/>
    <w:rsid w:val="00455A82"/>
    <w:rsid w:val="004579FB"/>
    <w:rsid w:val="004600A8"/>
    <w:rsid w:val="0046046A"/>
    <w:rsid w:val="00465146"/>
    <w:rsid w:val="004654A4"/>
    <w:rsid w:val="00465D19"/>
    <w:rsid w:val="00467F77"/>
    <w:rsid w:val="00471300"/>
    <w:rsid w:val="0047256F"/>
    <w:rsid w:val="00473433"/>
    <w:rsid w:val="00473A32"/>
    <w:rsid w:val="00475103"/>
    <w:rsid w:val="004758EB"/>
    <w:rsid w:val="00477A81"/>
    <w:rsid w:val="00477AD8"/>
    <w:rsid w:val="00477B78"/>
    <w:rsid w:val="00477CD1"/>
    <w:rsid w:val="004809AC"/>
    <w:rsid w:val="004809DB"/>
    <w:rsid w:val="00480BDB"/>
    <w:rsid w:val="004812A2"/>
    <w:rsid w:val="0048168B"/>
    <w:rsid w:val="00483A7E"/>
    <w:rsid w:val="004849BB"/>
    <w:rsid w:val="00484DEF"/>
    <w:rsid w:val="00485743"/>
    <w:rsid w:val="004857F6"/>
    <w:rsid w:val="00486447"/>
    <w:rsid w:val="00487465"/>
    <w:rsid w:val="00487892"/>
    <w:rsid w:val="00487ABA"/>
    <w:rsid w:val="0049014B"/>
    <w:rsid w:val="00490268"/>
    <w:rsid w:val="0049068E"/>
    <w:rsid w:val="00490F3D"/>
    <w:rsid w:val="00491910"/>
    <w:rsid w:val="00491D4D"/>
    <w:rsid w:val="00492E3F"/>
    <w:rsid w:val="00494668"/>
    <w:rsid w:val="00494CC1"/>
    <w:rsid w:val="00494F5F"/>
    <w:rsid w:val="00496046"/>
    <w:rsid w:val="00497536"/>
    <w:rsid w:val="00497572"/>
    <w:rsid w:val="00497735"/>
    <w:rsid w:val="00497B7C"/>
    <w:rsid w:val="004A04BC"/>
    <w:rsid w:val="004A0E84"/>
    <w:rsid w:val="004A1D38"/>
    <w:rsid w:val="004A59E5"/>
    <w:rsid w:val="004A7C12"/>
    <w:rsid w:val="004B06CF"/>
    <w:rsid w:val="004B1658"/>
    <w:rsid w:val="004B1D27"/>
    <w:rsid w:val="004B444D"/>
    <w:rsid w:val="004B4644"/>
    <w:rsid w:val="004B48F9"/>
    <w:rsid w:val="004B4E43"/>
    <w:rsid w:val="004B546A"/>
    <w:rsid w:val="004B55D8"/>
    <w:rsid w:val="004B68A0"/>
    <w:rsid w:val="004B71FA"/>
    <w:rsid w:val="004B773D"/>
    <w:rsid w:val="004B7869"/>
    <w:rsid w:val="004C080A"/>
    <w:rsid w:val="004C09AA"/>
    <w:rsid w:val="004C0BAB"/>
    <w:rsid w:val="004C1209"/>
    <w:rsid w:val="004C235E"/>
    <w:rsid w:val="004C4E69"/>
    <w:rsid w:val="004C5C9F"/>
    <w:rsid w:val="004D062F"/>
    <w:rsid w:val="004D0F89"/>
    <w:rsid w:val="004D1E7E"/>
    <w:rsid w:val="004D43F5"/>
    <w:rsid w:val="004D49EB"/>
    <w:rsid w:val="004D55D4"/>
    <w:rsid w:val="004D58F4"/>
    <w:rsid w:val="004D5983"/>
    <w:rsid w:val="004D63F2"/>
    <w:rsid w:val="004D6555"/>
    <w:rsid w:val="004D6896"/>
    <w:rsid w:val="004D7515"/>
    <w:rsid w:val="004E01C0"/>
    <w:rsid w:val="004E09F8"/>
    <w:rsid w:val="004E1BB1"/>
    <w:rsid w:val="004E271C"/>
    <w:rsid w:val="004E2B86"/>
    <w:rsid w:val="004E36C6"/>
    <w:rsid w:val="004E3D73"/>
    <w:rsid w:val="004E4771"/>
    <w:rsid w:val="004E6970"/>
    <w:rsid w:val="004E7976"/>
    <w:rsid w:val="004F0F06"/>
    <w:rsid w:val="004F18AB"/>
    <w:rsid w:val="004F2163"/>
    <w:rsid w:val="004F29EF"/>
    <w:rsid w:val="004F3056"/>
    <w:rsid w:val="004F64C5"/>
    <w:rsid w:val="004F64E9"/>
    <w:rsid w:val="004F6AF5"/>
    <w:rsid w:val="004F6E40"/>
    <w:rsid w:val="004F7002"/>
    <w:rsid w:val="004F74BB"/>
    <w:rsid w:val="004F7DCE"/>
    <w:rsid w:val="00500786"/>
    <w:rsid w:val="00500FEC"/>
    <w:rsid w:val="00505263"/>
    <w:rsid w:val="00505C36"/>
    <w:rsid w:val="0051090B"/>
    <w:rsid w:val="005113B7"/>
    <w:rsid w:val="0051207C"/>
    <w:rsid w:val="00512657"/>
    <w:rsid w:val="005127CB"/>
    <w:rsid w:val="005173A7"/>
    <w:rsid w:val="00517824"/>
    <w:rsid w:val="005211BD"/>
    <w:rsid w:val="00521427"/>
    <w:rsid w:val="0052193C"/>
    <w:rsid w:val="00521C3D"/>
    <w:rsid w:val="00522073"/>
    <w:rsid w:val="005229CC"/>
    <w:rsid w:val="00522B4B"/>
    <w:rsid w:val="00523A6C"/>
    <w:rsid w:val="00523AF5"/>
    <w:rsid w:val="00525B66"/>
    <w:rsid w:val="00525ED5"/>
    <w:rsid w:val="00530CAD"/>
    <w:rsid w:val="00530CEF"/>
    <w:rsid w:val="00531689"/>
    <w:rsid w:val="00533A3F"/>
    <w:rsid w:val="00535305"/>
    <w:rsid w:val="00535519"/>
    <w:rsid w:val="00536DEE"/>
    <w:rsid w:val="0054069D"/>
    <w:rsid w:val="00540E31"/>
    <w:rsid w:val="00540F5C"/>
    <w:rsid w:val="005414C8"/>
    <w:rsid w:val="0054160F"/>
    <w:rsid w:val="00542050"/>
    <w:rsid w:val="0054247D"/>
    <w:rsid w:val="0054313B"/>
    <w:rsid w:val="005432D3"/>
    <w:rsid w:val="00543FA4"/>
    <w:rsid w:val="00544B9C"/>
    <w:rsid w:val="00545CA7"/>
    <w:rsid w:val="00546A0B"/>
    <w:rsid w:val="0055220D"/>
    <w:rsid w:val="0055229B"/>
    <w:rsid w:val="005522BC"/>
    <w:rsid w:val="00552F3C"/>
    <w:rsid w:val="0055391D"/>
    <w:rsid w:val="005552F2"/>
    <w:rsid w:val="00555C67"/>
    <w:rsid w:val="00560C9F"/>
    <w:rsid w:val="00561914"/>
    <w:rsid w:val="005626E4"/>
    <w:rsid w:val="00564169"/>
    <w:rsid w:val="00564DCB"/>
    <w:rsid w:val="00565A93"/>
    <w:rsid w:val="00566726"/>
    <w:rsid w:val="00566F5D"/>
    <w:rsid w:val="005671A8"/>
    <w:rsid w:val="005702A7"/>
    <w:rsid w:val="0057157A"/>
    <w:rsid w:val="00574586"/>
    <w:rsid w:val="005759FF"/>
    <w:rsid w:val="00576DFD"/>
    <w:rsid w:val="00577059"/>
    <w:rsid w:val="0057727B"/>
    <w:rsid w:val="00577E90"/>
    <w:rsid w:val="00585CA2"/>
    <w:rsid w:val="00586281"/>
    <w:rsid w:val="005912BD"/>
    <w:rsid w:val="00591F8F"/>
    <w:rsid w:val="0059201B"/>
    <w:rsid w:val="005921B8"/>
    <w:rsid w:val="00592923"/>
    <w:rsid w:val="00592EC0"/>
    <w:rsid w:val="00593F37"/>
    <w:rsid w:val="00595248"/>
    <w:rsid w:val="00595F8B"/>
    <w:rsid w:val="005969CF"/>
    <w:rsid w:val="00597938"/>
    <w:rsid w:val="005A0024"/>
    <w:rsid w:val="005A0911"/>
    <w:rsid w:val="005A0E88"/>
    <w:rsid w:val="005A19C6"/>
    <w:rsid w:val="005A1C94"/>
    <w:rsid w:val="005A1D89"/>
    <w:rsid w:val="005A2030"/>
    <w:rsid w:val="005A236C"/>
    <w:rsid w:val="005A358C"/>
    <w:rsid w:val="005A36C7"/>
    <w:rsid w:val="005A510D"/>
    <w:rsid w:val="005A6124"/>
    <w:rsid w:val="005A77E9"/>
    <w:rsid w:val="005A7A10"/>
    <w:rsid w:val="005B3092"/>
    <w:rsid w:val="005B3AF1"/>
    <w:rsid w:val="005B4121"/>
    <w:rsid w:val="005B6592"/>
    <w:rsid w:val="005B66EA"/>
    <w:rsid w:val="005B693B"/>
    <w:rsid w:val="005B6A6F"/>
    <w:rsid w:val="005C02D7"/>
    <w:rsid w:val="005C1533"/>
    <w:rsid w:val="005C3057"/>
    <w:rsid w:val="005C38DE"/>
    <w:rsid w:val="005C3A76"/>
    <w:rsid w:val="005C41D9"/>
    <w:rsid w:val="005C4D54"/>
    <w:rsid w:val="005C5553"/>
    <w:rsid w:val="005C5592"/>
    <w:rsid w:val="005C7059"/>
    <w:rsid w:val="005C72E5"/>
    <w:rsid w:val="005C73D2"/>
    <w:rsid w:val="005C7668"/>
    <w:rsid w:val="005D0408"/>
    <w:rsid w:val="005D1160"/>
    <w:rsid w:val="005D1791"/>
    <w:rsid w:val="005D6D4F"/>
    <w:rsid w:val="005D7090"/>
    <w:rsid w:val="005D7E03"/>
    <w:rsid w:val="005E0F7D"/>
    <w:rsid w:val="005E207B"/>
    <w:rsid w:val="005E2F08"/>
    <w:rsid w:val="005E5599"/>
    <w:rsid w:val="005E5E2A"/>
    <w:rsid w:val="005E6E43"/>
    <w:rsid w:val="005F029E"/>
    <w:rsid w:val="005F0AEA"/>
    <w:rsid w:val="005F101F"/>
    <w:rsid w:val="005F11DE"/>
    <w:rsid w:val="005F125C"/>
    <w:rsid w:val="005F1ABE"/>
    <w:rsid w:val="005F2232"/>
    <w:rsid w:val="005F2A79"/>
    <w:rsid w:val="005F421F"/>
    <w:rsid w:val="005F4B65"/>
    <w:rsid w:val="005F6434"/>
    <w:rsid w:val="005F7FE5"/>
    <w:rsid w:val="00603972"/>
    <w:rsid w:val="00603C3F"/>
    <w:rsid w:val="006045FD"/>
    <w:rsid w:val="00605843"/>
    <w:rsid w:val="00606C5C"/>
    <w:rsid w:val="00606E0A"/>
    <w:rsid w:val="00606E3D"/>
    <w:rsid w:val="006076B2"/>
    <w:rsid w:val="00607E7F"/>
    <w:rsid w:val="0061067D"/>
    <w:rsid w:val="0061110F"/>
    <w:rsid w:val="00611CF0"/>
    <w:rsid w:val="0061279B"/>
    <w:rsid w:val="0061288C"/>
    <w:rsid w:val="006136A1"/>
    <w:rsid w:val="006146CC"/>
    <w:rsid w:val="00614FB3"/>
    <w:rsid w:val="006155A3"/>
    <w:rsid w:val="00616D34"/>
    <w:rsid w:val="00617301"/>
    <w:rsid w:val="00617D85"/>
    <w:rsid w:val="00620227"/>
    <w:rsid w:val="00620DE7"/>
    <w:rsid w:val="006211F0"/>
    <w:rsid w:val="00621F3E"/>
    <w:rsid w:val="00621F92"/>
    <w:rsid w:val="00622420"/>
    <w:rsid w:val="00623623"/>
    <w:rsid w:val="00623E57"/>
    <w:rsid w:val="00624631"/>
    <w:rsid w:val="00624B39"/>
    <w:rsid w:val="00626998"/>
    <w:rsid w:val="00627010"/>
    <w:rsid w:val="00627E5A"/>
    <w:rsid w:val="00630AE3"/>
    <w:rsid w:val="00631B95"/>
    <w:rsid w:val="00632DBD"/>
    <w:rsid w:val="006332F1"/>
    <w:rsid w:val="00634B10"/>
    <w:rsid w:val="00635CDF"/>
    <w:rsid w:val="006362F7"/>
    <w:rsid w:val="006365E9"/>
    <w:rsid w:val="006371BF"/>
    <w:rsid w:val="006371C6"/>
    <w:rsid w:val="006422B2"/>
    <w:rsid w:val="00642874"/>
    <w:rsid w:val="006433FB"/>
    <w:rsid w:val="0064439B"/>
    <w:rsid w:val="00644990"/>
    <w:rsid w:val="0064573D"/>
    <w:rsid w:val="00645C35"/>
    <w:rsid w:val="00647A02"/>
    <w:rsid w:val="00647B40"/>
    <w:rsid w:val="00650166"/>
    <w:rsid w:val="00651F05"/>
    <w:rsid w:val="006549D9"/>
    <w:rsid w:val="00655117"/>
    <w:rsid w:val="00655842"/>
    <w:rsid w:val="00655FB6"/>
    <w:rsid w:val="00657228"/>
    <w:rsid w:val="00660390"/>
    <w:rsid w:val="00660B11"/>
    <w:rsid w:val="006613D9"/>
    <w:rsid w:val="006615F2"/>
    <w:rsid w:val="00661E21"/>
    <w:rsid w:val="006626EB"/>
    <w:rsid w:val="00662CCC"/>
    <w:rsid w:val="00663267"/>
    <w:rsid w:val="00664A8F"/>
    <w:rsid w:val="00664B82"/>
    <w:rsid w:val="006674E1"/>
    <w:rsid w:val="00667DE3"/>
    <w:rsid w:val="006700DA"/>
    <w:rsid w:val="00670737"/>
    <w:rsid w:val="006733D3"/>
    <w:rsid w:val="00673AF4"/>
    <w:rsid w:val="00675394"/>
    <w:rsid w:val="006757EE"/>
    <w:rsid w:val="00675F4F"/>
    <w:rsid w:val="00676069"/>
    <w:rsid w:val="0067699D"/>
    <w:rsid w:val="00677791"/>
    <w:rsid w:val="006804E5"/>
    <w:rsid w:val="0068169A"/>
    <w:rsid w:val="006823BD"/>
    <w:rsid w:val="00683E84"/>
    <w:rsid w:val="006844DE"/>
    <w:rsid w:val="006846C8"/>
    <w:rsid w:val="00685672"/>
    <w:rsid w:val="00687D22"/>
    <w:rsid w:val="00687E32"/>
    <w:rsid w:val="00687E3A"/>
    <w:rsid w:val="00691385"/>
    <w:rsid w:val="00691968"/>
    <w:rsid w:val="00692C53"/>
    <w:rsid w:val="00693ABC"/>
    <w:rsid w:val="00693FE3"/>
    <w:rsid w:val="00694782"/>
    <w:rsid w:val="00694B53"/>
    <w:rsid w:val="00695217"/>
    <w:rsid w:val="00697934"/>
    <w:rsid w:val="006A02A8"/>
    <w:rsid w:val="006A3E82"/>
    <w:rsid w:val="006A4C31"/>
    <w:rsid w:val="006A4D61"/>
    <w:rsid w:val="006A596A"/>
    <w:rsid w:val="006A7F97"/>
    <w:rsid w:val="006B00AF"/>
    <w:rsid w:val="006B082C"/>
    <w:rsid w:val="006B11F8"/>
    <w:rsid w:val="006B258B"/>
    <w:rsid w:val="006B2A4A"/>
    <w:rsid w:val="006B3043"/>
    <w:rsid w:val="006B4898"/>
    <w:rsid w:val="006B658A"/>
    <w:rsid w:val="006B6837"/>
    <w:rsid w:val="006B710B"/>
    <w:rsid w:val="006B76B5"/>
    <w:rsid w:val="006C222A"/>
    <w:rsid w:val="006C2CAC"/>
    <w:rsid w:val="006C320C"/>
    <w:rsid w:val="006C3D52"/>
    <w:rsid w:val="006C4E36"/>
    <w:rsid w:val="006C53D5"/>
    <w:rsid w:val="006C57B9"/>
    <w:rsid w:val="006C5B42"/>
    <w:rsid w:val="006C5D6B"/>
    <w:rsid w:val="006C64C2"/>
    <w:rsid w:val="006C7B90"/>
    <w:rsid w:val="006D03E5"/>
    <w:rsid w:val="006D4799"/>
    <w:rsid w:val="006D4A74"/>
    <w:rsid w:val="006D4FDD"/>
    <w:rsid w:val="006D548B"/>
    <w:rsid w:val="006D5BBB"/>
    <w:rsid w:val="006D648A"/>
    <w:rsid w:val="006D7181"/>
    <w:rsid w:val="006D7924"/>
    <w:rsid w:val="006E1157"/>
    <w:rsid w:val="006E2572"/>
    <w:rsid w:val="006E2BEA"/>
    <w:rsid w:val="006E2FFC"/>
    <w:rsid w:val="006E5B56"/>
    <w:rsid w:val="006E5E5C"/>
    <w:rsid w:val="006E742C"/>
    <w:rsid w:val="006E749B"/>
    <w:rsid w:val="006E7DCE"/>
    <w:rsid w:val="006F117E"/>
    <w:rsid w:val="006F1879"/>
    <w:rsid w:val="006F1DCB"/>
    <w:rsid w:val="006F3355"/>
    <w:rsid w:val="006F52FC"/>
    <w:rsid w:val="006F55FF"/>
    <w:rsid w:val="006F5AF7"/>
    <w:rsid w:val="006F5BAA"/>
    <w:rsid w:val="006F6047"/>
    <w:rsid w:val="0070023E"/>
    <w:rsid w:val="00700DB7"/>
    <w:rsid w:val="00700E1A"/>
    <w:rsid w:val="0070124D"/>
    <w:rsid w:val="00701255"/>
    <w:rsid w:val="0070290F"/>
    <w:rsid w:val="00702F47"/>
    <w:rsid w:val="00703326"/>
    <w:rsid w:val="00703DAC"/>
    <w:rsid w:val="007056E4"/>
    <w:rsid w:val="00710146"/>
    <w:rsid w:val="007102FC"/>
    <w:rsid w:val="007107B2"/>
    <w:rsid w:val="00711880"/>
    <w:rsid w:val="0071195F"/>
    <w:rsid w:val="00711E02"/>
    <w:rsid w:val="007122E0"/>
    <w:rsid w:val="0071239E"/>
    <w:rsid w:val="00712790"/>
    <w:rsid w:val="007129FC"/>
    <w:rsid w:val="00714E71"/>
    <w:rsid w:val="007152BF"/>
    <w:rsid w:val="00715CC5"/>
    <w:rsid w:val="00716D04"/>
    <w:rsid w:val="00717FCD"/>
    <w:rsid w:val="007201F1"/>
    <w:rsid w:val="00720E03"/>
    <w:rsid w:val="0072475A"/>
    <w:rsid w:val="00724E68"/>
    <w:rsid w:val="00724EAF"/>
    <w:rsid w:val="00726610"/>
    <w:rsid w:val="007277C6"/>
    <w:rsid w:val="007306AA"/>
    <w:rsid w:val="007306BC"/>
    <w:rsid w:val="0073078E"/>
    <w:rsid w:val="00730A41"/>
    <w:rsid w:val="00730E15"/>
    <w:rsid w:val="00731600"/>
    <w:rsid w:val="00732CD6"/>
    <w:rsid w:val="00733784"/>
    <w:rsid w:val="00733E5F"/>
    <w:rsid w:val="00733EAF"/>
    <w:rsid w:val="00734377"/>
    <w:rsid w:val="0073466A"/>
    <w:rsid w:val="00735801"/>
    <w:rsid w:val="0073660E"/>
    <w:rsid w:val="00737644"/>
    <w:rsid w:val="00740E59"/>
    <w:rsid w:val="00741C24"/>
    <w:rsid w:val="0074235D"/>
    <w:rsid w:val="007423CB"/>
    <w:rsid w:val="00742806"/>
    <w:rsid w:val="00744CFE"/>
    <w:rsid w:val="0074590F"/>
    <w:rsid w:val="00745D63"/>
    <w:rsid w:val="00746E9B"/>
    <w:rsid w:val="00750378"/>
    <w:rsid w:val="007504EE"/>
    <w:rsid w:val="00750DB0"/>
    <w:rsid w:val="00751493"/>
    <w:rsid w:val="00753175"/>
    <w:rsid w:val="00754423"/>
    <w:rsid w:val="00754FBF"/>
    <w:rsid w:val="00756D81"/>
    <w:rsid w:val="007601C6"/>
    <w:rsid w:val="0076024B"/>
    <w:rsid w:val="00760DAF"/>
    <w:rsid w:val="0076661A"/>
    <w:rsid w:val="007669D8"/>
    <w:rsid w:val="00767B30"/>
    <w:rsid w:val="00767DBC"/>
    <w:rsid w:val="007706B2"/>
    <w:rsid w:val="00770DB8"/>
    <w:rsid w:val="00771012"/>
    <w:rsid w:val="0077139D"/>
    <w:rsid w:val="007714DC"/>
    <w:rsid w:val="00771774"/>
    <w:rsid w:val="00772E54"/>
    <w:rsid w:val="00773A85"/>
    <w:rsid w:val="007752D7"/>
    <w:rsid w:val="00775682"/>
    <w:rsid w:val="007756D7"/>
    <w:rsid w:val="00776F65"/>
    <w:rsid w:val="00780216"/>
    <w:rsid w:val="00780252"/>
    <w:rsid w:val="007808DC"/>
    <w:rsid w:val="0078120E"/>
    <w:rsid w:val="00781835"/>
    <w:rsid w:val="00781869"/>
    <w:rsid w:val="00781E99"/>
    <w:rsid w:val="00782894"/>
    <w:rsid w:val="00782DC9"/>
    <w:rsid w:val="00787986"/>
    <w:rsid w:val="00787DF9"/>
    <w:rsid w:val="00790427"/>
    <w:rsid w:val="00791657"/>
    <w:rsid w:val="00792212"/>
    <w:rsid w:val="0079347F"/>
    <w:rsid w:val="00793B16"/>
    <w:rsid w:val="00794AE2"/>
    <w:rsid w:val="00794C39"/>
    <w:rsid w:val="00795009"/>
    <w:rsid w:val="007957B1"/>
    <w:rsid w:val="00796177"/>
    <w:rsid w:val="007A35CB"/>
    <w:rsid w:val="007A375D"/>
    <w:rsid w:val="007A39E5"/>
    <w:rsid w:val="007A430E"/>
    <w:rsid w:val="007A47BB"/>
    <w:rsid w:val="007A54A5"/>
    <w:rsid w:val="007A5AE1"/>
    <w:rsid w:val="007A7248"/>
    <w:rsid w:val="007B0427"/>
    <w:rsid w:val="007B1303"/>
    <w:rsid w:val="007B1C8A"/>
    <w:rsid w:val="007B1CC6"/>
    <w:rsid w:val="007B2BC9"/>
    <w:rsid w:val="007B3878"/>
    <w:rsid w:val="007B420C"/>
    <w:rsid w:val="007B731F"/>
    <w:rsid w:val="007B7D21"/>
    <w:rsid w:val="007C0BF5"/>
    <w:rsid w:val="007C13BD"/>
    <w:rsid w:val="007C143D"/>
    <w:rsid w:val="007C32BD"/>
    <w:rsid w:val="007C43EB"/>
    <w:rsid w:val="007C4555"/>
    <w:rsid w:val="007C4AC9"/>
    <w:rsid w:val="007C5349"/>
    <w:rsid w:val="007C56F8"/>
    <w:rsid w:val="007C5AC1"/>
    <w:rsid w:val="007C7E98"/>
    <w:rsid w:val="007D0457"/>
    <w:rsid w:val="007D0E67"/>
    <w:rsid w:val="007D1DEB"/>
    <w:rsid w:val="007D33C0"/>
    <w:rsid w:val="007D39E2"/>
    <w:rsid w:val="007D3A5C"/>
    <w:rsid w:val="007D4946"/>
    <w:rsid w:val="007D4A96"/>
    <w:rsid w:val="007D63CF"/>
    <w:rsid w:val="007E09F3"/>
    <w:rsid w:val="007E1524"/>
    <w:rsid w:val="007E1B8C"/>
    <w:rsid w:val="007E2ACD"/>
    <w:rsid w:val="007E3C96"/>
    <w:rsid w:val="007E3D1B"/>
    <w:rsid w:val="007E4049"/>
    <w:rsid w:val="007E409E"/>
    <w:rsid w:val="007E4422"/>
    <w:rsid w:val="007E4642"/>
    <w:rsid w:val="007E4AC3"/>
    <w:rsid w:val="007E508D"/>
    <w:rsid w:val="007E66D8"/>
    <w:rsid w:val="007E6BD7"/>
    <w:rsid w:val="007F154A"/>
    <w:rsid w:val="007F2052"/>
    <w:rsid w:val="007F276C"/>
    <w:rsid w:val="007F3540"/>
    <w:rsid w:val="007F5A5F"/>
    <w:rsid w:val="007F6704"/>
    <w:rsid w:val="007F75EC"/>
    <w:rsid w:val="00800150"/>
    <w:rsid w:val="0080156D"/>
    <w:rsid w:val="00801B05"/>
    <w:rsid w:val="008022DF"/>
    <w:rsid w:val="00802867"/>
    <w:rsid w:val="008029E6"/>
    <w:rsid w:val="0080392B"/>
    <w:rsid w:val="00803EE1"/>
    <w:rsid w:val="008041C7"/>
    <w:rsid w:val="008053FA"/>
    <w:rsid w:val="00806A73"/>
    <w:rsid w:val="00806C81"/>
    <w:rsid w:val="00810A16"/>
    <w:rsid w:val="00812379"/>
    <w:rsid w:val="008134AC"/>
    <w:rsid w:val="00815B40"/>
    <w:rsid w:val="00816158"/>
    <w:rsid w:val="008162D1"/>
    <w:rsid w:val="0081747C"/>
    <w:rsid w:val="00817A38"/>
    <w:rsid w:val="00817C56"/>
    <w:rsid w:val="00817D85"/>
    <w:rsid w:val="00821181"/>
    <w:rsid w:val="0082151F"/>
    <w:rsid w:val="00822AA9"/>
    <w:rsid w:val="00822EDC"/>
    <w:rsid w:val="00823E1F"/>
    <w:rsid w:val="0082499F"/>
    <w:rsid w:val="008257A9"/>
    <w:rsid w:val="0082667C"/>
    <w:rsid w:val="00826D5A"/>
    <w:rsid w:val="00827A90"/>
    <w:rsid w:val="0083034A"/>
    <w:rsid w:val="008310CF"/>
    <w:rsid w:val="00831B90"/>
    <w:rsid w:val="00832646"/>
    <w:rsid w:val="008331EB"/>
    <w:rsid w:val="00835345"/>
    <w:rsid w:val="008360AD"/>
    <w:rsid w:val="00836449"/>
    <w:rsid w:val="00837CAF"/>
    <w:rsid w:val="00837D7D"/>
    <w:rsid w:val="0084199E"/>
    <w:rsid w:val="00841D06"/>
    <w:rsid w:val="0084204C"/>
    <w:rsid w:val="00842D07"/>
    <w:rsid w:val="00844085"/>
    <w:rsid w:val="00846569"/>
    <w:rsid w:val="0084684B"/>
    <w:rsid w:val="008474F4"/>
    <w:rsid w:val="00847536"/>
    <w:rsid w:val="00850636"/>
    <w:rsid w:val="00851A98"/>
    <w:rsid w:val="00853278"/>
    <w:rsid w:val="0085388E"/>
    <w:rsid w:val="00854CA3"/>
    <w:rsid w:val="008567E3"/>
    <w:rsid w:val="00860463"/>
    <w:rsid w:val="0086059B"/>
    <w:rsid w:val="00860E1C"/>
    <w:rsid w:val="00860FC2"/>
    <w:rsid w:val="008620F1"/>
    <w:rsid w:val="008622A0"/>
    <w:rsid w:val="00862920"/>
    <w:rsid w:val="00865A08"/>
    <w:rsid w:val="00870126"/>
    <w:rsid w:val="0087175A"/>
    <w:rsid w:val="0087186F"/>
    <w:rsid w:val="00871943"/>
    <w:rsid w:val="00872204"/>
    <w:rsid w:val="0087301F"/>
    <w:rsid w:val="008735EC"/>
    <w:rsid w:val="00873A63"/>
    <w:rsid w:val="00873E35"/>
    <w:rsid w:val="00873F56"/>
    <w:rsid w:val="00874F0F"/>
    <w:rsid w:val="008771BA"/>
    <w:rsid w:val="008800C1"/>
    <w:rsid w:val="00880936"/>
    <w:rsid w:val="00880C45"/>
    <w:rsid w:val="00881F2D"/>
    <w:rsid w:val="00884392"/>
    <w:rsid w:val="008879C5"/>
    <w:rsid w:val="00891D7A"/>
    <w:rsid w:val="00891F23"/>
    <w:rsid w:val="00892F94"/>
    <w:rsid w:val="008938E5"/>
    <w:rsid w:val="00893C32"/>
    <w:rsid w:val="00893FCA"/>
    <w:rsid w:val="0089527D"/>
    <w:rsid w:val="008952F2"/>
    <w:rsid w:val="00897F89"/>
    <w:rsid w:val="008A0025"/>
    <w:rsid w:val="008A030E"/>
    <w:rsid w:val="008A0F13"/>
    <w:rsid w:val="008A1E5F"/>
    <w:rsid w:val="008A2A69"/>
    <w:rsid w:val="008A3448"/>
    <w:rsid w:val="008A369C"/>
    <w:rsid w:val="008A3EA3"/>
    <w:rsid w:val="008A56AC"/>
    <w:rsid w:val="008A6D52"/>
    <w:rsid w:val="008A7065"/>
    <w:rsid w:val="008A7D71"/>
    <w:rsid w:val="008B1545"/>
    <w:rsid w:val="008B1C62"/>
    <w:rsid w:val="008B2713"/>
    <w:rsid w:val="008B46E5"/>
    <w:rsid w:val="008B66D1"/>
    <w:rsid w:val="008B6EB1"/>
    <w:rsid w:val="008B7137"/>
    <w:rsid w:val="008B7429"/>
    <w:rsid w:val="008C061D"/>
    <w:rsid w:val="008C0DBE"/>
    <w:rsid w:val="008C1DAC"/>
    <w:rsid w:val="008C1EF1"/>
    <w:rsid w:val="008C29F3"/>
    <w:rsid w:val="008C3C3D"/>
    <w:rsid w:val="008C4606"/>
    <w:rsid w:val="008C5298"/>
    <w:rsid w:val="008C531A"/>
    <w:rsid w:val="008C5C9B"/>
    <w:rsid w:val="008C64B2"/>
    <w:rsid w:val="008C6F61"/>
    <w:rsid w:val="008D0387"/>
    <w:rsid w:val="008D4DF3"/>
    <w:rsid w:val="008D566D"/>
    <w:rsid w:val="008D57E5"/>
    <w:rsid w:val="008D5B52"/>
    <w:rsid w:val="008D6969"/>
    <w:rsid w:val="008D7532"/>
    <w:rsid w:val="008E0A03"/>
    <w:rsid w:val="008E164D"/>
    <w:rsid w:val="008E3B08"/>
    <w:rsid w:val="008E4D34"/>
    <w:rsid w:val="008E6282"/>
    <w:rsid w:val="008F026B"/>
    <w:rsid w:val="008F0E54"/>
    <w:rsid w:val="008F1B52"/>
    <w:rsid w:val="008F1C30"/>
    <w:rsid w:val="008F24EE"/>
    <w:rsid w:val="008F2652"/>
    <w:rsid w:val="008F2BA7"/>
    <w:rsid w:val="008F3A6D"/>
    <w:rsid w:val="008F4493"/>
    <w:rsid w:val="008F46EE"/>
    <w:rsid w:val="008F4E01"/>
    <w:rsid w:val="008F5CE2"/>
    <w:rsid w:val="008F6A51"/>
    <w:rsid w:val="008F7678"/>
    <w:rsid w:val="00900BD2"/>
    <w:rsid w:val="00901557"/>
    <w:rsid w:val="00901676"/>
    <w:rsid w:val="00901E6A"/>
    <w:rsid w:val="00901EF3"/>
    <w:rsid w:val="00902519"/>
    <w:rsid w:val="00902E76"/>
    <w:rsid w:val="00902FC0"/>
    <w:rsid w:val="00903381"/>
    <w:rsid w:val="00904A3A"/>
    <w:rsid w:val="00905018"/>
    <w:rsid w:val="00905516"/>
    <w:rsid w:val="00911C03"/>
    <w:rsid w:val="00911C2B"/>
    <w:rsid w:val="0091212B"/>
    <w:rsid w:val="009133D5"/>
    <w:rsid w:val="0091355E"/>
    <w:rsid w:val="00914006"/>
    <w:rsid w:val="0091719F"/>
    <w:rsid w:val="009209B5"/>
    <w:rsid w:val="00920EA3"/>
    <w:rsid w:val="009210E8"/>
    <w:rsid w:val="009214E2"/>
    <w:rsid w:val="009221F1"/>
    <w:rsid w:val="00922625"/>
    <w:rsid w:val="009235BC"/>
    <w:rsid w:val="00923EB8"/>
    <w:rsid w:val="00924665"/>
    <w:rsid w:val="00924832"/>
    <w:rsid w:val="00925F8E"/>
    <w:rsid w:val="00927F4D"/>
    <w:rsid w:val="009323BF"/>
    <w:rsid w:val="00933F80"/>
    <w:rsid w:val="0093434A"/>
    <w:rsid w:val="00935E4F"/>
    <w:rsid w:val="00936C7B"/>
    <w:rsid w:val="00940813"/>
    <w:rsid w:val="00941766"/>
    <w:rsid w:val="00942223"/>
    <w:rsid w:val="009478DC"/>
    <w:rsid w:val="00954070"/>
    <w:rsid w:val="00955FC2"/>
    <w:rsid w:val="00956DA2"/>
    <w:rsid w:val="00957978"/>
    <w:rsid w:val="00960832"/>
    <w:rsid w:val="00961310"/>
    <w:rsid w:val="0096193A"/>
    <w:rsid w:val="00961F77"/>
    <w:rsid w:val="00961F9A"/>
    <w:rsid w:val="00962EA8"/>
    <w:rsid w:val="00963502"/>
    <w:rsid w:val="00963767"/>
    <w:rsid w:val="00965004"/>
    <w:rsid w:val="009652CC"/>
    <w:rsid w:val="00967439"/>
    <w:rsid w:val="0097008C"/>
    <w:rsid w:val="009705EE"/>
    <w:rsid w:val="00971F55"/>
    <w:rsid w:val="009723A2"/>
    <w:rsid w:val="009730CE"/>
    <w:rsid w:val="00973D76"/>
    <w:rsid w:val="0097420D"/>
    <w:rsid w:val="00974260"/>
    <w:rsid w:val="0097429C"/>
    <w:rsid w:val="0097486A"/>
    <w:rsid w:val="00976FBA"/>
    <w:rsid w:val="00977789"/>
    <w:rsid w:val="00980220"/>
    <w:rsid w:val="00981205"/>
    <w:rsid w:val="009833B4"/>
    <w:rsid w:val="009838A1"/>
    <w:rsid w:val="0098395F"/>
    <w:rsid w:val="0098417D"/>
    <w:rsid w:val="009842D4"/>
    <w:rsid w:val="00984400"/>
    <w:rsid w:val="00984675"/>
    <w:rsid w:val="00984918"/>
    <w:rsid w:val="00985E75"/>
    <w:rsid w:val="00986FEF"/>
    <w:rsid w:val="0098781C"/>
    <w:rsid w:val="0099081B"/>
    <w:rsid w:val="009924CC"/>
    <w:rsid w:val="0099259B"/>
    <w:rsid w:val="00996286"/>
    <w:rsid w:val="009A037F"/>
    <w:rsid w:val="009A10DF"/>
    <w:rsid w:val="009A1485"/>
    <w:rsid w:val="009A1947"/>
    <w:rsid w:val="009A1B37"/>
    <w:rsid w:val="009A3854"/>
    <w:rsid w:val="009A4799"/>
    <w:rsid w:val="009A4CAD"/>
    <w:rsid w:val="009A4ECF"/>
    <w:rsid w:val="009A5290"/>
    <w:rsid w:val="009A5798"/>
    <w:rsid w:val="009A585C"/>
    <w:rsid w:val="009A5E58"/>
    <w:rsid w:val="009A62D1"/>
    <w:rsid w:val="009A7871"/>
    <w:rsid w:val="009A7ED3"/>
    <w:rsid w:val="009B09E3"/>
    <w:rsid w:val="009B1A69"/>
    <w:rsid w:val="009B7F6D"/>
    <w:rsid w:val="009C12A7"/>
    <w:rsid w:val="009C2698"/>
    <w:rsid w:val="009C3427"/>
    <w:rsid w:val="009C489C"/>
    <w:rsid w:val="009C4F09"/>
    <w:rsid w:val="009C5A26"/>
    <w:rsid w:val="009C7498"/>
    <w:rsid w:val="009C7896"/>
    <w:rsid w:val="009C78F2"/>
    <w:rsid w:val="009D24AC"/>
    <w:rsid w:val="009D299C"/>
    <w:rsid w:val="009D3549"/>
    <w:rsid w:val="009D3B2D"/>
    <w:rsid w:val="009D3EE2"/>
    <w:rsid w:val="009D5736"/>
    <w:rsid w:val="009D5ACA"/>
    <w:rsid w:val="009D610E"/>
    <w:rsid w:val="009D6738"/>
    <w:rsid w:val="009E0387"/>
    <w:rsid w:val="009E083F"/>
    <w:rsid w:val="009E288A"/>
    <w:rsid w:val="009E29A6"/>
    <w:rsid w:val="009E3ECE"/>
    <w:rsid w:val="009E40F1"/>
    <w:rsid w:val="009E41BD"/>
    <w:rsid w:val="009E41FA"/>
    <w:rsid w:val="009E5097"/>
    <w:rsid w:val="009E5FE6"/>
    <w:rsid w:val="009E7CF6"/>
    <w:rsid w:val="009F0873"/>
    <w:rsid w:val="009F0CAE"/>
    <w:rsid w:val="009F17E6"/>
    <w:rsid w:val="009F1F63"/>
    <w:rsid w:val="009F216F"/>
    <w:rsid w:val="009F21C8"/>
    <w:rsid w:val="009F2E2B"/>
    <w:rsid w:val="009F3060"/>
    <w:rsid w:val="009F3E69"/>
    <w:rsid w:val="009F4A20"/>
    <w:rsid w:val="009F5170"/>
    <w:rsid w:val="009F5813"/>
    <w:rsid w:val="00A00356"/>
    <w:rsid w:val="00A0218A"/>
    <w:rsid w:val="00A034E5"/>
    <w:rsid w:val="00A03D0C"/>
    <w:rsid w:val="00A0471E"/>
    <w:rsid w:val="00A0511A"/>
    <w:rsid w:val="00A05E3A"/>
    <w:rsid w:val="00A069EE"/>
    <w:rsid w:val="00A06A1B"/>
    <w:rsid w:val="00A06BB5"/>
    <w:rsid w:val="00A0768B"/>
    <w:rsid w:val="00A07D5A"/>
    <w:rsid w:val="00A102D7"/>
    <w:rsid w:val="00A1066B"/>
    <w:rsid w:val="00A11441"/>
    <w:rsid w:val="00A1277B"/>
    <w:rsid w:val="00A130C0"/>
    <w:rsid w:val="00A147F6"/>
    <w:rsid w:val="00A14F89"/>
    <w:rsid w:val="00A1548B"/>
    <w:rsid w:val="00A15ACE"/>
    <w:rsid w:val="00A17CC8"/>
    <w:rsid w:val="00A21194"/>
    <w:rsid w:val="00A22D02"/>
    <w:rsid w:val="00A2313D"/>
    <w:rsid w:val="00A240FF"/>
    <w:rsid w:val="00A24C22"/>
    <w:rsid w:val="00A2511B"/>
    <w:rsid w:val="00A255CC"/>
    <w:rsid w:val="00A25C52"/>
    <w:rsid w:val="00A25CCC"/>
    <w:rsid w:val="00A25F5F"/>
    <w:rsid w:val="00A261E9"/>
    <w:rsid w:val="00A267F6"/>
    <w:rsid w:val="00A26DB6"/>
    <w:rsid w:val="00A26DEE"/>
    <w:rsid w:val="00A2765D"/>
    <w:rsid w:val="00A304DD"/>
    <w:rsid w:val="00A30C55"/>
    <w:rsid w:val="00A30E3E"/>
    <w:rsid w:val="00A3456D"/>
    <w:rsid w:val="00A345CC"/>
    <w:rsid w:val="00A34EBB"/>
    <w:rsid w:val="00A35882"/>
    <w:rsid w:val="00A37038"/>
    <w:rsid w:val="00A378E5"/>
    <w:rsid w:val="00A400E0"/>
    <w:rsid w:val="00A41562"/>
    <w:rsid w:val="00A4157F"/>
    <w:rsid w:val="00A422EC"/>
    <w:rsid w:val="00A4359B"/>
    <w:rsid w:val="00A4379F"/>
    <w:rsid w:val="00A45ECE"/>
    <w:rsid w:val="00A467BD"/>
    <w:rsid w:val="00A5092D"/>
    <w:rsid w:val="00A50DEF"/>
    <w:rsid w:val="00A52DAE"/>
    <w:rsid w:val="00A53225"/>
    <w:rsid w:val="00A558CB"/>
    <w:rsid w:val="00A56188"/>
    <w:rsid w:val="00A62736"/>
    <w:rsid w:val="00A63F23"/>
    <w:rsid w:val="00A64835"/>
    <w:rsid w:val="00A64CA8"/>
    <w:rsid w:val="00A64DC6"/>
    <w:rsid w:val="00A6502D"/>
    <w:rsid w:val="00A6558B"/>
    <w:rsid w:val="00A65B0C"/>
    <w:rsid w:val="00A6785F"/>
    <w:rsid w:val="00A70E6C"/>
    <w:rsid w:val="00A723C2"/>
    <w:rsid w:val="00A72F6D"/>
    <w:rsid w:val="00A7365C"/>
    <w:rsid w:val="00A73868"/>
    <w:rsid w:val="00A73F42"/>
    <w:rsid w:val="00A743C6"/>
    <w:rsid w:val="00A749C4"/>
    <w:rsid w:val="00A75812"/>
    <w:rsid w:val="00A80795"/>
    <w:rsid w:val="00A829E4"/>
    <w:rsid w:val="00A830F6"/>
    <w:rsid w:val="00A83EA5"/>
    <w:rsid w:val="00A84C34"/>
    <w:rsid w:val="00A8589E"/>
    <w:rsid w:val="00A86957"/>
    <w:rsid w:val="00A8702B"/>
    <w:rsid w:val="00A96D47"/>
    <w:rsid w:val="00AA028F"/>
    <w:rsid w:val="00AA0793"/>
    <w:rsid w:val="00AA3029"/>
    <w:rsid w:val="00AA70ED"/>
    <w:rsid w:val="00AA7AB8"/>
    <w:rsid w:val="00AB0A05"/>
    <w:rsid w:val="00AB0E06"/>
    <w:rsid w:val="00AB1C8A"/>
    <w:rsid w:val="00AB33F4"/>
    <w:rsid w:val="00AB4F0C"/>
    <w:rsid w:val="00AB5365"/>
    <w:rsid w:val="00AB5377"/>
    <w:rsid w:val="00AB6ACA"/>
    <w:rsid w:val="00AB7C4A"/>
    <w:rsid w:val="00AB7EEB"/>
    <w:rsid w:val="00AC0B9E"/>
    <w:rsid w:val="00AC5598"/>
    <w:rsid w:val="00AC5837"/>
    <w:rsid w:val="00AC76A3"/>
    <w:rsid w:val="00AC7F16"/>
    <w:rsid w:val="00AD177B"/>
    <w:rsid w:val="00AD24EF"/>
    <w:rsid w:val="00AD3B2F"/>
    <w:rsid w:val="00AD3F75"/>
    <w:rsid w:val="00AD7BBC"/>
    <w:rsid w:val="00AE0164"/>
    <w:rsid w:val="00AE0A75"/>
    <w:rsid w:val="00AE1A6A"/>
    <w:rsid w:val="00AE30D8"/>
    <w:rsid w:val="00AE3777"/>
    <w:rsid w:val="00AE3AB6"/>
    <w:rsid w:val="00AE48AC"/>
    <w:rsid w:val="00AE5822"/>
    <w:rsid w:val="00AE616C"/>
    <w:rsid w:val="00AE62AB"/>
    <w:rsid w:val="00AE7A18"/>
    <w:rsid w:val="00AF1229"/>
    <w:rsid w:val="00AF1B5E"/>
    <w:rsid w:val="00AF2259"/>
    <w:rsid w:val="00AF2DAF"/>
    <w:rsid w:val="00AF3280"/>
    <w:rsid w:val="00AF634C"/>
    <w:rsid w:val="00B00068"/>
    <w:rsid w:val="00B03393"/>
    <w:rsid w:val="00B0364D"/>
    <w:rsid w:val="00B04B97"/>
    <w:rsid w:val="00B04EDB"/>
    <w:rsid w:val="00B05045"/>
    <w:rsid w:val="00B06A24"/>
    <w:rsid w:val="00B11404"/>
    <w:rsid w:val="00B115CC"/>
    <w:rsid w:val="00B131A6"/>
    <w:rsid w:val="00B14389"/>
    <w:rsid w:val="00B144A3"/>
    <w:rsid w:val="00B14A51"/>
    <w:rsid w:val="00B150D7"/>
    <w:rsid w:val="00B16B0C"/>
    <w:rsid w:val="00B16D5A"/>
    <w:rsid w:val="00B209D5"/>
    <w:rsid w:val="00B217A8"/>
    <w:rsid w:val="00B233AF"/>
    <w:rsid w:val="00B238E6"/>
    <w:rsid w:val="00B24CA4"/>
    <w:rsid w:val="00B25052"/>
    <w:rsid w:val="00B251D5"/>
    <w:rsid w:val="00B26872"/>
    <w:rsid w:val="00B278F1"/>
    <w:rsid w:val="00B31C5C"/>
    <w:rsid w:val="00B32D00"/>
    <w:rsid w:val="00B339C2"/>
    <w:rsid w:val="00B33DE5"/>
    <w:rsid w:val="00B34637"/>
    <w:rsid w:val="00B34923"/>
    <w:rsid w:val="00B36586"/>
    <w:rsid w:val="00B36950"/>
    <w:rsid w:val="00B37EAE"/>
    <w:rsid w:val="00B40CD2"/>
    <w:rsid w:val="00B41CC3"/>
    <w:rsid w:val="00B4218B"/>
    <w:rsid w:val="00B4332C"/>
    <w:rsid w:val="00B43F8D"/>
    <w:rsid w:val="00B4406B"/>
    <w:rsid w:val="00B45272"/>
    <w:rsid w:val="00B47756"/>
    <w:rsid w:val="00B50D5C"/>
    <w:rsid w:val="00B521D8"/>
    <w:rsid w:val="00B531AE"/>
    <w:rsid w:val="00B535D3"/>
    <w:rsid w:val="00B539DC"/>
    <w:rsid w:val="00B54305"/>
    <w:rsid w:val="00B552F3"/>
    <w:rsid w:val="00B579A8"/>
    <w:rsid w:val="00B57E1B"/>
    <w:rsid w:val="00B60116"/>
    <w:rsid w:val="00B632B3"/>
    <w:rsid w:val="00B64080"/>
    <w:rsid w:val="00B6429B"/>
    <w:rsid w:val="00B67257"/>
    <w:rsid w:val="00B706BD"/>
    <w:rsid w:val="00B70A80"/>
    <w:rsid w:val="00B717B2"/>
    <w:rsid w:val="00B73039"/>
    <w:rsid w:val="00B741DB"/>
    <w:rsid w:val="00B74700"/>
    <w:rsid w:val="00B7524B"/>
    <w:rsid w:val="00B76382"/>
    <w:rsid w:val="00B76EBE"/>
    <w:rsid w:val="00B827FD"/>
    <w:rsid w:val="00B83C5C"/>
    <w:rsid w:val="00B83F5F"/>
    <w:rsid w:val="00B866C5"/>
    <w:rsid w:val="00B867FA"/>
    <w:rsid w:val="00B86DDD"/>
    <w:rsid w:val="00B87013"/>
    <w:rsid w:val="00B91B67"/>
    <w:rsid w:val="00B9314A"/>
    <w:rsid w:val="00B939F4"/>
    <w:rsid w:val="00B9421C"/>
    <w:rsid w:val="00B95839"/>
    <w:rsid w:val="00B96299"/>
    <w:rsid w:val="00B96E71"/>
    <w:rsid w:val="00B97262"/>
    <w:rsid w:val="00B97283"/>
    <w:rsid w:val="00B97436"/>
    <w:rsid w:val="00B975F7"/>
    <w:rsid w:val="00B97E8B"/>
    <w:rsid w:val="00BA0DE0"/>
    <w:rsid w:val="00BA0FA6"/>
    <w:rsid w:val="00BA110E"/>
    <w:rsid w:val="00BA1734"/>
    <w:rsid w:val="00BA1C2A"/>
    <w:rsid w:val="00BA1EE7"/>
    <w:rsid w:val="00BA67ED"/>
    <w:rsid w:val="00BA6A40"/>
    <w:rsid w:val="00BA73DE"/>
    <w:rsid w:val="00BB085E"/>
    <w:rsid w:val="00BB0DD6"/>
    <w:rsid w:val="00BB121C"/>
    <w:rsid w:val="00BB15D7"/>
    <w:rsid w:val="00BB17EE"/>
    <w:rsid w:val="00BB1A92"/>
    <w:rsid w:val="00BB1F47"/>
    <w:rsid w:val="00BB29FB"/>
    <w:rsid w:val="00BB4668"/>
    <w:rsid w:val="00BB4CB6"/>
    <w:rsid w:val="00BB559F"/>
    <w:rsid w:val="00BB5C27"/>
    <w:rsid w:val="00BB7430"/>
    <w:rsid w:val="00BB79AE"/>
    <w:rsid w:val="00BC016F"/>
    <w:rsid w:val="00BC02E8"/>
    <w:rsid w:val="00BC09DE"/>
    <w:rsid w:val="00BC1133"/>
    <w:rsid w:val="00BC124A"/>
    <w:rsid w:val="00BC23E3"/>
    <w:rsid w:val="00BC283C"/>
    <w:rsid w:val="00BC39CD"/>
    <w:rsid w:val="00BC4C44"/>
    <w:rsid w:val="00BC5AD6"/>
    <w:rsid w:val="00BC6188"/>
    <w:rsid w:val="00BC6347"/>
    <w:rsid w:val="00BC77DA"/>
    <w:rsid w:val="00BC7EE6"/>
    <w:rsid w:val="00BD13FF"/>
    <w:rsid w:val="00BD356F"/>
    <w:rsid w:val="00BD3CD8"/>
    <w:rsid w:val="00BD3EAD"/>
    <w:rsid w:val="00BD4FE9"/>
    <w:rsid w:val="00BD54BC"/>
    <w:rsid w:val="00BD6202"/>
    <w:rsid w:val="00BD64E9"/>
    <w:rsid w:val="00BD67B1"/>
    <w:rsid w:val="00BD6F20"/>
    <w:rsid w:val="00BD77F0"/>
    <w:rsid w:val="00BE1285"/>
    <w:rsid w:val="00BE1F69"/>
    <w:rsid w:val="00BE3793"/>
    <w:rsid w:val="00BE3AFE"/>
    <w:rsid w:val="00BE4D56"/>
    <w:rsid w:val="00BE4D95"/>
    <w:rsid w:val="00BE5A16"/>
    <w:rsid w:val="00BE6922"/>
    <w:rsid w:val="00BE70DA"/>
    <w:rsid w:val="00BF128C"/>
    <w:rsid w:val="00BF2ACB"/>
    <w:rsid w:val="00BF4D00"/>
    <w:rsid w:val="00BF6472"/>
    <w:rsid w:val="00BF6BF7"/>
    <w:rsid w:val="00BF7C11"/>
    <w:rsid w:val="00C00951"/>
    <w:rsid w:val="00C00F1C"/>
    <w:rsid w:val="00C018AC"/>
    <w:rsid w:val="00C019B6"/>
    <w:rsid w:val="00C01FB7"/>
    <w:rsid w:val="00C02E74"/>
    <w:rsid w:val="00C052A9"/>
    <w:rsid w:val="00C0558B"/>
    <w:rsid w:val="00C06A02"/>
    <w:rsid w:val="00C072A6"/>
    <w:rsid w:val="00C078E8"/>
    <w:rsid w:val="00C07B05"/>
    <w:rsid w:val="00C07F10"/>
    <w:rsid w:val="00C127E3"/>
    <w:rsid w:val="00C12991"/>
    <w:rsid w:val="00C129B2"/>
    <w:rsid w:val="00C12D0B"/>
    <w:rsid w:val="00C13726"/>
    <w:rsid w:val="00C170E1"/>
    <w:rsid w:val="00C17726"/>
    <w:rsid w:val="00C179D3"/>
    <w:rsid w:val="00C17A83"/>
    <w:rsid w:val="00C20B69"/>
    <w:rsid w:val="00C21D09"/>
    <w:rsid w:val="00C21FEC"/>
    <w:rsid w:val="00C2251F"/>
    <w:rsid w:val="00C23A2D"/>
    <w:rsid w:val="00C30804"/>
    <w:rsid w:val="00C30BFB"/>
    <w:rsid w:val="00C31604"/>
    <w:rsid w:val="00C32AF7"/>
    <w:rsid w:val="00C33466"/>
    <w:rsid w:val="00C34ECD"/>
    <w:rsid w:val="00C35BD9"/>
    <w:rsid w:val="00C36188"/>
    <w:rsid w:val="00C37E60"/>
    <w:rsid w:val="00C41B92"/>
    <w:rsid w:val="00C42777"/>
    <w:rsid w:val="00C42DE9"/>
    <w:rsid w:val="00C43CA0"/>
    <w:rsid w:val="00C4693B"/>
    <w:rsid w:val="00C47342"/>
    <w:rsid w:val="00C50A44"/>
    <w:rsid w:val="00C51950"/>
    <w:rsid w:val="00C51A0D"/>
    <w:rsid w:val="00C51DD8"/>
    <w:rsid w:val="00C525D3"/>
    <w:rsid w:val="00C52AF3"/>
    <w:rsid w:val="00C52BB4"/>
    <w:rsid w:val="00C52D83"/>
    <w:rsid w:val="00C53355"/>
    <w:rsid w:val="00C53C69"/>
    <w:rsid w:val="00C53EE6"/>
    <w:rsid w:val="00C54313"/>
    <w:rsid w:val="00C54A33"/>
    <w:rsid w:val="00C55060"/>
    <w:rsid w:val="00C57501"/>
    <w:rsid w:val="00C57607"/>
    <w:rsid w:val="00C57DF6"/>
    <w:rsid w:val="00C57FA2"/>
    <w:rsid w:val="00C61F90"/>
    <w:rsid w:val="00C62B2C"/>
    <w:rsid w:val="00C62BDF"/>
    <w:rsid w:val="00C661F4"/>
    <w:rsid w:val="00C6675F"/>
    <w:rsid w:val="00C66D74"/>
    <w:rsid w:val="00C673D6"/>
    <w:rsid w:val="00C67685"/>
    <w:rsid w:val="00C70BC8"/>
    <w:rsid w:val="00C713EA"/>
    <w:rsid w:val="00C728C6"/>
    <w:rsid w:val="00C730DA"/>
    <w:rsid w:val="00C7549A"/>
    <w:rsid w:val="00C760BA"/>
    <w:rsid w:val="00C77324"/>
    <w:rsid w:val="00C77684"/>
    <w:rsid w:val="00C82DBD"/>
    <w:rsid w:val="00C859EC"/>
    <w:rsid w:val="00C866D0"/>
    <w:rsid w:val="00C87516"/>
    <w:rsid w:val="00C9137E"/>
    <w:rsid w:val="00C91CDA"/>
    <w:rsid w:val="00C921AE"/>
    <w:rsid w:val="00C9265A"/>
    <w:rsid w:val="00C92A17"/>
    <w:rsid w:val="00C93C89"/>
    <w:rsid w:val="00C93E3B"/>
    <w:rsid w:val="00C940C6"/>
    <w:rsid w:val="00C969E0"/>
    <w:rsid w:val="00C972F6"/>
    <w:rsid w:val="00C97812"/>
    <w:rsid w:val="00CA1278"/>
    <w:rsid w:val="00CA2360"/>
    <w:rsid w:val="00CA3FA0"/>
    <w:rsid w:val="00CA4E7F"/>
    <w:rsid w:val="00CA5230"/>
    <w:rsid w:val="00CA663D"/>
    <w:rsid w:val="00CA6674"/>
    <w:rsid w:val="00CA72B7"/>
    <w:rsid w:val="00CB0BF1"/>
    <w:rsid w:val="00CB2314"/>
    <w:rsid w:val="00CB3811"/>
    <w:rsid w:val="00CB4C21"/>
    <w:rsid w:val="00CB65BC"/>
    <w:rsid w:val="00CC0071"/>
    <w:rsid w:val="00CC041A"/>
    <w:rsid w:val="00CC0CF4"/>
    <w:rsid w:val="00CC4EAF"/>
    <w:rsid w:val="00CC6CB4"/>
    <w:rsid w:val="00CC7C2E"/>
    <w:rsid w:val="00CD239A"/>
    <w:rsid w:val="00CD3696"/>
    <w:rsid w:val="00CD43AF"/>
    <w:rsid w:val="00CD59F2"/>
    <w:rsid w:val="00CD64AE"/>
    <w:rsid w:val="00CE1432"/>
    <w:rsid w:val="00CE2C4C"/>
    <w:rsid w:val="00CE31E4"/>
    <w:rsid w:val="00CE3FD8"/>
    <w:rsid w:val="00CE6AFE"/>
    <w:rsid w:val="00CF0CFD"/>
    <w:rsid w:val="00CF10AA"/>
    <w:rsid w:val="00CF1F00"/>
    <w:rsid w:val="00CF1FB5"/>
    <w:rsid w:val="00CF22D3"/>
    <w:rsid w:val="00CF26B6"/>
    <w:rsid w:val="00CF52EC"/>
    <w:rsid w:val="00CF5771"/>
    <w:rsid w:val="00CF5E1A"/>
    <w:rsid w:val="00CF69DF"/>
    <w:rsid w:val="00CF6F38"/>
    <w:rsid w:val="00D00D22"/>
    <w:rsid w:val="00D049C6"/>
    <w:rsid w:val="00D069C9"/>
    <w:rsid w:val="00D06B3A"/>
    <w:rsid w:val="00D078A2"/>
    <w:rsid w:val="00D12DB1"/>
    <w:rsid w:val="00D13185"/>
    <w:rsid w:val="00D14A0A"/>
    <w:rsid w:val="00D15EC5"/>
    <w:rsid w:val="00D163C7"/>
    <w:rsid w:val="00D16C4B"/>
    <w:rsid w:val="00D179E8"/>
    <w:rsid w:val="00D17DE0"/>
    <w:rsid w:val="00D235F9"/>
    <w:rsid w:val="00D249DC"/>
    <w:rsid w:val="00D24D9A"/>
    <w:rsid w:val="00D259CF"/>
    <w:rsid w:val="00D264BD"/>
    <w:rsid w:val="00D2756B"/>
    <w:rsid w:val="00D27F22"/>
    <w:rsid w:val="00D30A57"/>
    <w:rsid w:val="00D30FA8"/>
    <w:rsid w:val="00D31837"/>
    <w:rsid w:val="00D326DB"/>
    <w:rsid w:val="00D33108"/>
    <w:rsid w:val="00D33968"/>
    <w:rsid w:val="00D346D7"/>
    <w:rsid w:val="00D35EB7"/>
    <w:rsid w:val="00D37384"/>
    <w:rsid w:val="00D40FEC"/>
    <w:rsid w:val="00D440ED"/>
    <w:rsid w:val="00D5033E"/>
    <w:rsid w:val="00D5086A"/>
    <w:rsid w:val="00D51A49"/>
    <w:rsid w:val="00D51DED"/>
    <w:rsid w:val="00D5277D"/>
    <w:rsid w:val="00D53A8F"/>
    <w:rsid w:val="00D55299"/>
    <w:rsid w:val="00D56AAD"/>
    <w:rsid w:val="00D56DB7"/>
    <w:rsid w:val="00D603D1"/>
    <w:rsid w:val="00D60586"/>
    <w:rsid w:val="00D62A68"/>
    <w:rsid w:val="00D63942"/>
    <w:rsid w:val="00D64E8B"/>
    <w:rsid w:val="00D6521E"/>
    <w:rsid w:val="00D6540B"/>
    <w:rsid w:val="00D657E5"/>
    <w:rsid w:val="00D67159"/>
    <w:rsid w:val="00D67E46"/>
    <w:rsid w:val="00D705F9"/>
    <w:rsid w:val="00D70D05"/>
    <w:rsid w:val="00D72926"/>
    <w:rsid w:val="00D729A8"/>
    <w:rsid w:val="00D72EB2"/>
    <w:rsid w:val="00D7327C"/>
    <w:rsid w:val="00D73B5B"/>
    <w:rsid w:val="00D746F9"/>
    <w:rsid w:val="00D8059B"/>
    <w:rsid w:val="00D839C8"/>
    <w:rsid w:val="00D84355"/>
    <w:rsid w:val="00D862E7"/>
    <w:rsid w:val="00D873FC"/>
    <w:rsid w:val="00D87AA3"/>
    <w:rsid w:val="00D90B45"/>
    <w:rsid w:val="00D92074"/>
    <w:rsid w:val="00D92313"/>
    <w:rsid w:val="00D93A30"/>
    <w:rsid w:val="00D94A80"/>
    <w:rsid w:val="00D94D6B"/>
    <w:rsid w:val="00D965A8"/>
    <w:rsid w:val="00DA38A4"/>
    <w:rsid w:val="00DA3A0C"/>
    <w:rsid w:val="00DA4061"/>
    <w:rsid w:val="00DA4509"/>
    <w:rsid w:val="00DA5A04"/>
    <w:rsid w:val="00DA62E8"/>
    <w:rsid w:val="00DA6643"/>
    <w:rsid w:val="00DB0835"/>
    <w:rsid w:val="00DB0BFB"/>
    <w:rsid w:val="00DB2441"/>
    <w:rsid w:val="00DB4688"/>
    <w:rsid w:val="00DB576B"/>
    <w:rsid w:val="00DB5835"/>
    <w:rsid w:val="00DB5E8A"/>
    <w:rsid w:val="00DB6618"/>
    <w:rsid w:val="00DB6F6A"/>
    <w:rsid w:val="00DB7A08"/>
    <w:rsid w:val="00DC285E"/>
    <w:rsid w:val="00DC2932"/>
    <w:rsid w:val="00DC331F"/>
    <w:rsid w:val="00DC3A96"/>
    <w:rsid w:val="00DC5299"/>
    <w:rsid w:val="00DD17AA"/>
    <w:rsid w:val="00DD221A"/>
    <w:rsid w:val="00DD30F0"/>
    <w:rsid w:val="00DD31E9"/>
    <w:rsid w:val="00DD5C43"/>
    <w:rsid w:val="00DD60AA"/>
    <w:rsid w:val="00DE095F"/>
    <w:rsid w:val="00DE1BF0"/>
    <w:rsid w:val="00DE2FE7"/>
    <w:rsid w:val="00DE38A8"/>
    <w:rsid w:val="00DE4463"/>
    <w:rsid w:val="00DE6929"/>
    <w:rsid w:val="00DE6CFA"/>
    <w:rsid w:val="00DE70F3"/>
    <w:rsid w:val="00DE7123"/>
    <w:rsid w:val="00DE73D1"/>
    <w:rsid w:val="00DF0CCF"/>
    <w:rsid w:val="00DF2FF8"/>
    <w:rsid w:val="00DF317C"/>
    <w:rsid w:val="00E009D9"/>
    <w:rsid w:val="00E01A87"/>
    <w:rsid w:val="00E02E5E"/>
    <w:rsid w:val="00E07B91"/>
    <w:rsid w:val="00E10E7D"/>
    <w:rsid w:val="00E11F57"/>
    <w:rsid w:val="00E12334"/>
    <w:rsid w:val="00E126CD"/>
    <w:rsid w:val="00E128B9"/>
    <w:rsid w:val="00E12E28"/>
    <w:rsid w:val="00E13138"/>
    <w:rsid w:val="00E14D9D"/>
    <w:rsid w:val="00E14E3E"/>
    <w:rsid w:val="00E14F59"/>
    <w:rsid w:val="00E15C6F"/>
    <w:rsid w:val="00E16D63"/>
    <w:rsid w:val="00E17AA6"/>
    <w:rsid w:val="00E202F3"/>
    <w:rsid w:val="00E20D16"/>
    <w:rsid w:val="00E21DDD"/>
    <w:rsid w:val="00E23440"/>
    <w:rsid w:val="00E250CD"/>
    <w:rsid w:val="00E26F4A"/>
    <w:rsid w:val="00E302C3"/>
    <w:rsid w:val="00E307E8"/>
    <w:rsid w:val="00E30A40"/>
    <w:rsid w:val="00E30AD2"/>
    <w:rsid w:val="00E335A6"/>
    <w:rsid w:val="00E337AE"/>
    <w:rsid w:val="00E33B40"/>
    <w:rsid w:val="00E3418F"/>
    <w:rsid w:val="00E35C4F"/>
    <w:rsid w:val="00E36222"/>
    <w:rsid w:val="00E36952"/>
    <w:rsid w:val="00E36CB9"/>
    <w:rsid w:val="00E41D11"/>
    <w:rsid w:val="00E420BC"/>
    <w:rsid w:val="00E4328A"/>
    <w:rsid w:val="00E43E94"/>
    <w:rsid w:val="00E446BC"/>
    <w:rsid w:val="00E45687"/>
    <w:rsid w:val="00E45B2E"/>
    <w:rsid w:val="00E46097"/>
    <w:rsid w:val="00E4712D"/>
    <w:rsid w:val="00E47287"/>
    <w:rsid w:val="00E47EAF"/>
    <w:rsid w:val="00E52B9D"/>
    <w:rsid w:val="00E53C25"/>
    <w:rsid w:val="00E545DF"/>
    <w:rsid w:val="00E54FB0"/>
    <w:rsid w:val="00E559A0"/>
    <w:rsid w:val="00E560A4"/>
    <w:rsid w:val="00E560B5"/>
    <w:rsid w:val="00E56667"/>
    <w:rsid w:val="00E56C22"/>
    <w:rsid w:val="00E57611"/>
    <w:rsid w:val="00E634E7"/>
    <w:rsid w:val="00E63AA2"/>
    <w:rsid w:val="00E63B6B"/>
    <w:rsid w:val="00E63C2D"/>
    <w:rsid w:val="00E63FE4"/>
    <w:rsid w:val="00E6448F"/>
    <w:rsid w:val="00E64BA9"/>
    <w:rsid w:val="00E64C39"/>
    <w:rsid w:val="00E66097"/>
    <w:rsid w:val="00E67116"/>
    <w:rsid w:val="00E671F2"/>
    <w:rsid w:val="00E70863"/>
    <w:rsid w:val="00E716B5"/>
    <w:rsid w:val="00E7198F"/>
    <w:rsid w:val="00E734AF"/>
    <w:rsid w:val="00E7358F"/>
    <w:rsid w:val="00E7453C"/>
    <w:rsid w:val="00E74D96"/>
    <w:rsid w:val="00E75077"/>
    <w:rsid w:val="00E762CD"/>
    <w:rsid w:val="00E7675C"/>
    <w:rsid w:val="00E76C1A"/>
    <w:rsid w:val="00E8001F"/>
    <w:rsid w:val="00E800E8"/>
    <w:rsid w:val="00E81B9A"/>
    <w:rsid w:val="00E82D51"/>
    <w:rsid w:val="00E84E5C"/>
    <w:rsid w:val="00E85058"/>
    <w:rsid w:val="00E8601B"/>
    <w:rsid w:val="00E87355"/>
    <w:rsid w:val="00E8783B"/>
    <w:rsid w:val="00E87A10"/>
    <w:rsid w:val="00E87F2E"/>
    <w:rsid w:val="00E91AEA"/>
    <w:rsid w:val="00E91C4F"/>
    <w:rsid w:val="00E91C9B"/>
    <w:rsid w:val="00E91F8D"/>
    <w:rsid w:val="00E9222D"/>
    <w:rsid w:val="00E92751"/>
    <w:rsid w:val="00E93753"/>
    <w:rsid w:val="00E94DDF"/>
    <w:rsid w:val="00E958D7"/>
    <w:rsid w:val="00E9665D"/>
    <w:rsid w:val="00E96A21"/>
    <w:rsid w:val="00E97334"/>
    <w:rsid w:val="00E97497"/>
    <w:rsid w:val="00EA0AD4"/>
    <w:rsid w:val="00EA44B2"/>
    <w:rsid w:val="00EA4C94"/>
    <w:rsid w:val="00EA58FA"/>
    <w:rsid w:val="00EA65C6"/>
    <w:rsid w:val="00EA69A6"/>
    <w:rsid w:val="00EA7840"/>
    <w:rsid w:val="00EA7853"/>
    <w:rsid w:val="00EB39C8"/>
    <w:rsid w:val="00EB57EA"/>
    <w:rsid w:val="00EB5AB3"/>
    <w:rsid w:val="00EB65A3"/>
    <w:rsid w:val="00EC0381"/>
    <w:rsid w:val="00EC0424"/>
    <w:rsid w:val="00EC38ED"/>
    <w:rsid w:val="00EC3A34"/>
    <w:rsid w:val="00EC3E24"/>
    <w:rsid w:val="00EC40F6"/>
    <w:rsid w:val="00EC566D"/>
    <w:rsid w:val="00EC7D96"/>
    <w:rsid w:val="00ED1635"/>
    <w:rsid w:val="00ED2941"/>
    <w:rsid w:val="00ED5B39"/>
    <w:rsid w:val="00ED5F61"/>
    <w:rsid w:val="00ED723F"/>
    <w:rsid w:val="00ED72BB"/>
    <w:rsid w:val="00ED74CC"/>
    <w:rsid w:val="00EE215D"/>
    <w:rsid w:val="00EE25EE"/>
    <w:rsid w:val="00EE3D41"/>
    <w:rsid w:val="00EE4D04"/>
    <w:rsid w:val="00EE50B9"/>
    <w:rsid w:val="00EE5B2F"/>
    <w:rsid w:val="00EE704F"/>
    <w:rsid w:val="00EF3DBD"/>
    <w:rsid w:val="00EF48BD"/>
    <w:rsid w:val="00EF49E0"/>
    <w:rsid w:val="00EF4C67"/>
    <w:rsid w:val="00EF55F9"/>
    <w:rsid w:val="00EF657C"/>
    <w:rsid w:val="00EF7FBA"/>
    <w:rsid w:val="00F01167"/>
    <w:rsid w:val="00F02EEB"/>
    <w:rsid w:val="00F04877"/>
    <w:rsid w:val="00F0772F"/>
    <w:rsid w:val="00F11570"/>
    <w:rsid w:val="00F13317"/>
    <w:rsid w:val="00F1441F"/>
    <w:rsid w:val="00F15AE2"/>
    <w:rsid w:val="00F15D5C"/>
    <w:rsid w:val="00F163B8"/>
    <w:rsid w:val="00F16FD3"/>
    <w:rsid w:val="00F215E7"/>
    <w:rsid w:val="00F21FEF"/>
    <w:rsid w:val="00F2260D"/>
    <w:rsid w:val="00F23B84"/>
    <w:rsid w:val="00F24877"/>
    <w:rsid w:val="00F24F01"/>
    <w:rsid w:val="00F260CE"/>
    <w:rsid w:val="00F26243"/>
    <w:rsid w:val="00F26341"/>
    <w:rsid w:val="00F275A8"/>
    <w:rsid w:val="00F27D5E"/>
    <w:rsid w:val="00F30465"/>
    <w:rsid w:val="00F315ED"/>
    <w:rsid w:val="00F32348"/>
    <w:rsid w:val="00F32C41"/>
    <w:rsid w:val="00F32CD1"/>
    <w:rsid w:val="00F34FD4"/>
    <w:rsid w:val="00F36692"/>
    <w:rsid w:val="00F37B4D"/>
    <w:rsid w:val="00F37EDA"/>
    <w:rsid w:val="00F4004D"/>
    <w:rsid w:val="00F400E7"/>
    <w:rsid w:val="00F41540"/>
    <w:rsid w:val="00F419FE"/>
    <w:rsid w:val="00F41A6C"/>
    <w:rsid w:val="00F41AA9"/>
    <w:rsid w:val="00F43CFC"/>
    <w:rsid w:val="00F44240"/>
    <w:rsid w:val="00F44535"/>
    <w:rsid w:val="00F449DD"/>
    <w:rsid w:val="00F44D89"/>
    <w:rsid w:val="00F46E34"/>
    <w:rsid w:val="00F476AA"/>
    <w:rsid w:val="00F50F2C"/>
    <w:rsid w:val="00F529C6"/>
    <w:rsid w:val="00F52B69"/>
    <w:rsid w:val="00F52F4E"/>
    <w:rsid w:val="00F532EA"/>
    <w:rsid w:val="00F5342A"/>
    <w:rsid w:val="00F53A99"/>
    <w:rsid w:val="00F55B42"/>
    <w:rsid w:val="00F56545"/>
    <w:rsid w:val="00F57B57"/>
    <w:rsid w:val="00F6085F"/>
    <w:rsid w:val="00F61F65"/>
    <w:rsid w:val="00F62451"/>
    <w:rsid w:val="00F6558D"/>
    <w:rsid w:val="00F66028"/>
    <w:rsid w:val="00F6604C"/>
    <w:rsid w:val="00F67A6C"/>
    <w:rsid w:val="00F67C50"/>
    <w:rsid w:val="00F713AF"/>
    <w:rsid w:val="00F71BFD"/>
    <w:rsid w:val="00F73E3E"/>
    <w:rsid w:val="00F74504"/>
    <w:rsid w:val="00F74FE8"/>
    <w:rsid w:val="00F758C9"/>
    <w:rsid w:val="00F8000B"/>
    <w:rsid w:val="00F81C18"/>
    <w:rsid w:val="00F81FFE"/>
    <w:rsid w:val="00F825E8"/>
    <w:rsid w:val="00F836EF"/>
    <w:rsid w:val="00F852A5"/>
    <w:rsid w:val="00F85EFA"/>
    <w:rsid w:val="00F875F6"/>
    <w:rsid w:val="00F87ACB"/>
    <w:rsid w:val="00F87F2E"/>
    <w:rsid w:val="00F90202"/>
    <w:rsid w:val="00F91B32"/>
    <w:rsid w:val="00F92A4A"/>
    <w:rsid w:val="00F92C8D"/>
    <w:rsid w:val="00F930D6"/>
    <w:rsid w:val="00F949FF"/>
    <w:rsid w:val="00F94C77"/>
    <w:rsid w:val="00F95925"/>
    <w:rsid w:val="00F97733"/>
    <w:rsid w:val="00FA03FF"/>
    <w:rsid w:val="00FA2197"/>
    <w:rsid w:val="00FA2A6C"/>
    <w:rsid w:val="00FA4C3A"/>
    <w:rsid w:val="00FA5BD0"/>
    <w:rsid w:val="00FB17C2"/>
    <w:rsid w:val="00FB2AB1"/>
    <w:rsid w:val="00FB2C62"/>
    <w:rsid w:val="00FB3B87"/>
    <w:rsid w:val="00FB3DE6"/>
    <w:rsid w:val="00FB5021"/>
    <w:rsid w:val="00FB5480"/>
    <w:rsid w:val="00FB70CF"/>
    <w:rsid w:val="00FB7185"/>
    <w:rsid w:val="00FC3E1C"/>
    <w:rsid w:val="00FC573A"/>
    <w:rsid w:val="00FC67B2"/>
    <w:rsid w:val="00FC6AA4"/>
    <w:rsid w:val="00FC6C2B"/>
    <w:rsid w:val="00FC74CA"/>
    <w:rsid w:val="00FC7C84"/>
    <w:rsid w:val="00FD0B2C"/>
    <w:rsid w:val="00FD10C7"/>
    <w:rsid w:val="00FD2B31"/>
    <w:rsid w:val="00FD3474"/>
    <w:rsid w:val="00FD53E2"/>
    <w:rsid w:val="00FD54FB"/>
    <w:rsid w:val="00FD5AE6"/>
    <w:rsid w:val="00FD7CE1"/>
    <w:rsid w:val="00FE09DF"/>
    <w:rsid w:val="00FE2726"/>
    <w:rsid w:val="00FE2A0F"/>
    <w:rsid w:val="00FE3D08"/>
    <w:rsid w:val="00FE42E8"/>
    <w:rsid w:val="00FE56B3"/>
    <w:rsid w:val="00FE6982"/>
    <w:rsid w:val="00FE79A5"/>
    <w:rsid w:val="00FE7AE7"/>
    <w:rsid w:val="00FF016C"/>
    <w:rsid w:val="00FF093D"/>
    <w:rsid w:val="00FF0BD7"/>
    <w:rsid w:val="00FF190B"/>
    <w:rsid w:val="00FF302F"/>
    <w:rsid w:val="00FF3A06"/>
    <w:rsid w:val="00FF4480"/>
    <w:rsid w:val="00FF4681"/>
    <w:rsid w:val="00FF54F4"/>
    <w:rsid w:val="00FF55A8"/>
    <w:rsid w:val="00FF5B79"/>
    <w:rsid w:val="00FF72D3"/>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6A2F6986-7D96-994D-B0D7-F646629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5E207B"/>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5E207B"/>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F74504"/>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F74504"/>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Cuadrculaclara-nfasis31">
    <w:name w:val="Cuadrícula clara - Énfasis 31"/>
    <w:basedOn w:val="Normal"/>
    <w:uiPriority w:val="34"/>
    <w:qFormat/>
    <w:rsid w:val="00490F3D"/>
    <w:pPr>
      <w:ind w:left="720"/>
      <w:contextualSpacing/>
      <w:jc w:val="left"/>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97436"/>
    <w:rPr>
      <w:i/>
      <w:iCs/>
    </w:rPr>
  </w:style>
  <w:style w:type="paragraph" w:styleId="NormalWeb">
    <w:name w:val="Normal (Web)"/>
    <w:basedOn w:val="Normal"/>
    <w:uiPriority w:val="99"/>
    <w:unhideWhenUsed/>
    <w:rsid w:val="00E91AEA"/>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sdfootnote-western">
    <w:name w:val="sdfootnote-western"/>
    <w:basedOn w:val="Normal"/>
    <w:rsid w:val="00E91AEA"/>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paragraph">
    <w:name w:val="paragraph"/>
    <w:basedOn w:val="Normal"/>
    <w:rsid w:val="00134B91"/>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eop">
    <w:name w:val="eop"/>
    <w:basedOn w:val="Fuentedeprrafopredeter"/>
    <w:rsid w:val="00134B91"/>
  </w:style>
  <w:style w:type="table" w:styleId="Tablaconcuadrcula">
    <w:name w:val="Table Grid"/>
    <w:basedOn w:val="Tablanormal"/>
    <w:uiPriority w:val="39"/>
    <w:rsid w:val="00281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4305"/>
  </w:style>
  <w:style w:type="character" w:customStyle="1" w:styleId="superscript">
    <w:name w:val="superscript"/>
    <w:basedOn w:val="Fuentedeprrafopredeter"/>
    <w:rsid w:val="004C235E"/>
  </w:style>
  <w:style w:type="paragraph" w:styleId="Revisin">
    <w:name w:val="Revision"/>
    <w:hidden/>
    <w:uiPriority w:val="99"/>
    <w:semiHidden/>
    <w:rsid w:val="00842D07"/>
    <w:rPr>
      <w:sz w:val="16"/>
      <w:szCs w:val="16"/>
      <w:lang w:val="es-CO" w:eastAsia="es-ES_tradnl"/>
    </w:rPr>
  </w:style>
  <w:style w:type="character" w:styleId="Mencinsinresolver">
    <w:name w:val="Unresolved Mention"/>
    <w:basedOn w:val="Fuentedeprrafopredeter"/>
    <w:uiPriority w:val="99"/>
    <w:semiHidden/>
    <w:unhideWhenUsed/>
    <w:rsid w:val="009F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46615432">
      <w:bodyDiv w:val="1"/>
      <w:marLeft w:val="0"/>
      <w:marRight w:val="0"/>
      <w:marTop w:val="0"/>
      <w:marBottom w:val="0"/>
      <w:divBdr>
        <w:top w:val="none" w:sz="0" w:space="0" w:color="auto"/>
        <w:left w:val="none" w:sz="0" w:space="0" w:color="auto"/>
        <w:bottom w:val="none" w:sz="0" w:space="0" w:color="auto"/>
        <w:right w:val="none" w:sz="0" w:space="0" w:color="auto"/>
      </w:divBdr>
    </w:div>
    <w:div w:id="48308765">
      <w:bodyDiv w:val="1"/>
      <w:marLeft w:val="0"/>
      <w:marRight w:val="0"/>
      <w:marTop w:val="0"/>
      <w:marBottom w:val="0"/>
      <w:divBdr>
        <w:top w:val="none" w:sz="0" w:space="0" w:color="auto"/>
        <w:left w:val="none" w:sz="0" w:space="0" w:color="auto"/>
        <w:bottom w:val="none" w:sz="0" w:space="0" w:color="auto"/>
        <w:right w:val="none" w:sz="0" w:space="0" w:color="auto"/>
      </w:divBdr>
    </w:div>
    <w:div w:id="19099374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293759386">
      <w:bodyDiv w:val="1"/>
      <w:marLeft w:val="0"/>
      <w:marRight w:val="0"/>
      <w:marTop w:val="0"/>
      <w:marBottom w:val="0"/>
      <w:divBdr>
        <w:top w:val="none" w:sz="0" w:space="0" w:color="auto"/>
        <w:left w:val="none" w:sz="0" w:space="0" w:color="auto"/>
        <w:bottom w:val="none" w:sz="0" w:space="0" w:color="auto"/>
        <w:right w:val="none" w:sz="0" w:space="0" w:color="auto"/>
      </w:divBdr>
    </w:div>
    <w:div w:id="315308560">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491414257">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67476363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16803155">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174414239">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238827834">
      <w:bodyDiv w:val="1"/>
      <w:marLeft w:val="0"/>
      <w:marRight w:val="0"/>
      <w:marTop w:val="0"/>
      <w:marBottom w:val="0"/>
      <w:divBdr>
        <w:top w:val="none" w:sz="0" w:space="0" w:color="auto"/>
        <w:left w:val="none" w:sz="0" w:space="0" w:color="auto"/>
        <w:bottom w:val="none" w:sz="0" w:space="0" w:color="auto"/>
        <w:right w:val="none" w:sz="0" w:space="0" w:color="auto"/>
      </w:divBdr>
    </w:div>
    <w:div w:id="1469863483">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1696050">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51886481">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 w:id="20750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9CE89D-44CA-490D-A402-3E189437C7F4}">
  <ds:schemaRefs>
    <ds:schemaRef ds:uri="http://schemas.openxmlformats.org/officeDocument/2006/bibliography"/>
  </ds:schemaRefs>
</ds:datastoreItem>
</file>

<file path=customXml/itemProps3.xml><?xml version="1.0" encoding="utf-8"?>
<ds:datastoreItem xmlns:ds="http://schemas.openxmlformats.org/officeDocument/2006/customXml" ds:itemID="{D8BE6685-814D-4494-9CB5-509B9BDB8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Sonia Jaimes Valencia</cp:lastModifiedBy>
  <cp:revision>2</cp:revision>
  <cp:lastPrinted>2020-10-28T23:04:00Z</cp:lastPrinted>
  <dcterms:created xsi:type="dcterms:W3CDTF">2022-03-10T19:45:00Z</dcterms:created>
  <dcterms:modified xsi:type="dcterms:W3CDTF">2022-03-10T19:45:00Z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