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4AC6" w14:textId="77777777" w:rsidR="00644243" w:rsidRDefault="00644243" w:rsidP="00644243">
      <w:pPr>
        <w:pStyle w:val="Sinespaciado"/>
      </w:pPr>
      <w:r w:rsidRPr="000C5DB7">
        <w:t>CONSEJERO PONENTE: JAIME ENRIQUE RODRÍGUEZ NAVAS</w:t>
      </w:r>
    </w:p>
    <w:p w14:paraId="62D15A5B" w14:textId="77777777" w:rsidR="00644243" w:rsidRPr="000C5DB7" w:rsidRDefault="00644243" w:rsidP="00644243">
      <w:pPr>
        <w:spacing w:line="276" w:lineRule="auto"/>
        <w:contextualSpacing/>
        <w:rPr>
          <w:b/>
          <w:bCs/>
          <w:sz w:val="24"/>
          <w:szCs w:val="24"/>
        </w:rPr>
      </w:pPr>
    </w:p>
    <w:p w14:paraId="14843964" w14:textId="33CACA51" w:rsidR="00644243" w:rsidRPr="000C5DB7" w:rsidRDefault="00644243" w:rsidP="00644243">
      <w:pPr>
        <w:spacing w:line="276" w:lineRule="auto"/>
        <w:contextualSpacing/>
        <w:rPr>
          <w:bCs/>
          <w:sz w:val="24"/>
          <w:szCs w:val="24"/>
        </w:rPr>
      </w:pPr>
      <w:r>
        <w:rPr>
          <w:bCs/>
          <w:sz w:val="24"/>
          <w:szCs w:val="24"/>
        </w:rPr>
        <w:t xml:space="preserve">Bogotá D.C., </w:t>
      </w:r>
      <w:r w:rsidR="00290A10">
        <w:rPr>
          <w:bCs/>
          <w:sz w:val="24"/>
          <w:szCs w:val="24"/>
        </w:rPr>
        <w:t>siete</w:t>
      </w:r>
      <w:r>
        <w:rPr>
          <w:bCs/>
          <w:sz w:val="24"/>
          <w:szCs w:val="24"/>
        </w:rPr>
        <w:t xml:space="preserve"> </w:t>
      </w:r>
      <w:r w:rsidRPr="00A929E3">
        <w:rPr>
          <w:bCs/>
          <w:sz w:val="24"/>
          <w:szCs w:val="24"/>
        </w:rPr>
        <w:t>(</w:t>
      </w:r>
      <w:r>
        <w:rPr>
          <w:bCs/>
          <w:sz w:val="24"/>
          <w:szCs w:val="24"/>
        </w:rPr>
        <w:t>0</w:t>
      </w:r>
      <w:r w:rsidR="00290A10">
        <w:rPr>
          <w:bCs/>
          <w:sz w:val="24"/>
          <w:szCs w:val="24"/>
        </w:rPr>
        <w:t>7</w:t>
      </w:r>
      <w:r>
        <w:rPr>
          <w:bCs/>
          <w:sz w:val="24"/>
          <w:szCs w:val="24"/>
        </w:rPr>
        <w:t xml:space="preserve">) de </w:t>
      </w:r>
      <w:r w:rsidR="00290A10">
        <w:rPr>
          <w:bCs/>
          <w:sz w:val="24"/>
          <w:szCs w:val="24"/>
        </w:rPr>
        <w:t>marzo</w:t>
      </w:r>
      <w:r>
        <w:rPr>
          <w:bCs/>
          <w:sz w:val="24"/>
          <w:szCs w:val="24"/>
        </w:rPr>
        <w:t xml:space="preserve"> </w:t>
      </w:r>
      <w:r w:rsidRPr="00A929E3">
        <w:rPr>
          <w:bCs/>
          <w:sz w:val="24"/>
          <w:szCs w:val="24"/>
        </w:rPr>
        <w:t xml:space="preserve">de dos mil </w:t>
      </w:r>
      <w:r>
        <w:rPr>
          <w:bCs/>
          <w:sz w:val="24"/>
          <w:szCs w:val="24"/>
        </w:rPr>
        <w:t>veintiuno</w:t>
      </w:r>
      <w:r w:rsidRPr="00A929E3">
        <w:rPr>
          <w:bCs/>
          <w:sz w:val="24"/>
          <w:szCs w:val="24"/>
        </w:rPr>
        <w:t xml:space="preserve"> (</w:t>
      </w:r>
      <w:r>
        <w:rPr>
          <w:bCs/>
          <w:sz w:val="24"/>
          <w:szCs w:val="24"/>
        </w:rPr>
        <w:t>202</w:t>
      </w:r>
      <w:r w:rsidR="00290A10">
        <w:rPr>
          <w:bCs/>
          <w:sz w:val="24"/>
          <w:szCs w:val="24"/>
        </w:rPr>
        <w:t>2</w:t>
      </w:r>
      <w:r w:rsidRPr="00A929E3">
        <w:rPr>
          <w:bCs/>
          <w:sz w:val="24"/>
          <w:szCs w:val="24"/>
        </w:rPr>
        <w:t>).</w:t>
      </w:r>
    </w:p>
    <w:p w14:paraId="2F9A6D1F" w14:textId="77777777" w:rsidR="00644243" w:rsidRPr="0036421B" w:rsidRDefault="00644243" w:rsidP="00644243">
      <w:pPr>
        <w:spacing w:line="276" w:lineRule="auto"/>
        <w:contextualSpacing/>
        <w:rPr>
          <w:sz w:val="24"/>
          <w:szCs w:val="24"/>
        </w:rPr>
      </w:pPr>
    </w:p>
    <w:p w14:paraId="52591627" w14:textId="77777777" w:rsidR="00644243" w:rsidRPr="00DD3CB8" w:rsidRDefault="00644243" w:rsidP="00644243">
      <w:pPr>
        <w:ind w:left="1985" w:hanging="1985"/>
        <w:contextualSpacing/>
        <w:rPr>
          <w:b/>
          <w:sz w:val="24"/>
          <w:szCs w:val="24"/>
        </w:rPr>
      </w:pPr>
      <w:r w:rsidRPr="00DD3CB8">
        <w:rPr>
          <w:b/>
          <w:sz w:val="24"/>
          <w:szCs w:val="24"/>
        </w:rPr>
        <w:t xml:space="preserve">Referencia: </w:t>
      </w:r>
      <w:r w:rsidRPr="00DD3CB8">
        <w:rPr>
          <w:b/>
          <w:sz w:val="24"/>
          <w:szCs w:val="24"/>
        </w:rPr>
        <w:tab/>
      </w:r>
      <w:r w:rsidRPr="00DD3CB8">
        <w:rPr>
          <w:sz w:val="24"/>
          <w:szCs w:val="24"/>
        </w:rPr>
        <w:t>Acción de tutela.</w:t>
      </w:r>
    </w:p>
    <w:p w14:paraId="3EB3B27B" w14:textId="3A9C53F7" w:rsidR="00644243" w:rsidRPr="00DD3CB8" w:rsidRDefault="00644243" w:rsidP="00644243">
      <w:pPr>
        <w:tabs>
          <w:tab w:val="left" w:pos="1985"/>
        </w:tabs>
        <w:contextualSpacing/>
        <w:rPr>
          <w:sz w:val="24"/>
          <w:szCs w:val="24"/>
        </w:rPr>
      </w:pPr>
      <w:r w:rsidRPr="00DD3CB8">
        <w:rPr>
          <w:b/>
          <w:sz w:val="24"/>
          <w:szCs w:val="24"/>
        </w:rPr>
        <w:t>Radicación:</w:t>
      </w:r>
      <w:r w:rsidRPr="00DD3CB8">
        <w:rPr>
          <w:b/>
          <w:sz w:val="24"/>
          <w:szCs w:val="24"/>
        </w:rPr>
        <w:tab/>
      </w:r>
      <w:r w:rsidR="00DD1AAE" w:rsidRPr="00DD1AAE">
        <w:rPr>
          <w:bCs/>
          <w:sz w:val="24"/>
          <w:szCs w:val="24"/>
        </w:rPr>
        <w:t>11001-03-15-000-2021-07478-00</w:t>
      </w:r>
      <w:r w:rsidRPr="00146882">
        <w:rPr>
          <w:bCs/>
          <w:sz w:val="24"/>
          <w:szCs w:val="24"/>
        </w:rPr>
        <w:t>.</w:t>
      </w:r>
    </w:p>
    <w:p w14:paraId="0ED2EA22" w14:textId="0E50E9BC" w:rsidR="00644243" w:rsidRPr="00DD3CB8" w:rsidRDefault="00644243" w:rsidP="00644243">
      <w:pPr>
        <w:tabs>
          <w:tab w:val="left" w:pos="1985"/>
        </w:tabs>
        <w:contextualSpacing/>
        <w:rPr>
          <w:sz w:val="24"/>
          <w:szCs w:val="24"/>
        </w:rPr>
      </w:pPr>
      <w:r w:rsidRPr="00DD3CB8">
        <w:rPr>
          <w:b/>
          <w:sz w:val="24"/>
          <w:szCs w:val="24"/>
        </w:rPr>
        <w:t>Accionante:</w:t>
      </w:r>
      <w:r w:rsidRPr="00DD3CB8">
        <w:rPr>
          <w:b/>
          <w:sz w:val="24"/>
          <w:szCs w:val="24"/>
        </w:rPr>
        <w:tab/>
      </w:r>
      <w:r w:rsidR="0049014B" w:rsidRPr="0049014B">
        <w:rPr>
          <w:sz w:val="24"/>
          <w:szCs w:val="24"/>
        </w:rPr>
        <w:t>Gerardo Hernández Barajas.</w:t>
      </w:r>
    </w:p>
    <w:p w14:paraId="07AD9256" w14:textId="4DD0BEEE" w:rsidR="00644243" w:rsidRDefault="00644243" w:rsidP="00A9201E">
      <w:pPr>
        <w:tabs>
          <w:tab w:val="left" w:pos="1985"/>
        </w:tabs>
        <w:ind w:left="1985" w:right="51" w:hanging="1985"/>
        <w:contextualSpacing/>
        <w:rPr>
          <w:sz w:val="24"/>
          <w:szCs w:val="24"/>
        </w:rPr>
      </w:pPr>
      <w:r w:rsidRPr="00DD3CB8">
        <w:rPr>
          <w:b/>
          <w:sz w:val="24"/>
          <w:szCs w:val="24"/>
        </w:rPr>
        <w:t>Accionados:</w:t>
      </w:r>
      <w:r w:rsidRPr="00DD3CB8">
        <w:rPr>
          <w:b/>
          <w:sz w:val="24"/>
          <w:szCs w:val="24"/>
        </w:rPr>
        <w:tab/>
      </w:r>
      <w:r w:rsidR="005945E4" w:rsidRPr="005945E4">
        <w:rPr>
          <w:sz w:val="24"/>
          <w:szCs w:val="24"/>
        </w:rPr>
        <w:t>Tribunal Administrativo de Santander y Juzgado Trece Administrativo Oral de Bucaramanga.</w:t>
      </w:r>
    </w:p>
    <w:p w14:paraId="4FD13311" w14:textId="77777777" w:rsidR="00A9201E" w:rsidRPr="000C5DB7" w:rsidRDefault="00A9201E" w:rsidP="00A9201E">
      <w:pPr>
        <w:tabs>
          <w:tab w:val="left" w:pos="1985"/>
        </w:tabs>
        <w:ind w:left="1985" w:right="51" w:hanging="1985"/>
        <w:contextualSpacing/>
        <w:rPr>
          <w:b/>
          <w:sz w:val="24"/>
          <w:szCs w:val="24"/>
        </w:rPr>
      </w:pPr>
    </w:p>
    <w:p w14:paraId="28D39182" w14:textId="77777777" w:rsidR="00644243" w:rsidRPr="000C5DB7" w:rsidRDefault="00644243" w:rsidP="00644243">
      <w:pPr>
        <w:pBdr>
          <w:bottom w:val="single" w:sz="12" w:space="0" w:color="auto"/>
        </w:pBdr>
        <w:spacing w:line="276" w:lineRule="auto"/>
        <w:ind w:left="2832" w:hanging="2832"/>
        <w:contextualSpacing/>
        <w:rPr>
          <w:b/>
          <w:sz w:val="24"/>
          <w:szCs w:val="24"/>
        </w:rPr>
      </w:pPr>
      <w:r>
        <w:rPr>
          <w:b/>
          <w:sz w:val="24"/>
          <w:szCs w:val="24"/>
        </w:rPr>
        <w:t xml:space="preserve">AUTO QUE CONCEDE IMPUGNACIÓN </w:t>
      </w:r>
    </w:p>
    <w:p w14:paraId="71BE9962" w14:textId="77777777" w:rsidR="00B9234F" w:rsidRDefault="00B9234F" w:rsidP="00644243">
      <w:pPr>
        <w:spacing w:line="276" w:lineRule="auto"/>
        <w:rPr>
          <w:sz w:val="24"/>
          <w:szCs w:val="24"/>
        </w:rPr>
      </w:pPr>
    </w:p>
    <w:p w14:paraId="31179D8A" w14:textId="65B8614F" w:rsidR="00644243" w:rsidRDefault="00B9234F" w:rsidP="00644243">
      <w:pPr>
        <w:spacing w:line="276" w:lineRule="auto"/>
        <w:rPr>
          <w:sz w:val="24"/>
          <w:szCs w:val="24"/>
        </w:rPr>
      </w:pPr>
      <w:r>
        <w:rPr>
          <w:sz w:val="24"/>
          <w:szCs w:val="24"/>
        </w:rPr>
        <w:t>Gerardo Hernández Barajas</w:t>
      </w:r>
      <w:r w:rsidR="00644243">
        <w:rPr>
          <w:sz w:val="24"/>
          <w:szCs w:val="24"/>
        </w:rPr>
        <w:t xml:space="preserve">, </w:t>
      </w:r>
      <w:r w:rsidR="00A9201E">
        <w:rPr>
          <w:sz w:val="24"/>
          <w:szCs w:val="24"/>
        </w:rPr>
        <w:t>presentó</w:t>
      </w:r>
      <w:r w:rsidR="00BB5B64">
        <w:rPr>
          <w:sz w:val="24"/>
          <w:szCs w:val="24"/>
        </w:rPr>
        <w:t xml:space="preserve">, </w:t>
      </w:r>
      <w:r w:rsidR="00644243">
        <w:rPr>
          <w:sz w:val="24"/>
          <w:szCs w:val="24"/>
        </w:rPr>
        <w:t xml:space="preserve">el </w:t>
      </w:r>
      <w:r w:rsidR="005C0320">
        <w:rPr>
          <w:sz w:val="24"/>
          <w:szCs w:val="24"/>
        </w:rPr>
        <w:t>1</w:t>
      </w:r>
      <w:r w:rsidR="00644243">
        <w:rPr>
          <w:sz w:val="24"/>
          <w:szCs w:val="24"/>
        </w:rPr>
        <w:t xml:space="preserve"> de </w:t>
      </w:r>
      <w:r w:rsidR="00C92B29">
        <w:rPr>
          <w:sz w:val="24"/>
          <w:szCs w:val="24"/>
        </w:rPr>
        <w:t>marzo</w:t>
      </w:r>
      <w:r w:rsidR="00644243">
        <w:rPr>
          <w:sz w:val="24"/>
          <w:szCs w:val="24"/>
        </w:rPr>
        <w:t xml:space="preserve"> de </w:t>
      </w:r>
      <w:r w:rsidR="00C92B29">
        <w:rPr>
          <w:sz w:val="24"/>
          <w:szCs w:val="24"/>
        </w:rPr>
        <w:t>2022</w:t>
      </w:r>
      <w:r w:rsidR="00644243">
        <w:rPr>
          <w:sz w:val="24"/>
          <w:szCs w:val="24"/>
        </w:rPr>
        <w:t>, escrito de impugnación en contra de la sentencia proferida por esta Subsección dentro del trámite de la referencia. Así las cosas, el Despacho encuentra que, de conformidad con lo dispuesto en los artículos 31</w:t>
      </w:r>
      <w:r w:rsidR="00644243">
        <w:rPr>
          <w:rStyle w:val="Refdenotaalpie"/>
          <w:sz w:val="24"/>
          <w:szCs w:val="24"/>
        </w:rPr>
        <w:footnoteReference w:id="1"/>
      </w:r>
      <w:r w:rsidR="00644243">
        <w:rPr>
          <w:sz w:val="24"/>
          <w:szCs w:val="24"/>
        </w:rPr>
        <w:t xml:space="preserve"> y 32</w:t>
      </w:r>
      <w:r w:rsidR="00644243">
        <w:rPr>
          <w:rStyle w:val="Refdenotaalpie"/>
          <w:sz w:val="24"/>
          <w:szCs w:val="24"/>
        </w:rPr>
        <w:footnoteReference w:id="2"/>
      </w:r>
      <w:r w:rsidR="00644243">
        <w:rPr>
          <w:sz w:val="24"/>
          <w:szCs w:val="24"/>
        </w:rPr>
        <w:t xml:space="preserve"> del Decreto 2591 de 1991, el mencionado escrito fue allegado oportunamente por quien está legitimado para ello y, por tanto, dispone </w:t>
      </w:r>
      <w:r w:rsidR="00644243">
        <w:rPr>
          <w:b/>
          <w:sz w:val="24"/>
          <w:szCs w:val="24"/>
        </w:rPr>
        <w:t>conceder</w:t>
      </w:r>
      <w:r w:rsidR="00644243">
        <w:rPr>
          <w:sz w:val="24"/>
          <w:szCs w:val="24"/>
        </w:rPr>
        <w:t xml:space="preserve"> el trámite solicitado. </w:t>
      </w:r>
    </w:p>
    <w:p w14:paraId="72038608" w14:textId="77777777" w:rsidR="00644243" w:rsidRDefault="00644243" w:rsidP="00644243">
      <w:pPr>
        <w:spacing w:line="276" w:lineRule="auto"/>
        <w:rPr>
          <w:sz w:val="24"/>
          <w:szCs w:val="24"/>
        </w:rPr>
      </w:pPr>
    </w:p>
    <w:p w14:paraId="0C39C504" w14:textId="77777777" w:rsidR="00644243" w:rsidRPr="00CF649F" w:rsidRDefault="00644243" w:rsidP="00644243">
      <w:pPr>
        <w:spacing w:line="276" w:lineRule="auto"/>
        <w:rPr>
          <w:bCs/>
          <w:sz w:val="24"/>
          <w:szCs w:val="24"/>
        </w:rPr>
      </w:pPr>
      <w:r w:rsidRPr="00735B1A">
        <w:rPr>
          <w:sz w:val="24"/>
          <w:szCs w:val="24"/>
        </w:rPr>
        <w:t xml:space="preserve">En consecuencia, por Secretaría General y de </w:t>
      </w:r>
      <w:r>
        <w:rPr>
          <w:sz w:val="24"/>
          <w:szCs w:val="24"/>
        </w:rPr>
        <w:t>acuerdo</w:t>
      </w:r>
      <w:r w:rsidRPr="00735B1A">
        <w:rPr>
          <w:sz w:val="24"/>
          <w:szCs w:val="24"/>
        </w:rPr>
        <w:t xml:space="preserve"> con lo previsto en el artículo 25 del Acuerdo 80 de 2019</w:t>
      </w:r>
      <w:r w:rsidRPr="00735B1A">
        <w:rPr>
          <w:sz w:val="24"/>
          <w:szCs w:val="24"/>
          <w:vertAlign w:val="superscript"/>
        </w:rPr>
        <w:footnoteReference w:id="3"/>
      </w:r>
      <w:r w:rsidRPr="00735B1A">
        <w:rPr>
          <w:sz w:val="24"/>
          <w:szCs w:val="24"/>
        </w:rPr>
        <w:t>, proferido por la Sala Plena del Consejo de Estado, </w:t>
      </w:r>
      <w:r w:rsidRPr="00735B1A">
        <w:rPr>
          <w:b/>
          <w:bCs/>
          <w:sz w:val="24"/>
          <w:szCs w:val="24"/>
        </w:rPr>
        <w:t>sométase</w:t>
      </w:r>
      <w:r>
        <w:rPr>
          <w:b/>
          <w:bCs/>
          <w:sz w:val="24"/>
          <w:szCs w:val="24"/>
        </w:rPr>
        <w:t xml:space="preserve"> a reparto </w:t>
      </w:r>
      <w:r>
        <w:rPr>
          <w:bCs/>
          <w:sz w:val="24"/>
          <w:szCs w:val="24"/>
        </w:rPr>
        <w:t xml:space="preserve">la impugnación, </w:t>
      </w:r>
      <w:r>
        <w:rPr>
          <w:b/>
          <w:bCs/>
          <w:sz w:val="24"/>
          <w:szCs w:val="24"/>
        </w:rPr>
        <w:t xml:space="preserve">comuníquese </w:t>
      </w:r>
      <w:r>
        <w:rPr>
          <w:bCs/>
          <w:sz w:val="24"/>
          <w:szCs w:val="24"/>
        </w:rPr>
        <w:t xml:space="preserve">a las partes y </w:t>
      </w:r>
      <w:r>
        <w:rPr>
          <w:b/>
          <w:bCs/>
          <w:sz w:val="24"/>
          <w:szCs w:val="24"/>
        </w:rPr>
        <w:t>remítase</w:t>
      </w:r>
      <w:r>
        <w:rPr>
          <w:bCs/>
          <w:sz w:val="24"/>
          <w:szCs w:val="24"/>
        </w:rPr>
        <w:t xml:space="preserve"> el expediente al despacho que corresponda.</w:t>
      </w:r>
    </w:p>
    <w:p w14:paraId="1F47D158" w14:textId="77777777" w:rsidR="00644243" w:rsidRPr="00735B1A" w:rsidRDefault="00644243" w:rsidP="00644243">
      <w:pPr>
        <w:spacing w:line="276" w:lineRule="auto"/>
        <w:rPr>
          <w:sz w:val="24"/>
          <w:szCs w:val="24"/>
          <w:lang w:val="es-ES_tradnl"/>
        </w:rPr>
      </w:pPr>
    </w:p>
    <w:p w14:paraId="2136DADD" w14:textId="77777777" w:rsidR="00644243" w:rsidRPr="00735B1A" w:rsidRDefault="00644243" w:rsidP="00644243">
      <w:pPr>
        <w:spacing w:line="276" w:lineRule="auto"/>
        <w:rPr>
          <w:sz w:val="24"/>
          <w:szCs w:val="24"/>
          <w:lang w:val="es-ES_tradnl"/>
        </w:rPr>
      </w:pPr>
      <w:r w:rsidRPr="00735B1A">
        <w:rPr>
          <w:b/>
          <w:bCs/>
          <w:sz w:val="24"/>
          <w:szCs w:val="24"/>
        </w:rPr>
        <w:t>Notifíquese y cúmplase</w:t>
      </w:r>
      <w:r w:rsidRPr="00735B1A">
        <w:rPr>
          <w:sz w:val="24"/>
          <w:szCs w:val="24"/>
          <w:lang w:val="es-ES_tradnl"/>
        </w:rPr>
        <w:t> </w:t>
      </w:r>
    </w:p>
    <w:p w14:paraId="5077051C" w14:textId="77777777" w:rsidR="00644243" w:rsidRPr="00204935" w:rsidRDefault="00644243" w:rsidP="00644243">
      <w:pPr>
        <w:spacing w:line="276" w:lineRule="auto"/>
        <w:rPr>
          <w:b/>
          <w:bCs/>
          <w:sz w:val="24"/>
          <w:szCs w:val="24"/>
        </w:rPr>
      </w:pPr>
    </w:p>
    <w:p w14:paraId="5C874A0F" w14:textId="77777777" w:rsidR="00644243" w:rsidRDefault="00644243" w:rsidP="00644243">
      <w:pPr>
        <w:spacing w:line="276" w:lineRule="auto"/>
        <w:rPr>
          <w:b/>
          <w:bCs/>
          <w:sz w:val="24"/>
          <w:szCs w:val="24"/>
        </w:rPr>
      </w:pPr>
    </w:p>
    <w:p w14:paraId="4D310601" w14:textId="77777777" w:rsidR="00644243" w:rsidRPr="00735B1A" w:rsidRDefault="00644243" w:rsidP="00644243">
      <w:pPr>
        <w:spacing w:line="276" w:lineRule="auto"/>
        <w:rPr>
          <w:b/>
          <w:bCs/>
          <w:sz w:val="24"/>
          <w:szCs w:val="24"/>
        </w:rPr>
      </w:pPr>
    </w:p>
    <w:p w14:paraId="6CC0250F" w14:textId="77777777" w:rsidR="00644243" w:rsidRPr="00735B1A" w:rsidRDefault="00644243" w:rsidP="00644243">
      <w:pPr>
        <w:spacing w:line="276" w:lineRule="auto"/>
        <w:jc w:val="center"/>
        <w:rPr>
          <w:sz w:val="24"/>
          <w:szCs w:val="24"/>
          <w:lang w:val="es-ES_tradnl"/>
        </w:rPr>
      </w:pPr>
      <w:r w:rsidRPr="00735B1A">
        <w:rPr>
          <w:b/>
          <w:bCs/>
          <w:sz w:val="24"/>
          <w:szCs w:val="24"/>
        </w:rPr>
        <w:t>JAIME ENRIQUE RODRÍGUEZ NAVAS</w:t>
      </w:r>
    </w:p>
    <w:p w14:paraId="474716EB" w14:textId="77DEAB2E" w:rsidR="00644243" w:rsidRPr="00644243" w:rsidRDefault="00644243" w:rsidP="00644243">
      <w:pPr>
        <w:spacing w:line="276" w:lineRule="auto"/>
        <w:jc w:val="center"/>
        <w:rPr>
          <w:b/>
          <w:bCs/>
          <w:sz w:val="24"/>
          <w:szCs w:val="24"/>
        </w:rPr>
      </w:pPr>
      <w:r w:rsidRPr="00735B1A">
        <w:rPr>
          <w:b/>
          <w:bCs/>
          <w:sz w:val="24"/>
          <w:szCs w:val="24"/>
        </w:rPr>
        <w:t>Magistrado</w:t>
      </w:r>
    </w:p>
    <w:p w14:paraId="7ACBD487" w14:textId="78A52DB5" w:rsidR="00644243" w:rsidRDefault="00644243" w:rsidP="00644243"/>
    <w:p w14:paraId="73D783E5" w14:textId="2DEBCDDF" w:rsidR="00644243" w:rsidRDefault="00644243" w:rsidP="00644243"/>
    <w:p w14:paraId="4A45AA38" w14:textId="77777777" w:rsidR="00644243" w:rsidRDefault="00644243" w:rsidP="00644243"/>
    <w:p w14:paraId="40D93AD0" w14:textId="77777777" w:rsidR="008F23E1" w:rsidRDefault="008F23E1"/>
    <w:sectPr w:rsidR="008F23E1" w:rsidSect="00186CB3">
      <w:headerReference w:type="default" r:id="rId9"/>
      <w:footerReference w:type="default" r:id="rId10"/>
      <w:headerReference w:type="first" r:id="rId11"/>
      <w:footerReference w:type="first" r:id="rId12"/>
      <w:pgSz w:w="12242" w:h="18722" w:code="14"/>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B7F6D" w14:textId="77777777" w:rsidR="00E31B8E" w:rsidRDefault="00E31B8E" w:rsidP="00644243">
      <w:r>
        <w:separator/>
      </w:r>
    </w:p>
  </w:endnote>
  <w:endnote w:type="continuationSeparator" w:id="0">
    <w:p w14:paraId="46EBEF64" w14:textId="77777777" w:rsidR="00E31B8E" w:rsidRDefault="00E31B8E" w:rsidP="0064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4176" w14:textId="77777777" w:rsidR="00650284" w:rsidRPr="008C0DBE" w:rsidRDefault="00465733" w:rsidP="00394A69">
    <w:pPr>
      <w:pStyle w:val="Piedepgina"/>
      <w:jc w:val="center"/>
      <w:rPr>
        <w:color w:val="767171"/>
        <w:sz w:val="20"/>
        <w:szCs w:val="20"/>
      </w:rPr>
    </w:pPr>
    <w:r w:rsidRPr="008C0DBE">
      <w:rPr>
        <w:color w:val="767171"/>
        <w:sz w:val="20"/>
        <w:szCs w:val="20"/>
      </w:rPr>
      <w:t>Calle 12 No. 7-65 – Tel: (57-1) 350-6700 – Bogotá D.C. – Colombia</w:t>
    </w:r>
  </w:p>
  <w:p w14:paraId="3559F767" w14:textId="77777777" w:rsidR="00650284" w:rsidRDefault="00465733" w:rsidP="00394A69">
    <w:pPr>
      <w:pStyle w:val="Piedepgina"/>
      <w:jc w:val="center"/>
      <w:rPr>
        <w:color w:val="767171"/>
        <w:sz w:val="20"/>
        <w:szCs w:val="20"/>
      </w:rPr>
    </w:pPr>
    <w:r w:rsidRPr="008C0DBE">
      <w:rPr>
        <w:color w:val="767171"/>
        <w:sz w:val="20"/>
        <w:szCs w:val="20"/>
      </w:rPr>
      <w:t>www.consejodeestado.gov.co</w:t>
    </w:r>
  </w:p>
  <w:p w14:paraId="5774F259" w14:textId="77777777" w:rsidR="00650284" w:rsidRPr="008C0DBE" w:rsidRDefault="00E31B8E"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B347" w14:textId="77777777" w:rsidR="00650284" w:rsidRPr="008C0DBE" w:rsidRDefault="00465733" w:rsidP="00F91B32">
    <w:pPr>
      <w:pStyle w:val="Piedepgina"/>
      <w:jc w:val="center"/>
      <w:rPr>
        <w:color w:val="767171"/>
        <w:sz w:val="20"/>
        <w:szCs w:val="20"/>
      </w:rPr>
    </w:pPr>
    <w:r w:rsidRPr="008C0DBE">
      <w:rPr>
        <w:color w:val="767171"/>
        <w:sz w:val="20"/>
        <w:szCs w:val="20"/>
      </w:rPr>
      <w:t>Calle 12 No. 7-65 – Tel: (57-1) 350-6700 – Bogotá D.C. – Colombia</w:t>
    </w:r>
  </w:p>
  <w:p w14:paraId="6AEC9770" w14:textId="77777777" w:rsidR="00650284" w:rsidRPr="008C0DBE" w:rsidRDefault="00465733" w:rsidP="00F91B32">
    <w:pPr>
      <w:pStyle w:val="Piedepgina"/>
      <w:jc w:val="center"/>
      <w:rPr>
        <w:color w:val="767171"/>
        <w:sz w:val="20"/>
        <w:szCs w:val="20"/>
      </w:rPr>
    </w:pPr>
    <w:r w:rsidRPr="008C0DBE">
      <w:rPr>
        <w:color w:val="767171"/>
        <w:sz w:val="20"/>
        <w:szCs w:val="20"/>
      </w:rPr>
      <w:t>www.consejodeestado.gov.co</w:t>
    </w:r>
  </w:p>
  <w:p w14:paraId="117A8C37" w14:textId="77777777" w:rsidR="00650284" w:rsidRDefault="00E31B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3A220" w14:textId="77777777" w:rsidR="00E31B8E" w:rsidRDefault="00E31B8E" w:rsidP="00644243">
      <w:r>
        <w:separator/>
      </w:r>
    </w:p>
  </w:footnote>
  <w:footnote w:type="continuationSeparator" w:id="0">
    <w:p w14:paraId="46B953AD" w14:textId="77777777" w:rsidR="00E31B8E" w:rsidRDefault="00E31B8E" w:rsidP="00644243">
      <w:r>
        <w:continuationSeparator/>
      </w:r>
    </w:p>
  </w:footnote>
  <w:footnote w:id="1">
    <w:p w14:paraId="53AA5022" w14:textId="416C304E" w:rsidR="00644243" w:rsidRPr="00A929E3" w:rsidRDefault="00644243" w:rsidP="00644243">
      <w:pPr>
        <w:rPr>
          <w:rFonts w:ascii="Times New Roman" w:eastAsia="Times New Roman" w:hAnsi="Times New Roman" w:cs="Times New Roman"/>
          <w:color w:val="000000"/>
          <w:lang w:eastAsia="en-US"/>
        </w:rPr>
      </w:pPr>
      <w:r w:rsidRPr="00A929E3">
        <w:rPr>
          <w:rStyle w:val="Refdenotaalpie"/>
        </w:rPr>
        <w:footnoteRef/>
      </w:r>
      <w:r w:rsidRPr="00A929E3">
        <w:t xml:space="preserve"> </w:t>
      </w:r>
      <w:r w:rsidRPr="00A929E3">
        <w:rPr>
          <w:rFonts w:eastAsia="Times New Roman"/>
          <w:color w:val="000000"/>
          <w:lang w:eastAsia="en-US"/>
        </w:rPr>
        <w:t>ARTÍCULO 31. “</w:t>
      </w:r>
      <w:r w:rsidRPr="00A929E3">
        <w:rPr>
          <w:rFonts w:eastAsia="Times New Roman"/>
          <w:color w:val="000000"/>
          <w:lang w:val="es-MX" w:eastAsia="en-US"/>
        </w:rPr>
        <w:t>I</w:t>
      </w:r>
      <w:r w:rsidR="00E576BE" w:rsidRPr="00A929E3">
        <w:rPr>
          <w:rFonts w:eastAsia="Times New Roman"/>
          <w:color w:val="000000"/>
          <w:lang w:eastAsia="en-US"/>
        </w:rPr>
        <w:t>impugnación</w:t>
      </w:r>
      <w:r w:rsidRPr="00A929E3">
        <w:rPr>
          <w:rFonts w:eastAsia="Times New Roman"/>
          <w:color w:val="000000"/>
          <w:lang w:eastAsia="en-US"/>
        </w:rPr>
        <w:t xml:space="preserve"> del fallo. Dentro de los tres días siguientes a su notificación el fallo podrá ser impugnado por el Defensor del Pueblo, el solicitante, la autoridad pública o el representante del órgano correspondiente, sin perjuicio de su cumplimiento inmediato”.</w:t>
      </w:r>
    </w:p>
  </w:footnote>
  <w:footnote w:id="2">
    <w:p w14:paraId="47D1088F" w14:textId="23855169" w:rsidR="00644243" w:rsidRPr="00A929E3" w:rsidRDefault="00644243" w:rsidP="00644243">
      <w:pPr>
        <w:rPr>
          <w:rFonts w:ascii="Times New Roman" w:eastAsia="Times New Roman" w:hAnsi="Times New Roman" w:cs="Times New Roman"/>
          <w:color w:val="000000"/>
          <w:lang w:eastAsia="en-US"/>
        </w:rPr>
      </w:pPr>
      <w:r w:rsidRPr="00A929E3">
        <w:rPr>
          <w:rStyle w:val="Refdenotaalpie"/>
        </w:rPr>
        <w:footnoteRef/>
      </w:r>
      <w:r w:rsidRPr="00A929E3">
        <w:t xml:space="preserve"> </w:t>
      </w:r>
      <w:r w:rsidRPr="00A929E3">
        <w:rPr>
          <w:rFonts w:eastAsia="Times New Roman"/>
          <w:color w:val="000000"/>
          <w:lang w:eastAsia="en-US"/>
        </w:rPr>
        <w:t xml:space="preserve">ARTÍCULO 32. </w:t>
      </w:r>
      <w:r w:rsidRPr="00A929E3">
        <w:rPr>
          <w:rFonts w:eastAsia="Times New Roman"/>
          <w:color w:val="000000"/>
          <w:lang w:eastAsia="en-US"/>
        </w:rPr>
        <w:t>“</w:t>
      </w:r>
      <w:r w:rsidRPr="00A929E3">
        <w:rPr>
          <w:rFonts w:eastAsia="Times New Roman"/>
          <w:color w:val="000000"/>
          <w:lang w:val="es-MX" w:eastAsia="en-US"/>
        </w:rPr>
        <w:t>T</w:t>
      </w:r>
      <w:proofErr w:type="spellStart"/>
      <w:r w:rsidRPr="00A929E3">
        <w:rPr>
          <w:rFonts w:eastAsia="Times New Roman"/>
          <w:color w:val="000000"/>
          <w:lang w:eastAsia="en-US"/>
        </w:rPr>
        <w:t>r</w:t>
      </w:r>
      <w:r w:rsidR="00E576BE">
        <w:rPr>
          <w:rFonts w:eastAsia="Times New Roman"/>
          <w:color w:val="000000"/>
          <w:lang w:eastAsia="en-US"/>
        </w:rPr>
        <w:t>á</w:t>
      </w:r>
      <w:r w:rsidRPr="00A929E3">
        <w:rPr>
          <w:rFonts w:eastAsia="Times New Roman"/>
          <w:color w:val="000000"/>
          <w:lang w:eastAsia="en-US"/>
        </w:rPr>
        <w:t>mite</w:t>
      </w:r>
      <w:proofErr w:type="spellEnd"/>
      <w:r w:rsidRPr="00A929E3">
        <w:rPr>
          <w:rFonts w:eastAsia="Times New Roman"/>
          <w:color w:val="000000"/>
          <w:lang w:eastAsia="en-US"/>
        </w:rPr>
        <w:t xml:space="preserve"> de la </w:t>
      </w:r>
      <w:r w:rsidR="00E576BE" w:rsidRPr="00A929E3">
        <w:rPr>
          <w:rFonts w:eastAsia="Times New Roman"/>
          <w:color w:val="000000"/>
          <w:lang w:eastAsia="en-US"/>
        </w:rPr>
        <w:t>impugnación</w:t>
      </w:r>
      <w:r w:rsidRPr="00A929E3">
        <w:rPr>
          <w:rFonts w:eastAsia="Times New Roman"/>
          <w:color w:val="000000"/>
          <w:lang w:eastAsia="en-US"/>
        </w:rPr>
        <w:t>. Presentada debidamente la impugnación el juez remitirá el expediente dentro de los dos días siguientes al superior jerárquico correspondiente”.</w:t>
      </w:r>
    </w:p>
  </w:footnote>
  <w:footnote w:id="3">
    <w:p w14:paraId="3942387B" w14:textId="77777777" w:rsidR="00644243" w:rsidRPr="007C423F" w:rsidRDefault="00644243" w:rsidP="00644243">
      <w:pPr>
        <w:pStyle w:val="Textonotapie"/>
        <w:rPr>
          <w:szCs w:val="16"/>
        </w:rPr>
      </w:pPr>
      <w:r w:rsidRPr="007C423F">
        <w:rPr>
          <w:rStyle w:val="Refdenotaalpie"/>
          <w:szCs w:val="16"/>
        </w:rPr>
        <w:footnoteRef/>
      </w:r>
      <w:r w:rsidRPr="007C423F">
        <w:rPr>
          <w:szCs w:val="16"/>
        </w:rPr>
        <w:t xml:space="preserve"> ARTÍCULO. 25. “Asuntos relacionados con las acciones de tutela, de cumplimiento, populares y de grupo.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w:t>
      </w:r>
    </w:p>
    <w:p w14:paraId="3C7D9B0E" w14:textId="77777777" w:rsidR="00644243" w:rsidRPr="007C423F" w:rsidRDefault="00644243" w:rsidP="00644243">
      <w:pPr>
        <w:pStyle w:val="Textonotapie"/>
        <w:rPr>
          <w:szCs w:val="16"/>
        </w:rPr>
      </w:pPr>
      <w:r w:rsidRPr="007C423F">
        <w:rPr>
          <w:szCs w:val="16"/>
        </w:rPr>
        <w:t>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39B22FCB" w14:textId="77777777" w:rsidR="00644243" w:rsidRPr="00D73724" w:rsidRDefault="00644243" w:rsidP="00644243">
      <w:pPr>
        <w:pStyle w:val="Textonotapie"/>
        <w:rPr>
          <w:sz w:val="18"/>
          <w:szCs w:val="18"/>
        </w:rPr>
      </w:pPr>
      <w:r w:rsidRPr="00B22A09">
        <w:rPr>
          <w:color w:val="000000"/>
          <w:szCs w:val="16"/>
        </w:rPr>
        <w:t>PARÁGRAFO.</w:t>
      </w:r>
      <w:r w:rsidRPr="007C423F">
        <w:rPr>
          <w:szCs w:val="16"/>
        </w:rPr>
        <w:t xml:space="preserve"> El reparto lo hará el secretario general del Consejo de Estado y, tratándose de tutelas contra providencias de la corporación, en el reparto no se tendrán en cuenta los magistrados que integran la sección o subsección accionada o que haya decidido en primera instancia, según el caso”.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5212" w14:textId="77777777" w:rsidR="00650284" w:rsidRPr="00A15ACE" w:rsidRDefault="00465733">
    <w:pPr>
      <w:pStyle w:val="Encabezado"/>
    </w:pPr>
    <w:r>
      <w:rPr>
        <w:noProof/>
      </w:rPr>
      <w:drawing>
        <wp:anchor distT="0" distB="0" distL="114300" distR="114300" simplePos="0" relativeHeight="251660288" behindDoc="0" locked="0" layoutInCell="1" allowOverlap="1" wp14:anchorId="3652B950" wp14:editId="1E9BF8DF">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92F6A" w14:textId="77777777" w:rsidR="00650284" w:rsidRPr="00A15ACE" w:rsidRDefault="00E31B8E">
    <w:pPr>
      <w:pStyle w:val="Encabezado"/>
    </w:pPr>
  </w:p>
  <w:p w14:paraId="0E5CDC2A" w14:textId="77777777" w:rsidR="00650284" w:rsidRPr="00A15ACE" w:rsidRDefault="00465733">
    <w:pPr>
      <w:pStyle w:val="Encabezado"/>
    </w:pPr>
    <w:r w:rsidRPr="0070023E">
      <w:rPr>
        <w:noProof/>
        <w:sz w:val="20"/>
        <w:szCs w:val="20"/>
        <w:lang w:eastAsia="es-ES"/>
      </w:rPr>
      <mc:AlternateContent>
        <mc:Choice Requires="wps">
          <w:drawing>
            <wp:anchor distT="0" distB="0" distL="114300" distR="114300" simplePos="0" relativeHeight="251659264" behindDoc="0" locked="0" layoutInCell="1" allowOverlap="1" wp14:anchorId="60A74F70" wp14:editId="0D9F6005">
              <wp:simplePos x="0" y="0"/>
              <wp:positionH relativeFrom="column">
                <wp:posOffset>1379855</wp:posOffset>
              </wp:positionH>
              <wp:positionV relativeFrom="paragraph">
                <wp:posOffset>60325</wp:posOffset>
              </wp:positionV>
              <wp:extent cx="5400040" cy="0"/>
              <wp:effectExtent l="17780" t="22225" r="20955" b="158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59169D4" id="_x0000_t32" coordsize="21600,21600" o:spt="32" o:oned="t" path="m,l21600,21600e" filled="f">
              <v:path arrowok="t" fillok="f" o:connecttype="none"/>
              <o:lock v:ext="edit" shapetype="t"/>
            </v:shapetype>
            <v:shape id="Conector recto de flecha 2" o:spid="_x0000_s1026" type="#_x0000_t3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" strokeweight="2.25pt">
              <v:shadow color="#1f3763" opacity=".5" offset="1pt"/>
            </v:shape>
          </w:pict>
        </mc:Fallback>
      </mc:AlternateContent>
    </w:r>
  </w:p>
  <w:p w14:paraId="1B76E4E4" w14:textId="0CC83F6A" w:rsidR="00650284" w:rsidRPr="00F532EA" w:rsidRDefault="00465733" w:rsidP="0054069D">
    <w:pPr>
      <w:pStyle w:val="Encabezado"/>
      <w:jc w:val="right"/>
      <w:rPr>
        <w:color w:val="767171"/>
        <w:sz w:val="20"/>
        <w:szCs w:val="20"/>
      </w:rPr>
    </w:pPr>
    <w:r w:rsidRPr="00F532EA">
      <w:rPr>
        <w:color w:val="767171"/>
        <w:sz w:val="20"/>
        <w:szCs w:val="20"/>
      </w:rPr>
      <w:t xml:space="preserve">Radicado: </w:t>
    </w:r>
    <w:r w:rsidR="00644243" w:rsidRPr="00644243">
      <w:rPr>
        <w:bCs/>
        <w:color w:val="767171"/>
        <w:sz w:val="20"/>
        <w:szCs w:val="20"/>
      </w:rPr>
      <w:t>11001-03-15-000-2021-03415-00</w:t>
    </w:r>
  </w:p>
  <w:p w14:paraId="3B37CA0F" w14:textId="584205A0" w:rsidR="00650284" w:rsidRPr="00F532EA" w:rsidRDefault="00465733" w:rsidP="0054069D">
    <w:pPr>
      <w:pStyle w:val="Encabezado"/>
      <w:jc w:val="right"/>
      <w:rPr>
        <w:color w:val="767171"/>
        <w:sz w:val="20"/>
        <w:szCs w:val="20"/>
      </w:rPr>
    </w:pPr>
    <w:r w:rsidRPr="00F532EA">
      <w:rPr>
        <w:color w:val="767171"/>
        <w:sz w:val="20"/>
        <w:szCs w:val="20"/>
      </w:rPr>
      <w:tab/>
    </w:r>
    <w:r w:rsidRPr="00F532EA">
      <w:rPr>
        <w:color w:val="767171"/>
        <w:sz w:val="20"/>
        <w:szCs w:val="20"/>
      </w:rPr>
      <w:tab/>
      <w:t>Demandante</w:t>
    </w:r>
    <w:r>
      <w:rPr>
        <w:color w:val="767171"/>
        <w:sz w:val="20"/>
        <w:szCs w:val="20"/>
      </w:rPr>
      <w:t xml:space="preserve">: </w:t>
    </w:r>
    <w:r w:rsidR="00644243">
      <w:rPr>
        <w:color w:val="767171"/>
        <w:sz w:val="20"/>
        <w:szCs w:val="20"/>
      </w:rPr>
      <w:t>Wilman Rivas Tovar y otras personas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C2D3" w14:textId="77777777" w:rsidR="00650284" w:rsidRPr="00A15ACE" w:rsidRDefault="00465733" w:rsidP="00F1441F">
    <w:pPr>
      <w:pStyle w:val="Encabezado"/>
    </w:pPr>
    <w:r>
      <w:rPr>
        <w:noProof/>
      </w:rPr>
      <w:drawing>
        <wp:anchor distT="0" distB="0" distL="114300" distR="114300" simplePos="0" relativeHeight="251661312" behindDoc="0" locked="0" layoutInCell="1" allowOverlap="1" wp14:anchorId="36335B9C" wp14:editId="6B4E478F">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1006D" w14:textId="77777777" w:rsidR="00650284" w:rsidRPr="00A15ACE" w:rsidRDefault="00E31B8E" w:rsidP="00F1441F">
    <w:pPr>
      <w:pStyle w:val="Encabezado"/>
      <w:rPr>
        <w:color w:val="767171"/>
      </w:rPr>
    </w:pPr>
  </w:p>
  <w:p w14:paraId="44AA4564" w14:textId="77777777" w:rsidR="00650284" w:rsidRPr="007F276C" w:rsidRDefault="00465733" w:rsidP="007F276C">
    <w:pPr>
      <w:pStyle w:val="Sinespaciado"/>
    </w:pPr>
    <w:r w:rsidRPr="007F276C">
      <w:t>CONSEJO DE ESTADO</w:t>
    </w:r>
  </w:p>
  <w:p w14:paraId="5334E777" w14:textId="77777777" w:rsidR="00650284" w:rsidRPr="007F276C" w:rsidRDefault="00465733" w:rsidP="007F276C">
    <w:pPr>
      <w:pStyle w:val="Sinespaciado"/>
    </w:pPr>
    <w:r w:rsidRPr="007F276C">
      <w:t>SALA DE LO CONTENCIOSO ADMINISTRATIVO</w:t>
    </w:r>
  </w:p>
  <w:p w14:paraId="2FA0ADC7" w14:textId="77777777" w:rsidR="00650284" w:rsidRPr="007F276C" w:rsidRDefault="00465733" w:rsidP="007F276C">
    <w:pPr>
      <w:pStyle w:val="Sinespaciado"/>
    </w:pPr>
    <w:r w:rsidRPr="007F276C">
      <w:t>SECCIÓN TERCERA – SUBSECCIÓN C</w:t>
    </w:r>
  </w:p>
  <w:p w14:paraId="42377433" w14:textId="77777777" w:rsidR="00650284" w:rsidRDefault="00E31B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43"/>
    <w:rsid w:val="001922E8"/>
    <w:rsid w:val="00270B10"/>
    <w:rsid w:val="00290A10"/>
    <w:rsid w:val="00465733"/>
    <w:rsid w:val="0049014B"/>
    <w:rsid w:val="005945E4"/>
    <w:rsid w:val="005C0320"/>
    <w:rsid w:val="00644243"/>
    <w:rsid w:val="008F23E1"/>
    <w:rsid w:val="00A9201E"/>
    <w:rsid w:val="00B9234F"/>
    <w:rsid w:val="00BB5B64"/>
    <w:rsid w:val="00C92B29"/>
    <w:rsid w:val="00DD1AAE"/>
    <w:rsid w:val="00E31B8E"/>
    <w:rsid w:val="00E576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A6D7D"/>
  <w15:chartTrackingRefBased/>
  <w15:docId w15:val="{21FCFAF4-8EDE-4625-B50D-A8E7F129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243"/>
    <w:pPr>
      <w:spacing w:after="0" w:line="240" w:lineRule="auto"/>
      <w:jc w:val="both"/>
    </w:pPr>
    <w:rPr>
      <w:rFonts w:ascii="Arial" w:eastAsia="Calibri" w:hAnsi="Arial" w:cs="Arial"/>
      <w:sz w:val="16"/>
      <w:szCs w:val="1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4243"/>
    <w:pPr>
      <w:tabs>
        <w:tab w:val="center" w:pos="4252"/>
        <w:tab w:val="right" w:pos="8504"/>
      </w:tabs>
    </w:pPr>
  </w:style>
  <w:style w:type="character" w:customStyle="1" w:styleId="EncabezadoCar">
    <w:name w:val="Encabezado Car"/>
    <w:basedOn w:val="Fuentedeprrafopredeter"/>
    <w:link w:val="Encabezado"/>
    <w:uiPriority w:val="99"/>
    <w:rsid w:val="00644243"/>
    <w:rPr>
      <w:rFonts w:ascii="Arial" w:eastAsia="Calibri" w:hAnsi="Arial" w:cs="Arial"/>
      <w:sz w:val="16"/>
      <w:szCs w:val="16"/>
      <w:lang w:eastAsia="es-ES_tradnl"/>
    </w:rPr>
  </w:style>
  <w:style w:type="paragraph" w:styleId="Piedepgina">
    <w:name w:val="footer"/>
    <w:basedOn w:val="Normal"/>
    <w:link w:val="PiedepginaCar"/>
    <w:uiPriority w:val="99"/>
    <w:unhideWhenUsed/>
    <w:rsid w:val="00644243"/>
    <w:pPr>
      <w:tabs>
        <w:tab w:val="center" w:pos="4252"/>
        <w:tab w:val="right" w:pos="8504"/>
      </w:tabs>
    </w:pPr>
  </w:style>
  <w:style w:type="character" w:customStyle="1" w:styleId="PiedepginaCar">
    <w:name w:val="Pie de página Car"/>
    <w:basedOn w:val="Fuentedeprrafopredeter"/>
    <w:link w:val="Piedepgina"/>
    <w:uiPriority w:val="99"/>
    <w:rsid w:val="00644243"/>
    <w:rPr>
      <w:rFonts w:ascii="Arial" w:eastAsia="Calibri" w:hAnsi="Arial" w:cs="Arial"/>
      <w:sz w:val="16"/>
      <w:szCs w:val="16"/>
      <w:lang w:eastAsia="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644243"/>
    <w:rPr>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rsid w:val="00644243"/>
    <w:rPr>
      <w:rFonts w:ascii="Arial" w:eastAsia="Calibri" w:hAnsi="Arial" w:cs="Arial"/>
      <w:sz w:val="16"/>
      <w:szCs w:val="20"/>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64424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644243"/>
    <w:rPr>
      <w:rFonts w:asciiTheme="minorHAnsi" w:eastAsiaTheme="minorHAnsi" w:hAnsiTheme="minorHAnsi" w:cstheme="minorBidi"/>
      <w:sz w:val="22"/>
      <w:szCs w:val="22"/>
      <w:vertAlign w:val="superscript"/>
      <w:lang w:eastAsia="en-US"/>
    </w:rPr>
  </w:style>
  <w:style w:type="paragraph" w:styleId="Sinespaciado">
    <w:name w:val="No Spacing"/>
    <w:aliases w:val="Encabezado1"/>
    <w:link w:val="SinespaciadoCar"/>
    <w:autoRedefine/>
    <w:uiPriority w:val="1"/>
    <w:qFormat/>
    <w:rsid w:val="00644243"/>
    <w:pPr>
      <w:spacing w:after="0" w:line="240" w:lineRule="auto"/>
      <w:jc w:val="center"/>
    </w:pPr>
    <w:rPr>
      <w:rFonts w:ascii="Arial" w:eastAsia="Calibri" w:hAnsi="Arial" w:cs="Arial"/>
      <w:b/>
      <w:caps/>
      <w:color w:val="000000"/>
      <w:sz w:val="24"/>
      <w:szCs w:val="16"/>
      <w:lang w:eastAsia="es-ES_tradnl"/>
    </w:rPr>
  </w:style>
  <w:style w:type="character" w:customStyle="1" w:styleId="SinespaciadoCar">
    <w:name w:val="Sin espaciado Car"/>
    <w:aliases w:val="Encabezado1 Car"/>
    <w:link w:val="Sinespaciado"/>
    <w:uiPriority w:val="1"/>
    <w:rsid w:val="00644243"/>
    <w:rPr>
      <w:rFonts w:ascii="Arial" w:eastAsia="Calibri" w:hAnsi="Arial" w:cs="Arial"/>
      <w:b/>
      <w:caps/>
      <w:color w:val="000000"/>
      <w:sz w:val="24"/>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d2f3569f73648359b35a1bf7aa60412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cbe63898402eac64fbdf95f41f1676f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C5160-9EF8-43DA-ADA4-89B21D56F6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1D3608-53C1-46B9-AF01-14337C87454C}">
  <ds:schemaRefs>
    <ds:schemaRef ds:uri="http://schemas.microsoft.com/sharepoint/v3/contenttype/forms"/>
  </ds:schemaRefs>
</ds:datastoreItem>
</file>

<file path=customXml/itemProps3.xml><?xml version="1.0" encoding="utf-8"?>
<ds:datastoreItem xmlns:ds="http://schemas.openxmlformats.org/officeDocument/2006/customXml" ds:itemID="{43315A07-3920-4038-B81B-19FAD929B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Mar Otero Gonzalez</dc:creator>
  <cp:keywords/>
  <dc:description/>
  <cp:lastModifiedBy>Sonia Jaimes Valencia</cp:lastModifiedBy>
  <cp:revision>2</cp:revision>
  <dcterms:created xsi:type="dcterms:W3CDTF">2022-03-07T21:51:00Z</dcterms:created>
  <dcterms:modified xsi:type="dcterms:W3CDTF">2022-03-07T21:51:00Z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