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BC35F" w14:textId="77777777" w:rsidR="00E94F80" w:rsidRDefault="00E94F80" w:rsidP="00290C45">
      <w:pPr>
        <w:pStyle w:val="Ttulo3"/>
        <w:spacing w:line="276" w:lineRule="auto"/>
        <w:rPr>
          <w:rFonts w:cs="Arial"/>
          <w:color w:val="auto"/>
        </w:rPr>
      </w:pPr>
    </w:p>
    <w:p w14:paraId="6E430ED7" w14:textId="77777777" w:rsidR="00096400" w:rsidRPr="00233FE5" w:rsidRDefault="00096400" w:rsidP="00290C45">
      <w:pPr>
        <w:pStyle w:val="Ttulo3"/>
        <w:spacing w:line="276" w:lineRule="auto"/>
        <w:rPr>
          <w:rFonts w:cs="Arial"/>
          <w:color w:val="auto"/>
        </w:rPr>
      </w:pPr>
      <w:r w:rsidRPr="00233FE5">
        <w:rPr>
          <w:rFonts w:cs="Arial"/>
          <w:color w:val="auto"/>
        </w:rPr>
        <w:t xml:space="preserve">Consejero Ponente: NICOLÁS YEPES CORRALES </w:t>
      </w:r>
    </w:p>
    <w:p w14:paraId="1D9D4DB6" w14:textId="77777777" w:rsidR="00096400" w:rsidRPr="00233FE5" w:rsidRDefault="00096400" w:rsidP="00290C45">
      <w:pPr>
        <w:pStyle w:val="Lista"/>
        <w:spacing w:line="276" w:lineRule="auto"/>
        <w:ind w:left="0" w:firstLine="0"/>
        <w:rPr>
          <w:sz w:val="24"/>
          <w:szCs w:val="24"/>
        </w:rPr>
      </w:pPr>
    </w:p>
    <w:p w14:paraId="36BAFF7B" w14:textId="77777777" w:rsidR="00096400" w:rsidRPr="00233FE5" w:rsidRDefault="00096400" w:rsidP="00290C45">
      <w:pPr>
        <w:pStyle w:val="Lista"/>
        <w:spacing w:line="276" w:lineRule="auto"/>
        <w:rPr>
          <w:sz w:val="24"/>
          <w:szCs w:val="24"/>
        </w:rPr>
      </w:pPr>
      <w:r w:rsidRPr="007D07B2">
        <w:rPr>
          <w:sz w:val="24"/>
          <w:szCs w:val="24"/>
        </w:rPr>
        <w:t>Bogotá D.</w:t>
      </w:r>
      <w:r w:rsidR="00807AFF" w:rsidRPr="007D07B2">
        <w:rPr>
          <w:sz w:val="24"/>
          <w:szCs w:val="24"/>
        </w:rPr>
        <w:t>C.</w:t>
      </w:r>
      <w:r w:rsidR="00F607F3" w:rsidRPr="007D07B2">
        <w:rPr>
          <w:sz w:val="24"/>
          <w:szCs w:val="24"/>
        </w:rPr>
        <w:t>,</w:t>
      </w:r>
      <w:r w:rsidR="001522C8">
        <w:rPr>
          <w:sz w:val="24"/>
          <w:szCs w:val="24"/>
        </w:rPr>
        <w:t xml:space="preserve"> </w:t>
      </w:r>
      <w:r w:rsidR="004618EC">
        <w:rPr>
          <w:sz w:val="24"/>
          <w:szCs w:val="24"/>
        </w:rPr>
        <w:t>dieciocho</w:t>
      </w:r>
      <w:r w:rsidR="00F464F2">
        <w:rPr>
          <w:sz w:val="24"/>
          <w:szCs w:val="24"/>
        </w:rPr>
        <w:t xml:space="preserve"> </w:t>
      </w:r>
      <w:r w:rsidRPr="007D07B2">
        <w:rPr>
          <w:sz w:val="24"/>
          <w:szCs w:val="24"/>
        </w:rPr>
        <w:t>(</w:t>
      </w:r>
      <w:r w:rsidR="004618EC">
        <w:rPr>
          <w:sz w:val="24"/>
          <w:szCs w:val="24"/>
        </w:rPr>
        <w:t>18</w:t>
      </w:r>
      <w:r w:rsidRPr="007D07B2">
        <w:rPr>
          <w:sz w:val="24"/>
          <w:szCs w:val="24"/>
        </w:rPr>
        <w:t>) de</w:t>
      </w:r>
      <w:r w:rsidRPr="00233FE5">
        <w:rPr>
          <w:sz w:val="24"/>
          <w:szCs w:val="24"/>
        </w:rPr>
        <w:t xml:space="preserve"> </w:t>
      </w:r>
      <w:r w:rsidR="00F95426">
        <w:rPr>
          <w:sz w:val="24"/>
          <w:szCs w:val="24"/>
        </w:rPr>
        <w:t>febrero</w:t>
      </w:r>
      <w:r w:rsidR="00F607F3" w:rsidRPr="00233FE5">
        <w:rPr>
          <w:sz w:val="24"/>
          <w:szCs w:val="24"/>
        </w:rPr>
        <w:t xml:space="preserve"> de</w:t>
      </w:r>
      <w:r w:rsidR="00807AFF" w:rsidRPr="00233FE5">
        <w:rPr>
          <w:sz w:val="24"/>
          <w:szCs w:val="24"/>
        </w:rPr>
        <w:t xml:space="preserve"> </w:t>
      </w:r>
      <w:r w:rsidRPr="00233FE5">
        <w:rPr>
          <w:sz w:val="24"/>
          <w:szCs w:val="24"/>
        </w:rPr>
        <w:t>dos mil veint</w:t>
      </w:r>
      <w:r w:rsidR="00E971AD">
        <w:rPr>
          <w:sz w:val="24"/>
          <w:szCs w:val="24"/>
        </w:rPr>
        <w:t>i</w:t>
      </w:r>
      <w:r w:rsidR="00672000">
        <w:rPr>
          <w:sz w:val="24"/>
          <w:szCs w:val="24"/>
        </w:rPr>
        <w:t>dós</w:t>
      </w:r>
      <w:r w:rsidRPr="00233FE5">
        <w:rPr>
          <w:sz w:val="24"/>
          <w:szCs w:val="24"/>
        </w:rPr>
        <w:t xml:space="preserve"> (202</w:t>
      </w:r>
      <w:r w:rsidR="00672000">
        <w:rPr>
          <w:sz w:val="24"/>
          <w:szCs w:val="24"/>
        </w:rPr>
        <w:t>2</w:t>
      </w:r>
      <w:r w:rsidRPr="00233FE5">
        <w:rPr>
          <w:sz w:val="24"/>
          <w:szCs w:val="24"/>
        </w:rPr>
        <w:t>)</w:t>
      </w:r>
    </w:p>
    <w:p w14:paraId="3EE7ECA6" w14:textId="77777777" w:rsidR="00096400" w:rsidRPr="00233FE5" w:rsidRDefault="00096400" w:rsidP="00535EB6">
      <w:pPr>
        <w:pStyle w:val="Sinespaciado1"/>
        <w:spacing w:line="360" w:lineRule="auto"/>
        <w:rPr>
          <w:rFonts w:ascii="Arial" w:hAnsi="Arial" w:cs="Arial"/>
          <w:b/>
        </w:rPr>
      </w:pPr>
    </w:p>
    <w:p w14:paraId="626E6369" w14:textId="77777777" w:rsidR="00F95426" w:rsidRDefault="001522C8" w:rsidP="00644508">
      <w:pPr>
        <w:pStyle w:val="Sinespaciado1"/>
        <w:jc w:val="both"/>
        <w:rPr>
          <w:rFonts w:ascii="Arial" w:hAnsi="Arial" w:cs="Arial"/>
        </w:rPr>
      </w:pPr>
      <w:r w:rsidRPr="001522C8">
        <w:rPr>
          <w:rFonts w:ascii="Arial" w:hAnsi="Arial" w:cs="Arial"/>
          <w:b/>
        </w:rPr>
        <w:t xml:space="preserve">Radicación: </w:t>
      </w:r>
      <w:bookmarkStart w:id="0" w:name="_GoBack"/>
      <w:r w:rsidR="00F95426" w:rsidRPr="00F95426">
        <w:rPr>
          <w:rFonts w:ascii="Arial" w:hAnsi="Arial" w:cs="Arial"/>
        </w:rPr>
        <w:t xml:space="preserve">11001-03-15-000-2022-00037-00 </w:t>
      </w:r>
    </w:p>
    <w:bookmarkEnd w:id="0"/>
    <w:p w14:paraId="3FE89B72" w14:textId="77777777" w:rsidR="00644508" w:rsidRDefault="001522C8" w:rsidP="00644508">
      <w:pPr>
        <w:pStyle w:val="Sinespaciado1"/>
        <w:jc w:val="both"/>
        <w:rPr>
          <w:rFonts w:ascii="Arial" w:hAnsi="Arial" w:cs="Arial"/>
        </w:rPr>
      </w:pPr>
      <w:r w:rsidRPr="001522C8">
        <w:rPr>
          <w:rFonts w:ascii="Arial" w:hAnsi="Arial" w:cs="Arial"/>
          <w:b/>
        </w:rPr>
        <w:t xml:space="preserve">Accionante: </w:t>
      </w:r>
      <w:r w:rsidR="00F95426" w:rsidRPr="00F95426">
        <w:rPr>
          <w:rFonts w:ascii="Arial" w:hAnsi="Arial" w:cs="Arial"/>
        </w:rPr>
        <w:t>Empresa de Telecomunicaciones de Bogotá S.A. E.S.P.</w:t>
      </w:r>
    </w:p>
    <w:p w14:paraId="59A03842" w14:textId="77777777" w:rsidR="00F95426" w:rsidRDefault="001522C8" w:rsidP="00644508">
      <w:pPr>
        <w:pStyle w:val="Sinespaciado1"/>
        <w:jc w:val="both"/>
        <w:rPr>
          <w:rFonts w:ascii="Arial" w:hAnsi="Arial" w:cs="Arial"/>
          <w:b/>
        </w:rPr>
      </w:pPr>
      <w:r w:rsidRPr="001522C8">
        <w:rPr>
          <w:rFonts w:ascii="Arial" w:hAnsi="Arial" w:cs="Arial"/>
          <w:b/>
        </w:rPr>
        <w:t>Accionado</w:t>
      </w:r>
      <w:r w:rsidR="00644508">
        <w:rPr>
          <w:rFonts w:ascii="Arial" w:hAnsi="Arial" w:cs="Arial"/>
          <w:b/>
        </w:rPr>
        <w:t>s</w:t>
      </w:r>
      <w:r w:rsidRPr="001522C8">
        <w:rPr>
          <w:rFonts w:ascii="Arial" w:hAnsi="Arial" w:cs="Arial"/>
          <w:b/>
        </w:rPr>
        <w:t xml:space="preserve">: </w:t>
      </w:r>
      <w:r w:rsidR="00F95426" w:rsidRPr="00F95426">
        <w:rPr>
          <w:rFonts w:ascii="Arial" w:hAnsi="Arial" w:cs="Arial"/>
        </w:rPr>
        <w:t>Subsección A de la Sección Tercera del Tribunal Administrativo de Cundinamarca y Subsección B de la Sección Tercera del Consejo de Estado</w:t>
      </w:r>
    </w:p>
    <w:p w14:paraId="729B1FA1" w14:textId="77777777" w:rsidR="00096400" w:rsidRPr="00233FE5" w:rsidRDefault="00096400" w:rsidP="00644508">
      <w:pPr>
        <w:pStyle w:val="Sinespaciado1"/>
        <w:jc w:val="both"/>
        <w:rPr>
          <w:rFonts w:ascii="Arial" w:hAnsi="Arial" w:cs="Arial"/>
        </w:rPr>
      </w:pPr>
      <w:r w:rsidRPr="00233FE5">
        <w:rPr>
          <w:rFonts w:ascii="Arial" w:hAnsi="Arial" w:cs="Arial"/>
          <w:b/>
        </w:rPr>
        <w:t xml:space="preserve">Asunto: </w:t>
      </w:r>
      <w:r w:rsidRPr="00233FE5">
        <w:rPr>
          <w:rFonts w:ascii="Arial" w:hAnsi="Arial" w:cs="Arial"/>
        </w:rPr>
        <w:t xml:space="preserve">Acción de tutela – </w:t>
      </w:r>
      <w:r w:rsidR="00EA6692" w:rsidRPr="00233FE5">
        <w:rPr>
          <w:rFonts w:ascii="Arial" w:hAnsi="Arial" w:cs="Arial"/>
        </w:rPr>
        <w:t>Primera</w:t>
      </w:r>
      <w:r w:rsidRPr="00233FE5">
        <w:rPr>
          <w:rFonts w:ascii="Arial" w:hAnsi="Arial" w:cs="Arial"/>
        </w:rPr>
        <w:t xml:space="preserve"> instancia</w:t>
      </w:r>
    </w:p>
    <w:p w14:paraId="441953A8" w14:textId="77777777" w:rsidR="006E5A50" w:rsidRPr="00233FE5" w:rsidRDefault="006E5A50" w:rsidP="00535EB6">
      <w:pPr>
        <w:pStyle w:val="Sinespaciado"/>
        <w:spacing w:line="360" w:lineRule="auto"/>
        <w:ind w:right="50"/>
        <w:rPr>
          <w:rFonts w:ascii="Arial" w:hAnsi="Arial" w:cs="Arial"/>
          <w:b/>
          <w:sz w:val="24"/>
          <w:szCs w:val="24"/>
        </w:rPr>
      </w:pPr>
    </w:p>
    <w:p w14:paraId="1AAB2ABA" w14:textId="77777777" w:rsidR="00096400" w:rsidRPr="006F0F3A" w:rsidRDefault="00807AFF" w:rsidP="00401BFA">
      <w:pPr>
        <w:pStyle w:val="Sinespaciado"/>
        <w:ind w:right="50"/>
        <w:jc w:val="both"/>
        <w:rPr>
          <w:rFonts w:ascii="Arial" w:hAnsi="Arial" w:cs="Arial"/>
          <w:color w:val="000000"/>
          <w:sz w:val="24"/>
          <w:szCs w:val="24"/>
        </w:rPr>
      </w:pPr>
      <w:r w:rsidRPr="00887D25">
        <w:rPr>
          <w:rFonts w:ascii="Arial" w:hAnsi="Arial" w:cs="Arial"/>
          <w:b/>
          <w:sz w:val="24"/>
          <w:szCs w:val="24"/>
        </w:rPr>
        <w:t xml:space="preserve">Tema: </w:t>
      </w:r>
      <w:r w:rsidRPr="00887D25">
        <w:rPr>
          <w:rFonts w:ascii="Arial" w:hAnsi="Arial" w:cs="Arial"/>
          <w:sz w:val="24"/>
          <w:szCs w:val="24"/>
        </w:rPr>
        <w:t xml:space="preserve">Acción de tutela </w:t>
      </w:r>
      <w:r w:rsidR="00E33FC4" w:rsidRPr="00887D25">
        <w:rPr>
          <w:rFonts w:ascii="Arial" w:hAnsi="Arial" w:cs="Arial"/>
          <w:sz w:val="24"/>
          <w:szCs w:val="24"/>
        </w:rPr>
        <w:t xml:space="preserve">en </w:t>
      </w:r>
      <w:r w:rsidRPr="00887D25">
        <w:rPr>
          <w:rFonts w:ascii="Arial" w:hAnsi="Arial" w:cs="Arial"/>
          <w:sz w:val="24"/>
          <w:szCs w:val="24"/>
        </w:rPr>
        <w:t xml:space="preserve">contra </w:t>
      </w:r>
      <w:r w:rsidR="00E33FC4" w:rsidRPr="00887D25">
        <w:rPr>
          <w:rFonts w:ascii="Arial" w:hAnsi="Arial" w:cs="Arial"/>
          <w:sz w:val="24"/>
          <w:szCs w:val="24"/>
        </w:rPr>
        <w:t xml:space="preserve">de </w:t>
      </w:r>
      <w:r w:rsidRPr="00887D25">
        <w:rPr>
          <w:rFonts w:ascii="Arial" w:hAnsi="Arial" w:cs="Arial"/>
          <w:sz w:val="24"/>
          <w:szCs w:val="24"/>
        </w:rPr>
        <w:t>providencia judicial</w:t>
      </w:r>
      <w:r w:rsidR="00370E81" w:rsidRPr="00887D25">
        <w:rPr>
          <w:rFonts w:ascii="Arial" w:hAnsi="Arial" w:cs="Arial"/>
          <w:sz w:val="24"/>
          <w:szCs w:val="24"/>
        </w:rPr>
        <w:t>.</w:t>
      </w:r>
      <w:r w:rsidR="00401BFA" w:rsidRPr="00887D25">
        <w:rPr>
          <w:rFonts w:ascii="Arial" w:hAnsi="Arial" w:cs="Arial"/>
          <w:sz w:val="24"/>
          <w:szCs w:val="24"/>
        </w:rPr>
        <w:t xml:space="preserve"> </w:t>
      </w:r>
      <w:r w:rsidRPr="00887D25">
        <w:rPr>
          <w:rFonts w:ascii="Arial" w:hAnsi="Arial" w:cs="Arial"/>
          <w:b/>
          <w:sz w:val="24"/>
          <w:szCs w:val="24"/>
        </w:rPr>
        <w:t>Subtema</w:t>
      </w:r>
      <w:r w:rsidR="00F461EE" w:rsidRPr="00887D25">
        <w:rPr>
          <w:rFonts w:ascii="Arial" w:hAnsi="Arial" w:cs="Arial"/>
          <w:b/>
          <w:sz w:val="24"/>
          <w:szCs w:val="24"/>
        </w:rPr>
        <w:t xml:space="preserve">: </w:t>
      </w:r>
      <w:r w:rsidR="0062734D" w:rsidRPr="00887D25">
        <w:rPr>
          <w:rFonts w:ascii="Arial" w:hAnsi="Arial" w:cs="Arial"/>
          <w:sz w:val="24"/>
          <w:szCs w:val="24"/>
        </w:rPr>
        <w:t>Requisitos generales de procedibilidad de la acción de tute</w:t>
      </w:r>
      <w:r w:rsidR="00887D25">
        <w:rPr>
          <w:rFonts w:ascii="Arial" w:hAnsi="Arial" w:cs="Arial"/>
          <w:sz w:val="24"/>
          <w:szCs w:val="24"/>
        </w:rPr>
        <w:t>la – relevancia constitucional</w:t>
      </w:r>
      <w:r w:rsidR="0062734D" w:rsidRPr="00887D25">
        <w:rPr>
          <w:rFonts w:ascii="Arial" w:hAnsi="Arial" w:cs="Arial"/>
          <w:sz w:val="24"/>
          <w:szCs w:val="24"/>
        </w:rPr>
        <w:t xml:space="preserve">. </w:t>
      </w:r>
      <w:r w:rsidRPr="00887D25">
        <w:rPr>
          <w:rFonts w:ascii="Arial" w:hAnsi="Arial" w:cs="Arial"/>
          <w:b/>
          <w:sz w:val="24"/>
          <w:szCs w:val="24"/>
        </w:rPr>
        <w:t>Decisión:</w:t>
      </w:r>
      <w:r w:rsidR="00096400" w:rsidRPr="00887D25">
        <w:rPr>
          <w:rFonts w:ascii="Arial" w:hAnsi="Arial" w:cs="Arial"/>
          <w:b/>
          <w:bCs/>
          <w:color w:val="000000"/>
          <w:sz w:val="24"/>
          <w:szCs w:val="24"/>
        </w:rPr>
        <w:t xml:space="preserve"> </w:t>
      </w:r>
      <w:r w:rsidR="00096400" w:rsidRPr="00887D25">
        <w:rPr>
          <w:rFonts w:ascii="Arial" w:hAnsi="Arial" w:cs="Arial"/>
          <w:color w:val="000000"/>
          <w:sz w:val="24"/>
          <w:szCs w:val="24"/>
        </w:rPr>
        <w:t>Se</w:t>
      </w:r>
      <w:r w:rsidR="00EA6692" w:rsidRPr="00887D25">
        <w:rPr>
          <w:rFonts w:ascii="Arial" w:hAnsi="Arial" w:cs="Arial"/>
          <w:color w:val="000000"/>
          <w:sz w:val="24"/>
          <w:szCs w:val="24"/>
        </w:rPr>
        <w:t xml:space="preserve"> </w:t>
      </w:r>
      <w:r w:rsidR="00CC19A1" w:rsidRPr="00887D25">
        <w:rPr>
          <w:rFonts w:ascii="Arial" w:hAnsi="Arial" w:cs="Arial"/>
          <w:color w:val="000000"/>
          <w:sz w:val="24"/>
          <w:szCs w:val="24"/>
        </w:rPr>
        <w:t>declara improcedente la solicitud</w:t>
      </w:r>
      <w:r w:rsidR="00370E81" w:rsidRPr="00887D25">
        <w:rPr>
          <w:rFonts w:ascii="Arial" w:hAnsi="Arial" w:cs="Arial"/>
          <w:color w:val="000000"/>
          <w:sz w:val="24"/>
          <w:szCs w:val="24"/>
        </w:rPr>
        <w:t xml:space="preserve"> de amparo.</w:t>
      </w:r>
    </w:p>
    <w:p w14:paraId="3392DB1E" w14:textId="77777777" w:rsidR="006E5A50" w:rsidRPr="00233FE5" w:rsidRDefault="006E5A50" w:rsidP="00D10F0F">
      <w:pPr>
        <w:pStyle w:val="Sinespaciado1"/>
        <w:spacing w:line="360" w:lineRule="auto"/>
        <w:rPr>
          <w:rFonts w:ascii="Arial" w:hAnsi="Arial" w:cs="Arial"/>
        </w:rPr>
      </w:pPr>
    </w:p>
    <w:p w14:paraId="23ECD48F" w14:textId="77777777" w:rsidR="00096400" w:rsidRPr="00C87C65" w:rsidRDefault="00A87E37" w:rsidP="00D10F0F">
      <w:pPr>
        <w:pStyle w:val="Sinespaciado1"/>
        <w:spacing w:line="360" w:lineRule="auto"/>
        <w:jc w:val="both"/>
        <w:rPr>
          <w:rFonts w:ascii="Arial" w:hAnsi="Arial" w:cs="Arial"/>
        </w:rPr>
      </w:pPr>
      <w:r>
        <w:rPr>
          <w:rFonts w:ascii="Arial" w:hAnsi="Arial" w:cs="Arial"/>
        </w:rPr>
        <w:t>L</w:t>
      </w:r>
      <w:r w:rsidR="00096400" w:rsidRPr="00233FE5">
        <w:rPr>
          <w:rFonts w:ascii="Arial" w:hAnsi="Arial" w:cs="Arial"/>
        </w:rPr>
        <w:t>a Sala decide</w:t>
      </w:r>
      <w:r w:rsidR="00EA6692" w:rsidRPr="00233FE5">
        <w:rPr>
          <w:rFonts w:ascii="Arial" w:hAnsi="Arial" w:cs="Arial"/>
        </w:rPr>
        <w:t xml:space="preserve"> la acción de tutela </w:t>
      </w:r>
      <w:r w:rsidR="00BF10F6">
        <w:rPr>
          <w:rFonts w:ascii="Arial" w:hAnsi="Arial" w:cs="Arial"/>
        </w:rPr>
        <w:t>presentada por</w:t>
      </w:r>
      <w:r w:rsidR="004E0223">
        <w:rPr>
          <w:rFonts w:ascii="Arial" w:hAnsi="Arial" w:cs="Arial"/>
        </w:rPr>
        <w:t xml:space="preserve"> la</w:t>
      </w:r>
      <w:r w:rsidR="00AA1F0E">
        <w:rPr>
          <w:rFonts w:ascii="Arial" w:hAnsi="Arial" w:cs="Arial"/>
        </w:rPr>
        <w:t xml:space="preserve"> </w:t>
      </w:r>
      <w:r w:rsidR="004E0223" w:rsidRPr="004E0223">
        <w:rPr>
          <w:rFonts w:ascii="Arial" w:hAnsi="Arial" w:cs="Arial"/>
        </w:rPr>
        <w:t>Empresa de Telecomunicaciones de Bogotá S.A. E.S.P.</w:t>
      </w:r>
      <w:r w:rsidR="00B14284">
        <w:rPr>
          <w:rFonts w:ascii="Arial" w:hAnsi="Arial" w:cs="Arial"/>
        </w:rPr>
        <w:t xml:space="preserve"> </w:t>
      </w:r>
      <w:r w:rsidR="00096400" w:rsidRPr="00233FE5">
        <w:rPr>
          <w:rFonts w:ascii="Arial" w:hAnsi="Arial" w:cs="Arial"/>
        </w:rPr>
        <w:t>en contra</w:t>
      </w:r>
      <w:r w:rsidR="004E0223">
        <w:rPr>
          <w:rFonts w:ascii="Arial" w:hAnsi="Arial" w:cs="Arial"/>
        </w:rPr>
        <w:t xml:space="preserve"> de </w:t>
      </w:r>
      <w:r w:rsidR="004E0223" w:rsidRPr="004E0223">
        <w:rPr>
          <w:rFonts w:ascii="Arial" w:hAnsi="Arial" w:cs="Arial"/>
        </w:rPr>
        <w:t>la Subsección A de la Sección Tercera del Tribunal Administrativo de Cundinamarca y de la Subsección B de la Sección Tercera del Consejo de Estado</w:t>
      </w:r>
      <w:r w:rsidR="00C87C65">
        <w:rPr>
          <w:rFonts w:ascii="Arial" w:hAnsi="Arial" w:cs="Arial"/>
        </w:rPr>
        <w:t>.</w:t>
      </w:r>
    </w:p>
    <w:p w14:paraId="4FA33070" w14:textId="77777777" w:rsidR="00096400" w:rsidRPr="00233FE5" w:rsidRDefault="00096400" w:rsidP="00D10F0F">
      <w:pPr>
        <w:pStyle w:val="Sinespaciado"/>
        <w:spacing w:line="360" w:lineRule="auto"/>
        <w:jc w:val="center"/>
        <w:rPr>
          <w:rFonts w:ascii="Arial" w:hAnsi="Arial" w:cs="Arial"/>
          <w:b/>
          <w:sz w:val="24"/>
          <w:szCs w:val="24"/>
        </w:rPr>
      </w:pPr>
    </w:p>
    <w:p w14:paraId="42862542" w14:textId="77777777" w:rsidR="00096400" w:rsidRPr="00233FE5" w:rsidRDefault="00096400" w:rsidP="00D10F0F">
      <w:pPr>
        <w:pStyle w:val="Sinespaciado"/>
        <w:spacing w:line="360" w:lineRule="auto"/>
        <w:jc w:val="center"/>
        <w:rPr>
          <w:rFonts w:ascii="Arial" w:hAnsi="Arial" w:cs="Arial"/>
          <w:b/>
          <w:sz w:val="24"/>
          <w:szCs w:val="24"/>
        </w:rPr>
      </w:pPr>
      <w:r w:rsidRPr="00233FE5">
        <w:rPr>
          <w:rFonts w:ascii="Arial" w:hAnsi="Arial" w:cs="Arial"/>
          <w:b/>
          <w:sz w:val="24"/>
          <w:szCs w:val="24"/>
        </w:rPr>
        <w:t>I.- ANTECEDENTES</w:t>
      </w:r>
    </w:p>
    <w:p w14:paraId="2F503662" w14:textId="77777777" w:rsidR="00096400" w:rsidRPr="00233FE5" w:rsidRDefault="00096400" w:rsidP="00D10F0F">
      <w:pPr>
        <w:pStyle w:val="Sinespaciado"/>
        <w:spacing w:line="360" w:lineRule="auto"/>
        <w:jc w:val="both"/>
        <w:rPr>
          <w:rFonts w:ascii="Arial" w:hAnsi="Arial" w:cs="Arial"/>
          <w:b/>
          <w:sz w:val="24"/>
          <w:szCs w:val="24"/>
        </w:rPr>
      </w:pPr>
    </w:p>
    <w:p w14:paraId="33432C89" w14:textId="77777777" w:rsidR="00096400" w:rsidRPr="00233FE5" w:rsidRDefault="00806C93" w:rsidP="00D10F0F">
      <w:pPr>
        <w:pStyle w:val="Sinespaciado"/>
        <w:spacing w:line="360" w:lineRule="auto"/>
        <w:jc w:val="both"/>
        <w:rPr>
          <w:rFonts w:ascii="Arial" w:hAnsi="Arial" w:cs="Arial"/>
          <w:b/>
          <w:sz w:val="24"/>
          <w:szCs w:val="24"/>
        </w:rPr>
      </w:pPr>
      <w:r w:rsidRPr="00233FE5">
        <w:rPr>
          <w:rFonts w:ascii="Arial" w:hAnsi="Arial" w:cs="Arial"/>
          <w:b/>
          <w:sz w:val="24"/>
          <w:szCs w:val="24"/>
        </w:rPr>
        <w:t>1.</w:t>
      </w:r>
      <w:r w:rsidR="00096400" w:rsidRPr="00233FE5">
        <w:rPr>
          <w:rFonts w:ascii="Arial" w:hAnsi="Arial" w:cs="Arial"/>
          <w:b/>
          <w:sz w:val="24"/>
          <w:szCs w:val="24"/>
        </w:rPr>
        <w:t xml:space="preserve">- La solicitud de amparo </w:t>
      </w:r>
    </w:p>
    <w:p w14:paraId="331062EE" w14:textId="77777777" w:rsidR="00096400" w:rsidRDefault="00096400" w:rsidP="00D10F0F">
      <w:pPr>
        <w:pStyle w:val="Sinespaciado"/>
        <w:spacing w:line="360" w:lineRule="auto"/>
        <w:jc w:val="both"/>
        <w:rPr>
          <w:rFonts w:ascii="Arial" w:hAnsi="Arial" w:cs="Arial"/>
          <w:sz w:val="24"/>
          <w:szCs w:val="24"/>
        </w:rPr>
      </w:pPr>
    </w:p>
    <w:p w14:paraId="16B0122A" w14:textId="77777777" w:rsidR="006F0F3A" w:rsidRDefault="004E0223" w:rsidP="00D10F0F">
      <w:pPr>
        <w:pStyle w:val="Sinespaciado"/>
        <w:spacing w:line="360" w:lineRule="auto"/>
        <w:ind w:right="50"/>
        <w:jc w:val="both"/>
        <w:rPr>
          <w:rFonts w:ascii="Arial" w:hAnsi="Arial" w:cs="Arial"/>
          <w:sz w:val="24"/>
          <w:szCs w:val="24"/>
        </w:rPr>
      </w:pPr>
      <w:r>
        <w:rPr>
          <w:rFonts w:ascii="Arial" w:hAnsi="Arial" w:cs="Arial"/>
          <w:sz w:val="24"/>
          <w:szCs w:val="24"/>
        </w:rPr>
        <w:t>L</w:t>
      </w:r>
      <w:r w:rsidRPr="004E0223">
        <w:rPr>
          <w:rFonts w:ascii="Arial" w:hAnsi="Arial" w:cs="Arial"/>
          <w:sz w:val="24"/>
          <w:szCs w:val="24"/>
        </w:rPr>
        <w:t>a Empresa de Telecomunicaciones de Bogotá S.A. E.S.P., a través de apoderado judicial</w:t>
      </w:r>
      <w:r>
        <w:rPr>
          <w:rStyle w:val="Refdenotaalpie"/>
          <w:rFonts w:ascii="Arial" w:hAnsi="Arial" w:cs="Arial"/>
          <w:sz w:val="24"/>
          <w:szCs w:val="24"/>
        </w:rPr>
        <w:footnoteReference w:id="1"/>
      </w:r>
      <w:r w:rsidRPr="004E0223">
        <w:rPr>
          <w:rFonts w:ascii="Arial" w:hAnsi="Arial" w:cs="Arial"/>
          <w:sz w:val="24"/>
          <w:szCs w:val="24"/>
        </w:rPr>
        <w:t>,</w:t>
      </w:r>
      <w:r w:rsidR="005E5AB2" w:rsidRPr="00966988">
        <w:rPr>
          <w:rFonts w:ascii="Arial" w:hAnsi="Arial" w:cs="Arial"/>
          <w:sz w:val="24"/>
          <w:szCs w:val="24"/>
        </w:rPr>
        <w:t xml:space="preserve"> interpus</w:t>
      </w:r>
      <w:r w:rsidR="00C24C88" w:rsidRPr="00966988">
        <w:rPr>
          <w:rFonts w:ascii="Arial" w:hAnsi="Arial" w:cs="Arial"/>
          <w:sz w:val="24"/>
          <w:szCs w:val="24"/>
        </w:rPr>
        <w:t>o</w:t>
      </w:r>
      <w:r w:rsidR="00086976">
        <w:rPr>
          <w:rFonts w:ascii="Arial" w:hAnsi="Arial" w:cs="Arial"/>
          <w:sz w:val="24"/>
          <w:szCs w:val="24"/>
        </w:rPr>
        <w:t xml:space="preserve"> acción de tutela</w:t>
      </w:r>
      <w:r w:rsidR="00086976">
        <w:rPr>
          <w:rStyle w:val="Refdenotaalpie"/>
          <w:rFonts w:ascii="Arial" w:hAnsi="Arial" w:cs="Arial"/>
          <w:sz w:val="24"/>
          <w:szCs w:val="24"/>
        </w:rPr>
        <w:footnoteReference w:id="2"/>
      </w:r>
      <w:r w:rsidR="005E5AB2" w:rsidRPr="00AA74BD">
        <w:rPr>
          <w:rFonts w:ascii="Arial" w:hAnsi="Arial" w:cs="Arial"/>
          <w:sz w:val="24"/>
          <w:szCs w:val="24"/>
        </w:rPr>
        <w:t xml:space="preserve"> </w:t>
      </w:r>
      <w:bookmarkStart w:id="1" w:name="_Hlk92870870"/>
      <w:r w:rsidR="005E5AB2" w:rsidRPr="00AA74BD">
        <w:rPr>
          <w:rFonts w:ascii="Arial" w:hAnsi="Arial" w:cs="Arial"/>
          <w:sz w:val="24"/>
          <w:szCs w:val="24"/>
        </w:rPr>
        <w:t xml:space="preserve">en </w:t>
      </w:r>
      <w:r w:rsidR="005E5AB2">
        <w:rPr>
          <w:rFonts w:ascii="Arial" w:hAnsi="Arial" w:cs="Arial"/>
          <w:sz w:val="24"/>
          <w:szCs w:val="24"/>
        </w:rPr>
        <w:t xml:space="preserve">procura de la protección de su derecho </w:t>
      </w:r>
      <w:r w:rsidR="005E5AB2" w:rsidRPr="00600E1C">
        <w:rPr>
          <w:rFonts w:ascii="Arial" w:hAnsi="Arial" w:cs="Arial"/>
          <w:sz w:val="24"/>
          <w:szCs w:val="24"/>
        </w:rPr>
        <w:t xml:space="preserve">fundamental </w:t>
      </w:r>
      <w:r w:rsidR="00AC35CB">
        <w:rPr>
          <w:rFonts w:ascii="Arial" w:hAnsi="Arial" w:cs="Arial"/>
          <w:sz w:val="24"/>
          <w:szCs w:val="24"/>
        </w:rPr>
        <w:t xml:space="preserve">al debido </w:t>
      </w:r>
      <w:r w:rsidR="00AC35CB" w:rsidRPr="00AC35CB">
        <w:rPr>
          <w:rFonts w:ascii="Arial" w:hAnsi="Arial" w:cs="Arial"/>
          <w:sz w:val="24"/>
          <w:szCs w:val="24"/>
        </w:rPr>
        <w:t xml:space="preserve">proceso, </w:t>
      </w:r>
      <w:r>
        <w:rPr>
          <w:rFonts w:ascii="Arial" w:hAnsi="Arial" w:cs="Arial"/>
          <w:sz w:val="24"/>
          <w:szCs w:val="24"/>
        </w:rPr>
        <w:t>que estima transgredido</w:t>
      </w:r>
      <w:r w:rsidR="00C24C88" w:rsidRPr="00C24C88">
        <w:rPr>
          <w:rFonts w:ascii="Arial" w:hAnsi="Arial" w:cs="Arial"/>
          <w:sz w:val="24"/>
          <w:szCs w:val="24"/>
        </w:rPr>
        <w:t xml:space="preserve"> con </w:t>
      </w:r>
      <w:r w:rsidR="00F04DCD" w:rsidRPr="00F04DCD">
        <w:rPr>
          <w:rFonts w:ascii="Arial" w:hAnsi="Arial" w:cs="Arial"/>
          <w:sz w:val="24"/>
          <w:szCs w:val="24"/>
        </w:rPr>
        <w:t>las sentencias del</w:t>
      </w:r>
      <w:r w:rsidR="00AC35CB">
        <w:rPr>
          <w:rFonts w:ascii="Arial" w:hAnsi="Arial" w:cs="Arial"/>
          <w:sz w:val="24"/>
          <w:szCs w:val="24"/>
        </w:rPr>
        <w:t xml:space="preserve"> </w:t>
      </w:r>
      <w:r>
        <w:rPr>
          <w:rFonts w:ascii="Arial" w:hAnsi="Arial" w:cs="Arial"/>
          <w:sz w:val="24"/>
          <w:szCs w:val="24"/>
        </w:rPr>
        <w:t>5</w:t>
      </w:r>
      <w:r w:rsidR="00F04DCD" w:rsidRPr="00F04DCD">
        <w:rPr>
          <w:rFonts w:ascii="Arial" w:hAnsi="Arial" w:cs="Arial"/>
          <w:sz w:val="24"/>
          <w:szCs w:val="24"/>
        </w:rPr>
        <w:t xml:space="preserve"> de </w:t>
      </w:r>
      <w:r>
        <w:rPr>
          <w:rFonts w:ascii="Arial" w:hAnsi="Arial" w:cs="Arial"/>
          <w:sz w:val="24"/>
          <w:szCs w:val="24"/>
        </w:rPr>
        <w:t>octubre</w:t>
      </w:r>
      <w:r w:rsidR="00F04DCD" w:rsidRPr="00F04DCD">
        <w:rPr>
          <w:rFonts w:ascii="Arial" w:hAnsi="Arial" w:cs="Arial"/>
          <w:sz w:val="24"/>
          <w:szCs w:val="24"/>
        </w:rPr>
        <w:t xml:space="preserve"> de 20</w:t>
      </w:r>
      <w:r>
        <w:rPr>
          <w:rFonts w:ascii="Arial" w:hAnsi="Arial" w:cs="Arial"/>
          <w:sz w:val="24"/>
          <w:szCs w:val="24"/>
        </w:rPr>
        <w:t>16</w:t>
      </w:r>
      <w:r w:rsidR="00F04DCD" w:rsidRPr="00F04DCD">
        <w:rPr>
          <w:rFonts w:ascii="Arial" w:hAnsi="Arial" w:cs="Arial"/>
          <w:sz w:val="24"/>
          <w:szCs w:val="24"/>
        </w:rPr>
        <w:t xml:space="preserve"> de</w:t>
      </w:r>
      <w:r w:rsidR="0059074F">
        <w:rPr>
          <w:rFonts w:ascii="Arial" w:hAnsi="Arial" w:cs="Arial"/>
          <w:sz w:val="24"/>
          <w:szCs w:val="24"/>
        </w:rPr>
        <w:t xml:space="preserve"> </w:t>
      </w:r>
      <w:r w:rsidR="00F04DCD" w:rsidRPr="00F04DCD">
        <w:rPr>
          <w:rFonts w:ascii="Arial" w:hAnsi="Arial" w:cs="Arial"/>
          <w:sz w:val="24"/>
          <w:szCs w:val="24"/>
        </w:rPr>
        <w:t>l</w:t>
      </w:r>
      <w:r w:rsidR="0059074F">
        <w:rPr>
          <w:rFonts w:ascii="Arial" w:hAnsi="Arial" w:cs="Arial"/>
          <w:sz w:val="24"/>
          <w:szCs w:val="24"/>
        </w:rPr>
        <w:t xml:space="preserve">a </w:t>
      </w:r>
      <w:r w:rsidR="0059074F" w:rsidRPr="0059074F">
        <w:rPr>
          <w:rFonts w:ascii="Arial" w:hAnsi="Arial" w:cs="Arial"/>
          <w:sz w:val="24"/>
          <w:szCs w:val="24"/>
        </w:rPr>
        <w:t>Subsección A de la Sección Tercera del</w:t>
      </w:r>
      <w:r w:rsidR="00F04DCD" w:rsidRPr="00F04DCD">
        <w:rPr>
          <w:rFonts w:ascii="Arial" w:hAnsi="Arial" w:cs="Arial"/>
          <w:sz w:val="24"/>
          <w:szCs w:val="24"/>
        </w:rPr>
        <w:t xml:space="preserve"> </w:t>
      </w:r>
      <w:r w:rsidRPr="004E0223">
        <w:rPr>
          <w:rFonts w:ascii="Arial" w:hAnsi="Arial" w:cs="Arial"/>
          <w:sz w:val="24"/>
          <w:szCs w:val="24"/>
        </w:rPr>
        <w:t>Tribunal Administrativo de Cundinamarca</w:t>
      </w:r>
      <w:r w:rsidR="00AC35CB">
        <w:rPr>
          <w:rFonts w:ascii="Arial" w:hAnsi="Arial" w:cs="Arial"/>
          <w:sz w:val="24"/>
          <w:szCs w:val="24"/>
        </w:rPr>
        <w:t xml:space="preserve"> y del </w:t>
      </w:r>
      <w:r w:rsidRPr="004E0223">
        <w:rPr>
          <w:rFonts w:ascii="Arial" w:hAnsi="Arial" w:cs="Arial"/>
          <w:sz w:val="24"/>
          <w:szCs w:val="24"/>
        </w:rPr>
        <w:t>9 de julio de 2021</w:t>
      </w:r>
      <w:r>
        <w:rPr>
          <w:rFonts w:ascii="Arial" w:hAnsi="Arial" w:cs="Arial"/>
          <w:sz w:val="24"/>
          <w:szCs w:val="24"/>
        </w:rPr>
        <w:t xml:space="preserve"> </w:t>
      </w:r>
      <w:r w:rsidR="00AC35CB">
        <w:rPr>
          <w:rFonts w:ascii="Arial" w:hAnsi="Arial" w:cs="Arial"/>
          <w:sz w:val="24"/>
          <w:szCs w:val="24"/>
        </w:rPr>
        <w:t>de</w:t>
      </w:r>
      <w:r>
        <w:rPr>
          <w:rFonts w:ascii="Arial" w:hAnsi="Arial" w:cs="Arial"/>
          <w:sz w:val="24"/>
          <w:szCs w:val="24"/>
        </w:rPr>
        <w:t xml:space="preserve"> la </w:t>
      </w:r>
      <w:r w:rsidRPr="004E0223">
        <w:rPr>
          <w:rFonts w:ascii="Arial" w:hAnsi="Arial" w:cs="Arial"/>
          <w:sz w:val="24"/>
          <w:szCs w:val="24"/>
        </w:rPr>
        <w:t>Subsección B de la Sección Tercera del Consejo de Estado</w:t>
      </w:r>
      <w:r w:rsidR="00AC35CB">
        <w:rPr>
          <w:rFonts w:ascii="Arial" w:hAnsi="Arial" w:cs="Arial"/>
          <w:sz w:val="24"/>
          <w:szCs w:val="24"/>
        </w:rPr>
        <w:t xml:space="preserve">, </w:t>
      </w:r>
      <w:r w:rsidR="00C24C88" w:rsidRPr="00C24C88">
        <w:rPr>
          <w:rFonts w:ascii="Arial" w:hAnsi="Arial" w:cs="Arial"/>
          <w:sz w:val="24"/>
          <w:szCs w:val="24"/>
        </w:rPr>
        <w:t>proferida</w:t>
      </w:r>
      <w:r w:rsidR="00F04DCD">
        <w:rPr>
          <w:rFonts w:ascii="Arial" w:hAnsi="Arial" w:cs="Arial"/>
          <w:sz w:val="24"/>
          <w:szCs w:val="24"/>
        </w:rPr>
        <w:t xml:space="preserve">s </w:t>
      </w:r>
      <w:r w:rsidR="00F04DCD" w:rsidRPr="00F04DCD">
        <w:rPr>
          <w:rFonts w:ascii="Arial" w:hAnsi="Arial" w:cs="Arial"/>
          <w:sz w:val="24"/>
          <w:szCs w:val="24"/>
        </w:rPr>
        <w:t xml:space="preserve">en el </w:t>
      </w:r>
      <w:r w:rsidR="004F2E44">
        <w:rPr>
          <w:rFonts w:ascii="Arial" w:hAnsi="Arial" w:cs="Arial"/>
          <w:sz w:val="24"/>
          <w:szCs w:val="24"/>
        </w:rPr>
        <w:t>asunto</w:t>
      </w:r>
      <w:r w:rsidR="00F04DCD" w:rsidRPr="00F04DCD">
        <w:rPr>
          <w:rFonts w:ascii="Arial" w:hAnsi="Arial" w:cs="Arial"/>
          <w:sz w:val="24"/>
          <w:szCs w:val="24"/>
        </w:rPr>
        <w:t xml:space="preserve"> de </w:t>
      </w:r>
      <w:r>
        <w:rPr>
          <w:rFonts w:ascii="Arial" w:hAnsi="Arial" w:cs="Arial"/>
          <w:sz w:val="24"/>
          <w:szCs w:val="24"/>
        </w:rPr>
        <w:t>controversias contractuales</w:t>
      </w:r>
      <w:r w:rsidR="00F04DCD" w:rsidRPr="00F04DCD">
        <w:rPr>
          <w:rFonts w:ascii="Arial" w:hAnsi="Arial" w:cs="Arial"/>
          <w:sz w:val="24"/>
          <w:szCs w:val="24"/>
        </w:rPr>
        <w:t xml:space="preserve"> que</w:t>
      </w:r>
      <w:r w:rsidR="002A5214">
        <w:rPr>
          <w:rFonts w:ascii="Arial" w:hAnsi="Arial" w:cs="Arial"/>
          <w:sz w:val="24"/>
          <w:szCs w:val="24"/>
        </w:rPr>
        <w:t xml:space="preserve"> </w:t>
      </w:r>
      <w:r w:rsidR="00F04DCD" w:rsidRPr="00F04DCD">
        <w:rPr>
          <w:rFonts w:ascii="Arial" w:hAnsi="Arial" w:cs="Arial"/>
          <w:sz w:val="24"/>
          <w:szCs w:val="24"/>
        </w:rPr>
        <w:t xml:space="preserve">promovió en contra de </w:t>
      </w:r>
      <w:r>
        <w:rPr>
          <w:rFonts w:ascii="Arial" w:hAnsi="Arial" w:cs="Arial"/>
          <w:sz w:val="24"/>
          <w:szCs w:val="24"/>
        </w:rPr>
        <w:t>la Unidad Administrativa Especial Agencia Nacional de Contratación Pública –Colombia Compra Eficiente</w:t>
      </w:r>
      <w:r w:rsidR="002C322F">
        <w:rPr>
          <w:rFonts w:ascii="Arial" w:hAnsi="Arial" w:cs="Arial"/>
          <w:sz w:val="24"/>
          <w:szCs w:val="24"/>
        </w:rPr>
        <w:t>–</w:t>
      </w:r>
      <w:r>
        <w:rPr>
          <w:rFonts w:ascii="Arial" w:hAnsi="Arial" w:cs="Arial"/>
          <w:sz w:val="24"/>
          <w:szCs w:val="24"/>
        </w:rPr>
        <w:t xml:space="preserve">, </w:t>
      </w:r>
      <w:bookmarkEnd w:id="1"/>
      <w:r w:rsidR="00F04DCD" w:rsidRPr="00F04DCD">
        <w:rPr>
          <w:rFonts w:ascii="Arial" w:hAnsi="Arial" w:cs="Arial"/>
          <w:sz w:val="24"/>
          <w:szCs w:val="24"/>
        </w:rPr>
        <w:t xml:space="preserve">bajo el radicado No. </w:t>
      </w:r>
      <w:r w:rsidRPr="004E0223">
        <w:rPr>
          <w:rFonts w:ascii="Arial" w:hAnsi="Arial" w:cs="Arial"/>
          <w:sz w:val="24"/>
          <w:szCs w:val="24"/>
        </w:rPr>
        <w:t>25000</w:t>
      </w:r>
      <w:r>
        <w:rPr>
          <w:rFonts w:ascii="Arial" w:hAnsi="Arial" w:cs="Arial"/>
          <w:sz w:val="24"/>
          <w:szCs w:val="24"/>
        </w:rPr>
        <w:t>-</w:t>
      </w:r>
      <w:r w:rsidRPr="004E0223">
        <w:rPr>
          <w:rFonts w:ascii="Arial" w:hAnsi="Arial" w:cs="Arial"/>
          <w:sz w:val="24"/>
          <w:szCs w:val="24"/>
        </w:rPr>
        <w:t>23</w:t>
      </w:r>
      <w:r>
        <w:rPr>
          <w:rFonts w:ascii="Arial" w:hAnsi="Arial" w:cs="Arial"/>
          <w:sz w:val="24"/>
          <w:szCs w:val="24"/>
        </w:rPr>
        <w:t>-</w:t>
      </w:r>
      <w:r w:rsidRPr="004E0223">
        <w:rPr>
          <w:rFonts w:ascii="Arial" w:hAnsi="Arial" w:cs="Arial"/>
          <w:sz w:val="24"/>
          <w:szCs w:val="24"/>
        </w:rPr>
        <w:t>36</w:t>
      </w:r>
      <w:r>
        <w:rPr>
          <w:rFonts w:ascii="Arial" w:hAnsi="Arial" w:cs="Arial"/>
          <w:sz w:val="24"/>
          <w:szCs w:val="24"/>
        </w:rPr>
        <w:t>-</w:t>
      </w:r>
      <w:r w:rsidRPr="004E0223">
        <w:rPr>
          <w:rFonts w:ascii="Arial" w:hAnsi="Arial" w:cs="Arial"/>
          <w:sz w:val="24"/>
          <w:szCs w:val="24"/>
        </w:rPr>
        <w:t>000</w:t>
      </w:r>
      <w:r>
        <w:rPr>
          <w:rFonts w:ascii="Arial" w:hAnsi="Arial" w:cs="Arial"/>
          <w:sz w:val="24"/>
          <w:szCs w:val="24"/>
        </w:rPr>
        <w:t>-</w:t>
      </w:r>
      <w:r w:rsidRPr="004E0223">
        <w:rPr>
          <w:rFonts w:ascii="Arial" w:hAnsi="Arial" w:cs="Arial"/>
          <w:sz w:val="24"/>
          <w:szCs w:val="24"/>
        </w:rPr>
        <w:t>2015</w:t>
      </w:r>
      <w:r>
        <w:rPr>
          <w:rFonts w:ascii="Arial" w:hAnsi="Arial" w:cs="Arial"/>
          <w:sz w:val="24"/>
          <w:szCs w:val="24"/>
        </w:rPr>
        <w:t>-</w:t>
      </w:r>
      <w:r w:rsidRPr="004E0223">
        <w:rPr>
          <w:rFonts w:ascii="Arial" w:hAnsi="Arial" w:cs="Arial"/>
          <w:sz w:val="24"/>
          <w:szCs w:val="24"/>
        </w:rPr>
        <w:t>01918</w:t>
      </w:r>
      <w:r>
        <w:rPr>
          <w:rFonts w:ascii="Arial" w:hAnsi="Arial" w:cs="Arial"/>
          <w:sz w:val="24"/>
          <w:szCs w:val="24"/>
        </w:rPr>
        <w:t>-</w:t>
      </w:r>
      <w:r w:rsidRPr="004E0223">
        <w:rPr>
          <w:rFonts w:ascii="Arial" w:hAnsi="Arial" w:cs="Arial"/>
          <w:sz w:val="24"/>
          <w:szCs w:val="24"/>
        </w:rPr>
        <w:t>00/01</w:t>
      </w:r>
      <w:r w:rsidR="00F04DCD">
        <w:rPr>
          <w:rFonts w:ascii="Arial" w:hAnsi="Arial" w:cs="Arial"/>
          <w:sz w:val="24"/>
          <w:szCs w:val="24"/>
        </w:rPr>
        <w:t>.</w:t>
      </w:r>
    </w:p>
    <w:p w14:paraId="7BB59698" w14:textId="77777777" w:rsidR="00EA450C" w:rsidRDefault="00EA450C" w:rsidP="00C24C88">
      <w:pPr>
        <w:pStyle w:val="Sinespaciado"/>
        <w:spacing w:line="360" w:lineRule="auto"/>
        <w:jc w:val="both"/>
        <w:rPr>
          <w:rFonts w:ascii="Arial" w:hAnsi="Arial" w:cs="Arial"/>
          <w:b/>
          <w:sz w:val="24"/>
          <w:szCs w:val="24"/>
        </w:rPr>
      </w:pPr>
    </w:p>
    <w:p w14:paraId="005F2E0C" w14:textId="77777777" w:rsidR="004618EC" w:rsidRDefault="004618EC" w:rsidP="00C24C88">
      <w:pPr>
        <w:pStyle w:val="Sinespaciado"/>
        <w:spacing w:line="360" w:lineRule="auto"/>
        <w:jc w:val="both"/>
        <w:rPr>
          <w:rFonts w:ascii="Arial" w:hAnsi="Arial" w:cs="Arial"/>
          <w:b/>
          <w:sz w:val="24"/>
          <w:szCs w:val="24"/>
        </w:rPr>
      </w:pPr>
    </w:p>
    <w:p w14:paraId="5E763A54" w14:textId="77777777" w:rsidR="00C24C88" w:rsidRDefault="002755CD" w:rsidP="00C24C88">
      <w:pPr>
        <w:pStyle w:val="Sinespaciado"/>
        <w:spacing w:line="360" w:lineRule="auto"/>
        <w:jc w:val="both"/>
        <w:rPr>
          <w:rFonts w:ascii="Arial" w:hAnsi="Arial" w:cs="Arial"/>
          <w:b/>
          <w:sz w:val="24"/>
          <w:szCs w:val="24"/>
        </w:rPr>
      </w:pPr>
      <w:r w:rsidRPr="00233FE5">
        <w:rPr>
          <w:rFonts w:ascii="Arial" w:hAnsi="Arial" w:cs="Arial"/>
          <w:b/>
          <w:sz w:val="24"/>
          <w:szCs w:val="24"/>
        </w:rPr>
        <w:lastRenderedPageBreak/>
        <w:t>1.</w:t>
      </w:r>
      <w:r w:rsidR="00557BAC" w:rsidRPr="00233FE5">
        <w:rPr>
          <w:rFonts w:ascii="Arial" w:hAnsi="Arial" w:cs="Arial"/>
          <w:b/>
          <w:sz w:val="24"/>
          <w:szCs w:val="24"/>
        </w:rPr>
        <w:t>1</w:t>
      </w:r>
      <w:r w:rsidR="00096400" w:rsidRPr="00233FE5">
        <w:rPr>
          <w:rFonts w:ascii="Arial" w:hAnsi="Arial" w:cs="Arial"/>
          <w:b/>
          <w:sz w:val="24"/>
          <w:szCs w:val="24"/>
        </w:rPr>
        <w:t>.- Hechos</w:t>
      </w:r>
    </w:p>
    <w:p w14:paraId="78A89CA7" w14:textId="77777777" w:rsidR="00A80D99" w:rsidRDefault="00A80D99" w:rsidP="00FE6EB2">
      <w:pPr>
        <w:spacing w:after="0" w:line="360" w:lineRule="auto"/>
        <w:ind w:right="51"/>
        <w:jc w:val="both"/>
        <w:rPr>
          <w:rFonts w:ascii="Arial" w:hAnsi="Arial" w:cs="Arial"/>
          <w:sz w:val="24"/>
          <w:szCs w:val="24"/>
        </w:rPr>
      </w:pPr>
    </w:p>
    <w:p w14:paraId="778EAFB8" w14:textId="77777777" w:rsidR="00B97F4D" w:rsidRDefault="00CC62F9" w:rsidP="00F90A70">
      <w:pPr>
        <w:spacing w:after="0" w:line="360" w:lineRule="auto"/>
        <w:ind w:right="51"/>
        <w:jc w:val="both"/>
        <w:rPr>
          <w:rFonts w:ascii="Arial" w:hAnsi="Arial" w:cs="Arial"/>
          <w:sz w:val="24"/>
          <w:szCs w:val="24"/>
        </w:rPr>
      </w:pPr>
      <w:r>
        <w:rPr>
          <w:rFonts w:ascii="Arial" w:hAnsi="Arial" w:cs="Arial"/>
          <w:sz w:val="24"/>
          <w:szCs w:val="24"/>
        </w:rPr>
        <w:t>1.1.1.-</w:t>
      </w:r>
      <w:r w:rsidR="00572816">
        <w:rPr>
          <w:rFonts w:ascii="Arial" w:hAnsi="Arial" w:cs="Arial"/>
          <w:sz w:val="24"/>
          <w:szCs w:val="24"/>
        </w:rPr>
        <w:t xml:space="preserve"> El 8 de julio de 2014</w:t>
      </w:r>
      <w:r w:rsidR="004A73AD">
        <w:rPr>
          <w:rFonts w:ascii="Arial" w:hAnsi="Arial" w:cs="Arial"/>
          <w:sz w:val="24"/>
          <w:szCs w:val="24"/>
        </w:rPr>
        <w:t xml:space="preserve"> </w:t>
      </w:r>
      <w:r w:rsidR="00F90A70" w:rsidRPr="00F90A70">
        <w:rPr>
          <w:rFonts w:ascii="Arial" w:hAnsi="Arial" w:cs="Arial"/>
          <w:sz w:val="24"/>
          <w:szCs w:val="24"/>
        </w:rPr>
        <w:t xml:space="preserve">Colombia Compra Eficiente </w:t>
      </w:r>
      <w:r w:rsidR="00CE04A2">
        <w:rPr>
          <w:rFonts w:ascii="Arial" w:hAnsi="Arial" w:cs="Arial"/>
          <w:sz w:val="24"/>
          <w:szCs w:val="24"/>
        </w:rPr>
        <w:t>(en adelante CCE)</w:t>
      </w:r>
      <w:r w:rsidR="00F90A70" w:rsidRPr="00F90A70">
        <w:rPr>
          <w:rFonts w:ascii="Arial" w:hAnsi="Arial" w:cs="Arial"/>
          <w:sz w:val="24"/>
          <w:szCs w:val="24"/>
        </w:rPr>
        <w:t xml:space="preserve"> abrió el proceso de Licitación Pública No. LPAMP-014-2014</w:t>
      </w:r>
      <w:r w:rsidR="00CE04A2">
        <w:rPr>
          <w:rFonts w:ascii="Arial" w:hAnsi="Arial" w:cs="Arial"/>
          <w:sz w:val="24"/>
          <w:szCs w:val="24"/>
        </w:rPr>
        <w:t>,</w:t>
      </w:r>
      <w:r w:rsidR="00572816">
        <w:rPr>
          <w:rFonts w:ascii="Arial" w:hAnsi="Arial" w:cs="Arial"/>
          <w:sz w:val="24"/>
          <w:szCs w:val="24"/>
        </w:rPr>
        <w:t xml:space="preserve"> que tuvo por objeto adjudicar </w:t>
      </w:r>
      <w:r w:rsidR="00F90A70" w:rsidRPr="00F90A70">
        <w:rPr>
          <w:rFonts w:ascii="Arial" w:hAnsi="Arial" w:cs="Arial"/>
          <w:sz w:val="24"/>
          <w:szCs w:val="24"/>
        </w:rPr>
        <w:t>a distintos proveedores u</w:t>
      </w:r>
      <w:r w:rsidR="00CE04A2" w:rsidRPr="00F90A70">
        <w:rPr>
          <w:rFonts w:ascii="Arial" w:hAnsi="Arial" w:cs="Arial"/>
          <w:sz w:val="24"/>
          <w:szCs w:val="24"/>
        </w:rPr>
        <w:t>n acuerdo marco de</w:t>
      </w:r>
      <w:r w:rsidR="00CE04A2">
        <w:rPr>
          <w:rFonts w:ascii="Arial" w:hAnsi="Arial" w:cs="Arial"/>
          <w:sz w:val="24"/>
          <w:szCs w:val="24"/>
        </w:rPr>
        <w:t xml:space="preserve"> </w:t>
      </w:r>
      <w:r w:rsidR="00CE04A2" w:rsidRPr="00F90A70">
        <w:rPr>
          <w:rFonts w:ascii="Arial" w:hAnsi="Arial" w:cs="Arial"/>
          <w:sz w:val="24"/>
          <w:szCs w:val="24"/>
        </w:rPr>
        <w:t>pr</w:t>
      </w:r>
      <w:r w:rsidR="00CE04A2">
        <w:rPr>
          <w:rFonts w:ascii="Arial" w:hAnsi="Arial" w:cs="Arial"/>
          <w:sz w:val="24"/>
          <w:szCs w:val="24"/>
        </w:rPr>
        <w:t>ecios</w:t>
      </w:r>
      <w:r w:rsidR="0052114B">
        <w:rPr>
          <w:rFonts w:ascii="Arial" w:hAnsi="Arial" w:cs="Arial"/>
          <w:sz w:val="24"/>
          <w:szCs w:val="24"/>
        </w:rPr>
        <w:t>,</w:t>
      </w:r>
      <w:r w:rsidR="00CE04A2">
        <w:rPr>
          <w:rFonts w:ascii="Arial" w:hAnsi="Arial" w:cs="Arial"/>
          <w:sz w:val="24"/>
          <w:szCs w:val="24"/>
        </w:rPr>
        <w:t xml:space="preserve"> a efectos de prestar los s</w:t>
      </w:r>
      <w:r w:rsidR="00CE04A2" w:rsidRPr="00F90A70">
        <w:rPr>
          <w:rFonts w:ascii="Arial" w:hAnsi="Arial" w:cs="Arial"/>
          <w:sz w:val="24"/>
          <w:szCs w:val="24"/>
        </w:rPr>
        <w:t>ervicios de conectividad y centro de datos / nube privada.</w:t>
      </w:r>
    </w:p>
    <w:p w14:paraId="37F82C31" w14:textId="77777777" w:rsidR="00F90A70" w:rsidRDefault="00F90A70" w:rsidP="00F90A70">
      <w:pPr>
        <w:spacing w:after="0" w:line="360" w:lineRule="auto"/>
        <w:ind w:right="51"/>
        <w:jc w:val="both"/>
        <w:rPr>
          <w:rFonts w:ascii="Arial" w:hAnsi="Arial" w:cs="Arial"/>
          <w:sz w:val="24"/>
          <w:szCs w:val="24"/>
        </w:rPr>
      </w:pPr>
    </w:p>
    <w:p w14:paraId="6D461333" w14:textId="29C55BF8" w:rsidR="00A80D99" w:rsidRDefault="00B97F4D" w:rsidP="00CE04A2">
      <w:pPr>
        <w:spacing w:after="0" w:line="360" w:lineRule="auto"/>
        <w:ind w:right="51"/>
        <w:jc w:val="both"/>
        <w:rPr>
          <w:rFonts w:ascii="Arial" w:hAnsi="Arial" w:cs="Arial"/>
          <w:sz w:val="24"/>
          <w:szCs w:val="24"/>
        </w:rPr>
      </w:pPr>
      <w:r>
        <w:rPr>
          <w:rFonts w:ascii="Arial" w:hAnsi="Arial" w:cs="Arial"/>
          <w:sz w:val="24"/>
          <w:szCs w:val="24"/>
        </w:rPr>
        <w:t>1.1.2.-</w:t>
      </w:r>
      <w:r w:rsidR="00074BB7">
        <w:rPr>
          <w:rFonts w:ascii="Arial" w:hAnsi="Arial" w:cs="Arial"/>
          <w:sz w:val="24"/>
          <w:szCs w:val="24"/>
        </w:rPr>
        <w:t xml:space="preserve"> </w:t>
      </w:r>
      <w:r w:rsidR="00CE04A2" w:rsidRPr="00CE04A2">
        <w:rPr>
          <w:rFonts w:ascii="Arial" w:hAnsi="Arial" w:cs="Arial"/>
          <w:sz w:val="24"/>
          <w:szCs w:val="24"/>
        </w:rPr>
        <w:t>Los adjudicatarios de dicho proceso de selección fueron los siguientes oferentes:</w:t>
      </w:r>
      <w:r w:rsidR="00CE04A2">
        <w:rPr>
          <w:rFonts w:ascii="Arial" w:hAnsi="Arial" w:cs="Arial"/>
          <w:sz w:val="24"/>
          <w:szCs w:val="24"/>
        </w:rPr>
        <w:t xml:space="preserve"> </w:t>
      </w:r>
      <w:r w:rsidR="00CE04A2" w:rsidRPr="00CE04A2">
        <w:rPr>
          <w:rFonts w:ascii="Arial" w:hAnsi="Arial" w:cs="Arial"/>
          <w:sz w:val="24"/>
          <w:szCs w:val="24"/>
        </w:rPr>
        <w:t>i) Unión Temporal Claro,</w:t>
      </w:r>
      <w:r w:rsidR="00CE04A2">
        <w:rPr>
          <w:rFonts w:ascii="Arial" w:hAnsi="Arial" w:cs="Arial"/>
          <w:sz w:val="24"/>
          <w:szCs w:val="24"/>
        </w:rPr>
        <w:t xml:space="preserve"> </w:t>
      </w:r>
      <w:r w:rsidR="00CE04A2" w:rsidRPr="00CE04A2">
        <w:rPr>
          <w:rFonts w:ascii="Arial" w:hAnsi="Arial" w:cs="Arial"/>
          <w:sz w:val="24"/>
          <w:szCs w:val="24"/>
        </w:rPr>
        <w:t>ii) Unión Temporal S&amp;S,</w:t>
      </w:r>
      <w:r w:rsidR="00CE04A2">
        <w:rPr>
          <w:rFonts w:ascii="Arial" w:hAnsi="Arial" w:cs="Arial"/>
          <w:sz w:val="24"/>
          <w:szCs w:val="24"/>
        </w:rPr>
        <w:t xml:space="preserve"> </w:t>
      </w:r>
      <w:r w:rsidR="00CE04A2" w:rsidRPr="00CE04A2">
        <w:rPr>
          <w:rFonts w:ascii="Arial" w:hAnsi="Arial" w:cs="Arial"/>
          <w:sz w:val="24"/>
          <w:szCs w:val="24"/>
        </w:rPr>
        <w:t>iii) Consorcio Sonda Nube Privada,</w:t>
      </w:r>
      <w:r w:rsidR="00CE04A2">
        <w:rPr>
          <w:rFonts w:ascii="Arial" w:hAnsi="Arial" w:cs="Arial"/>
          <w:sz w:val="24"/>
          <w:szCs w:val="24"/>
        </w:rPr>
        <w:t xml:space="preserve"> </w:t>
      </w:r>
      <w:r w:rsidR="00CE04A2" w:rsidRPr="00CE04A2">
        <w:rPr>
          <w:rFonts w:ascii="Arial" w:hAnsi="Arial" w:cs="Arial"/>
          <w:sz w:val="24"/>
          <w:szCs w:val="24"/>
        </w:rPr>
        <w:t>iv) Unión Temporal COLOMBIA COMPRA EFICIENTE,</w:t>
      </w:r>
      <w:r w:rsidR="00CE04A2">
        <w:rPr>
          <w:rFonts w:ascii="Arial" w:hAnsi="Arial" w:cs="Arial"/>
          <w:sz w:val="24"/>
          <w:szCs w:val="24"/>
        </w:rPr>
        <w:t xml:space="preserve"> </w:t>
      </w:r>
      <w:r w:rsidR="00CE04A2" w:rsidRPr="00CE04A2">
        <w:rPr>
          <w:rFonts w:ascii="Arial" w:hAnsi="Arial" w:cs="Arial"/>
          <w:sz w:val="24"/>
          <w:szCs w:val="24"/>
        </w:rPr>
        <w:t>v) Unión Temporal BT-ASIC,</w:t>
      </w:r>
      <w:r w:rsidR="00CE04A2">
        <w:rPr>
          <w:rFonts w:ascii="Arial" w:hAnsi="Arial" w:cs="Arial"/>
          <w:sz w:val="24"/>
          <w:szCs w:val="24"/>
        </w:rPr>
        <w:t xml:space="preserve"> </w:t>
      </w:r>
      <w:r w:rsidR="00CE04A2" w:rsidRPr="00CE04A2">
        <w:rPr>
          <w:rFonts w:ascii="Arial" w:hAnsi="Arial" w:cs="Arial"/>
          <w:sz w:val="24"/>
          <w:szCs w:val="24"/>
        </w:rPr>
        <w:t>vi) Colombia Telecomunicaciones S.A. E.S.P.</w:t>
      </w:r>
      <w:r w:rsidR="00CE04A2">
        <w:rPr>
          <w:rFonts w:ascii="Arial" w:hAnsi="Arial" w:cs="Arial"/>
          <w:sz w:val="24"/>
          <w:szCs w:val="24"/>
        </w:rPr>
        <w:t xml:space="preserve">, </w:t>
      </w:r>
      <w:r w:rsidR="00CE04A2" w:rsidRPr="00CE04A2">
        <w:rPr>
          <w:rFonts w:ascii="Arial" w:hAnsi="Arial" w:cs="Arial"/>
          <w:sz w:val="24"/>
          <w:szCs w:val="24"/>
        </w:rPr>
        <w:t>vii) Empresa de Telecomunicaci</w:t>
      </w:r>
      <w:r w:rsidR="00494E61">
        <w:rPr>
          <w:rFonts w:ascii="Arial" w:hAnsi="Arial" w:cs="Arial"/>
          <w:sz w:val="24"/>
          <w:szCs w:val="24"/>
        </w:rPr>
        <w:t>ones de Bogotá ETB S.A. E.S.P. (en adelante ETB)</w:t>
      </w:r>
      <w:r w:rsidR="00CE04A2">
        <w:rPr>
          <w:rFonts w:ascii="Arial" w:hAnsi="Arial" w:cs="Arial"/>
          <w:sz w:val="24"/>
          <w:szCs w:val="24"/>
        </w:rPr>
        <w:t xml:space="preserve">, </w:t>
      </w:r>
      <w:r w:rsidR="00CE04A2" w:rsidRPr="00CE04A2">
        <w:rPr>
          <w:rFonts w:ascii="Arial" w:hAnsi="Arial" w:cs="Arial"/>
          <w:sz w:val="24"/>
          <w:szCs w:val="24"/>
        </w:rPr>
        <w:t>viii) UNE EPM Telecomunicaciones S.A.</w:t>
      </w:r>
      <w:r w:rsidR="00CE04A2">
        <w:rPr>
          <w:rFonts w:ascii="Arial" w:hAnsi="Arial" w:cs="Arial"/>
          <w:sz w:val="24"/>
          <w:szCs w:val="24"/>
        </w:rPr>
        <w:t xml:space="preserve">, </w:t>
      </w:r>
      <w:r w:rsidR="00CE04A2" w:rsidRPr="00CE04A2">
        <w:rPr>
          <w:rFonts w:ascii="Arial" w:hAnsi="Arial" w:cs="Arial"/>
          <w:sz w:val="24"/>
          <w:szCs w:val="24"/>
        </w:rPr>
        <w:t>ix) IFX NETWORKS COLOMBIA S.A.S.</w:t>
      </w:r>
      <w:r w:rsidR="00CE04A2">
        <w:rPr>
          <w:rFonts w:ascii="Arial" w:hAnsi="Arial" w:cs="Arial"/>
          <w:sz w:val="24"/>
          <w:szCs w:val="24"/>
        </w:rPr>
        <w:t xml:space="preserve">, </w:t>
      </w:r>
      <w:r w:rsidR="00CE04A2" w:rsidRPr="00CE04A2">
        <w:rPr>
          <w:rFonts w:ascii="Arial" w:hAnsi="Arial" w:cs="Arial"/>
          <w:sz w:val="24"/>
          <w:szCs w:val="24"/>
        </w:rPr>
        <w:t>x) MEDIA COMMERCE PARTNERS S.A.S.</w:t>
      </w:r>
      <w:r w:rsidR="00CE04A2">
        <w:rPr>
          <w:rFonts w:ascii="Arial" w:hAnsi="Arial" w:cs="Arial"/>
          <w:sz w:val="24"/>
          <w:szCs w:val="24"/>
        </w:rPr>
        <w:t xml:space="preserve">, </w:t>
      </w:r>
      <w:r w:rsidR="00CE04A2" w:rsidRPr="00CE04A2">
        <w:rPr>
          <w:rFonts w:ascii="Arial" w:hAnsi="Arial" w:cs="Arial"/>
          <w:sz w:val="24"/>
          <w:szCs w:val="24"/>
        </w:rPr>
        <w:t>xi) COLOMBUS NETWORKS DE COLOMBIA LTDA.</w:t>
      </w:r>
      <w:r w:rsidR="00937C71">
        <w:rPr>
          <w:rFonts w:ascii="Arial" w:hAnsi="Arial" w:cs="Arial"/>
          <w:sz w:val="24"/>
          <w:szCs w:val="24"/>
        </w:rPr>
        <w:t xml:space="preserve">, </w:t>
      </w:r>
      <w:r w:rsidR="00CE04A2" w:rsidRPr="00CE04A2">
        <w:rPr>
          <w:rFonts w:ascii="Arial" w:hAnsi="Arial" w:cs="Arial"/>
          <w:sz w:val="24"/>
          <w:szCs w:val="24"/>
        </w:rPr>
        <w:t>xii) LEVEL 3 COLOMBIA S.A.</w:t>
      </w:r>
      <w:r w:rsidR="00CE04A2">
        <w:rPr>
          <w:rFonts w:ascii="Arial" w:hAnsi="Arial" w:cs="Arial"/>
          <w:sz w:val="24"/>
          <w:szCs w:val="24"/>
        </w:rPr>
        <w:t xml:space="preserve"> </w:t>
      </w:r>
      <w:r w:rsidR="004618EC">
        <w:rPr>
          <w:rFonts w:ascii="Arial" w:hAnsi="Arial" w:cs="Arial"/>
          <w:sz w:val="24"/>
          <w:szCs w:val="24"/>
        </w:rPr>
        <w:t xml:space="preserve">y </w:t>
      </w:r>
      <w:r w:rsidR="00CE04A2" w:rsidRPr="00CE04A2">
        <w:rPr>
          <w:rFonts w:ascii="Arial" w:hAnsi="Arial" w:cs="Arial"/>
          <w:sz w:val="24"/>
          <w:szCs w:val="24"/>
        </w:rPr>
        <w:t>xiii) O4IT COLOMBIA S.A.S.</w:t>
      </w:r>
    </w:p>
    <w:p w14:paraId="345B745A" w14:textId="77777777" w:rsidR="00A80D99" w:rsidRDefault="00A80D99" w:rsidP="00A80D99">
      <w:pPr>
        <w:spacing w:after="0" w:line="360" w:lineRule="auto"/>
        <w:ind w:right="51"/>
        <w:jc w:val="both"/>
        <w:rPr>
          <w:rFonts w:ascii="Arial" w:hAnsi="Arial" w:cs="Arial"/>
          <w:sz w:val="24"/>
          <w:szCs w:val="24"/>
        </w:rPr>
      </w:pPr>
    </w:p>
    <w:p w14:paraId="338B7F08" w14:textId="77777777" w:rsidR="00CE04A2" w:rsidRDefault="00A80D99" w:rsidP="00A80D99">
      <w:pPr>
        <w:spacing w:after="0" w:line="360" w:lineRule="auto"/>
        <w:ind w:right="51"/>
        <w:jc w:val="both"/>
        <w:rPr>
          <w:rFonts w:ascii="Arial" w:hAnsi="Arial" w:cs="Arial"/>
          <w:sz w:val="24"/>
          <w:szCs w:val="24"/>
        </w:rPr>
      </w:pPr>
      <w:r>
        <w:rPr>
          <w:rFonts w:ascii="Arial" w:hAnsi="Arial" w:cs="Arial"/>
          <w:sz w:val="24"/>
          <w:szCs w:val="24"/>
        </w:rPr>
        <w:t xml:space="preserve">1.1.3.- </w:t>
      </w:r>
      <w:r w:rsidR="00CE04A2" w:rsidRPr="00CE04A2">
        <w:rPr>
          <w:rFonts w:ascii="Arial" w:hAnsi="Arial" w:cs="Arial"/>
          <w:sz w:val="24"/>
          <w:szCs w:val="24"/>
        </w:rPr>
        <w:t>Como resultado de la adjudicación, el 18 de septiembre de 2014</w:t>
      </w:r>
      <w:r w:rsidR="00CE04A2">
        <w:rPr>
          <w:rFonts w:ascii="Arial" w:hAnsi="Arial" w:cs="Arial"/>
          <w:sz w:val="24"/>
          <w:szCs w:val="24"/>
        </w:rPr>
        <w:t xml:space="preserve"> </w:t>
      </w:r>
      <w:r w:rsidR="00CE04A2" w:rsidRPr="00CE04A2">
        <w:rPr>
          <w:rFonts w:ascii="Arial" w:hAnsi="Arial" w:cs="Arial"/>
          <w:sz w:val="24"/>
          <w:szCs w:val="24"/>
        </w:rPr>
        <w:t>CCE y los adjudicatarios celebraron el Acuerdo Marco de</w:t>
      </w:r>
      <w:r w:rsidR="00CE04A2">
        <w:rPr>
          <w:rFonts w:ascii="Arial" w:hAnsi="Arial" w:cs="Arial"/>
          <w:sz w:val="24"/>
          <w:szCs w:val="24"/>
        </w:rPr>
        <w:t xml:space="preserve"> Precios No. CCE-134-1-AMP-2014 (en adelante AMP), </w:t>
      </w:r>
      <w:r w:rsidR="00572816">
        <w:rPr>
          <w:rFonts w:ascii="Arial" w:hAnsi="Arial" w:cs="Arial"/>
          <w:sz w:val="24"/>
          <w:szCs w:val="24"/>
        </w:rPr>
        <w:t xml:space="preserve">para la adquisición de servicios de conectividad </w:t>
      </w:r>
      <w:r w:rsidR="00572816" w:rsidRPr="00572816">
        <w:rPr>
          <w:rFonts w:ascii="Arial" w:hAnsi="Arial" w:cs="Arial"/>
          <w:sz w:val="24"/>
          <w:szCs w:val="24"/>
        </w:rPr>
        <w:t>y centro de datos / nube privada.</w:t>
      </w:r>
    </w:p>
    <w:p w14:paraId="099523AF" w14:textId="77777777" w:rsidR="00B57205" w:rsidRDefault="00B57205" w:rsidP="00FE6EB2">
      <w:pPr>
        <w:spacing w:after="0" w:line="360" w:lineRule="auto"/>
        <w:ind w:right="51"/>
        <w:jc w:val="both"/>
        <w:rPr>
          <w:rFonts w:ascii="Arial" w:hAnsi="Arial" w:cs="Arial"/>
          <w:sz w:val="24"/>
          <w:szCs w:val="24"/>
        </w:rPr>
      </w:pPr>
    </w:p>
    <w:p w14:paraId="3986B8E1" w14:textId="77777777" w:rsidR="007E018D" w:rsidRDefault="00265AF1" w:rsidP="00BE36EF">
      <w:pPr>
        <w:spacing w:after="0" w:line="360" w:lineRule="auto"/>
        <w:ind w:right="51"/>
        <w:jc w:val="both"/>
        <w:rPr>
          <w:rFonts w:ascii="Arial" w:hAnsi="Arial" w:cs="Arial"/>
          <w:sz w:val="24"/>
          <w:szCs w:val="24"/>
        </w:rPr>
      </w:pPr>
      <w:r>
        <w:rPr>
          <w:rFonts w:ascii="Arial" w:hAnsi="Arial" w:cs="Arial"/>
          <w:sz w:val="24"/>
          <w:szCs w:val="24"/>
        </w:rPr>
        <w:t>1.1.</w:t>
      </w:r>
      <w:r w:rsidR="00A80D99">
        <w:rPr>
          <w:rFonts w:ascii="Arial" w:hAnsi="Arial" w:cs="Arial"/>
          <w:sz w:val="24"/>
          <w:szCs w:val="24"/>
        </w:rPr>
        <w:t>4</w:t>
      </w:r>
      <w:r>
        <w:rPr>
          <w:rFonts w:ascii="Arial" w:hAnsi="Arial" w:cs="Arial"/>
          <w:sz w:val="24"/>
          <w:szCs w:val="24"/>
        </w:rPr>
        <w:t xml:space="preserve">.- </w:t>
      </w:r>
      <w:r w:rsidR="00A80D99">
        <w:rPr>
          <w:rFonts w:ascii="Arial" w:hAnsi="Arial" w:cs="Arial"/>
          <w:sz w:val="24"/>
          <w:szCs w:val="24"/>
        </w:rPr>
        <w:t xml:space="preserve">Luego, </w:t>
      </w:r>
      <w:r w:rsidR="00CE04A2" w:rsidRPr="00CE04A2">
        <w:rPr>
          <w:rFonts w:ascii="Arial" w:hAnsi="Arial" w:cs="Arial"/>
          <w:sz w:val="24"/>
          <w:szCs w:val="24"/>
        </w:rPr>
        <w:t xml:space="preserve">la DIAN </w:t>
      </w:r>
      <w:r w:rsidR="00572816">
        <w:rPr>
          <w:rFonts w:ascii="Arial" w:hAnsi="Arial" w:cs="Arial"/>
          <w:sz w:val="24"/>
          <w:szCs w:val="24"/>
        </w:rPr>
        <w:t>suscribió la</w:t>
      </w:r>
      <w:r w:rsidR="00CE04A2" w:rsidRPr="00CE04A2">
        <w:rPr>
          <w:rFonts w:ascii="Arial" w:hAnsi="Arial" w:cs="Arial"/>
          <w:sz w:val="24"/>
          <w:szCs w:val="24"/>
        </w:rPr>
        <w:t xml:space="preserve"> </w:t>
      </w:r>
      <w:r w:rsidR="00572816" w:rsidRPr="00CE04A2">
        <w:rPr>
          <w:rFonts w:ascii="Arial" w:hAnsi="Arial" w:cs="Arial"/>
          <w:sz w:val="24"/>
          <w:szCs w:val="24"/>
        </w:rPr>
        <w:t>orden</w:t>
      </w:r>
      <w:r w:rsidR="00572816">
        <w:rPr>
          <w:rFonts w:ascii="Arial" w:hAnsi="Arial" w:cs="Arial"/>
          <w:sz w:val="24"/>
          <w:szCs w:val="24"/>
        </w:rPr>
        <w:t xml:space="preserve"> </w:t>
      </w:r>
      <w:r w:rsidR="00572816" w:rsidRPr="00CE04A2">
        <w:rPr>
          <w:rFonts w:ascii="Arial" w:hAnsi="Arial" w:cs="Arial"/>
          <w:sz w:val="24"/>
          <w:szCs w:val="24"/>
        </w:rPr>
        <w:t xml:space="preserve">de compra </w:t>
      </w:r>
      <w:r w:rsidR="00CE04A2" w:rsidRPr="00CE04A2">
        <w:rPr>
          <w:rFonts w:ascii="Arial" w:hAnsi="Arial" w:cs="Arial"/>
          <w:sz w:val="24"/>
          <w:szCs w:val="24"/>
        </w:rPr>
        <w:t>No. 781 del 27 de noviembre de 2014</w:t>
      </w:r>
      <w:r w:rsidR="00CE04A2">
        <w:rPr>
          <w:rFonts w:ascii="Arial" w:hAnsi="Arial" w:cs="Arial"/>
          <w:sz w:val="24"/>
          <w:szCs w:val="24"/>
        </w:rPr>
        <w:t xml:space="preserve">, </w:t>
      </w:r>
      <w:r w:rsidR="00572816">
        <w:rPr>
          <w:rFonts w:ascii="Arial" w:hAnsi="Arial" w:cs="Arial"/>
          <w:sz w:val="24"/>
          <w:szCs w:val="24"/>
        </w:rPr>
        <w:t xml:space="preserve">por </w:t>
      </w:r>
      <w:r w:rsidR="00572816" w:rsidRPr="005563E8">
        <w:rPr>
          <w:rFonts w:ascii="Arial" w:hAnsi="Arial" w:cs="Arial"/>
          <w:sz w:val="24"/>
          <w:szCs w:val="24"/>
        </w:rPr>
        <w:t xml:space="preserve">valor de </w:t>
      </w:r>
      <w:r w:rsidR="00BE36EF" w:rsidRPr="005563E8">
        <w:rPr>
          <w:rFonts w:ascii="Arial" w:hAnsi="Arial" w:cs="Arial"/>
          <w:sz w:val="24"/>
          <w:szCs w:val="24"/>
        </w:rPr>
        <w:t>$6.705.888.136,</w:t>
      </w:r>
      <w:r w:rsidR="00572816" w:rsidRPr="005563E8">
        <w:rPr>
          <w:rFonts w:ascii="Arial" w:hAnsi="Arial" w:cs="Arial"/>
          <w:sz w:val="24"/>
          <w:szCs w:val="24"/>
        </w:rPr>
        <w:t xml:space="preserve"> cuyo</w:t>
      </w:r>
      <w:r w:rsidR="00572816">
        <w:rPr>
          <w:rFonts w:ascii="Arial" w:hAnsi="Arial" w:cs="Arial"/>
          <w:sz w:val="24"/>
          <w:szCs w:val="24"/>
        </w:rPr>
        <w:t xml:space="preserve"> objeto era contratar el servicio de </w:t>
      </w:r>
      <w:r w:rsidR="00572816" w:rsidRPr="00C70C25">
        <w:rPr>
          <w:rFonts w:ascii="Arial" w:hAnsi="Arial" w:cs="Arial"/>
          <w:sz w:val="24"/>
          <w:szCs w:val="24"/>
        </w:rPr>
        <w:t>telecomunicac</w:t>
      </w:r>
      <w:r w:rsidR="00BE36EF" w:rsidRPr="00C70C25">
        <w:rPr>
          <w:rFonts w:ascii="Arial" w:hAnsi="Arial" w:cs="Arial"/>
          <w:sz w:val="24"/>
          <w:szCs w:val="24"/>
        </w:rPr>
        <w:t xml:space="preserve">iones, </w:t>
      </w:r>
      <w:r w:rsidR="00572816" w:rsidRPr="00C70C25">
        <w:rPr>
          <w:rFonts w:ascii="Arial" w:hAnsi="Arial" w:cs="Arial"/>
          <w:sz w:val="24"/>
          <w:szCs w:val="24"/>
        </w:rPr>
        <w:t>incluyendo</w:t>
      </w:r>
      <w:r w:rsidR="00BE36EF" w:rsidRPr="00C70C25">
        <w:rPr>
          <w:rFonts w:ascii="Arial" w:hAnsi="Arial" w:cs="Arial"/>
          <w:sz w:val="24"/>
          <w:szCs w:val="24"/>
        </w:rPr>
        <w:t xml:space="preserve"> la</w:t>
      </w:r>
      <w:r w:rsidR="00572816" w:rsidRPr="00C70C25">
        <w:rPr>
          <w:rFonts w:ascii="Arial" w:hAnsi="Arial" w:cs="Arial"/>
          <w:sz w:val="24"/>
          <w:szCs w:val="24"/>
        </w:rPr>
        <w:t xml:space="preserve"> infraestructura y dotación requerida para la prestaci</w:t>
      </w:r>
      <w:r w:rsidR="00BE36EF" w:rsidRPr="00C70C25">
        <w:rPr>
          <w:rFonts w:ascii="Arial" w:hAnsi="Arial" w:cs="Arial"/>
          <w:sz w:val="24"/>
          <w:szCs w:val="24"/>
        </w:rPr>
        <w:t>ón</w:t>
      </w:r>
      <w:r w:rsidR="00572816" w:rsidRPr="00C70C25">
        <w:rPr>
          <w:rFonts w:ascii="Arial" w:hAnsi="Arial" w:cs="Arial"/>
          <w:sz w:val="24"/>
          <w:szCs w:val="24"/>
        </w:rPr>
        <w:t>.</w:t>
      </w:r>
      <w:r w:rsidR="00494E61" w:rsidRPr="00C70C25">
        <w:rPr>
          <w:rFonts w:ascii="Arial" w:hAnsi="Arial" w:cs="Arial"/>
          <w:sz w:val="24"/>
          <w:szCs w:val="24"/>
        </w:rPr>
        <w:t xml:space="preserve"> </w:t>
      </w:r>
      <w:r w:rsidR="00BE36EF" w:rsidRPr="00C70C25">
        <w:rPr>
          <w:rFonts w:ascii="Arial" w:hAnsi="Arial" w:cs="Arial"/>
          <w:sz w:val="24"/>
          <w:szCs w:val="24"/>
        </w:rPr>
        <w:t xml:space="preserve">El proceso contemplaba la instalación y configuración de los equipos necesarios para más de 100 enlaces de comunicación, y </w:t>
      </w:r>
      <w:r w:rsidR="00B1438D" w:rsidRPr="00C70C25">
        <w:rPr>
          <w:rFonts w:ascii="Arial" w:hAnsi="Arial" w:cs="Arial"/>
          <w:sz w:val="24"/>
          <w:szCs w:val="24"/>
        </w:rPr>
        <w:t>la</w:t>
      </w:r>
      <w:r w:rsidR="00BE36EF" w:rsidRPr="00C70C25">
        <w:rPr>
          <w:rFonts w:ascii="Arial" w:hAnsi="Arial" w:cs="Arial"/>
          <w:sz w:val="24"/>
          <w:szCs w:val="24"/>
        </w:rPr>
        <w:t xml:space="preserve"> ETB contaba con un plazo de 40 días hábiles para instalar los enlaces dedicados de internet de nivel platino y 45 días hábiles para instalar los enlaces dedicados de nivel oro, plata y bronce.</w:t>
      </w:r>
    </w:p>
    <w:p w14:paraId="006F7472" w14:textId="77777777" w:rsidR="0052114B" w:rsidRDefault="0052114B" w:rsidP="00FE6EB2">
      <w:pPr>
        <w:spacing w:after="0" w:line="360" w:lineRule="auto"/>
        <w:ind w:right="51"/>
        <w:jc w:val="both"/>
        <w:rPr>
          <w:rFonts w:ascii="Arial" w:hAnsi="Arial" w:cs="Arial"/>
          <w:sz w:val="24"/>
          <w:szCs w:val="24"/>
        </w:rPr>
      </w:pPr>
    </w:p>
    <w:p w14:paraId="4ED2F1AF" w14:textId="77777777" w:rsidR="00B27808" w:rsidRDefault="00D36E2B" w:rsidP="00FE6EB2">
      <w:pPr>
        <w:spacing w:after="0" w:line="360" w:lineRule="auto"/>
        <w:ind w:right="51"/>
        <w:jc w:val="both"/>
        <w:rPr>
          <w:rFonts w:ascii="Arial" w:hAnsi="Arial" w:cs="Arial"/>
          <w:sz w:val="24"/>
          <w:szCs w:val="24"/>
        </w:rPr>
      </w:pPr>
      <w:r>
        <w:rPr>
          <w:rFonts w:ascii="Arial" w:hAnsi="Arial" w:cs="Arial"/>
          <w:sz w:val="24"/>
          <w:szCs w:val="24"/>
        </w:rPr>
        <w:t>1.1.</w:t>
      </w:r>
      <w:r w:rsidR="0052114B">
        <w:rPr>
          <w:rFonts w:ascii="Arial" w:hAnsi="Arial" w:cs="Arial"/>
          <w:sz w:val="24"/>
          <w:szCs w:val="24"/>
        </w:rPr>
        <w:t>5</w:t>
      </w:r>
      <w:r>
        <w:rPr>
          <w:rFonts w:ascii="Arial" w:hAnsi="Arial" w:cs="Arial"/>
          <w:sz w:val="24"/>
          <w:szCs w:val="24"/>
        </w:rPr>
        <w:t xml:space="preserve">.- </w:t>
      </w:r>
      <w:r w:rsidR="0052114B">
        <w:rPr>
          <w:rFonts w:ascii="Arial" w:hAnsi="Arial" w:cs="Arial"/>
          <w:sz w:val="24"/>
          <w:szCs w:val="24"/>
        </w:rPr>
        <w:t>Posteriormente</w:t>
      </w:r>
      <w:r>
        <w:rPr>
          <w:rFonts w:ascii="Arial" w:hAnsi="Arial" w:cs="Arial"/>
          <w:sz w:val="24"/>
          <w:szCs w:val="24"/>
        </w:rPr>
        <w:t>,</w:t>
      </w:r>
      <w:r w:rsidR="0052114B" w:rsidRPr="0052114B">
        <w:rPr>
          <w:rFonts w:ascii="Arial" w:hAnsi="Arial" w:cs="Arial"/>
          <w:sz w:val="24"/>
          <w:szCs w:val="24"/>
        </w:rPr>
        <w:t xml:space="preserve"> </w:t>
      </w:r>
      <w:r w:rsidR="0052114B">
        <w:rPr>
          <w:rFonts w:ascii="Arial" w:hAnsi="Arial" w:cs="Arial"/>
          <w:sz w:val="24"/>
          <w:szCs w:val="24"/>
        </w:rPr>
        <w:t>a través d</w:t>
      </w:r>
      <w:r w:rsidR="0052114B" w:rsidRPr="00F05A6E">
        <w:rPr>
          <w:rFonts w:ascii="Arial" w:hAnsi="Arial" w:cs="Arial"/>
          <w:sz w:val="24"/>
          <w:szCs w:val="24"/>
        </w:rPr>
        <w:t>e comunicación del 16 de enero de 2015</w:t>
      </w:r>
      <w:r w:rsidR="0059074F">
        <w:rPr>
          <w:rStyle w:val="Refdenotaalpie"/>
          <w:rFonts w:ascii="Arial" w:hAnsi="Arial" w:cs="Arial"/>
          <w:sz w:val="24"/>
          <w:szCs w:val="24"/>
        </w:rPr>
        <w:footnoteReference w:id="3"/>
      </w:r>
      <w:r w:rsidR="0052114B" w:rsidRPr="00F05A6E">
        <w:rPr>
          <w:rFonts w:ascii="Arial" w:hAnsi="Arial" w:cs="Arial"/>
          <w:sz w:val="24"/>
          <w:szCs w:val="24"/>
        </w:rPr>
        <w:t xml:space="preserve">, </w:t>
      </w:r>
      <w:r w:rsidR="00F05A6E" w:rsidRPr="00F05A6E">
        <w:rPr>
          <w:rFonts w:ascii="Arial" w:hAnsi="Arial" w:cs="Arial"/>
          <w:sz w:val="24"/>
          <w:szCs w:val="24"/>
        </w:rPr>
        <w:t>CCE convocó a</w:t>
      </w:r>
      <w:r w:rsidR="0052114B">
        <w:rPr>
          <w:rFonts w:ascii="Arial" w:hAnsi="Arial" w:cs="Arial"/>
          <w:sz w:val="24"/>
          <w:szCs w:val="24"/>
        </w:rPr>
        <w:t xml:space="preserve"> la</w:t>
      </w:r>
      <w:r w:rsidR="00F05A6E" w:rsidRPr="00F05A6E">
        <w:rPr>
          <w:rFonts w:ascii="Arial" w:hAnsi="Arial" w:cs="Arial"/>
          <w:sz w:val="24"/>
          <w:szCs w:val="24"/>
        </w:rPr>
        <w:t xml:space="preserve"> ETB y </w:t>
      </w:r>
      <w:r w:rsidR="00F05A6E" w:rsidRPr="00D36E2B">
        <w:rPr>
          <w:rFonts w:ascii="Arial" w:hAnsi="Arial" w:cs="Arial"/>
          <w:sz w:val="24"/>
          <w:szCs w:val="24"/>
        </w:rPr>
        <w:t>a la Aseguradora Nacional de Seguros S.A.</w:t>
      </w:r>
      <w:r w:rsidRPr="00D36E2B">
        <w:rPr>
          <w:rFonts w:ascii="Arial" w:hAnsi="Arial" w:cs="Arial"/>
          <w:sz w:val="24"/>
          <w:szCs w:val="24"/>
        </w:rPr>
        <w:t xml:space="preserve"> a una audiencia de incumplimiento, con el objeto de iniciar</w:t>
      </w:r>
      <w:r w:rsidR="00F05A6E" w:rsidRPr="00D36E2B">
        <w:rPr>
          <w:rFonts w:ascii="Arial" w:hAnsi="Arial" w:cs="Arial"/>
          <w:sz w:val="24"/>
          <w:szCs w:val="24"/>
        </w:rPr>
        <w:t xml:space="preserve"> el trámite previsto en</w:t>
      </w:r>
      <w:r w:rsidR="00925046">
        <w:rPr>
          <w:rFonts w:ascii="Arial" w:hAnsi="Arial" w:cs="Arial"/>
          <w:sz w:val="24"/>
          <w:szCs w:val="24"/>
        </w:rPr>
        <w:t xml:space="preserve"> el artículo 86 de</w:t>
      </w:r>
      <w:r w:rsidR="00F05A6E" w:rsidRPr="00D36E2B">
        <w:rPr>
          <w:rFonts w:ascii="Arial" w:hAnsi="Arial" w:cs="Arial"/>
          <w:sz w:val="24"/>
          <w:szCs w:val="24"/>
        </w:rPr>
        <w:t xml:space="preserve"> la Ley 1474 </w:t>
      </w:r>
      <w:r w:rsidR="00F05A6E" w:rsidRPr="00D36E2B">
        <w:rPr>
          <w:rFonts w:ascii="Arial" w:hAnsi="Arial" w:cs="Arial"/>
          <w:sz w:val="24"/>
          <w:szCs w:val="24"/>
        </w:rPr>
        <w:lastRenderedPageBreak/>
        <w:t>de 2011</w:t>
      </w:r>
      <w:r w:rsidR="0052114B">
        <w:rPr>
          <w:rFonts w:ascii="Arial" w:hAnsi="Arial" w:cs="Arial"/>
          <w:sz w:val="24"/>
          <w:szCs w:val="24"/>
        </w:rPr>
        <w:t>. Esto</w:t>
      </w:r>
      <w:r w:rsidR="00494E61">
        <w:rPr>
          <w:rFonts w:ascii="Arial" w:hAnsi="Arial" w:cs="Arial"/>
          <w:sz w:val="24"/>
          <w:szCs w:val="24"/>
        </w:rPr>
        <w:t>,</w:t>
      </w:r>
      <w:r w:rsidR="0052114B">
        <w:rPr>
          <w:rFonts w:ascii="Arial" w:hAnsi="Arial" w:cs="Arial"/>
          <w:sz w:val="24"/>
          <w:szCs w:val="24"/>
        </w:rPr>
        <w:t xml:space="preserve"> por considerar que </w:t>
      </w:r>
      <w:r w:rsidR="0052114B" w:rsidRPr="00D36E2B">
        <w:rPr>
          <w:rFonts w:ascii="Arial" w:hAnsi="Arial" w:cs="Arial"/>
          <w:sz w:val="24"/>
          <w:szCs w:val="24"/>
        </w:rPr>
        <w:t>el plazo con que ETB contaba para cumplir con</w:t>
      </w:r>
      <w:r w:rsidR="0052114B">
        <w:rPr>
          <w:rFonts w:ascii="Arial" w:hAnsi="Arial" w:cs="Arial"/>
          <w:sz w:val="24"/>
          <w:szCs w:val="24"/>
        </w:rPr>
        <w:t xml:space="preserve"> </w:t>
      </w:r>
      <w:r w:rsidR="0052114B" w:rsidRPr="00D36E2B">
        <w:rPr>
          <w:rFonts w:ascii="Arial" w:hAnsi="Arial" w:cs="Arial"/>
          <w:sz w:val="24"/>
          <w:szCs w:val="24"/>
        </w:rPr>
        <w:t>la instalación de los enlaces era de 40 y 45 días calendario y no de 40 y 45</w:t>
      </w:r>
      <w:r w:rsidR="0052114B">
        <w:rPr>
          <w:rFonts w:ascii="Arial" w:hAnsi="Arial" w:cs="Arial"/>
          <w:sz w:val="24"/>
          <w:szCs w:val="24"/>
        </w:rPr>
        <w:t xml:space="preserve"> </w:t>
      </w:r>
      <w:r w:rsidR="0052114B" w:rsidRPr="00D36E2B">
        <w:rPr>
          <w:rFonts w:ascii="Arial" w:hAnsi="Arial" w:cs="Arial"/>
          <w:sz w:val="24"/>
          <w:szCs w:val="24"/>
        </w:rPr>
        <w:t>días hábi</w:t>
      </w:r>
      <w:r w:rsidR="0052114B">
        <w:rPr>
          <w:rFonts w:ascii="Arial" w:hAnsi="Arial" w:cs="Arial"/>
          <w:sz w:val="24"/>
          <w:szCs w:val="24"/>
        </w:rPr>
        <w:t xml:space="preserve">les, lo que la llevó a </w:t>
      </w:r>
      <w:r w:rsidR="0052114B" w:rsidRPr="00D36E2B">
        <w:rPr>
          <w:rFonts w:ascii="Arial" w:hAnsi="Arial" w:cs="Arial"/>
          <w:sz w:val="24"/>
          <w:szCs w:val="24"/>
        </w:rPr>
        <w:t>c</w:t>
      </w:r>
      <w:r w:rsidR="0052114B">
        <w:rPr>
          <w:rFonts w:ascii="Arial" w:hAnsi="Arial" w:cs="Arial"/>
          <w:sz w:val="24"/>
          <w:szCs w:val="24"/>
        </w:rPr>
        <w:t xml:space="preserve">oncluir </w:t>
      </w:r>
      <w:r w:rsidR="0052114B" w:rsidRPr="00D36E2B">
        <w:rPr>
          <w:rFonts w:ascii="Arial" w:hAnsi="Arial" w:cs="Arial"/>
          <w:sz w:val="24"/>
          <w:szCs w:val="24"/>
        </w:rPr>
        <w:t>que el</w:t>
      </w:r>
      <w:r w:rsidR="0052114B">
        <w:rPr>
          <w:rFonts w:ascii="Arial" w:hAnsi="Arial" w:cs="Arial"/>
          <w:sz w:val="24"/>
          <w:szCs w:val="24"/>
        </w:rPr>
        <w:t xml:space="preserve"> </w:t>
      </w:r>
      <w:r w:rsidR="00333BAB">
        <w:rPr>
          <w:rFonts w:ascii="Arial" w:hAnsi="Arial" w:cs="Arial"/>
          <w:sz w:val="24"/>
          <w:szCs w:val="24"/>
        </w:rPr>
        <w:t>periodo</w:t>
      </w:r>
      <w:r w:rsidR="0052114B" w:rsidRPr="00D36E2B">
        <w:rPr>
          <w:rFonts w:ascii="Arial" w:hAnsi="Arial" w:cs="Arial"/>
          <w:sz w:val="24"/>
          <w:szCs w:val="24"/>
        </w:rPr>
        <w:t xml:space="preserve"> para el cumplimiento de las obligaciones vencía el 10 y el 14 de enero</w:t>
      </w:r>
      <w:r w:rsidR="0052114B">
        <w:rPr>
          <w:rFonts w:ascii="Arial" w:hAnsi="Arial" w:cs="Arial"/>
          <w:sz w:val="24"/>
          <w:szCs w:val="24"/>
        </w:rPr>
        <w:t xml:space="preserve"> </w:t>
      </w:r>
      <w:r w:rsidR="0052114B" w:rsidRPr="00D36E2B">
        <w:rPr>
          <w:rFonts w:ascii="Arial" w:hAnsi="Arial" w:cs="Arial"/>
          <w:sz w:val="24"/>
          <w:szCs w:val="24"/>
        </w:rPr>
        <w:t>de 2015</w:t>
      </w:r>
      <w:r w:rsidR="000419A8">
        <w:rPr>
          <w:rFonts w:ascii="Arial" w:hAnsi="Arial" w:cs="Arial"/>
          <w:sz w:val="24"/>
          <w:szCs w:val="24"/>
        </w:rPr>
        <w:t xml:space="preserve">, respectivamente. </w:t>
      </w:r>
    </w:p>
    <w:p w14:paraId="0D8EB03A" w14:textId="77777777" w:rsidR="000419A8" w:rsidRDefault="000419A8" w:rsidP="00FE6EB2">
      <w:pPr>
        <w:spacing w:after="0" w:line="360" w:lineRule="auto"/>
        <w:ind w:right="51"/>
        <w:jc w:val="both"/>
        <w:rPr>
          <w:rFonts w:ascii="Arial" w:hAnsi="Arial" w:cs="Arial"/>
          <w:sz w:val="24"/>
          <w:szCs w:val="24"/>
        </w:rPr>
      </w:pPr>
    </w:p>
    <w:p w14:paraId="360B645B" w14:textId="77777777" w:rsidR="00F05A6E" w:rsidRDefault="00D36E2B" w:rsidP="00FE6EB2">
      <w:pPr>
        <w:spacing w:after="0" w:line="360" w:lineRule="auto"/>
        <w:ind w:right="51"/>
        <w:jc w:val="both"/>
        <w:rPr>
          <w:rFonts w:ascii="Arial" w:hAnsi="Arial" w:cs="Arial"/>
          <w:sz w:val="24"/>
          <w:szCs w:val="24"/>
        </w:rPr>
      </w:pPr>
      <w:r>
        <w:rPr>
          <w:rFonts w:ascii="Arial" w:hAnsi="Arial" w:cs="Arial"/>
          <w:sz w:val="24"/>
          <w:szCs w:val="24"/>
        </w:rPr>
        <w:t>1.1.</w:t>
      </w:r>
      <w:r w:rsidR="0052114B">
        <w:rPr>
          <w:rFonts w:ascii="Arial" w:hAnsi="Arial" w:cs="Arial"/>
          <w:sz w:val="24"/>
          <w:szCs w:val="24"/>
        </w:rPr>
        <w:t>6</w:t>
      </w:r>
      <w:r>
        <w:rPr>
          <w:rFonts w:ascii="Arial" w:hAnsi="Arial" w:cs="Arial"/>
          <w:sz w:val="24"/>
          <w:szCs w:val="24"/>
        </w:rPr>
        <w:t xml:space="preserve">.- No obstante, </w:t>
      </w:r>
      <w:r w:rsidR="007012E0">
        <w:rPr>
          <w:rFonts w:ascii="Arial" w:hAnsi="Arial" w:cs="Arial"/>
          <w:sz w:val="24"/>
          <w:szCs w:val="24"/>
        </w:rPr>
        <w:t>la ETB, a través de comunicación del 20 de enero de 2015</w:t>
      </w:r>
      <w:r w:rsidR="00494E61">
        <w:rPr>
          <w:rFonts w:ascii="Arial" w:hAnsi="Arial" w:cs="Arial"/>
          <w:sz w:val="24"/>
          <w:szCs w:val="24"/>
        </w:rPr>
        <w:t>,</w:t>
      </w:r>
      <w:r w:rsidR="007012E0">
        <w:rPr>
          <w:rFonts w:ascii="Arial" w:hAnsi="Arial" w:cs="Arial"/>
          <w:sz w:val="24"/>
          <w:szCs w:val="24"/>
        </w:rPr>
        <w:t xml:space="preserve"> dirigid</w:t>
      </w:r>
      <w:r w:rsidR="00494E61">
        <w:rPr>
          <w:rFonts w:ascii="Arial" w:hAnsi="Arial" w:cs="Arial"/>
          <w:sz w:val="24"/>
          <w:szCs w:val="24"/>
        </w:rPr>
        <w:t>a</w:t>
      </w:r>
      <w:r w:rsidR="007012E0">
        <w:rPr>
          <w:rFonts w:ascii="Arial" w:hAnsi="Arial" w:cs="Arial"/>
          <w:sz w:val="24"/>
          <w:szCs w:val="24"/>
        </w:rPr>
        <w:t xml:space="preserve"> a CCE</w:t>
      </w:r>
      <w:r w:rsidR="007012E0">
        <w:rPr>
          <w:rStyle w:val="Refdenotaalpie"/>
          <w:rFonts w:ascii="Arial" w:hAnsi="Arial" w:cs="Arial"/>
          <w:sz w:val="24"/>
          <w:szCs w:val="24"/>
        </w:rPr>
        <w:footnoteReference w:id="4"/>
      </w:r>
      <w:r w:rsidR="007012E0">
        <w:rPr>
          <w:rFonts w:ascii="Arial" w:hAnsi="Arial" w:cs="Arial"/>
          <w:sz w:val="24"/>
          <w:szCs w:val="24"/>
        </w:rPr>
        <w:t xml:space="preserve">, puso de presente que </w:t>
      </w:r>
      <w:r>
        <w:rPr>
          <w:rFonts w:ascii="Arial" w:hAnsi="Arial" w:cs="Arial"/>
          <w:sz w:val="24"/>
          <w:szCs w:val="24"/>
        </w:rPr>
        <w:t xml:space="preserve">no se allegó el informe del supervisor del contrato, como lo exigía el artículo 86 </w:t>
      </w:r>
      <w:r w:rsidRPr="00D36E2B">
        <w:rPr>
          <w:rFonts w:ascii="Arial" w:hAnsi="Arial" w:cs="Arial"/>
          <w:i/>
          <w:sz w:val="24"/>
          <w:szCs w:val="24"/>
        </w:rPr>
        <w:t>ibídem</w:t>
      </w:r>
      <w:r>
        <w:rPr>
          <w:rFonts w:ascii="Arial" w:hAnsi="Arial" w:cs="Arial"/>
          <w:sz w:val="24"/>
          <w:szCs w:val="24"/>
        </w:rPr>
        <w:t xml:space="preserve">. </w:t>
      </w:r>
    </w:p>
    <w:p w14:paraId="6E15D53E" w14:textId="77777777" w:rsidR="0052114B" w:rsidRDefault="0052114B" w:rsidP="00FE6EB2">
      <w:pPr>
        <w:spacing w:after="0" w:line="360" w:lineRule="auto"/>
        <w:ind w:right="51"/>
        <w:jc w:val="both"/>
        <w:rPr>
          <w:rFonts w:ascii="Arial" w:hAnsi="Arial" w:cs="Arial"/>
          <w:sz w:val="24"/>
          <w:szCs w:val="24"/>
        </w:rPr>
      </w:pPr>
    </w:p>
    <w:p w14:paraId="56A291B9" w14:textId="77777777" w:rsidR="00F05A6E" w:rsidRDefault="00552DCC" w:rsidP="00FE6EB2">
      <w:pPr>
        <w:spacing w:after="0" w:line="360" w:lineRule="auto"/>
        <w:ind w:right="51"/>
        <w:jc w:val="both"/>
        <w:rPr>
          <w:rFonts w:ascii="Arial" w:hAnsi="Arial" w:cs="Arial"/>
          <w:sz w:val="24"/>
          <w:szCs w:val="24"/>
        </w:rPr>
      </w:pPr>
      <w:r w:rsidRPr="00552DCC">
        <w:rPr>
          <w:rFonts w:ascii="Arial" w:hAnsi="Arial" w:cs="Arial"/>
          <w:sz w:val="24"/>
          <w:szCs w:val="24"/>
        </w:rPr>
        <w:t>1.1.</w:t>
      </w:r>
      <w:r w:rsidR="00C03F57">
        <w:rPr>
          <w:rFonts w:ascii="Arial" w:hAnsi="Arial" w:cs="Arial"/>
          <w:sz w:val="24"/>
          <w:szCs w:val="24"/>
        </w:rPr>
        <w:t>7</w:t>
      </w:r>
      <w:r w:rsidRPr="00552DCC">
        <w:rPr>
          <w:rFonts w:ascii="Arial" w:hAnsi="Arial" w:cs="Arial"/>
          <w:sz w:val="24"/>
          <w:szCs w:val="24"/>
        </w:rPr>
        <w:t xml:space="preserve">.- </w:t>
      </w:r>
      <w:r>
        <w:rPr>
          <w:rFonts w:ascii="Arial" w:hAnsi="Arial" w:cs="Arial"/>
          <w:sz w:val="24"/>
          <w:szCs w:val="24"/>
        </w:rPr>
        <w:t xml:space="preserve">En efecto, el 22 de enero de 2015, CCE </w:t>
      </w:r>
      <w:r w:rsidR="00F05A6E" w:rsidRPr="00552DCC">
        <w:rPr>
          <w:rFonts w:ascii="Arial" w:hAnsi="Arial" w:cs="Arial"/>
          <w:sz w:val="24"/>
          <w:szCs w:val="24"/>
        </w:rPr>
        <w:t xml:space="preserve">remitió el informe de supervisión </w:t>
      </w:r>
      <w:r w:rsidR="00333BAB">
        <w:rPr>
          <w:rFonts w:ascii="Arial" w:hAnsi="Arial" w:cs="Arial"/>
          <w:sz w:val="24"/>
          <w:szCs w:val="24"/>
        </w:rPr>
        <w:t>y</w:t>
      </w:r>
      <w:r w:rsidR="00F05A6E" w:rsidRPr="00552DCC">
        <w:rPr>
          <w:rFonts w:ascii="Arial" w:hAnsi="Arial" w:cs="Arial"/>
          <w:sz w:val="24"/>
          <w:szCs w:val="24"/>
        </w:rPr>
        <w:t xml:space="preserve"> profirió una nueva citación</w:t>
      </w:r>
      <w:r w:rsidR="007012E0">
        <w:rPr>
          <w:rStyle w:val="Refdenotaalpie"/>
          <w:rFonts w:ascii="Arial" w:hAnsi="Arial" w:cs="Arial"/>
          <w:sz w:val="24"/>
          <w:szCs w:val="24"/>
        </w:rPr>
        <w:footnoteReference w:id="5"/>
      </w:r>
      <w:r w:rsidR="00F05A6E" w:rsidRPr="00552DCC">
        <w:rPr>
          <w:rFonts w:ascii="Arial" w:hAnsi="Arial" w:cs="Arial"/>
          <w:sz w:val="24"/>
          <w:szCs w:val="24"/>
        </w:rPr>
        <w:t xml:space="preserve">. </w:t>
      </w:r>
    </w:p>
    <w:p w14:paraId="35BD5D1F" w14:textId="77777777" w:rsidR="00552DCC" w:rsidRPr="00552DCC" w:rsidRDefault="00552DCC" w:rsidP="00FE6EB2">
      <w:pPr>
        <w:spacing w:after="0" w:line="360" w:lineRule="auto"/>
        <w:ind w:right="51"/>
        <w:jc w:val="both"/>
        <w:rPr>
          <w:rFonts w:ascii="Arial" w:hAnsi="Arial" w:cs="Arial"/>
          <w:sz w:val="24"/>
          <w:szCs w:val="24"/>
        </w:rPr>
      </w:pPr>
    </w:p>
    <w:p w14:paraId="3CAA2BDA" w14:textId="77777777" w:rsidR="00F05A6E" w:rsidRDefault="00552DCC" w:rsidP="00552DCC">
      <w:pPr>
        <w:spacing w:after="0" w:line="360" w:lineRule="auto"/>
        <w:ind w:right="51"/>
        <w:jc w:val="both"/>
        <w:rPr>
          <w:rFonts w:ascii="Arial" w:hAnsi="Arial" w:cs="Arial"/>
          <w:sz w:val="24"/>
          <w:szCs w:val="24"/>
        </w:rPr>
      </w:pPr>
      <w:r w:rsidRPr="00552DCC">
        <w:rPr>
          <w:rFonts w:ascii="Arial" w:hAnsi="Arial" w:cs="Arial"/>
          <w:sz w:val="24"/>
          <w:szCs w:val="24"/>
        </w:rPr>
        <w:t>1.1.</w:t>
      </w:r>
      <w:r w:rsidR="00C03F57">
        <w:rPr>
          <w:rFonts w:ascii="Arial" w:hAnsi="Arial" w:cs="Arial"/>
          <w:sz w:val="24"/>
          <w:szCs w:val="24"/>
        </w:rPr>
        <w:t>8</w:t>
      </w:r>
      <w:r w:rsidRPr="00552DCC">
        <w:rPr>
          <w:rFonts w:ascii="Arial" w:hAnsi="Arial" w:cs="Arial"/>
          <w:sz w:val="24"/>
          <w:szCs w:val="24"/>
        </w:rPr>
        <w:t xml:space="preserve">.- </w:t>
      </w:r>
      <w:r w:rsidR="00494E61">
        <w:rPr>
          <w:rFonts w:ascii="Arial" w:hAnsi="Arial" w:cs="Arial"/>
          <w:sz w:val="24"/>
          <w:szCs w:val="24"/>
        </w:rPr>
        <w:t>Tras realizar</w:t>
      </w:r>
      <w:r>
        <w:rPr>
          <w:rFonts w:ascii="Arial" w:hAnsi="Arial" w:cs="Arial"/>
          <w:sz w:val="24"/>
          <w:szCs w:val="24"/>
        </w:rPr>
        <w:t xml:space="preserve"> </w:t>
      </w:r>
      <w:r w:rsidR="00F05A6E" w:rsidRPr="00552DCC">
        <w:rPr>
          <w:rFonts w:ascii="Arial" w:hAnsi="Arial" w:cs="Arial"/>
          <w:sz w:val="24"/>
          <w:szCs w:val="24"/>
        </w:rPr>
        <w:t>la audiencia</w:t>
      </w:r>
      <w:r w:rsidR="00494E61">
        <w:rPr>
          <w:rFonts w:ascii="Arial" w:hAnsi="Arial" w:cs="Arial"/>
          <w:sz w:val="24"/>
          <w:szCs w:val="24"/>
        </w:rPr>
        <w:t>, CCE profirió la</w:t>
      </w:r>
      <w:r w:rsidRPr="00552DCC">
        <w:rPr>
          <w:rFonts w:ascii="Arial" w:hAnsi="Arial" w:cs="Arial"/>
          <w:sz w:val="24"/>
          <w:szCs w:val="24"/>
        </w:rPr>
        <w:t xml:space="preserve"> </w:t>
      </w:r>
      <w:r w:rsidRPr="00F05A6E">
        <w:rPr>
          <w:rFonts w:ascii="Arial" w:hAnsi="Arial" w:cs="Arial"/>
          <w:sz w:val="24"/>
          <w:szCs w:val="24"/>
        </w:rPr>
        <w:t>Resolución</w:t>
      </w:r>
      <w:r>
        <w:rPr>
          <w:rFonts w:ascii="Arial" w:hAnsi="Arial" w:cs="Arial"/>
          <w:sz w:val="24"/>
          <w:szCs w:val="24"/>
        </w:rPr>
        <w:t xml:space="preserve"> No. 675 del 13 de febrero de </w:t>
      </w:r>
      <w:r w:rsidRPr="00F05A6E">
        <w:rPr>
          <w:rFonts w:ascii="Arial" w:hAnsi="Arial" w:cs="Arial"/>
          <w:sz w:val="24"/>
          <w:szCs w:val="24"/>
        </w:rPr>
        <w:t>2015</w:t>
      </w:r>
      <w:r w:rsidR="007012E0">
        <w:rPr>
          <w:rStyle w:val="Refdenotaalpie"/>
          <w:rFonts w:ascii="Arial" w:hAnsi="Arial" w:cs="Arial"/>
          <w:sz w:val="24"/>
          <w:szCs w:val="24"/>
        </w:rPr>
        <w:footnoteReference w:id="6"/>
      </w:r>
      <w:r>
        <w:rPr>
          <w:rFonts w:ascii="Arial" w:hAnsi="Arial" w:cs="Arial"/>
          <w:sz w:val="24"/>
          <w:szCs w:val="24"/>
        </w:rPr>
        <w:t xml:space="preserve">, </w:t>
      </w:r>
      <w:r w:rsidR="00494E61">
        <w:rPr>
          <w:rFonts w:ascii="Arial" w:hAnsi="Arial" w:cs="Arial"/>
          <w:sz w:val="24"/>
          <w:szCs w:val="24"/>
        </w:rPr>
        <w:t>en la cual</w:t>
      </w:r>
      <w:r>
        <w:rPr>
          <w:rFonts w:ascii="Arial" w:hAnsi="Arial" w:cs="Arial"/>
          <w:sz w:val="24"/>
          <w:szCs w:val="24"/>
        </w:rPr>
        <w:t xml:space="preserve"> declaró el incumplimiento parcial del AMP y de la orden de compra No.781 de 2014, </w:t>
      </w:r>
      <w:r w:rsidR="00333BAB">
        <w:rPr>
          <w:rFonts w:ascii="Arial" w:hAnsi="Arial" w:cs="Arial"/>
          <w:sz w:val="24"/>
          <w:szCs w:val="24"/>
        </w:rPr>
        <w:t>de igual forma,</w:t>
      </w:r>
      <w:r>
        <w:rPr>
          <w:rFonts w:ascii="Arial" w:hAnsi="Arial" w:cs="Arial"/>
          <w:sz w:val="24"/>
          <w:szCs w:val="24"/>
        </w:rPr>
        <w:t xml:space="preserve"> resolvió imponer la cláusula penal </w:t>
      </w:r>
      <w:r w:rsidRPr="00F05A6E">
        <w:rPr>
          <w:rFonts w:ascii="Arial" w:hAnsi="Arial" w:cs="Arial"/>
          <w:sz w:val="24"/>
          <w:szCs w:val="24"/>
        </w:rPr>
        <w:t xml:space="preserve">estipulada en </w:t>
      </w:r>
      <w:r w:rsidR="00C03F57">
        <w:rPr>
          <w:rFonts w:ascii="Arial" w:hAnsi="Arial" w:cs="Arial"/>
          <w:sz w:val="24"/>
          <w:szCs w:val="24"/>
        </w:rPr>
        <w:t>el</w:t>
      </w:r>
      <w:r w:rsidRPr="00F05A6E">
        <w:rPr>
          <w:rFonts w:ascii="Arial" w:hAnsi="Arial" w:cs="Arial"/>
          <w:sz w:val="24"/>
          <w:szCs w:val="24"/>
        </w:rPr>
        <w:t xml:space="preserve"> AMP</w:t>
      </w:r>
      <w:r w:rsidR="00C03F57">
        <w:rPr>
          <w:rFonts w:ascii="Arial" w:hAnsi="Arial" w:cs="Arial"/>
          <w:sz w:val="24"/>
          <w:szCs w:val="24"/>
        </w:rPr>
        <w:t>,</w:t>
      </w:r>
      <w:r w:rsidRPr="00F05A6E">
        <w:rPr>
          <w:rFonts w:ascii="Arial" w:hAnsi="Arial" w:cs="Arial"/>
          <w:sz w:val="24"/>
          <w:szCs w:val="24"/>
        </w:rPr>
        <w:t xml:space="preserve"> por valor de $670.588.813</w:t>
      </w:r>
      <w:r w:rsidR="00585A01">
        <w:rPr>
          <w:rFonts w:ascii="Arial" w:hAnsi="Arial" w:cs="Arial"/>
          <w:sz w:val="24"/>
          <w:szCs w:val="24"/>
        </w:rPr>
        <w:t xml:space="preserve">, esto es, </w:t>
      </w:r>
      <w:r w:rsidR="00585A01" w:rsidRPr="00585A01">
        <w:rPr>
          <w:rFonts w:ascii="Arial" w:hAnsi="Arial" w:cs="Arial"/>
          <w:sz w:val="24"/>
          <w:szCs w:val="24"/>
        </w:rPr>
        <w:t>el 10% del total de la orden de compra.</w:t>
      </w:r>
      <w:r w:rsidR="00585A01">
        <w:t xml:space="preserve"> </w:t>
      </w:r>
      <w:r w:rsidR="0026377D" w:rsidRPr="00F05A6E">
        <w:rPr>
          <w:rFonts w:ascii="Arial" w:hAnsi="Arial" w:cs="Arial"/>
          <w:sz w:val="24"/>
          <w:szCs w:val="24"/>
        </w:rPr>
        <w:t xml:space="preserve"> </w:t>
      </w:r>
    </w:p>
    <w:p w14:paraId="67612FDF" w14:textId="77777777" w:rsidR="00585A01" w:rsidRDefault="00585A01" w:rsidP="00552DCC">
      <w:pPr>
        <w:spacing w:after="0" w:line="360" w:lineRule="auto"/>
        <w:ind w:right="51"/>
        <w:jc w:val="both"/>
        <w:rPr>
          <w:rFonts w:ascii="Arial" w:hAnsi="Arial" w:cs="Arial"/>
          <w:sz w:val="24"/>
          <w:szCs w:val="24"/>
        </w:rPr>
      </w:pPr>
    </w:p>
    <w:p w14:paraId="16766A83" w14:textId="77777777" w:rsidR="0026377D" w:rsidRDefault="00B1438D" w:rsidP="0026377D">
      <w:pPr>
        <w:spacing w:after="0" w:line="360" w:lineRule="auto"/>
        <w:ind w:right="51"/>
        <w:jc w:val="both"/>
        <w:rPr>
          <w:rFonts w:ascii="Arial" w:hAnsi="Arial" w:cs="Arial"/>
          <w:sz w:val="24"/>
          <w:szCs w:val="24"/>
        </w:rPr>
      </w:pPr>
      <w:r>
        <w:rPr>
          <w:rFonts w:ascii="Arial" w:hAnsi="Arial" w:cs="Arial"/>
          <w:sz w:val="24"/>
          <w:szCs w:val="24"/>
        </w:rPr>
        <w:t>1.1.</w:t>
      </w:r>
      <w:r w:rsidR="00C03F57">
        <w:rPr>
          <w:rFonts w:ascii="Arial" w:hAnsi="Arial" w:cs="Arial"/>
          <w:sz w:val="24"/>
          <w:szCs w:val="24"/>
        </w:rPr>
        <w:t>9</w:t>
      </w:r>
      <w:r w:rsidR="00552DCC">
        <w:rPr>
          <w:rFonts w:ascii="Arial" w:hAnsi="Arial" w:cs="Arial"/>
          <w:sz w:val="24"/>
          <w:szCs w:val="24"/>
        </w:rPr>
        <w:t xml:space="preserve">.- Inconforme con la decisión, la </w:t>
      </w:r>
      <w:r w:rsidR="0026377D" w:rsidRPr="0026377D">
        <w:rPr>
          <w:rFonts w:ascii="Arial" w:hAnsi="Arial" w:cs="Arial"/>
          <w:sz w:val="24"/>
          <w:szCs w:val="24"/>
        </w:rPr>
        <w:t>ETB interpus</w:t>
      </w:r>
      <w:r w:rsidR="00494E61">
        <w:rPr>
          <w:rFonts w:ascii="Arial" w:hAnsi="Arial" w:cs="Arial"/>
          <w:sz w:val="24"/>
          <w:szCs w:val="24"/>
        </w:rPr>
        <w:t>o</w:t>
      </w:r>
      <w:r w:rsidR="0026377D" w:rsidRPr="0026377D">
        <w:rPr>
          <w:rFonts w:ascii="Arial" w:hAnsi="Arial" w:cs="Arial"/>
          <w:sz w:val="24"/>
          <w:szCs w:val="24"/>
        </w:rPr>
        <w:t xml:space="preserve"> </w:t>
      </w:r>
      <w:r w:rsidR="00552DCC">
        <w:rPr>
          <w:rFonts w:ascii="Arial" w:hAnsi="Arial" w:cs="Arial"/>
          <w:sz w:val="24"/>
          <w:szCs w:val="24"/>
        </w:rPr>
        <w:t>recurso de reposición</w:t>
      </w:r>
      <w:r w:rsidR="007012E0">
        <w:rPr>
          <w:rStyle w:val="Refdenotaalpie"/>
          <w:rFonts w:ascii="Arial" w:hAnsi="Arial" w:cs="Arial"/>
          <w:sz w:val="24"/>
          <w:szCs w:val="24"/>
        </w:rPr>
        <w:footnoteReference w:id="7"/>
      </w:r>
      <w:r w:rsidR="00552DCC">
        <w:rPr>
          <w:rFonts w:ascii="Arial" w:hAnsi="Arial" w:cs="Arial"/>
          <w:sz w:val="24"/>
          <w:szCs w:val="24"/>
        </w:rPr>
        <w:t xml:space="preserve">, por considerar que </w:t>
      </w:r>
      <w:r w:rsidR="0026377D" w:rsidRPr="0026377D">
        <w:rPr>
          <w:rFonts w:ascii="Arial" w:hAnsi="Arial" w:cs="Arial"/>
          <w:sz w:val="24"/>
          <w:szCs w:val="24"/>
        </w:rPr>
        <w:t xml:space="preserve">la pena debía aplicarse de manera proporcional </w:t>
      </w:r>
      <w:r w:rsidR="00585A01">
        <w:rPr>
          <w:rFonts w:ascii="Arial" w:hAnsi="Arial" w:cs="Arial"/>
          <w:sz w:val="24"/>
          <w:szCs w:val="24"/>
        </w:rPr>
        <w:t xml:space="preserve">a </w:t>
      </w:r>
      <w:r w:rsidR="0026377D" w:rsidRPr="0026377D">
        <w:rPr>
          <w:rFonts w:ascii="Arial" w:hAnsi="Arial" w:cs="Arial"/>
          <w:sz w:val="24"/>
          <w:szCs w:val="24"/>
        </w:rPr>
        <w:t>la cláusula penal.</w:t>
      </w:r>
      <w:r w:rsidR="0026377D">
        <w:rPr>
          <w:rFonts w:ascii="Arial" w:hAnsi="Arial" w:cs="Arial"/>
          <w:sz w:val="24"/>
          <w:szCs w:val="24"/>
        </w:rPr>
        <w:t xml:space="preserve"> </w:t>
      </w:r>
    </w:p>
    <w:p w14:paraId="57E0D7AA" w14:textId="77777777" w:rsidR="0026377D" w:rsidRDefault="0026377D" w:rsidP="0026377D">
      <w:pPr>
        <w:spacing w:after="0" w:line="360" w:lineRule="auto"/>
        <w:ind w:right="51"/>
        <w:jc w:val="both"/>
        <w:rPr>
          <w:rFonts w:ascii="Arial" w:hAnsi="Arial" w:cs="Arial"/>
          <w:sz w:val="24"/>
          <w:szCs w:val="24"/>
        </w:rPr>
      </w:pPr>
    </w:p>
    <w:p w14:paraId="67BE77D0" w14:textId="77777777" w:rsidR="0026377D" w:rsidRDefault="00585A01" w:rsidP="0026377D">
      <w:pPr>
        <w:spacing w:after="0" w:line="360" w:lineRule="auto"/>
        <w:ind w:right="51"/>
        <w:jc w:val="both"/>
        <w:rPr>
          <w:rFonts w:ascii="Arial" w:hAnsi="Arial" w:cs="Arial"/>
          <w:sz w:val="24"/>
          <w:szCs w:val="24"/>
        </w:rPr>
      </w:pPr>
      <w:r>
        <w:rPr>
          <w:rFonts w:ascii="Arial" w:hAnsi="Arial" w:cs="Arial"/>
          <w:sz w:val="24"/>
          <w:szCs w:val="24"/>
        </w:rPr>
        <w:t>1.1.1</w:t>
      </w:r>
      <w:r w:rsidR="00C03F57">
        <w:rPr>
          <w:rFonts w:ascii="Arial" w:hAnsi="Arial" w:cs="Arial"/>
          <w:sz w:val="24"/>
          <w:szCs w:val="24"/>
        </w:rPr>
        <w:t>0</w:t>
      </w:r>
      <w:r>
        <w:rPr>
          <w:rFonts w:ascii="Arial" w:hAnsi="Arial" w:cs="Arial"/>
          <w:sz w:val="24"/>
          <w:szCs w:val="24"/>
        </w:rPr>
        <w:t xml:space="preserve">.- </w:t>
      </w:r>
      <w:r w:rsidR="0026377D" w:rsidRPr="0026377D">
        <w:rPr>
          <w:rFonts w:ascii="Arial" w:hAnsi="Arial" w:cs="Arial"/>
          <w:sz w:val="24"/>
          <w:szCs w:val="24"/>
        </w:rPr>
        <w:t>CCE resolvió confirmar el acto administrativo recurrido a través de la Resolución No. 677 de</w:t>
      </w:r>
      <w:r>
        <w:rPr>
          <w:rFonts w:ascii="Arial" w:hAnsi="Arial" w:cs="Arial"/>
          <w:sz w:val="24"/>
          <w:szCs w:val="24"/>
        </w:rPr>
        <w:t>l 16 de febrero de</w:t>
      </w:r>
      <w:r w:rsidR="0026377D">
        <w:rPr>
          <w:rFonts w:ascii="Arial" w:hAnsi="Arial" w:cs="Arial"/>
          <w:sz w:val="24"/>
          <w:szCs w:val="24"/>
        </w:rPr>
        <w:t xml:space="preserve"> </w:t>
      </w:r>
      <w:r w:rsidR="0026377D" w:rsidRPr="0026377D">
        <w:rPr>
          <w:rFonts w:ascii="Arial" w:hAnsi="Arial" w:cs="Arial"/>
          <w:sz w:val="24"/>
          <w:szCs w:val="24"/>
        </w:rPr>
        <w:t>2015</w:t>
      </w:r>
      <w:r w:rsidR="007012E0">
        <w:rPr>
          <w:rStyle w:val="Refdenotaalpie"/>
          <w:rFonts w:ascii="Arial" w:hAnsi="Arial" w:cs="Arial"/>
          <w:sz w:val="24"/>
          <w:szCs w:val="24"/>
        </w:rPr>
        <w:footnoteReference w:id="8"/>
      </w:r>
      <w:r w:rsidR="0026377D" w:rsidRPr="0026377D">
        <w:rPr>
          <w:rFonts w:ascii="Arial" w:hAnsi="Arial" w:cs="Arial"/>
          <w:sz w:val="24"/>
          <w:szCs w:val="24"/>
        </w:rPr>
        <w:t>.</w:t>
      </w:r>
    </w:p>
    <w:p w14:paraId="1107455A" w14:textId="77777777" w:rsidR="0026377D" w:rsidRDefault="0026377D" w:rsidP="0026377D">
      <w:pPr>
        <w:spacing w:after="0" w:line="360" w:lineRule="auto"/>
        <w:ind w:right="51"/>
        <w:jc w:val="both"/>
        <w:rPr>
          <w:rFonts w:ascii="Arial" w:hAnsi="Arial" w:cs="Arial"/>
          <w:sz w:val="24"/>
          <w:szCs w:val="24"/>
        </w:rPr>
      </w:pPr>
    </w:p>
    <w:p w14:paraId="5EFC388E" w14:textId="77777777" w:rsidR="0026377D" w:rsidRDefault="00B57205" w:rsidP="00B57205">
      <w:pPr>
        <w:spacing w:after="0" w:line="360" w:lineRule="auto"/>
        <w:ind w:right="51"/>
        <w:jc w:val="both"/>
        <w:rPr>
          <w:rFonts w:ascii="Arial" w:hAnsi="Arial" w:cs="Arial"/>
          <w:sz w:val="24"/>
          <w:szCs w:val="24"/>
        </w:rPr>
      </w:pPr>
      <w:r>
        <w:rPr>
          <w:rFonts w:ascii="Arial" w:hAnsi="Arial" w:cs="Arial"/>
          <w:sz w:val="24"/>
          <w:szCs w:val="24"/>
        </w:rPr>
        <w:lastRenderedPageBreak/>
        <w:t>1.1.</w:t>
      </w:r>
      <w:r w:rsidR="00585A01">
        <w:rPr>
          <w:rFonts w:ascii="Arial" w:hAnsi="Arial" w:cs="Arial"/>
          <w:sz w:val="24"/>
          <w:szCs w:val="24"/>
        </w:rPr>
        <w:t>1</w:t>
      </w:r>
      <w:r w:rsidR="00C03F57">
        <w:rPr>
          <w:rFonts w:ascii="Arial" w:hAnsi="Arial" w:cs="Arial"/>
          <w:sz w:val="24"/>
          <w:szCs w:val="24"/>
        </w:rPr>
        <w:t>1</w:t>
      </w:r>
      <w:r>
        <w:rPr>
          <w:rFonts w:ascii="Arial" w:hAnsi="Arial" w:cs="Arial"/>
          <w:sz w:val="24"/>
          <w:szCs w:val="24"/>
        </w:rPr>
        <w:t xml:space="preserve">.- En </w:t>
      </w:r>
      <w:r w:rsidR="00B61440">
        <w:rPr>
          <w:rFonts w:ascii="Arial" w:hAnsi="Arial" w:cs="Arial"/>
          <w:sz w:val="24"/>
          <w:szCs w:val="24"/>
        </w:rPr>
        <w:t>virtud de lo anterior</w:t>
      </w:r>
      <w:r>
        <w:rPr>
          <w:rFonts w:ascii="Arial" w:hAnsi="Arial" w:cs="Arial"/>
          <w:sz w:val="24"/>
          <w:szCs w:val="24"/>
        </w:rPr>
        <w:t>,</w:t>
      </w:r>
      <w:r w:rsidR="002E46B1">
        <w:rPr>
          <w:rFonts w:ascii="Arial" w:hAnsi="Arial" w:cs="Arial"/>
          <w:sz w:val="24"/>
          <w:szCs w:val="24"/>
        </w:rPr>
        <w:t xml:space="preserve"> </w:t>
      </w:r>
      <w:r w:rsidR="0026377D">
        <w:rPr>
          <w:rFonts w:ascii="Arial" w:hAnsi="Arial" w:cs="Arial"/>
          <w:sz w:val="24"/>
          <w:szCs w:val="24"/>
        </w:rPr>
        <w:t>e</w:t>
      </w:r>
      <w:r w:rsidR="0026377D" w:rsidRPr="0026377D">
        <w:rPr>
          <w:rFonts w:ascii="Arial" w:hAnsi="Arial" w:cs="Arial"/>
          <w:sz w:val="24"/>
          <w:szCs w:val="24"/>
        </w:rPr>
        <w:t>l 11 de agosto de 2015, ETB radicó una demanda</w:t>
      </w:r>
      <w:r w:rsidR="0072312C">
        <w:rPr>
          <w:rStyle w:val="Refdenotaalpie"/>
          <w:rFonts w:ascii="Arial" w:hAnsi="Arial" w:cs="Arial"/>
          <w:sz w:val="24"/>
          <w:szCs w:val="24"/>
        </w:rPr>
        <w:footnoteReference w:id="9"/>
      </w:r>
      <w:r w:rsidR="0026377D" w:rsidRPr="0026377D">
        <w:rPr>
          <w:rFonts w:ascii="Arial" w:hAnsi="Arial" w:cs="Arial"/>
          <w:sz w:val="24"/>
          <w:szCs w:val="24"/>
        </w:rPr>
        <w:t xml:space="preserve"> cuyas p</w:t>
      </w:r>
      <w:r w:rsidR="0026377D">
        <w:rPr>
          <w:rFonts w:ascii="Arial" w:hAnsi="Arial" w:cs="Arial"/>
          <w:sz w:val="24"/>
          <w:szCs w:val="24"/>
        </w:rPr>
        <w:t>retensiones estaban encaminadas</w:t>
      </w:r>
      <w:r w:rsidR="0026377D" w:rsidRPr="0026377D">
        <w:rPr>
          <w:rFonts w:ascii="Arial" w:hAnsi="Arial" w:cs="Arial"/>
          <w:sz w:val="24"/>
          <w:szCs w:val="24"/>
        </w:rPr>
        <w:t xml:space="preserve"> a que se declarar</w:t>
      </w:r>
      <w:r w:rsidR="0026377D">
        <w:rPr>
          <w:rFonts w:ascii="Arial" w:hAnsi="Arial" w:cs="Arial"/>
          <w:sz w:val="24"/>
          <w:szCs w:val="24"/>
        </w:rPr>
        <w:t>a</w:t>
      </w:r>
      <w:r w:rsidR="0026377D" w:rsidRPr="0026377D">
        <w:rPr>
          <w:rFonts w:ascii="Arial" w:hAnsi="Arial" w:cs="Arial"/>
          <w:sz w:val="24"/>
          <w:szCs w:val="24"/>
        </w:rPr>
        <w:t xml:space="preserve"> la nulidad del acto administrativo complejo compuesto por la Resoluciones Nos. 675 y 677 de 2015 y, en consecuencia, el restablecimiento del derecho mediante la orden de retrotraer los efectos patrimoniales de dichas resoluciones.</w:t>
      </w:r>
    </w:p>
    <w:p w14:paraId="0D127588" w14:textId="77777777" w:rsidR="005E7FDF" w:rsidRDefault="005E7FDF" w:rsidP="00B57205">
      <w:pPr>
        <w:spacing w:after="0" w:line="360" w:lineRule="auto"/>
        <w:ind w:right="51"/>
        <w:jc w:val="both"/>
        <w:rPr>
          <w:rFonts w:ascii="Arial" w:hAnsi="Arial" w:cs="Arial"/>
          <w:sz w:val="24"/>
          <w:szCs w:val="24"/>
        </w:rPr>
      </w:pPr>
    </w:p>
    <w:p w14:paraId="1833A2FF" w14:textId="77777777" w:rsidR="005E7FDF" w:rsidRDefault="005E7FDF" w:rsidP="00B57205">
      <w:pPr>
        <w:spacing w:after="0" w:line="360" w:lineRule="auto"/>
        <w:ind w:right="51"/>
        <w:jc w:val="both"/>
        <w:rPr>
          <w:rFonts w:ascii="Arial" w:hAnsi="Arial" w:cs="Arial"/>
          <w:sz w:val="24"/>
          <w:szCs w:val="24"/>
        </w:rPr>
      </w:pPr>
      <w:r>
        <w:rPr>
          <w:rFonts w:ascii="Arial" w:hAnsi="Arial" w:cs="Arial"/>
          <w:sz w:val="24"/>
          <w:szCs w:val="24"/>
        </w:rPr>
        <w:t>ETB adujo que CCE expidió las resoluciones con violación del debido proceso, de la presunción de inocencia y de</w:t>
      </w:r>
      <w:r w:rsidR="00DC6E8E">
        <w:rPr>
          <w:rFonts w:ascii="Arial" w:hAnsi="Arial" w:cs="Arial"/>
          <w:sz w:val="24"/>
          <w:szCs w:val="24"/>
        </w:rPr>
        <w:t xml:space="preserve"> la</w:t>
      </w:r>
      <w:r>
        <w:rPr>
          <w:rFonts w:ascii="Arial" w:hAnsi="Arial" w:cs="Arial"/>
          <w:sz w:val="24"/>
          <w:szCs w:val="24"/>
        </w:rPr>
        <w:t xml:space="preserve"> legalidad, desconocimiento de los requisitos para la imposición de una multa o sanción, falta de competencia funcional, y desviación de las atribuciones propias de la autoridad que profirió los actos administrativos.</w:t>
      </w:r>
    </w:p>
    <w:p w14:paraId="1000DA25" w14:textId="77777777" w:rsidR="00061EC9" w:rsidRDefault="00061EC9" w:rsidP="00B57205">
      <w:pPr>
        <w:spacing w:after="0" w:line="360" w:lineRule="auto"/>
        <w:ind w:right="51"/>
        <w:jc w:val="both"/>
        <w:rPr>
          <w:rFonts w:ascii="Arial" w:hAnsi="Arial" w:cs="Arial"/>
          <w:sz w:val="24"/>
          <w:szCs w:val="24"/>
        </w:rPr>
      </w:pPr>
    </w:p>
    <w:p w14:paraId="0BBD7830" w14:textId="77777777" w:rsidR="0026377D" w:rsidRDefault="00B61440" w:rsidP="00D068C1">
      <w:pPr>
        <w:spacing w:after="0" w:line="360" w:lineRule="auto"/>
        <w:ind w:right="51"/>
        <w:jc w:val="both"/>
        <w:rPr>
          <w:rFonts w:ascii="Arial" w:hAnsi="Arial" w:cs="Arial"/>
          <w:sz w:val="24"/>
          <w:szCs w:val="24"/>
        </w:rPr>
      </w:pPr>
      <w:r>
        <w:rPr>
          <w:rFonts w:ascii="Arial" w:hAnsi="Arial" w:cs="Arial"/>
          <w:sz w:val="24"/>
          <w:szCs w:val="24"/>
        </w:rPr>
        <w:t>1</w:t>
      </w:r>
      <w:r w:rsidRPr="0026377D">
        <w:rPr>
          <w:rFonts w:ascii="Arial" w:hAnsi="Arial" w:cs="Arial"/>
          <w:sz w:val="24"/>
          <w:szCs w:val="24"/>
        </w:rPr>
        <w:t>.1.</w:t>
      </w:r>
      <w:r w:rsidR="00D420B8">
        <w:rPr>
          <w:rFonts w:ascii="Arial" w:hAnsi="Arial" w:cs="Arial"/>
          <w:sz w:val="24"/>
          <w:szCs w:val="24"/>
        </w:rPr>
        <w:t>1</w:t>
      </w:r>
      <w:r w:rsidR="00C03F57">
        <w:rPr>
          <w:rFonts w:ascii="Arial" w:hAnsi="Arial" w:cs="Arial"/>
          <w:sz w:val="24"/>
          <w:szCs w:val="24"/>
        </w:rPr>
        <w:t>2</w:t>
      </w:r>
      <w:r w:rsidRPr="0026377D">
        <w:rPr>
          <w:rFonts w:ascii="Arial" w:hAnsi="Arial" w:cs="Arial"/>
          <w:sz w:val="24"/>
          <w:szCs w:val="24"/>
        </w:rPr>
        <w:t xml:space="preserve">.- </w:t>
      </w:r>
      <w:r w:rsidR="00E77F42" w:rsidRPr="0026377D">
        <w:rPr>
          <w:rFonts w:ascii="Arial" w:hAnsi="Arial" w:cs="Arial"/>
          <w:sz w:val="24"/>
          <w:szCs w:val="24"/>
        </w:rPr>
        <w:t xml:space="preserve">El proceso le </w:t>
      </w:r>
      <w:r w:rsidR="00B57205" w:rsidRPr="0026377D">
        <w:rPr>
          <w:rFonts w:ascii="Arial" w:hAnsi="Arial" w:cs="Arial"/>
          <w:sz w:val="24"/>
          <w:szCs w:val="24"/>
        </w:rPr>
        <w:t>correspondió a</w:t>
      </w:r>
      <w:r w:rsidR="0026377D" w:rsidRPr="0026377D">
        <w:rPr>
          <w:rFonts w:ascii="Arial" w:hAnsi="Arial" w:cs="Arial"/>
          <w:sz w:val="24"/>
          <w:szCs w:val="24"/>
        </w:rPr>
        <w:t xml:space="preserve"> la </w:t>
      </w:r>
      <w:r w:rsidR="00D420B8">
        <w:rPr>
          <w:rFonts w:ascii="Arial" w:hAnsi="Arial" w:cs="Arial"/>
          <w:sz w:val="24"/>
          <w:szCs w:val="24"/>
        </w:rPr>
        <w:t xml:space="preserve">Subsección A de la </w:t>
      </w:r>
      <w:r w:rsidR="0026377D" w:rsidRPr="0026377D">
        <w:rPr>
          <w:rFonts w:ascii="Arial" w:hAnsi="Arial" w:cs="Arial"/>
          <w:sz w:val="24"/>
          <w:szCs w:val="24"/>
        </w:rPr>
        <w:t>Sección Tercera del Tribunal Administrativo de Cundinamarca</w:t>
      </w:r>
      <w:r w:rsidR="007B6A39" w:rsidRPr="0026377D">
        <w:rPr>
          <w:rFonts w:ascii="Arial" w:hAnsi="Arial" w:cs="Arial"/>
          <w:sz w:val="24"/>
          <w:szCs w:val="24"/>
        </w:rPr>
        <w:t>,</w:t>
      </w:r>
      <w:r w:rsidR="00B57205" w:rsidRPr="0026377D">
        <w:rPr>
          <w:rFonts w:ascii="Arial" w:hAnsi="Arial" w:cs="Arial"/>
          <w:sz w:val="24"/>
          <w:szCs w:val="24"/>
        </w:rPr>
        <w:t xml:space="preserve"> con radicado No. </w:t>
      </w:r>
      <w:r w:rsidR="00D420B8" w:rsidRPr="004E0223">
        <w:rPr>
          <w:rFonts w:ascii="Arial" w:hAnsi="Arial" w:cs="Arial"/>
          <w:sz w:val="24"/>
          <w:szCs w:val="24"/>
        </w:rPr>
        <w:t>25000</w:t>
      </w:r>
      <w:r w:rsidR="00D420B8">
        <w:rPr>
          <w:rFonts w:ascii="Arial" w:hAnsi="Arial" w:cs="Arial"/>
          <w:sz w:val="24"/>
          <w:szCs w:val="24"/>
        </w:rPr>
        <w:t>-</w:t>
      </w:r>
      <w:r w:rsidR="00D420B8" w:rsidRPr="004E0223">
        <w:rPr>
          <w:rFonts w:ascii="Arial" w:hAnsi="Arial" w:cs="Arial"/>
          <w:sz w:val="24"/>
          <w:szCs w:val="24"/>
        </w:rPr>
        <w:t>23</w:t>
      </w:r>
      <w:r w:rsidR="00D420B8">
        <w:rPr>
          <w:rFonts w:ascii="Arial" w:hAnsi="Arial" w:cs="Arial"/>
          <w:sz w:val="24"/>
          <w:szCs w:val="24"/>
        </w:rPr>
        <w:t>-</w:t>
      </w:r>
      <w:r w:rsidR="00D420B8" w:rsidRPr="004E0223">
        <w:rPr>
          <w:rFonts w:ascii="Arial" w:hAnsi="Arial" w:cs="Arial"/>
          <w:sz w:val="24"/>
          <w:szCs w:val="24"/>
        </w:rPr>
        <w:t>36</w:t>
      </w:r>
      <w:r w:rsidR="00D420B8">
        <w:rPr>
          <w:rFonts w:ascii="Arial" w:hAnsi="Arial" w:cs="Arial"/>
          <w:sz w:val="24"/>
          <w:szCs w:val="24"/>
        </w:rPr>
        <w:t>-</w:t>
      </w:r>
      <w:r w:rsidR="00D420B8" w:rsidRPr="004E0223">
        <w:rPr>
          <w:rFonts w:ascii="Arial" w:hAnsi="Arial" w:cs="Arial"/>
          <w:sz w:val="24"/>
          <w:szCs w:val="24"/>
        </w:rPr>
        <w:t>000</w:t>
      </w:r>
      <w:r w:rsidR="00D420B8">
        <w:rPr>
          <w:rFonts w:ascii="Arial" w:hAnsi="Arial" w:cs="Arial"/>
          <w:sz w:val="24"/>
          <w:szCs w:val="24"/>
        </w:rPr>
        <w:t>-</w:t>
      </w:r>
      <w:r w:rsidR="00D420B8" w:rsidRPr="004E0223">
        <w:rPr>
          <w:rFonts w:ascii="Arial" w:hAnsi="Arial" w:cs="Arial"/>
          <w:sz w:val="24"/>
          <w:szCs w:val="24"/>
        </w:rPr>
        <w:t>2015</w:t>
      </w:r>
      <w:r w:rsidR="00D420B8">
        <w:rPr>
          <w:rFonts w:ascii="Arial" w:hAnsi="Arial" w:cs="Arial"/>
          <w:sz w:val="24"/>
          <w:szCs w:val="24"/>
        </w:rPr>
        <w:t>-</w:t>
      </w:r>
      <w:r w:rsidR="00D420B8" w:rsidRPr="004E0223">
        <w:rPr>
          <w:rFonts w:ascii="Arial" w:hAnsi="Arial" w:cs="Arial"/>
          <w:sz w:val="24"/>
          <w:szCs w:val="24"/>
        </w:rPr>
        <w:t>01918</w:t>
      </w:r>
      <w:r w:rsidR="00D420B8">
        <w:rPr>
          <w:rFonts w:ascii="Arial" w:hAnsi="Arial" w:cs="Arial"/>
          <w:sz w:val="24"/>
          <w:szCs w:val="24"/>
        </w:rPr>
        <w:t>-</w:t>
      </w:r>
      <w:r w:rsidR="00D420B8" w:rsidRPr="004E0223">
        <w:rPr>
          <w:rFonts w:ascii="Arial" w:hAnsi="Arial" w:cs="Arial"/>
          <w:sz w:val="24"/>
          <w:szCs w:val="24"/>
        </w:rPr>
        <w:t>00</w:t>
      </w:r>
      <w:r w:rsidR="0026377D">
        <w:rPr>
          <w:rFonts w:ascii="Arial" w:hAnsi="Arial" w:cs="Arial"/>
          <w:sz w:val="24"/>
          <w:szCs w:val="24"/>
        </w:rPr>
        <w:t xml:space="preserve">, que en el curso de la audiencia inicial celebrada el </w:t>
      </w:r>
      <w:r w:rsidR="0026377D" w:rsidRPr="0026377D">
        <w:rPr>
          <w:rFonts w:ascii="Arial" w:hAnsi="Arial" w:cs="Arial"/>
          <w:sz w:val="24"/>
          <w:szCs w:val="24"/>
        </w:rPr>
        <w:t>5 de octubre de 2016</w:t>
      </w:r>
      <w:r w:rsidR="0026377D">
        <w:rPr>
          <w:rFonts w:ascii="Arial" w:hAnsi="Arial" w:cs="Arial"/>
          <w:sz w:val="24"/>
          <w:szCs w:val="24"/>
        </w:rPr>
        <w:t xml:space="preserve"> </w:t>
      </w:r>
      <w:r w:rsidR="0072312C">
        <w:rPr>
          <w:rFonts w:ascii="Arial" w:hAnsi="Arial" w:cs="Arial"/>
          <w:sz w:val="24"/>
          <w:szCs w:val="24"/>
        </w:rPr>
        <w:t>profirió sentencia</w:t>
      </w:r>
      <w:r w:rsidR="0072312C">
        <w:rPr>
          <w:rStyle w:val="Refdenotaalpie"/>
          <w:rFonts w:ascii="Arial" w:hAnsi="Arial" w:cs="Arial"/>
          <w:sz w:val="24"/>
          <w:szCs w:val="24"/>
        </w:rPr>
        <w:footnoteReference w:id="10"/>
      </w:r>
      <w:r w:rsidR="0072312C">
        <w:rPr>
          <w:rFonts w:ascii="Arial" w:hAnsi="Arial" w:cs="Arial"/>
          <w:sz w:val="24"/>
          <w:szCs w:val="24"/>
        </w:rPr>
        <w:t xml:space="preserve"> que </w:t>
      </w:r>
      <w:r w:rsidR="0026377D">
        <w:rPr>
          <w:rFonts w:ascii="Arial" w:hAnsi="Arial" w:cs="Arial"/>
          <w:sz w:val="24"/>
          <w:szCs w:val="24"/>
        </w:rPr>
        <w:t>negó</w:t>
      </w:r>
      <w:r w:rsidR="0026377D" w:rsidRPr="0026377D">
        <w:rPr>
          <w:rFonts w:ascii="Arial" w:hAnsi="Arial" w:cs="Arial"/>
          <w:sz w:val="24"/>
          <w:szCs w:val="24"/>
        </w:rPr>
        <w:t xml:space="preserve"> las pretensiones de la demanda.</w:t>
      </w:r>
    </w:p>
    <w:p w14:paraId="7EB88C7F" w14:textId="77777777" w:rsidR="005E7FDF" w:rsidRDefault="005E7FDF" w:rsidP="00D068C1">
      <w:pPr>
        <w:spacing w:after="0" w:line="360" w:lineRule="auto"/>
        <w:ind w:right="51"/>
        <w:jc w:val="both"/>
        <w:rPr>
          <w:rFonts w:ascii="Arial" w:hAnsi="Arial" w:cs="Arial"/>
          <w:sz w:val="24"/>
          <w:szCs w:val="24"/>
        </w:rPr>
      </w:pPr>
    </w:p>
    <w:p w14:paraId="08F2D3C9" w14:textId="77777777" w:rsidR="005E7FDF" w:rsidRDefault="005E7FDF" w:rsidP="00D068C1">
      <w:pPr>
        <w:spacing w:after="0" w:line="360" w:lineRule="auto"/>
        <w:ind w:right="51"/>
        <w:jc w:val="both"/>
        <w:rPr>
          <w:rFonts w:ascii="Arial" w:hAnsi="Arial" w:cs="Arial"/>
          <w:sz w:val="24"/>
          <w:szCs w:val="24"/>
        </w:rPr>
      </w:pPr>
      <w:r>
        <w:rPr>
          <w:rFonts w:ascii="Arial" w:hAnsi="Arial" w:cs="Arial"/>
          <w:sz w:val="24"/>
          <w:szCs w:val="24"/>
        </w:rPr>
        <w:t>Sostuvo que CCE</w:t>
      </w:r>
      <w:r w:rsidR="00066B67">
        <w:rPr>
          <w:rFonts w:ascii="Arial" w:hAnsi="Arial" w:cs="Arial"/>
          <w:sz w:val="24"/>
          <w:szCs w:val="24"/>
        </w:rPr>
        <w:t>,</w:t>
      </w:r>
      <w:r>
        <w:rPr>
          <w:rFonts w:ascii="Arial" w:hAnsi="Arial" w:cs="Arial"/>
          <w:sz w:val="24"/>
          <w:szCs w:val="24"/>
        </w:rPr>
        <w:t xml:space="preserve"> </w:t>
      </w:r>
      <w:r w:rsidR="00066B67">
        <w:rPr>
          <w:rFonts w:ascii="Arial" w:hAnsi="Arial" w:cs="Arial"/>
          <w:sz w:val="24"/>
          <w:szCs w:val="24"/>
        </w:rPr>
        <w:t xml:space="preserve">de manera previa a la audiencia de incumplimiento, </w:t>
      </w:r>
      <w:r>
        <w:rPr>
          <w:rFonts w:ascii="Arial" w:hAnsi="Arial" w:cs="Arial"/>
          <w:sz w:val="24"/>
          <w:szCs w:val="24"/>
        </w:rPr>
        <w:t>en la segunda citación</w:t>
      </w:r>
      <w:r w:rsidR="00066B67">
        <w:rPr>
          <w:rFonts w:ascii="Arial" w:hAnsi="Arial" w:cs="Arial"/>
          <w:sz w:val="24"/>
          <w:szCs w:val="24"/>
        </w:rPr>
        <w:t>,</w:t>
      </w:r>
      <w:r>
        <w:rPr>
          <w:rFonts w:ascii="Arial" w:hAnsi="Arial" w:cs="Arial"/>
          <w:sz w:val="24"/>
          <w:szCs w:val="24"/>
        </w:rPr>
        <w:t xml:space="preserve"> cumplió con el requisito de poner en conocimiento de ETB el informe de interventoría y las consecuencias que podían derivarse</w:t>
      </w:r>
      <w:r w:rsidR="00066B67">
        <w:rPr>
          <w:rFonts w:ascii="Arial" w:hAnsi="Arial" w:cs="Arial"/>
          <w:sz w:val="24"/>
          <w:szCs w:val="24"/>
        </w:rPr>
        <w:t>. Adujo que la audiencia no se realizó en la primera convocatoria, sino después de vencidos los 45 días hábiles estipulados en el convenio, fecha en la cual ETB solo había cumplido el 83% del total de la orden de compra.</w:t>
      </w:r>
    </w:p>
    <w:p w14:paraId="66B36C02" w14:textId="77777777" w:rsidR="00066B67" w:rsidRDefault="00066B67" w:rsidP="00D068C1">
      <w:pPr>
        <w:spacing w:after="0" w:line="360" w:lineRule="auto"/>
        <w:ind w:right="51"/>
        <w:jc w:val="both"/>
        <w:rPr>
          <w:rFonts w:ascii="Arial" w:hAnsi="Arial" w:cs="Arial"/>
          <w:sz w:val="24"/>
          <w:szCs w:val="24"/>
        </w:rPr>
      </w:pPr>
    </w:p>
    <w:p w14:paraId="10B04046" w14:textId="4C32E5F8" w:rsidR="00C840AB" w:rsidRDefault="00066B67" w:rsidP="00D068C1">
      <w:pPr>
        <w:spacing w:after="0" w:line="360" w:lineRule="auto"/>
        <w:ind w:right="51"/>
        <w:jc w:val="both"/>
        <w:rPr>
          <w:rFonts w:ascii="Arial" w:hAnsi="Arial" w:cs="Arial"/>
          <w:sz w:val="24"/>
          <w:szCs w:val="24"/>
        </w:rPr>
      </w:pPr>
      <w:r>
        <w:rPr>
          <w:rFonts w:ascii="Arial" w:hAnsi="Arial" w:cs="Arial"/>
          <w:sz w:val="24"/>
          <w:szCs w:val="24"/>
        </w:rPr>
        <w:t>Explicó que era procedente la declaratoria de incumplimiento parcial y</w:t>
      </w:r>
      <w:r w:rsidR="002801D4">
        <w:rPr>
          <w:rFonts w:ascii="Arial" w:hAnsi="Arial" w:cs="Arial"/>
          <w:sz w:val="24"/>
          <w:szCs w:val="24"/>
        </w:rPr>
        <w:t>,</w:t>
      </w:r>
      <w:r>
        <w:rPr>
          <w:rFonts w:ascii="Arial" w:hAnsi="Arial" w:cs="Arial"/>
          <w:sz w:val="24"/>
          <w:szCs w:val="24"/>
        </w:rPr>
        <w:t xml:space="preserve"> por ende, la efectividad de la cláusula penal en el porcentaje equivalente, dado que se inobservó el plazo acordado para satisfacer el objeto de la orden de compra, lo que no fue desvirtuado por la ETB. Argumentó que la ley no prohíbe que en los convenios marco de precios ni en las órdenes de servicio se pacten cláusulas excepcionales, por lo que se debe aplicar la regla general establecida en las </w:t>
      </w:r>
      <w:r w:rsidR="002801D4">
        <w:rPr>
          <w:rFonts w:ascii="Arial" w:hAnsi="Arial" w:cs="Arial"/>
          <w:sz w:val="24"/>
          <w:szCs w:val="24"/>
        </w:rPr>
        <w:t>L</w:t>
      </w:r>
      <w:r>
        <w:rPr>
          <w:rFonts w:ascii="Arial" w:hAnsi="Arial" w:cs="Arial"/>
          <w:sz w:val="24"/>
          <w:szCs w:val="24"/>
        </w:rPr>
        <w:t>eyes 1150 de 2007 y 1474 de 2011</w:t>
      </w:r>
      <w:r w:rsidR="00494E61">
        <w:rPr>
          <w:rFonts w:ascii="Arial" w:hAnsi="Arial" w:cs="Arial"/>
          <w:sz w:val="24"/>
          <w:szCs w:val="24"/>
        </w:rPr>
        <w:t>,</w:t>
      </w:r>
      <w:r>
        <w:rPr>
          <w:rFonts w:ascii="Arial" w:hAnsi="Arial" w:cs="Arial"/>
          <w:sz w:val="24"/>
          <w:szCs w:val="24"/>
        </w:rPr>
        <w:t xml:space="preserve"> que faculta a las entidades a declarar el incumplimiento y hacer efectiva la </w:t>
      </w:r>
      <w:r w:rsidRPr="00C72E9D">
        <w:rPr>
          <w:rFonts w:ascii="Arial" w:hAnsi="Arial" w:cs="Arial"/>
          <w:sz w:val="24"/>
          <w:szCs w:val="24"/>
        </w:rPr>
        <w:t>cláusula penal.</w:t>
      </w:r>
      <w:r w:rsidR="00C840AB">
        <w:rPr>
          <w:rFonts w:ascii="Arial" w:hAnsi="Arial" w:cs="Arial"/>
          <w:sz w:val="24"/>
          <w:szCs w:val="24"/>
        </w:rPr>
        <w:t xml:space="preserve"> </w:t>
      </w:r>
    </w:p>
    <w:p w14:paraId="549E6E95" w14:textId="77777777" w:rsidR="00066B67" w:rsidRDefault="00C840AB" w:rsidP="00D068C1">
      <w:pPr>
        <w:spacing w:after="0" w:line="360" w:lineRule="auto"/>
        <w:ind w:right="51"/>
        <w:jc w:val="both"/>
        <w:rPr>
          <w:rFonts w:ascii="Arial" w:hAnsi="Arial" w:cs="Arial"/>
          <w:sz w:val="24"/>
          <w:szCs w:val="24"/>
        </w:rPr>
      </w:pPr>
      <w:r>
        <w:rPr>
          <w:rFonts w:ascii="Arial" w:hAnsi="Arial" w:cs="Arial"/>
          <w:sz w:val="24"/>
          <w:szCs w:val="24"/>
        </w:rPr>
        <w:lastRenderedPageBreak/>
        <w:t>Por último, s</w:t>
      </w:r>
      <w:r w:rsidR="00066B67">
        <w:rPr>
          <w:rFonts w:ascii="Arial" w:hAnsi="Arial" w:cs="Arial"/>
          <w:sz w:val="24"/>
          <w:szCs w:val="24"/>
        </w:rPr>
        <w:t xml:space="preserve">obre la proporcionalidad </w:t>
      </w:r>
      <w:r>
        <w:rPr>
          <w:rFonts w:ascii="Arial" w:hAnsi="Arial" w:cs="Arial"/>
          <w:sz w:val="24"/>
          <w:szCs w:val="24"/>
        </w:rPr>
        <w:t xml:space="preserve">en la </w:t>
      </w:r>
      <w:r w:rsidRPr="00C24A23">
        <w:rPr>
          <w:rFonts w:ascii="Arial" w:hAnsi="Arial" w:cs="Arial"/>
          <w:sz w:val="24"/>
          <w:szCs w:val="24"/>
        </w:rPr>
        <w:t>tasación de la cláusula penal, adujo</w:t>
      </w:r>
      <w:r>
        <w:rPr>
          <w:rFonts w:ascii="Arial" w:hAnsi="Arial" w:cs="Arial"/>
          <w:sz w:val="24"/>
          <w:szCs w:val="24"/>
        </w:rPr>
        <w:t xml:space="preserve"> que CCE y</w:t>
      </w:r>
      <w:r w:rsidR="00494E61">
        <w:rPr>
          <w:rFonts w:ascii="Arial" w:hAnsi="Arial" w:cs="Arial"/>
          <w:sz w:val="24"/>
          <w:szCs w:val="24"/>
        </w:rPr>
        <w:t xml:space="preserve"> la</w:t>
      </w:r>
      <w:r>
        <w:rPr>
          <w:rFonts w:ascii="Arial" w:hAnsi="Arial" w:cs="Arial"/>
          <w:sz w:val="24"/>
          <w:szCs w:val="24"/>
        </w:rPr>
        <w:t xml:space="preserve"> ETB aceptaron la forma en la que se pactó en el contrato, por lo que no puede el juez interpretarla de manera diferente.</w:t>
      </w:r>
    </w:p>
    <w:p w14:paraId="5D0529F6" w14:textId="77777777" w:rsidR="00C840AB" w:rsidRDefault="00C840AB" w:rsidP="00D068C1">
      <w:pPr>
        <w:spacing w:after="0" w:line="360" w:lineRule="auto"/>
        <w:ind w:right="51"/>
        <w:jc w:val="both"/>
        <w:rPr>
          <w:rFonts w:ascii="Arial" w:hAnsi="Arial" w:cs="Arial"/>
          <w:sz w:val="24"/>
          <w:szCs w:val="24"/>
        </w:rPr>
      </w:pPr>
    </w:p>
    <w:p w14:paraId="2A27A86C" w14:textId="77777777" w:rsidR="0026377D" w:rsidRDefault="0058763A" w:rsidP="0026377D">
      <w:pPr>
        <w:spacing w:after="0" w:line="360" w:lineRule="auto"/>
        <w:ind w:right="51"/>
        <w:jc w:val="both"/>
        <w:rPr>
          <w:rFonts w:ascii="Arial" w:hAnsi="Arial" w:cs="Arial"/>
          <w:sz w:val="24"/>
          <w:szCs w:val="24"/>
        </w:rPr>
      </w:pPr>
      <w:r>
        <w:rPr>
          <w:rFonts w:ascii="Arial" w:hAnsi="Arial" w:cs="Arial"/>
          <w:sz w:val="24"/>
          <w:szCs w:val="24"/>
        </w:rPr>
        <w:t>1.1.</w:t>
      </w:r>
      <w:r w:rsidR="00C840AB">
        <w:rPr>
          <w:rFonts w:ascii="Arial" w:hAnsi="Arial" w:cs="Arial"/>
          <w:sz w:val="24"/>
          <w:szCs w:val="24"/>
        </w:rPr>
        <w:t>1</w:t>
      </w:r>
      <w:r w:rsidR="0019137B">
        <w:rPr>
          <w:rFonts w:ascii="Arial" w:hAnsi="Arial" w:cs="Arial"/>
          <w:sz w:val="24"/>
          <w:szCs w:val="24"/>
        </w:rPr>
        <w:t>3</w:t>
      </w:r>
      <w:r>
        <w:rPr>
          <w:rFonts w:ascii="Arial" w:hAnsi="Arial" w:cs="Arial"/>
          <w:sz w:val="24"/>
          <w:szCs w:val="24"/>
        </w:rPr>
        <w:t xml:space="preserve">.- </w:t>
      </w:r>
      <w:r w:rsidR="0026377D" w:rsidRPr="0026377D">
        <w:rPr>
          <w:rFonts w:ascii="Arial" w:hAnsi="Arial" w:cs="Arial"/>
          <w:sz w:val="24"/>
          <w:szCs w:val="24"/>
        </w:rPr>
        <w:t>En</w:t>
      </w:r>
      <w:r w:rsidR="00C840AB">
        <w:rPr>
          <w:rFonts w:ascii="Arial" w:hAnsi="Arial" w:cs="Arial"/>
          <w:sz w:val="24"/>
          <w:szCs w:val="24"/>
        </w:rPr>
        <w:t xml:space="preserve"> desacuerdo con la decisión, la ETP interpuso</w:t>
      </w:r>
      <w:r w:rsidR="0026377D" w:rsidRPr="0026377D">
        <w:rPr>
          <w:rFonts w:ascii="Arial" w:hAnsi="Arial" w:cs="Arial"/>
          <w:sz w:val="24"/>
          <w:szCs w:val="24"/>
        </w:rPr>
        <w:t xml:space="preserve"> recurso de apelación</w:t>
      </w:r>
      <w:r w:rsidR="00435E51">
        <w:rPr>
          <w:rStyle w:val="Refdenotaalpie"/>
          <w:rFonts w:ascii="Arial" w:hAnsi="Arial" w:cs="Arial"/>
          <w:sz w:val="24"/>
          <w:szCs w:val="24"/>
        </w:rPr>
        <w:footnoteReference w:id="11"/>
      </w:r>
      <w:r w:rsidR="00C840AB">
        <w:rPr>
          <w:rFonts w:ascii="Arial" w:hAnsi="Arial" w:cs="Arial"/>
          <w:sz w:val="24"/>
          <w:szCs w:val="24"/>
        </w:rPr>
        <w:t xml:space="preserve">, en el </w:t>
      </w:r>
      <w:r w:rsidR="002801D4">
        <w:rPr>
          <w:rFonts w:ascii="Arial" w:hAnsi="Arial" w:cs="Arial"/>
          <w:sz w:val="24"/>
          <w:szCs w:val="24"/>
        </w:rPr>
        <w:t>que</w:t>
      </w:r>
      <w:r w:rsidR="00C840AB">
        <w:rPr>
          <w:rFonts w:ascii="Arial" w:hAnsi="Arial" w:cs="Arial"/>
          <w:sz w:val="24"/>
          <w:szCs w:val="24"/>
        </w:rPr>
        <w:t xml:space="preserve"> reiteró sus argumentos y</w:t>
      </w:r>
      <w:r w:rsidR="005651D9">
        <w:rPr>
          <w:rFonts w:ascii="Arial" w:hAnsi="Arial" w:cs="Arial"/>
          <w:sz w:val="24"/>
          <w:szCs w:val="24"/>
        </w:rPr>
        <w:t xml:space="preserve"> </w:t>
      </w:r>
      <w:r w:rsidR="00C840AB">
        <w:rPr>
          <w:rFonts w:ascii="Arial" w:hAnsi="Arial" w:cs="Arial"/>
          <w:sz w:val="24"/>
          <w:szCs w:val="24"/>
        </w:rPr>
        <w:t xml:space="preserve">solicitó reducir </w:t>
      </w:r>
      <w:r w:rsidR="0026377D" w:rsidRPr="0026377D">
        <w:rPr>
          <w:rFonts w:ascii="Arial" w:hAnsi="Arial" w:cs="Arial"/>
          <w:sz w:val="24"/>
          <w:szCs w:val="24"/>
        </w:rPr>
        <w:t>e</w:t>
      </w:r>
      <w:r w:rsidR="00C840AB">
        <w:rPr>
          <w:rFonts w:ascii="Arial" w:hAnsi="Arial" w:cs="Arial"/>
          <w:sz w:val="24"/>
          <w:szCs w:val="24"/>
        </w:rPr>
        <w:t>l</w:t>
      </w:r>
      <w:r w:rsidR="0026377D" w:rsidRPr="0026377D">
        <w:rPr>
          <w:rFonts w:ascii="Arial" w:hAnsi="Arial" w:cs="Arial"/>
          <w:sz w:val="24"/>
          <w:szCs w:val="24"/>
        </w:rPr>
        <w:t xml:space="preserve"> valor de</w:t>
      </w:r>
      <w:r w:rsidR="0026377D">
        <w:rPr>
          <w:rFonts w:ascii="Arial" w:hAnsi="Arial" w:cs="Arial"/>
          <w:sz w:val="24"/>
          <w:szCs w:val="24"/>
        </w:rPr>
        <w:t xml:space="preserve"> </w:t>
      </w:r>
      <w:r w:rsidR="0026377D" w:rsidRPr="0026377D">
        <w:rPr>
          <w:rFonts w:ascii="Arial" w:hAnsi="Arial" w:cs="Arial"/>
          <w:sz w:val="24"/>
          <w:szCs w:val="24"/>
        </w:rPr>
        <w:t>la cláusula penal pecuniaria ante el cumplimiento parcial de las prestaciones.</w:t>
      </w:r>
    </w:p>
    <w:p w14:paraId="4E74F9D8" w14:textId="77777777" w:rsidR="00827907" w:rsidRDefault="00827907" w:rsidP="000D243D">
      <w:pPr>
        <w:spacing w:after="0" w:line="360" w:lineRule="auto"/>
        <w:ind w:right="51"/>
        <w:jc w:val="both"/>
        <w:rPr>
          <w:rFonts w:ascii="Arial" w:hAnsi="Arial" w:cs="Arial"/>
          <w:sz w:val="24"/>
          <w:szCs w:val="24"/>
        </w:rPr>
      </w:pPr>
    </w:p>
    <w:p w14:paraId="78A1BFA9" w14:textId="77777777" w:rsidR="0026377D" w:rsidRDefault="00827907" w:rsidP="0026377D">
      <w:pPr>
        <w:spacing w:after="0" w:line="360" w:lineRule="auto"/>
        <w:ind w:right="51"/>
        <w:jc w:val="both"/>
        <w:rPr>
          <w:rFonts w:ascii="Arial" w:hAnsi="Arial" w:cs="Arial"/>
          <w:sz w:val="24"/>
          <w:szCs w:val="24"/>
        </w:rPr>
      </w:pPr>
      <w:r>
        <w:rPr>
          <w:rFonts w:ascii="Arial" w:hAnsi="Arial" w:cs="Arial"/>
          <w:sz w:val="24"/>
          <w:szCs w:val="24"/>
        </w:rPr>
        <w:t>1.1.</w:t>
      </w:r>
      <w:r w:rsidR="00C840AB">
        <w:rPr>
          <w:rFonts w:ascii="Arial" w:hAnsi="Arial" w:cs="Arial"/>
          <w:sz w:val="24"/>
          <w:szCs w:val="24"/>
        </w:rPr>
        <w:t>1</w:t>
      </w:r>
      <w:r w:rsidR="0019137B">
        <w:rPr>
          <w:rFonts w:ascii="Arial" w:hAnsi="Arial" w:cs="Arial"/>
          <w:sz w:val="24"/>
          <w:szCs w:val="24"/>
        </w:rPr>
        <w:t>4</w:t>
      </w:r>
      <w:r>
        <w:rPr>
          <w:rFonts w:ascii="Arial" w:hAnsi="Arial" w:cs="Arial"/>
          <w:sz w:val="24"/>
          <w:szCs w:val="24"/>
        </w:rPr>
        <w:t xml:space="preserve">.- </w:t>
      </w:r>
      <w:r w:rsidR="0026377D">
        <w:rPr>
          <w:rFonts w:ascii="Arial" w:hAnsi="Arial" w:cs="Arial"/>
          <w:sz w:val="24"/>
          <w:szCs w:val="24"/>
        </w:rPr>
        <w:t>En segunda instancia</w:t>
      </w:r>
      <w:r w:rsidR="005651D9">
        <w:rPr>
          <w:rFonts w:ascii="Arial" w:hAnsi="Arial" w:cs="Arial"/>
          <w:sz w:val="24"/>
          <w:szCs w:val="24"/>
        </w:rPr>
        <w:t>,</w:t>
      </w:r>
      <w:r w:rsidR="0026377D">
        <w:rPr>
          <w:rFonts w:ascii="Arial" w:hAnsi="Arial" w:cs="Arial"/>
          <w:sz w:val="24"/>
          <w:szCs w:val="24"/>
        </w:rPr>
        <w:t xml:space="preserve"> le correspondió a </w:t>
      </w:r>
      <w:r w:rsidR="0026377D" w:rsidRPr="0026377D">
        <w:rPr>
          <w:rFonts w:ascii="Arial" w:hAnsi="Arial" w:cs="Arial"/>
          <w:sz w:val="24"/>
          <w:szCs w:val="24"/>
        </w:rPr>
        <w:t xml:space="preserve">la Subsección </w:t>
      </w:r>
      <w:r w:rsidR="0026377D">
        <w:rPr>
          <w:rFonts w:ascii="Arial" w:hAnsi="Arial" w:cs="Arial"/>
          <w:sz w:val="24"/>
          <w:szCs w:val="24"/>
        </w:rPr>
        <w:t>B</w:t>
      </w:r>
      <w:r w:rsidR="0026377D" w:rsidRPr="0026377D">
        <w:rPr>
          <w:rFonts w:ascii="Arial" w:hAnsi="Arial" w:cs="Arial"/>
          <w:sz w:val="24"/>
          <w:szCs w:val="24"/>
        </w:rPr>
        <w:t xml:space="preserve"> de la Sección Tercera del Consejo de</w:t>
      </w:r>
      <w:r w:rsidR="0026377D">
        <w:rPr>
          <w:rFonts w:ascii="Arial" w:hAnsi="Arial" w:cs="Arial"/>
          <w:sz w:val="24"/>
          <w:szCs w:val="24"/>
        </w:rPr>
        <w:t xml:space="preserve"> </w:t>
      </w:r>
      <w:r w:rsidR="0026377D" w:rsidRPr="0026377D">
        <w:rPr>
          <w:rFonts w:ascii="Arial" w:hAnsi="Arial" w:cs="Arial"/>
          <w:sz w:val="24"/>
          <w:szCs w:val="24"/>
        </w:rPr>
        <w:t>Estado</w:t>
      </w:r>
      <w:r w:rsidR="0026377D">
        <w:rPr>
          <w:rFonts w:ascii="Arial" w:hAnsi="Arial" w:cs="Arial"/>
          <w:sz w:val="24"/>
          <w:szCs w:val="24"/>
        </w:rPr>
        <w:t>, que mediante sentencia d</w:t>
      </w:r>
      <w:r w:rsidR="0026377D" w:rsidRPr="0026377D">
        <w:rPr>
          <w:rFonts w:ascii="Arial" w:hAnsi="Arial" w:cs="Arial"/>
          <w:sz w:val="24"/>
          <w:szCs w:val="24"/>
        </w:rPr>
        <w:t>el 9 de julio de 2021</w:t>
      </w:r>
      <w:r w:rsidR="00FB40DB">
        <w:rPr>
          <w:rStyle w:val="Refdenotaalpie"/>
          <w:rFonts w:ascii="Arial" w:hAnsi="Arial" w:cs="Arial"/>
          <w:sz w:val="24"/>
          <w:szCs w:val="24"/>
        </w:rPr>
        <w:footnoteReference w:id="12"/>
      </w:r>
      <w:r w:rsidR="0026377D" w:rsidRPr="0026377D">
        <w:rPr>
          <w:rFonts w:ascii="Arial" w:hAnsi="Arial" w:cs="Arial"/>
          <w:sz w:val="24"/>
          <w:szCs w:val="24"/>
        </w:rPr>
        <w:t xml:space="preserve"> confirmó la </w:t>
      </w:r>
      <w:r w:rsidR="005651D9">
        <w:rPr>
          <w:rFonts w:ascii="Arial" w:hAnsi="Arial" w:cs="Arial"/>
          <w:sz w:val="24"/>
          <w:szCs w:val="24"/>
        </w:rPr>
        <w:t xml:space="preserve">decisión del </w:t>
      </w:r>
      <w:r w:rsidR="005651D9" w:rsidRPr="005651D9">
        <w:rPr>
          <w:rFonts w:ascii="Arial" w:hAnsi="Arial" w:cs="Arial"/>
          <w:i/>
          <w:sz w:val="24"/>
          <w:szCs w:val="24"/>
        </w:rPr>
        <w:t>a quo</w:t>
      </w:r>
      <w:r w:rsidR="0026377D" w:rsidRPr="0026377D">
        <w:rPr>
          <w:rFonts w:ascii="Arial" w:hAnsi="Arial" w:cs="Arial"/>
          <w:sz w:val="24"/>
          <w:szCs w:val="24"/>
        </w:rPr>
        <w:t>.</w:t>
      </w:r>
      <w:r w:rsidR="0019137B">
        <w:rPr>
          <w:rFonts w:ascii="Arial" w:hAnsi="Arial" w:cs="Arial"/>
          <w:sz w:val="24"/>
          <w:szCs w:val="24"/>
        </w:rPr>
        <w:t xml:space="preserve"> </w:t>
      </w:r>
    </w:p>
    <w:p w14:paraId="7042C1AF" w14:textId="77777777" w:rsidR="0019137B" w:rsidRDefault="0019137B" w:rsidP="0026377D">
      <w:pPr>
        <w:spacing w:after="0" w:line="360" w:lineRule="auto"/>
        <w:ind w:right="51"/>
        <w:jc w:val="both"/>
        <w:rPr>
          <w:rFonts w:ascii="Arial" w:hAnsi="Arial" w:cs="Arial"/>
          <w:sz w:val="24"/>
          <w:szCs w:val="24"/>
        </w:rPr>
      </w:pPr>
    </w:p>
    <w:p w14:paraId="4C0D4A30" w14:textId="77777777" w:rsidR="00181936" w:rsidRDefault="005651D9" w:rsidP="0026377D">
      <w:pPr>
        <w:spacing w:after="0" w:line="360" w:lineRule="auto"/>
        <w:ind w:right="51"/>
        <w:jc w:val="both"/>
        <w:rPr>
          <w:rFonts w:ascii="Arial" w:hAnsi="Arial" w:cs="Arial"/>
          <w:sz w:val="24"/>
          <w:szCs w:val="24"/>
        </w:rPr>
      </w:pPr>
      <w:r>
        <w:rPr>
          <w:rFonts w:ascii="Arial" w:hAnsi="Arial" w:cs="Arial"/>
          <w:sz w:val="24"/>
          <w:szCs w:val="24"/>
        </w:rPr>
        <w:t>E</w:t>
      </w:r>
      <w:r w:rsidR="002A58A6">
        <w:rPr>
          <w:rFonts w:ascii="Arial" w:hAnsi="Arial" w:cs="Arial"/>
          <w:sz w:val="24"/>
          <w:szCs w:val="24"/>
        </w:rPr>
        <w:t>xplicó que</w:t>
      </w:r>
      <w:r w:rsidR="004310A7">
        <w:rPr>
          <w:rFonts w:ascii="Arial" w:hAnsi="Arial" w:cs="Arial"/>
          <w:sz w:val="24"/>
          <w:szCs w:val="24"/>
        </w:rPr>
        <w:t xml:space="preserve"> en</w:t>
      </w:r>
      <w:r w:rsidR="002A58A6">
        <w:rPr>
          <w:rFonts w:ascii="Arial" w:hAnsi="Arial" w:cs="Arial"/>
          <w:sz w:val="24"/>
          <w:szCs w:val="24"/>
        </w:rPr>
        <w:t xml:space="preserve"> el contrato celebrado a través del AMP</w:t>
      </w:r>
      <w:r w:rsidR="004310A7">
        <w:rPr>
          <w:rFonts w:ascii="Arial" w:hAnsi="Arial" w:cs="Arial"/>
          <w:sz w:val="24"/>
          <w:szCs w:val="24"/>
        </w:rPr>
        <w:t xml:space="preserve"> se evidencian los dos extremos contractuales: CCE como contratante y distintos proveedores como contratistas. Enfatizó que el hecho de que uno de los proveedores sea una entidad estatal no desvirtúa la naturaleza del acuerdo marco de precios celebrado, en el cual</w:t>
      </w:r>
      <w:r w:rsidR="00181936">
        <w:rPr>
          <w:rFonts w:ascii="Arial" w:hAnsi="Arial" w:cs="Arial"/>
          <w:sz w:val="24"/>
          <w:szCs w:val="24"/>
        </w:rPr>
        <w:t xml:space="preserve">, con fundamento en </w:t>
      </w:r>
      <w:r w:rsidR="002801D4">
        <w:rPr>
          <w:rFonts w:ascii="Arial" w:hAnsi="Arial" w:cs="Arial"/>
          <w:sz w:val="24"/>
          <w:szCs w:val="24"/>
        </w:rPr>
        <w:t>los</w:t>
      </w:r>
      <w:r w:rsidR="00181936">
        <w:rPr>
          <w:rFonts w:ascii="Arial" w:hAnsi="Arial" w:cs="Arial"/>
          <w:sz w:val="24"/>
          <w:szCs w:val="24"/>
        </w:rPr>
        <w:t xml:space="preserve"> artículo</w:t>
      </w:r>
      <w:r w:rsidR="002801D4">
        <w:rPr>
          <w:rFonts w:ascii="Arial" w:hAnsi="Arial" w:cs="Arial"/>
          <w:sz w:val="24"/>
          <w:szCs w:val="24"/>
        </w:rPr>
        <w:t>s</w:t>
      </w:r>
      <w:r w:rsidR="00181936">
        <w:rPr>
          <w:rFonts w:ascii="Arial" w:hAnsi="Arial" w:cs="Arial"/>
          <w:sz w:val="24"/>
          <w:szCs w:val="24"/>
        </w:rPr>
        <w:t xml:space="preserve"> 17 de la Ley 1150 de 2007 y 86 de la Ley 1474 de 2011</w:t>
      </w:r>
      <w:r w:rsidR="004310A7">
        <w:rPr>
          <w:rFonts w:ascii="Arial" w:hAnsi="Arial" w:cs="Arial"/>
          <w:sz w:val="24"/>
          <w:szCs w:val="24"/>
        </w:rPr>
        <w:t>, se pactó</w:t>
      </w:r>
      <w:r w:rsidR="00181936">
        <w:rPr>
          <w:rFonts w:ascii="Arial" w:hAnsi="Arial" w:cs="Arial"/>
          <w:sz w:val="24"/>
          <w:szCs w:val="24"/>
        </w:rPr>
        <w:t xml:space="preserve"> la posibilidad de declarar el incumplimiento parcial o total y de hacer efectiva la cláusula penal. Por ende, concluyó que </w:t>
      </w:r>
      <w:r w:rsidR="00181936" w:rsidRPr="00181936">
        <w:rPr>
          <w:rFonts w:ascii="Arial" w:hAnsi="Arial" w:cs="Arial"/>
          <w:sz w:val="24"/>
          <w:szCs w:val="24"/>
        </w:rPr>
        <w:t>la entidad demandada tenía las facultades necesarias para declarar el incumplimiento y hacer</w:t>
      </w:r>
      <w:r w:rsidR="00181936">
        <w:rPr>
          <w:rFonts w:ascii="Arial" w:hAnsi="Arial" w:cs="Arial"/>
          <w:sz w:val="24"/>
          <w:szCs w:val="24"/>
        </w:rPr>
        <w:t xml:space="preserve"> efectiva la cláusula penal.</w:t>
      </w:r>
    </w:p>
    <w:p w14:paraId="34E3F7C4" w14:textId="77777777" w:rsidR="00181936" w:rsidRDefault="00181936" w:rsidP="0026377D">
      <w:pPr>
        <w:spacing w:after="0" w:line="360" w:lineRule="auto"/>
        <w:ind w:right="51"/>
        <w:jc w:val="both"/>
        <w:rPr>
          <w:rFonts w:ascii="Arial" w:hAnsi="Arial" w:cs="Arial"/>
          <w:sz w:val="24"/>
          <w:szCs w:val="24"/>
        </w:rPr>
      </w:pPr>
    </w:p>
    <w:p w14:paraId="5C722D50" w14:textId="57AD287E" w:rsidR="00BE50CB" w:rsidRDefault="00181936" w:rsidP="0026377D">
      <w:pPr>
        <w:spacing w:after="0" w:line="360" w:lineRule="auto"/>
        <w:ind w:right="51"/>
        <w:jc w:val="both"/>
        <w:rPr>
          <w:rFonts w:ascii="Arial" w:hAnsi="Arial" w:cs="Arial"/>
          <w:sz w:val="24"/>
          <w:szCs w:val="24"/>
        </w:rPr>
      </w:pPr>
      <w:r>
        <w:rPr>
          <w:rFonts w:ascii="Arial" w:hAnsi="Arial" w:cs="Arial"/>
          <w:sz w:val="24"/>
          <w:szCs w:val="24"/>
        </w:rPr>
        <w:t>En relación con la supuesta vulneración al debido proceso durante la actuación administrativa sancionatoria, encontró que se respetó, en tanto los propios actos administrativos dan cuenta de la corrección del yerro de la primera citación al contratista. Explicó que al momento en que se celebró la audiencia</w:t>
      </w:r>
      <w:r w:rsidR="005651D9">
        <w:rPr>
          <w:rFonts w:ascii="Arial" w:hAnsi="Arial" w:cs="Arial"/>
          <w:sz w:val="24"/>
          <w:szCs w:val="24"/>
        </w:rPr>
        <w:t>,</w:t>
      </w:r>
      <w:r>
        <w:rPr>
          <w:rFonts w:ascii="Arial" w:hAnsi="Arial" w:cs="Arial"/>
          <w:sz w:val="24"/>
          <w:szCs w:val="24"/>
        </w:rPr>
        <w:t xml:space="preserve"> el contratista había conocido las razones que sustentaban la citación</w:t>
      </w:r>
      <w:r w:rsidR="005B6104">
        <w:rPr>
          <w:rFonts w:ascii="Arial" w:hAnsi="Arial" w:cs="Arial"/>
          <w:sz w:val="24"/>
          <w:szCs w:val="24"/>
        </w:rPr>
        <w:t xml:space="preserve"> y ejerció su derecho de defensa. Sostuvo que no existió diferencia en el entendimiento del plazo contractual, ya que la propia entidad reconoció que, en efecto, los días eran hábiles y la declaratoria de incumplimiento no se produjo hasta que se agotó el plazo contractual previsto, tras percatarse </w:t>
      </w:r>
      <w:r w:rsidR="00CC6424">
        <w:rPr>
          <w:rFonts w:ascii="Arial" w:hAnsi="Arial" w:cs="Arial"/>
          <w:sz w:val="24"/>
          <w:szCs w:val="24"/>
        </w:rPr>
        <w:t xml:space="preserve">de </w:t>
      </w:r>
      <w:r w:rsidR="005B6104">
        <w:rPr>
          <w:rFonts w:ascii="Arial" w:hAnsi="Arial" w:cs="Arial"/>
          <w:sz w:val="24"/>
          <w:szCs w:val="24"/>
        </w:rPr>
        <w:t>que</w:t>
      </w:r>
      <w:r w:rsidR="00BE50CB">
        <w:rPr>
          <w:rFonts w:ascii="Arial" w:hAnsi="Arial" w:cs="Arial"/>
          <w:sz w:val="24"/>
          <w:szCs w:val="24"/>
        </w:rPr>
        <w:t xml:space="preserve"> el aquí interesado</w:t>
      </w:r>
      <w:r w:rsidR="005B6104">
        <w:rPr>
          <w:rFonts w:ascii="Arial" w:hAnsi="Arial" w:cs="Arial"/>
          <w:sz w:val="24"/>
          <w:szCs w:val="24"/>
        </w:rPr>
        <w:t xml:space="preserve"> no había </w:t>
      </w:r>
      <w:r w:rsidR="002E1F4D">
        <w:rPr>
          <w:rFonts w:ascii="Arial" w:hAnsi="Arial" w:cs="Arial"/>
          <w:sz w:val="24"/>
          <w:szCs w:val="24"/>
        </w:rPr>
        <w:t>satisfecho</w:t>
      </w:r>
      <w:r w:rsidR="005B6104">
        <w:rPr>
          <w:rFonts w:ascii="Arial" w:hAnsi="Arial" w:cs="Arial"/>
          <w:sz w:val="24"/>
          <w:szCs w:val="24"/>
        </w:rPr>
        <w:t xml:space="preserve"> total</w:t>
      </w:r>
      <w:r w:rsidR="002E1F4D">
        <w:rPr>
          <w:rFonts w:ascii="Arial" w:hAnsi="Arial" w:cs="Arial"/>
          <w:sz w:val="24"/>
          <w:szCs w:val="24"/>
        </w:rPr>
        <w:t>mente</w:t>
      </w:r>
      <w:r w:rsidR="005B6104">
        <w:rPr>
          <w:rFonts w:ascii="Arial" w:hAnsi="Arial" w:cs="Arial"/>
          <w:sz w:val="24"/>
          <w:szCs w:val="24"/>
        </w:rPr>
        <w:t xml:space="preserve"> sus obligaciones contractuales. </w:t>
      </w:r>
    </w:p>
    <w:p w14:paraId="23413260" w14:textId="77777777" w:rsidR="009A5FFC" w:rsidRDefault="005B6104" w:rsidP="00FE6EB2">
      <w:pPr>
        <w:spacing w:after="0" w:line="360" w:lineRule="auto"/>
        <w:ind w:right="51"/>
        <w:jc w:val="both"/>
        <w:rPr>
          <w:rFonts w:ascii="Arial" w:hAnsi="Arial" w:cs="Arial"/>
          <w:sz w:val="24"/>
          <w:szCs w:val="24"/>
        </w:rPr>
      </w:pPr>
      <w:r>
        <w:rPr>
          <w:rFonts w:ascii="Arial" w:hAnsi="Arial" w:cs="Arial"/>
          <w:sz w:val="24"/>
          <w:szCs w:val="24"/>
        </w:rPr>
        <w:lastRenderedPageBreak/>
        <w:t xml:space="preserve">Frente a la reducción proporcional de la cláusula </w:t>
      </w:r>
      <w:r w:rsidR="00FD309F">
        <w:rPr>
          <w:rFonts w:ascii="Arial" w:hAnsi="Arial" w:cs="Arial"/>
          <w:sz w:val="24"/>
          <w:szCs w:val="24"/>
        </w:rPr>
        <w:t xml:space="preserve">penal </w:t>
      </w:r>
      <w:r>
        <w:rPr>
          <w:rFonts w:ascii="Arial" w:hAnsi="Arial" w:cs="Arial"/>
          <w:sz w:val="24"/>
          <w:szCs w:val="24"/>
        </w:rPr>
        <w:t xml:space="preserve">impuesta, sostuvo que las partes pactaron el 10% del valor de las órdenes de compra como </w:t>
      </w:r>
      <w:r w:rsidR="005E5571">
        <w:rPr>
          <w:rFonts w:ascii="Arial" w:hAnsi="Arial" w:cs="Arial"/>
          <w:sz w:val="24"/>
          <w:szCs w:val="24"/>
        </w:rPr>
        <w:t>aquella</w:t>
      </w:r>
      <w:r>
        <w:rPr>
          <w:rFonts w:ascii="Arial" w:hAnsi="Arial" w:cs="Arial"/>
          <w:sz w:val="24"/>
          <w:szCs w:val="24"/>
        </w:rPr>
        <w:t xml:space="preserve">, por lo que la administración simplemente </w:t>
      </w:r>
      <w:r w:rsidR="005E5571">
        <w:rPr>
          <w:rFonts w:ascii="Arial" w:hAnsi="Arial" w:cs="Arial"/>
          <w:sz w:val="24"/>
          <w:szCs w:val="24"/>
        </w:rPr>
        <w:t xml:space="preserve">la </w:t>
      </w:r>
      <w:r>
        <w:rPr>
          <w:rFonts w:ascii="Arial" w:hAnsi="Arial" w:cs="Arial"/>
          <w:sz w:val="24"/>
          <w:szCs w:val="24"/>
        </w:rPr>
        <w:t>hizo efectiva, en atención a que el artículo 1599 del Código Civil establece que habrá lugar a exigir la pena en todos los casos en que se hubiere estipulado.</w:t>
      </w:r>
    </w:p>
    <w:p w14:paraId="17365E53" w14:textId="77777777" w:rsidR="003C4516" w:rsidRDefault="003C4516" w:rsidP="00FE6EB2">
      <w:pPr>
        <w:spacing w:after="0" w:line="360" w:lineRule="auto"/>
        <w:ind w:right="51"/>
        <w:jc w:val="both"/>
        <w:rPr>
          <w:rFonts w:ascii="Arial" w:hAnsi="Arial" w:cs="Arial"/>
          <w:sz w:val="24"/>
          <w:szCs w:val="24"/>
        </w:rPr>
      </w:pPr>
    </w:p>
    <w:p w14:paraId="1BCD5AA4" w14:textId="77777777" w:rsidR="00CF7AF8" w:rsidRPr="00233FE5" w:rsidRDefault="00E0464A" w:rsidP="00D10F0F">
      <w:pPr>
        <w:pStyle w:val="Sinespaciado"/>
        <w:spacing w:line="360" w:lineRule="auto"/>
        <w:jc w:val="both"/>
        <w:rPr>
          <w:rFonts w:ascii="Arial" w:hAnsi="Arial" w:cs="Arial"/>
          <w:b/>
          <w:sz w:val="24"/>
          <w:szCs w:val="24"/>
        </w:rPr>
      </w:pPr>
      <w:r w:rsidRPr="00233FE5">
        <w:rPr>
          <w:rFonts w:ascii="Arial" w:hAnsi="Arial" w:cs="Arial"/>
          <w:b/>
          <w:sz w:val="24"/>
          <w:szCs w:val="24"/>
        </w:rPr>
        <w:t>1.</w:t>
      </w:r>
      <w:r w:rsidR="00557BAC" w:rsidRPr="00233FE5">
        <w:rPr>
          <w:rFonts w:ascii="Arial" w:hAnsi="Arial" w:cs="Arial"/>
          <w:b/>
          <w:sz w:val="24"/>
          <w:szCs w:val="24"/>
        </w:rPr>
        <w:t>2</w:t>
      </w:r>
      <w:r w:rsidR="00CF7AF8" w:rsidRPr="00233FE5">
        <w:rPr>
          <w:rFonts w:ascii="Arial" w:hAnsi="Arial" w:cs="Arial"/>
          <w:b/>
          <w:sz w:val="24"/>
          <w:szCs w:val="24"/>
        </w:rPr>
        <w:t>.- Fundamento</w:t>
      </w:r>
      <w:r w:rsidR="00CE5FDF" w:rsidRPr="00233FE5">
        <w:rPr>
          <w:rFonts w:ascii="Arial" w:hAnsi="Arial" w:cs="Arial"/>
          <w:b/>
          <w:sz w:val="24"/>
          <w:szCs w:val="24"/>
        </w:rPr>
        <w:t>s</w:t>
      </w:r>
      <w:r w:rsidR="00CF7AF8" w:rsidRPr="00233FE5">
        <w:rPr>
          <w:rFonts w:ascii="Arial" w:hAnsi="Arial" w:cs="Arial"/>
          <w:b/>
          <w:sz w:val="24"/>
          <w:szCs w:val="24"/>
        </w:rPr>
        <w:t xml:space="preserve"> de la acción de tutela</w:t>
      </w:r>
    </w:p>
    <w:p w14:paraId="301AF9CE" w14:textId="77777777" w:rsidR="00EB42A8" w:rsidRPr="00233FE5" w:rsidRDefault="00EB42A8" w:rsidP="00D10F0F">
      <w:pPr>
        <w:pStyle w:val="Sinespaciado1"/>
        <w:spacing w:line="360" w:lineRule="auto"/>
        <w:jc w:val="both"/>
        <w:rPr>
          <w:rFonts w:ascii="Arial" w:hAnsi="Arial" w:cs="Arial"/>
          <w:lang w:val="es-ES"/>
        </w:rPr>
      </w:pPr>
    </w:p>
    <w:p w14:paraId="15EE1E78" w14:textId="77777777" w:rsidR="0008547B" w:rsidRPr="0008547B" w:rsidRDefault="0008547B" w:rsidP="005D31BC">
      <w:pPr>
        <w:tabs>
          <w:tab w:val="left" w:pos="207"/>
        </w:tabs>
        <w:spacing w:line="360" w:lineRule="auto"/>
        <w:contextualSpacing/>
        <w:jc w:val="both"/>
        <w:rPr>
          <w:rFonts w:ascii="Arial" w:eastAsia="Times New Roman" w:hAnsi="Arial" w:cs="Arial"/>
          <w:sz w:val="24"/>
          <w:szCs w:val="24"/>
          <w:lang w:eastAsia="es-ES"/>
        </w:rPr>
      </w:pPr>
      <w:r w:rsidRPr="0008547B">
        <w:rPr>
          <w:rFonts w:ascii="Arial" w:eastAsia="Times New Roman" w:hAnsi="Arial" w:cs="Arial"/>
          <w:sz w:val="24"/>
          <w:szCs w:val="24"/>
          <w:lang w:eastAsia="es-ES"/>
        </w:rPr>
        <w:t>El</w:t>
      </w:r>
      <w:r w:rsidR="00A65AB4" w:rsidRPr="0008547B">
        <w:rPr>
          <w:rFonts w:ascii="Arial" w:eastAsia="Times New Roman" w:hAnsi="Arial" w:cs="Arial"/>
          <w:sz w:val="24"/>
          <w:szCs w:val="24"/>
          <w:lang w:eastAsia="es-ES"/>
        </w:rPr>
        <w:t xml:space="preserve"> tutelante aduce que la</w:t>
      </w:r>
      <w:r w:rsidR="00AE263F" w:rsidRPr="0008547B">
        <w:rPr>
          <w:rFonts w:ascii="Arial" w:eastAsia="Times New Roman" w:hAnsi="Arial" w:cs="Arial"/>
          <w:sz w:val="24"/>
          <w:szCs w:val="24"/>
          <w:lang w:eastAsia="es-ES"/>
        </w:rPr>
        <w:t>s</w:t>
      </w:r>
      <w:r w:rsidR="00A65AB4" w:rsidRPr="0008547B">
        <w:rPr>
          <w:rFonts w:ascii="Arial" w:eastAsia="Times New Roman" w:hAnsi="Arial" w:cs="Arial"/>
          <w:sz w:val="24"/>
          <w:szCs w:val="24"/>
          <w:lang w:eastAsia="es-ES"/>
        </w:rPr>
        <w:t xml:space="preserve"> autoridad</w:t>
      </w:r>
      <w:r w:rsidR="00AE263F" w:rsidRPr="0008547B">
        <w:rPr>
          <w:rFonts w:ascii="Arial" w:eastAsia="Times New Roman" w:hAnsi="Arial" w:cs="Arial"/>
          <w:sz w:val="24"/>
          <w:szCs w:val="24"/>
          <w:lang w:eastAsia="es-ES"/>
        </w:rPr>
        <w:t>es</w:t>
      </w:r>
      <w:r w:rsidR="00A65AB4" w:rsidRPr="0008547B">
        <w:rPr>
          <w:rFonts w:ascii="Arial" w:eastAsia="Times New Roman" w:hAnsi="Arial" w:cs="Arial"/>
          <w:sz w:val="24"/>
          <w:szCs w:val="24"/>
          <w:lang w:eastAsia="es-ES"/>
        </w:rPr>
        <w:t xml:space="preserve"> judicial</w:t>
      </w:r>
      <w:r w:rsidR="00AE263F" w:rsidRPr="0008547B">
        <w:rPr>
          <w:rFonts w:ascii="Arial" w:eastAsia="Times New Roman" w:hAnsi="Arial" w:cs="Arial"/>
          <w:sz w:val="24"/>
          <w:szCs w:val="24"/>
          <w:lang w:eastAsia="es-ES"/>
        </w:rPr>
        <w:t>es</w:t>
      </w:r>
      <w:r w:rsidR="00A65AB4" w:rsidRPr="0008547B">
        <w:rPr>
          <w:rFonts w:ascii="Arial" w:eastAsia="Times New Roman" w:hAnsi="Arial" w:cs="Arial"/>
          <w:sz w:val="24"/>
          <w:szCs w:val="24"/>
          <w:lang w:eastAsia="es-ES"/>
        </w:rPr>
        <w:t xml:space="preserve"> accionada</w:t>
      </w:r>
      <w:r w:rsidR="00AE263F" w:rsidRPr="0008547B">
        <w:rPr>
          <w:rFonts w:ascii="Arial" w:eastAsia="Times New Roman" w:hAnsi="Arial" w:cs="Arial"/>
          <w:sz w:val="24"/>
          <w:szCs w:val="24"/>
          <w:lang w:eastAsia="es-ES"/>
        </w:rPr>
        <w:t>s</w:t>
      </w:r>
      <w:r w:rsidR="00A65AB4" w:rsidRPr="0008547B">
        <w:rPr>
          <w:rFonts w:ascii="Arial" w:eastAsia="Times New Roman" w:hAnsi="Arial" w:cs="Arial"/>
          <w:sz w:val="24"/>
          <w:szCs w:val="24"/>
          <w:lang w:eastAsia="es-ES"/>
        </w:rPr>
        <w:t xml:space="preserve"> vulner</w:t>
      </w:r>
      <w:r w:rsidR="00AE263F" w:rsidRPr="0008547B">
        <w:rPr>
          <w:rFonts w:ascii="Arial" w:eastAsia="Times New Roman" w:hAnsi="Arial" w:cs="Arial"/>
          <w:sz w:val="24"/>
          <w:szCs w:val="24"/>
          <w:lang w:eastAsia="es-ES"/>
        </w:rPr>
        <w:t>aron</w:t>
      </w:r>
      <w:r w:rsidR="00A65AB4" w:rsidRPr="0008547B">
        <w:rPr>
          <w:rFonts w:ascii="Arial" w:eastAsia="Times New Roman" w:hAnsi="Arial" w:cs="Arial"/>
          <w:sz w:val="24"/>
          <w:szCs w:val="24"/>
          <w:lang w:eastAsia="es-ES"/>
        </w:rPr>
        <w:t xml:space="preserve"> sus derechos fundamentales al incurrir </w:t>
      </w:r>
      <w:r w:rsidR="004C7FBC" w:rsidRPr="0008547B">
        <w:rPr>
          <w:rFonts w:ascii="Arial" w:eastAsia="Times New Roman" w:hAnsi="Arial" w:cs="Arial"/>
          <w:sz w:val="24"/>
          <w:szCs w:val="24"/>
          <w:lang w:eastAsia="es-ES"/>
        </w:rPr>
        <w:t xml:space="preserve">en los </w:t>
      </w:r>
      <w:r w:rsidRPr="0008547B">
        <w:rPr>
          <w:rFonts w:ascii="Arial" w:eastAsia="Times New Roman" w:hAnsi="Arial" w:cs="Arial"/>
          <w:sz w:val="24"/>
          <w:szCs w:val="24"/>
          <w:lang w:eastAsia="es-ES"/>
        </w:rPr>
        <w:t xml:space="preserve">siguientes </w:t>
      </w:r>
      <w:r w:rsidR="009B2365" w:rsidRPr="0008547B">
        <w:rPr>
          <w:rFonts w:ascii="Arial" w:eastAsia="Times New Roman" w:hAnsi="Arial" w:cs="Arial"/>
          <w:sz w:val="24"/>
          <w:szCs w:val="24"/>
          <w:lang w:eastAsia="es-ES"/>
        </w:rPr>
        <w:t>defecto</w:t>
      </w:r>
      <w:r w:rsidR="004C7FBC" w:rsidRPr="0008547B">
        <w:rPr>
          <w:rFonts w:ascii="Arial" w:eastAsia="Times New Roman" w:hAnsi="Arial" w:cs="Arial"/>
          <w:sz w:val="24"/>
          <w:szCs w:val="24"/>
          <w:lang w:eastAsia="es-ES"/>
        </w:rPr>
        <w:t>s</w:t>
      </w:r>
      <w:r w:rsidRPr="0008547B">
        <w:rPr>
          <w:rFonts w:ascii="Arial" w:eastAsia="Times New Roman" w:hAnsi="Arial" w:cs="Arial"/>
          <w:sz w:val="24"/>
          <w:szCs w:val="24"/>
          <w:lang w:eastAsia="es-ES"/>
        </w:rPr>
        <w:t>:</w:t>
      </w:r>
    </w:p>
    <w:p w14:paraId="6B1391C5" w14:textId="77777777" w:rsidR="00F149DD" w:rsidRDefault="00F149DD" w:rsidP="00F149DD">
      <w:pPr>
        <w:tabs>
          <w:tab w:val="left" w:pos="207"/>
        </w:tabs>
        <w:spacing w:line="360" w:lineRule="auto"/>
        <w:contextualSpacing/>
        <w:jc w:val="both"/>
        <w:rPr>
          <w:rFonts w:ascii="Arial" w:eastAsia="Times New Roman" w:hAnsi="Arial" w:cs="Arial"/>
          <w:sz w:val="24"/>
          <w:szCs w:val="24"/>
          <w:lang w:eastAsia="es-ES"/>
        </w:rPr>
      </w:pPr>
    </w:p>
    <w:p w14:paraId="68CC2AE6" w14:textId="77777777" w:rsidR="00CA5144" w:rsidRDefault="008C713D" w:rsidP="00CA5144">
      <w:pPr>
        <w:tabs>
          <w:tab w:val="left" w:pos="207"/>
        </w:tabs>
        <w:spacing w:line="360" w:lineRule="auto"/>
        <w:contextualSpacing/>
        <w:jc w:val="both"/>
        <w:rPr>
          <w:rFonts w:ascii="Arial" w:eastAsia="Times New Roman" w:hAnsi="Arial" w:cs="Arial"/>
          <w:b/>
          <w:i/>
          <w:sz w:val="24"/>
          <w:szCs w:val="24"/>
          <w:lang w:eastAsia="es-ES"/>
        </w:rPr>
      </w:pPr>
      <w:r>
        <w:rPr>
          <w:rFonts w:ascii="Arial" w:eastAsia="Times New Roman" w:hAnsi="Arial" w:cs="Arial"/>
          <w:sz w:val="24"/>
          <w:szCs w:val="24"/>
          <w:lang w:eastAsia="es-ES"/>
        </w:rPr>
        <w:t xml:space="preserve">1.2.1.- </w:t>
      </w:r>
      <w:r w:rsidR="00CA5144" w:rsidRPr="007A5CB5">
        <w:rPr>
          <w:rFonts w:ascii="Arial" w:eastAsia="Times New Roman" w:hAnsi="Arial" w:cs="Arial"/>
          <w:i/>
          <w:sz w:val="24"/>
          <w:szCs w:val="24"/>
          <w:lang w:eastAsia="es-ES"/>
        </w:rPr>
        <w:t>Defecto fáctico</w:t>
      </w:r>
    </w:p>
    <w:p w14:paraId="7B96AEF7" w14:textId="77777777" w:rsidR="00CA5144" w:rsidRDefault="00CA5144" w:rsidP="00CA5144">
      <w:pPr>
        <w:tabs>
          <w:tab w:val="left" w:pos="207"/>
        </w:tabs>
        <w:spacing w:line="360" w:lineRule="auto"/>
        <w:contextualSpacing/>
        <w:jc w:val="both"/>
        <w:rPr>
          <w:rFonts w:ascii="Arial" w:eastAsia="Times New Roman" w:hAnsi="Arial" w:cs="Arial"/>
          <w:b/>
          <w:i/>
          <w:sz w:val="24"/>
          <w:szCs w:val="24"/>
          <w:lang w:eastAsia="es-ES"/>
        </w:rPr>
      </w:pPr>
    </w:p>
    <w:p w14:paraId="5EC32BC5" w14:textId="2DF00E21" w:rsidR="00C4116B" w:rsidRDefault="00CA5144" w:rsidP="00CA5144">
      <w:pPr>
        <w:tabs>
          <w:tab w:val="left" w:pos="207"/>
        </w:tabs>
        <w:spacing w:line="360" w:lineRule="auto"/>
        <w:contextualSpacing/>
        <w:jc w:val="both"/>
        <w:rPr>
          <w:rFonts w:ascii="Arial" w:eastAsia="Times New Roman" w:hAnsi="Arial" w:cs="Arial"/>
          <w:sz w:val="24"/>
          <w:szCs w:val="24"/>
          <w:lang w:eastAsia="es-ES"/>
        </w:rPr>
      </w:pPr>
      <w:r w:rsidRPr="00A74E31">
        <w:rPr>
          <w:rFonts w:ascii="Arial" w:hAnsi="Arial" w:cs="Arial"/>
          <w:sz w:val="24"/>
          <w:szCs w:val="24"/>
        </w:rPr>
        <w:t>Argumentó que</w:t>
      </w:r>
      <w:r>
        <w:rPr>
          <w:rFonts w:ascii="Arial" w:hAnsi="Arial" w:cs="Arial"/>
          <w:sz w:val="24"/>
          <w:szCs w:val="24"/>
        </w:rPr>
        <w:t xml:space="preserve"> </w:t>
      </w:r>
      <w:r w:rsidR="00C4116B">
        <w:rPr>
          <w:rFonts w:ascii="Arial" w:hAnsi="Arial" w:cs="Arial"/>
          <w:sz w:val="24"/>
          <w:szCs w:val="24"/>
        </w:rPr>
        <w:t xml:space="preserve">incurrieron en este </w:t>
      </w:r>
      <w:r w:rsidR="00D72F2F">
        <w:rPr>
          <w:rFonts w:ascii="Arial" w:hAnsi="Arial" w:cs="Arial"/>
          <w:sz w:val="24"/>
          <w:szCs w:val="24"/>
        </w:rPr>
        <w:t>vicio</w:t>
      </w:r>
      <w:r w:rsidR="00C4116B">
        <w:rPr>
          <w:rFonts w:ascii="Arial" w:hAnsi="Arial" w:cs="Arial"/>
          <w:sz w:val="24"/>
          <w:szCs w:val="24"/>
        </w:rPr>
        <w:t xml:space="preserve"> por dos razones: a)</w:t>
      </w:r>
      <w:r w:rsidR="00C4116B" w:rsidRPr="00C4116B">
        <w:rPr>
          <w:rFonts w:ascii="Arial" w:hAnsi="Arial" w:cs="Arial"/>
          <w:sz w:val="24"/>
          <w:szCs w:val="24"/>
        </w:rPr>
        <w:t xml:space="preserve"> valoraron de forma arbitraria, irracional y caprichosa </w:t>
      </w:r>
      <w:r w:rsidR="00C4116B" w:rsidRPr="00C4116B">
        <w:rPr>
          <w:rFonts w:ascii="Arial" w:eastAsia="Times New Roman" w:hAnsi="Arial" w:cs="Arial"/>
          <w:sz w:val="24"/>
          <w:szCs w:val="24"/>
          <w:lang w:eastAsia="es-ES"/>
        </w:rPr>
        <w:t>el AMP</w:t>
      </w:r>
      <w:r w:rsidR="005B6104">
        <w:rPr>
          <w:rFonts w:ascii="Arial" w:eastAsia="Times New Roman" w:hAnsi="Arial" w:cs="Arial"/>
          <w:sz w:val="24"/>
          <w:szCs w:val="24"/>
          <w:lang w:eastAsia="es-ES"/>
        </w:rPr>
        <w:t>,</w:t>
      </w:r>
      <w:r w:rsidR="00C4116B">
        <w:rPr>
          <w:rFonts w:ascii="Arial" w:eastAsia="Times New Roman" w:hAnsi="Arial" w:cs="Arial"/>
          <w:sz w:val="24"/>
          <w:szCs w:val="24"/>
          <w:lang w:eastAsia="es-ES"/>
        </w:rPr>
        <w:t xml:space="preserve"> al afirmar</w:t>
      </w:r>
      <w:r w:rsidR="005B6104">
        <w:rPr>
          <w:rFonts w:ascii="Arial" w:eastAsia="Times New Roman" w:hAnsi="Arial" w:cs="Arial"/>
          <w:sz w:val="24"/>
          <w:szCs w:val="24"/>
          <w:lang w:eastAsia="es-ES"/>
        </w:rPr>
        <w:t>,</w:t>
      </w:r>
      <w:r w:rsidR="00C4116B">
        <w:rPr>
          <w:rFonts w:ascii="Arial" w:eastAsia="Times New Roman" w:hAnsi="Arial" w:cs="Arial"/>
          <w:sz w:val="24"/>
          <w:szCs w:val="24"/>
          <w:lang w:eastAsia="es-ES"/>
        </w:rPr>
        <w:t xml:space="preserve"> sin sustento alguno</w:t>
      </w:r>
      <w:r w:rsidR="005B6104">
        <w:rPr>
          <w:rFonts w:ascii="Arial" w:eastAsia="Times New Roman" w:hAnsi="Arial" w:cs="Arial"/>
          <w:sz w:val="24"/>
          <w:szCs w:val="24"/>
          <w:lang w:eastAsia="es-ES"/>
        </w:rPr>
        <w:t>,</w:t>
      </w:r>
      <w:r w:rsidR="00C4116B">
        <w:rPr>
          <w:rFonts w:ascii="Arial" w:eastAsia="Times New Roman" w:hAnsi="Arial" w:cs="Arial"/>
          <w:sz w:val="24"/>
          <w:szCs w:val="24"/>
          <w:lang w:eastAsia="es-ES"/>
        </w:rPr>
        <w:t xml:space="preserve"> que en la cláusula penal pecuniaria pactada se renunció a la aplicación de los artículo</w:t>
      </w:r>
      <w:r w:rsidR="00E917A9">
        <w:rPr>
          <w:rFonts w:ascii="Arial" w:eastAsia="Times New Roman" w:hAnsi="Arial" w:cs="Arial"/>
          <w:sz w:val="24"/>
          <w:szCs w:val="24"/>
          <w:lang w:eastAsia="es-ES"/>
        </w:rPr>
        <w:t>s</w:t>
      </w:r>
      <w:r w:rsidR="00C4116B">
        <w:rPr>
          <w:rFonts w:ascii="Arial" w:eastAsia="Times New Roman" w:hAnsi="Arial" w:cs="Arial"/>
          <w:sz w:val="24"/>
          <w:szCs w:val="24"/>
          <w:lang w:eastAsia="es-ES"/>
        </w:rPr>
        <w:t xml:space="preserve"> 1596 del Código Civil y 867 del Código de Comercio</w:t>
      </w:r>
      <w:r w:rsidR="0004218E">
        <w:rPr>
          <w:rFonts w:ascii="Arial" w:eastAsia="Times New Roman" w:hAnsi="Arial" w:cs="Arial"/>
          <w:sz w:val="24"/>
          <w:szCs w:val="24"/>
          <w:lang w:eastAsia="es-ES"/>
        </w:rPr>
        <w:t xml:space="preserve">, y b) dieron por establecida la renuncia a los citados artículos sin que existiera material probatorio que soportara dicha circunstancia. </w:t>
      </w:r>
    </w:p>
    <w:p w14:paraId="00731018" w14:textId="77777777" w:rsidR="0004218E" w:rsidRDefault="0004218E" w:rsidP="00F149DD">
      <w:pPr>
        <w:tabs>
          <w:tab w:val="left" w:pos="207"/>
        </w:tabs>
        <w:spacing w:line="360" w:lineRule="auto"/>
        <w:contextualSpacing/>
        <w:jc w:val="both"/>
        <w:rPr>
          <w:rFonts w:ascii="Arial" w:eastAsia="Times New Roman" w:hAnsi="Arial" w:cs="Arial"/>
          <w:sz w:val="24"/>
          <w:szCs w:val="24"/>
          <w:lang w:eastAsia="es-ES"/>
        </w:rPr>
      </w:pPr>
    </w:p>
    <w:p w14:paraId="593D0EEE" w14:textId="77777777" w:rsidR="008C713D" w:rsidRDefault="00CA5144" w:rsidP="00F149DD">
      <w:pPr>
        <w:tabs>
          <w:tab w:val="left" w:pos="207"/>
        </w:tabs>
        <w:spacing w:line="360" w:lineRule="auto"/>
        <w:contextualSpacing/>
        <w:jc w:val="both"/>
        <w:rPr>
          <w:rFonts w:ascii="Arial" w:eastAsia="Times New Roman" w:hAnsi="Arial" w:cs="Arial"/>
          <w:i/>
          <w:sz w:val="24"/>
          <w:szCs w:val="24"/>
          <w:lang w:eastAsia="es-ES"/>
        </w:rPr>
      </w:pPr>
      <w:r w:rsidRPr="007A5CB5">
        <w:rPr>
          <w:rFonts w:ascii="Arial" w:eastAsia="Times New Roman" w:hAnsi="Arial" w:cs="Arial"/>
          <w:sz w:val="24"/>
          <w:szCs w:val="24"/>
          <w:lang w:eastAsia="es-ES"/>
        </w:rPr>
        <w:t xml:space="preserve">1.2.2.- </w:t>
      </w:r>
      <w:r w:rsidR="0008547B" w:rsidRPr="008C713D">
        <w:rPr>
          <w:rFonts w:ascii="Arial" w:eastAsia="Times New Roman" w:hAnsi="Arial" w:cs="Arial"/>
          <w:i/>
          <w:sz w:val="24"/>
          <w:szCs w:val="24"/>
          <w:lang w:eastAsia="es-ES"/>
        </w:rPr>
        <w:t>Defecto sustantivo</w:t>
      </w:r>
      <w:r w:rsidR="008C713D">
        <w:rPr>
          <w:rFonts w:ascii="Arial" w:eastAsia="Times New Roman" w:hAnsi="Arial" w:cs="Arial"/>
          <w:sz w:val="24"/>
          <w:szCs w:val="24"/>
          <w:lang w:eastAsia="es-ES"/>
        </w:rPr>
        <w:t xml:space="preserve"> </w:t>
      </w:r>
    </w:p>
    <w:p w14:paraId="1672B2BB" w14:textId="77777777" w:rsidR="0062063F" w:rsidRDefault="0062063F" w:rsidP="00F149DD">
      <w:pPr>
        <w:tabs>
          <w:tab w:val="left" w:pos="207"/>
        </w:tabs>
        <w:spacing w:line="360" w:lineRule="auto"/>
        <w:contextualSpacing/>
        <w:jc w:val="both"/>
        <w:rPr>
          <w:rFonts w:ascii="Arial" w:eastAsia="Times New Roman" w:hAnsi="Arial" w:cs="Arial"/>
          <w:sz w:val="24"/>
          <w:szCs w:val="24"/>
          <w:lang w:eastAsia="es-ES"/>
        </w:rPr>
      </w:pPr>
    </w:p>
    <w:p w14:paraId="493F6EF3" w14:textId="77777777" w:rsidR="0062063F" w:rsidRDefault="0062063F" w:rsidP="00A466C7">
      <w:pPr>
        <w:tabs>
          <w:tab w:val="left" w:pos="207"/>
        </w:tabs>
        <w:spacing w:line="360" w:lineRule="auto"/>
        <w:contextualSpacing/>
        <w:jc w:val="both"/>
        <w:rPr>
          <w:rFonts w:ascii="Arial" w:hAnsi="Arial" w:cs="Arial"/>
          <w:sz w:val="24"/>
          <w:szCs w:val="24"/>
        </w:rPr>
      </w:pPr>
      <w:r>
        <w:rPr>
          <w:rFonts w:ascii="Arial" w:eastAsia="Times New Roman" w:hAnsi="Arial" w:cs="Arial"/>
          <w:sz w:val="24"/>
          <w:szCs w:val="24"/>
          <w:lang w:eastAsia="es-ES"/>
        </w:rPr>
        <w:t>S</w:t>
      </w:r>
      <w:r w:rsidR="008C713D">
        <w:rPr>
          <w:rFonts w:ascii="Arial" w:eastAsia="Times New Roman" w:hAnsi="Arial" w:cs="Arial"/>
          <w:sz w:val="24"/>
          <w:szCs w:val="24"/>
          <w:lang w:eastAsia="es-ES"/>
        </w:rPr>
        <w:t xml:space="preserve">ostiene que </w:t>
      </w:r>
      <w:r w:rsidR="00254182">
        <w:rPr>
          <w:rFonts w:ascii="Arial" w:eastAsia="Times New Roman" w:hAnsi="Arial" w:cs="Arial"/>
          <w:sz w:val="24"/>
          <w:szCs w:val="24"/>
          <w:lang w:eastAsia="es-ES"/>
        </w:rPr>
        <w:t xml:space="preserve">surge esta vía de hecho </w:t>
      </w:r>
      <w:r>
        <w:rPr>
          <w:rFonts w:ascii="Arial" w:hAnsi="Arial" w:cs="Arial"/>
          <w:sz w:val="24"/>
          <w:szCs w:val="24"/>
        </w:rPr>
        <w:t xml:space="preserve">por </w:t>
      </w:r>
      <w:r w:rsidR="00254182">
        <w:rPr>
          <w:rFonts w:ascii="Arial" w:hAnsi="Arial" w:cs="Arial"/>
          <w:sz w:val="24"/>
          <w:szCs w:val="24"/>
        </w:rPr>
        <w:t>considerarse</w:t>
      </w:r>
      <w:r>
        <w:rPr>
          <w:rFonts w:ascii="Arial" w:hAnsi="Arial" w:cs="Arial"/>
          <w:sz w:val="24"/>
          <w:szCs w:val="24"/>
        </w:rPr>
        <w:t xml:space="preserve"> una norma no aplicable al caso concreto</w:t>
      </w:r>
      <w:r w:rsidR="00A466C7">
        <w:rPr>
          <w:rFonts w:ascii="Arial" w:hAnsi="Arial" w:cs="Arial"/>
          <w:sz w:val="24"/>
          <w:szCs w:val="24"/>
        </w:rPr>
        <w:t xml:space="preserve"> </w:t>
      </w:r>
      <w:r>
        <w:rPr>
          <w:rFonts w:ascii="Arial" w:hAnsi="Arial" w:cs="Arial"/>
          <w:sz w:val="24"/>
          <w:szCs w:val="24"/>
        </w:rPr>
        <w:t xml:space="preserve">y no </w:t>
      </w:r>
      <w:r w:rsidR="00254182">
        <w:rPr>
          <w:rFonts w:ascii="Arial" w:hAnsi="Arial" w:cs="Arial"/>
          <w:sz w:val="24"/>
          <w:szCs w:val="24"/>
        </w:rPr>
        <w:t>observarse</w:t>
      </w:r>
      <w:r>
        <w:rPr>
          <w:rFonts w:ascii="Arial" w:hAnsi="Arial" w:cs="Arial"/>
          <w:sz w:val="24"/>
          <w:szCs w:val="24"/>
        </w:rPr>
        <w:t xml:space="preserve"> la norma procedente.</w:t>
      </w:r>
      <w:r w:rsidR="00A466C7">
        <w:rPr>
          <w:rFonts w:ascii="Arial" w:hAnsi="Arial" w:cs="Arial"/>
          <w:sz w:val="24"/>
          <w:szCs w:val="24"/>
        </w:rPr>
        <w:t xml:space="preserve"> Argumentó que el Consejo de Estado </w:t>
      </w:r>
      <w:r w:rsidR="00254182">
        <w:rPr>
          <w:rFonts w:ascii="Arial" w:hAnsi="Arial" w:cs="Arial"/>
          <w:sz w:val="24"/>
          <w:szCs w:val="24"/>
        </w:rPr>
        <w:t>acogió el</w:t>
      </w:r>
      <w:r w:rsidR="00A466C7">
        <w:rPr>
          <w:rFonts w:ascii="Arial" w:hAnsi="Arial" w:cs="Arial"/>
          <w:sz w:val="24"/>
          <w:szCs w:val="24"/>
        </w:rPr>
        <w:t xml:space="preserve"> artículo 1599 del Código Civil</w:t>
      </w:r>
      <w:r w:rsidR="006D0929">
        <w:rPr>
          <w:rFonts w:ascii="Arial" w:hAnsi="Arial" w:cs="Arial"/>
          <w:sz w:val="24"/>
          <w:szCs w:val="24"/>
        </w:rPr>
        <w:t xml:space="preserve">, en </w:t>
      </w:r>
      <w:r w:rsidR="00254182">
        <w:rPr>
          <w:rFonts w:ascii="Arial" w:hAnsi="Arial" w:cs="Arial"/>
          <w:sz w:val="24"/>
          <w:szCs w:val="24"/>
        </w:rPr>
        <w:t xml:space="preserve">lugar del </w:t>
      </w:r>
      <w:r w:rsidR="006D0929">
        <w:rPr>
          <w:rFonts w:ascii="Arial" w:hAnsi="Arial" w:cs="Arial"/>
          <w:sz w:val="24"/>
          <w:szCs w:val="24"/>
        </w:rPr>
        <w:t xml:space="preserve">artículo 1596 </w:t>
      </w:r>
      <w:r w:rsidR="006D0929" w:rsidRPr="006D0929">
        <w:rPr>
          <w:rFonts w:ascii="Arial" w:hAnsi="Arial" w:cs="Arial"/>
          <w:i/>
          <w:sz w:val="24"/>
          <w:szCs w:val="24"/>
        </w:rPr>
        <w:t>ibídem</w:t>
      </w:r>
      <w:r w:rsidR="006D0929">
        <w:rPr>
          <w:rFonts w:ascii="Arial" w:hAnsi="Arial" w:cs="Arial"/>
          <w:sz w:val="24"/>
          <w:szCs w:val="24"/>
        </w:rPr>
        <w:t xml:space="preserve"> y el último aparte del inciso</w:t>
      </w:r>
      <w:r w:rsidR="00254182">
        <w:rPr>
          <w:rFonts w:ascii="Arial" w:hAnsi="Arial" w:cs="Arial"/>
          <w:sz w:val="24"/>
          <w:szCs w:val="24"/>
        </w:rPr>
        <w:t xml:space="preserve"> final</w:t>
      </w:r>
      <w:r w:rsidR="006D0929">
        <w:rPr>
          <w:rFonts w:ascii="Arial" w:hAnsi="Arial" w:cs="Arial"/>
          <w:sz w:val="24"/>
          <w:szCs w:val="24"/>
        </w:rPr>
        <w:t xml:space="preserve"> del artículo 867 del Código de Comercio, conforme </w:t>
      </w:r>
      <w:r w:rsidR="00254182">
        <w:rPr>
          <w:rFonts w:ascii="Arial" w:hAnsi="Arial" w:cs="Arial"/>
          <w:sz w:val="24"/>
          <w:szCs w:val="24"/>
        </w:rPr>
        <w:t xml:space="preserve">con los cuales </w:t>
      </w:r>
      <w:r w:rsidR="006D0929">
        <w:rPr>
          <w:rFonts w:ascii="Arial" w:hAnsi="Arial" w:cs="Arial"/>
          <w:sz w:val="24"/>
          <w:szCs w:val="24"/>
        </w:rPr>
        <w:t xml:space="preserve">se debía </w:t>
      </w:r>
      <w:r w:rsidR="00254182">
        <w:rPr>
          <w:rFonts w:ascii="Arial" w:hAnsi="Arial" w:cs="Arial"/>
          <w:sz w:val="24"/>
          <w:szCs w:val="24"/>
        </w:rPr>
        <w:t xml:space="preserve">disminuir </w:t>
      </w:r>
      <w:r w:rsidR="006D0929">
        <w:rPr>
          <w:rFonts w:ascii="Arial" w:hAnsi="Arial" w:cs="Arial"/>
          <w:sz w:val="24"/>
          <w:szCs w:val="24"/>
        </w:rPr>
        <w:t xml:space="preserve">la cláusula penal por proporcionalidad, dado que el cumplimiento del contrato era del 79.54%. </w:t>
      </w:r>
    </w:p>
    <w:p w14:paraId="33B0D27A" w14:textId="28F75BF7" w:rsidR="00127AD9" w:rsidRDefault="00127AD9" w:rsidP="00DF1CEB">
      <w:pPr>
        <w:tabs>
          <w:tab w:val="left" w:pos="207"/>
        </w:tabs>
        <w:spacing w:line="360" w:lineRule="auto"/>
        <w:contextualSpacing/>
        <w:jc w:val="both"/>
        <w:rPr>
          <w:rFonts w:ascii="Arial" w:hAnsi="Arial" w:cs="Arial"/>
          <w:sz w:val="24"/>
          <w:szCs w:val="24"/>
        </w:rPr>
      </w:pPr>
    </w:p>
    <w:p w14:paraId="348FE5AD" w14:textId="0F6AFA9D" w:rsidR="00E2698B" w:rsidRDefault="00E2698B" w:rsidP="00DF1CEB">
      <w:pPr>
        <w:tabs>
          <w:tab w:val="left" w:pos="207"/>
        </w:tabs>
        <w:spacing w:line="360" w:lineRule="auto"/>
        <w:contextualSpacing/>
        <w:jc w:val="both"/>
        <w:rPr>
          <w:rFonts w:ascii="Arial" w:hAnsi="Arial" w:cs="Arial"/>
          <w:sz w:val="24"/>
          <w:szCs w:val="24"/>
        </w:rPr>
      </w:pPr>
    </w:p>
    <w:p w14:paraId="161D0792" w14:textId="72B817CB" w:rsidR="00E2698B" w:rsidRDefault="00E2698B" w:rsidP="00DF1CEB">
      <w:pPr>
        <w:tabs>
          <w:tab w:val="left" w:pos="207"/>
        </w:tabs>
        <w:spacing w:line="360" w:lineRule="auto"/>
        <w:contextualSpacing/>
        <w:jc w:val="both"/>
        <w:rPr>
          <w:rFonts w:ascii="Arial" w:hAnsi="Arial" w:cs="Arial"/>
          <w:sz w:val="24"/>
          <w:szCs w:val="24"/>
        </w:rPr>
      </w:pPr>
    </w:p>
    <w:p w14:paraId="1B75C9F3" w14:textId="10D124DB" w:rsidR="00E2698B" w:rsidRDefault="00E2698B" w:rsidP="00DF1CEB">
      <w:pPr>
        <w:tabs>
          <w:tab w:val="left" w:pos="207"/>
        </w:tabs>
        <w:spacing w:line="360" w:lineRule="auto"/>
        <w:contextualSpacing/>
        <w:jc w:val="both"/>
        <w:rPr>
          <w:rFonts w:ascii="Arial" w:hAnsi="Arial" w:cs="Arial"/>
          <w:sz w:val="24"/>
          <w:szCs w:val="24"/>
        </w:rPr>
      </w:pPr>
    </w:p>
    <w:p w14:paraId="427F942A" w14:textId="77777777" w:rsidR="00E2698B" w:rsidRDefault="00E2698B" w:rsidP="00DF1CEB">
      <w:pPr>
        <w:tabs>
          <w:tab w:val="left" w:pos="207"/>
        </w:tabs>
        <w:spacing w:line="360" w:lineRule="auto"/>
        <w:contextualSpacing/>
        <w:jc w:val="both"/>
        <w:rPr>
          <w:rFonts w:ascii="Arial" w:hAnsi="Arial" w:cs="Arial"/>
          <w:sz w:val="24"/>
          <w:szCs w:val="24"/>
        </w:rPr>
      </w:pPr>
    </w:p>
    <w:p w14:paraId="218773E1" w14:textId="77777777" w:rsidR="00EB3C46" w:rsidRPr="00457BA1" w:rsidRDefault="00457BA1" w:rsidP="00457BA1">
      <w:pPr>
        <w:tabs>
          <w:tab w:val="left" w:pos="207"/>
        </w:tabs>
        <w:spacing w:line="360" w:lineRule="auto"/>
        <w:contextualSpacing/>
        <w:jc w:val="both"/>
        <w:rPr>
          <w:rFonts w:ascii="Arial" w:eastAsia="Times New Roman" w:hAnsi="Arial" w:cs="Arial"/>
          <w:sz w:val="24"/>
          <w:szCs w:val="24"/>
          <w:lang w:eastAsia="es-ES"/>
        </w:rPr>
      </w:pPr>
      <w:r w:rsidRPr="007A5CB5">
        <w:rPr>
          <w:rFonts w:ascii="Arial" w:eastAsia="Times New Roman" w:hAnsi="Arial" w:cs="Arial"/>
          <w:sz w:val="24"/>
          <w:szCs w:val="24"/>
          <w:lang w:eastAsia="es-ES"/>
        </w:rPr>
        <w:lastRenderedPageBreak/>
        <w:t xml:space="preserve">1.2.3.- </w:t>
      </w:r>
      <w:r w:rsidR="00EB3C46" w:rsidRPr="007A5CB5">
        <w:rPr>
          <w:rFonts w:ascii="Arial" w:eastAsia="Times New Roman" w:hAnsi="Arial" w:cs="Arial"/>
          <w:i/>
          <w:sz w:val="24"/>
          <w:szCs w:val="24"/>
          <w:lang w:eastAsia="es-ES"/>
        </w:rPr>
        <w:t>Desconocimiento del precedente</w:t>
      </w:r>
      <w:r w:rsidR="006D0929">
        <w:rPr>
          <w:rStyle w:val="Refdenotaalpie"/>
          <w:rFonts w:ascii="Arial" w:eastAsia="Times New Roman" w:hAnsi="Arial" w:cs="Arial"/>
          <w:i/>
          <w:sz w:val="24"/>
          <w:szCs w:val="24"/>
          <w:lang w:eastAsia="es-ES"/>
        </w:rPr>
        <w:footnoteReference w:id="13"/>
      </w:r>
    </w:p>
    <w:p w14:paraId="6475453E" w14:textId="77777777" w:rsidR="00576563" w:rsidRDefault="00576563" w:rsidP="00576563">
      <w:pPr>
        <w:tabs>
          <w:tab w:val="left" w:pos="207"/>
        </w:tabs>
        <w:spacing w:line="360" w:lineRule="auto"/>
        <w:contextualSpacing/>
        <w:jc w:val="both"/>
        <w:rPr>
          <w:rFonts w:ascii="Arial" w:eastAsia="Times New Roman" w:hAnsi="Arial" w:cs="Arial"/>
          <w:i/>
          <w:sz w:val="24"/>
          <w:szCs w:val="24"/>
          <w:u w:val="single"/>
          <w:lang w:eastAsia="es-ES"/>
        </w:rPr>
      </w:pPr>
    </w:p>
    <w:p w14:paraId="01EE58CF" w14:textId="77777777" w:rsidR="006D0929" w:rsidRDefault="00563870" w:rsidP="00563870">
      <w:pPr>
        <w:tabs>
          <w:tab w:val="left" w:pos="207"/>
        </w:tabs>
        <w:spacing w:line="360" w:lineRule="auto"/>
        <w:contextualSpacing/>
        <w:jc w:val="both"/>
        <w:rPr>
          <w:rFonts w:ascii="Arial" w:hAnsi="Arial" w:cs="Arial"/>
          <w:sz w:val="24"/>
        </w:rPr>
      </w:pPr>
      <w:r w:rsidRPr="00563870">
        <w:rPr>
          <w:rFonts w:ascii="Arial" w:hAnsi="Arial" w:cs="Arial"/>
          <w:sz w:val="24"/>
        </w:rPr>
        <w:t xml:space="preserve">Explicó que </w:t>
      </w:r>
      <w:r w:rsidR="006D0929">
        <w:rPr>
          <w:rFonts w:ascii="Arial" w:hAnsi="Arial" w:cs="Arial"/>
          <w:sz w:val="24"/>
        </w:rPr>
        <w:t>la aplicación proporcional de la cláusula penal constituye un precedente que debe ser aplicado en el caso concreto.</w:t>
      </w:r>
    </w:p>
    <w:p w14:paraId="2FD1A54A" w14:textId="77777777" w:rsidR="00C13176" w:rsidRPr="005D31BC" w:rsidRDefault="00C13176" w:rsidP="005D31BC">
      <w:pPr>
        <w:tabs>
          <w:tab w:val="left" w:pos="207"/>
        </w:tabs>
        <w:spacing w:line="360" w:lineRule="auto"/>
        <w:contextualSpacing/>
        <w:jc w:val="both"/>
        <w:rPr>
          <w:rFonts w:ascii="Arial" w:hAnsi="Arial" w:cs="Arial"/>
          <w:color w:val="000000"/>
          <w:sz w:val="24"/>
          <w:szCs w:val="24"/>
        </w:rPr>
      </w:pPr>
    </w:p>
    <w:p w14:paraId="18BEC22F" w14:textId="77777777" w:rsidR="005D31BC" w:rsidRPr="005D31BC" w:rsidRDefault="00E0464A" w:rsidP="005D31BC">
      <w:pPr>
        <w:tabs>
          <w:tab w:val="left" w:pos="207"/>
        </w:tabs>
        <w:spacing w:line="360" w:lineRule="auto"/>
        <w:contextualSpacing/>
        <w:jc w:val="both"/>
        <w:rPr>
          <w:rFonts w:ascii="Arial" w:hAnsi="Arial" w:cs="Arial"/>
          <w:b/>
          <w:sz w:val="24"/>
          <w:szCs w:val="24"/>
        </w:rPr>
      </w:pPr>
      <w:r w:rsidRPr="005D31BC">
        <w:rPr>
          <w:rFonts w:ascii="Arial" w:hAnsi="Arial" w:cs="Arial"/>
          <w:b/>
          <w:sz w:val="24"/>
          <w:szCs w:val="24"/>
          <w:lang w:val="es-ES"/>
        </w:rPr>
        <w:t>1.</w:t>
      </w:r>
      <w:r w:rsidR="00557BAC" w:rsidRPr="005D31BC">
        <w:rPr>
          <w:rFonts w:ascii="Arial" w:hAnsi="Arial" w:cs="Arial"/>
          <w:b/>
          <w:sz w:val="24"/>
          <w:szCs w:val="24"/>
          <w:lang w:val="es-ES"/>
        </w:rPr>
        <w:t>3</w:t>
      </w:r>
      <w:r w:rsidR="00096400" w:rsidRPr="005D31BC">
        <w:rPr>
          <w:rFonts w:ascii="Arial" w:hAnsi="Arial" w:cs="Arial"/>
          <w:b/>
          <w:sz w:val="24"/>
          <w:szCs w:val="24"/>
        </w:rPr>
        <w:t xml:space="preserve">.- </w:t>
      </w:r>
      <w:r w:rsidR="0011398C" w:rsidRPr="005D31BC">
        <w:rPr>
          <w:rFonts w:ascii="Arial" w:hAnsi="Arial" w:cs="Arial"/>
          <w:b/>
          <w:sz w:val="24"/>
          <w:szCs w:val="24"/>
        </w:rPr>
        <w:t>Pretensi</w:t>
      </w:r>
      <w:r w:rsidR="00CE5FDF" w:rsidRPr="005D31BC">
        <w:rPr>
          <w:rFonts w:ascii="Arial" w:hAnsi="Arial" w:cs="Arial"/>
          <w:b/>
          <w:sz w:val="24"/>
          <w:szCs w:val="24"/>
        </w:rPr>
        <w:t>o</w:t>
      </w:r>
      <w:r w:rsidR="0011398C" w:rsidRPr="005D31BC">
        <w:rPr>
          <w:rFonts w:ascii="Arial" w:hAnsi="Arial" w:cs="Arial"/>
          <w:b/>
          <w:sz w:val="24"/>
          <w:szCs w:val="24"/>
        </w:rPr>
        <w:t>n</w:t>
      </w:r>
      <w:r w:rsidR="00CE5FDF" w:rsidRPr="005D31BC">
        <w:rPr>
          <w:rFonts w:ascii="Arial" w:hAnsi="Arial" w:cs="Arial"/>
          <w:b/>
          <w:sz w:val="24"/>
          <w:szCs w:val="24"/>
        </w:rPr>
        <w:t>es</w:t>
      </w:r>
      <w:r w:rsidR="005D31BC" w:rsidRPr="005D31BC">
        <w:rPr>
          <w:rFonts w:ascii="Arial" w:hAnsi="Arial" w:cs="Arial"/>
          <w:b/>
          <w:sz w:val="24"/>
          <w:szCs w:val="24"/>
        </w:rPr>
        <w:t xml:space="preserve"> de la acción de tutela</w:t>
      </w:r>
    </w:p>
    <w:p w14:paraId="692C3553" w14:textId="77777777" w:rsidR="005D31BC" w:rsidRPr="005D31BC" w:rsidRDefault="005D31BC" w:rsidP="005D31BC">
      <w:pPr>
        <w:tabs>
          <w:tab w:val="left" w:pos="207"/>
        </w:tabs>
        <w:spacing w:line="360" w:lineRule="auto"/>
        <w:contextualSpacing/>
        <w:jc w:val="both"/>
        <w:rPr>
          <w:rFonts w:ascii="Arial" w:hAnsi="Arial" w:cs="Arial"/>
          <w:b/>
          <w:sz w:val="24"/>
          <w:szCs w:val="24"/>
        </w:rPr>
      </w:pPr>
    </w:p>
    <w:p w14:paraId="6006B074" w14:textId="77777777" w:rsidR="0036207B" w:rsidRDefault="005651D9" w:rsidP="005D31BC">
      <w:pPr>
        <w:tabs>
          <w:tab w:val="left" w:pos="207"/>
        </w:tabs>
        <w:spacing w:line="360" w:lineRule="auto"/>
        <w:contextualSpacing/>
        <w:jc w:val="both"/>
        <w:rPr>
          <w:rFonts w:ascii="Arial" w:hAnsi="Arial" w:cs="Arial"/>
          <w:sz w:val="24"/>
          <w:szCs w:val="24"/>
        </w:rPr>
      </w:pPr>
      <w:r>
        <w:rPr>
          <w:rFonts w:ascii="Arial" w:hAnsi="Arial" w:cs="Arial"/>
          <w:sz w:val="24"/>
          <w:szCs w:val="24"/>
        </w:rPr>
        <w:t>La</w:t>
      </w:r>
      <w:r w:rsidR="0033455F">
        <w:rPr>
          <w:rFonts w:ascii="Arial" w:hAnsi="Arial" w:cs="Arial"/>
          <w:sz w:val="24"/>
          <w:szCs w:val="24"/>
        </w:rPr>
        <w:t xml:space="preserve"> tutelante</w:t>
      </w:r>
      <w:r w:rsidR="00F01127" w:rsidRPr="005D31BC">
        <w:rPr>
          <w:rFonts w:ascii="Arial" w:hAnsi="Arial" w:cs="Arial"/>
          <w:sz w:val="24"/>
          <w:szCs w:val="24"/>
        </w:rPr>
        <w:t xml:space="preserve"> </w:t>
      </w:r>
      <w:r w:rsidR="00836C3C" w:rsidRPr="005D31BC">
        <w:rPr>
          <w:rFonts w:ascii="Arial" w:hAnsi="Arial" w:cs="Arial"/>
          <w:sz w:val="24"/>
          <w:szCs w:val="24"/>
        </w:rPr>
        <w:t>solicitó que (i)</w:t>
      </w:r>
      <w:r w:rsidR="0050410E" w:rsidRPr="005D31BC">
        <w:rPr>
          <w:rFonts w:ascii="Arial" w:hAnsi="Arial" w:cs="Arial"/>
          <w:sz w:val="24"/>
          <w:szCs w:val="24"/>
        </w:rPr>
        <w:t xml:space="preserve"> se </w:t>
      </w:r>
      <w:r w:rsidR="0033455F">
        <w:rPr>
          <w:rFonts w:ascii="Arial" w:hAnsi="Arial" w:cs="Arial"/>
          <w:sz w:val="24"/>
          <w:szCs w:val="24"/>
        </w:rPr>
        <w:t>ampar</w:t>
      </w:r>
      <w:r w:rsidR="0050410E" w:rsidRPr="005D31BC">
        <w:rPr>
          <w:rFonts w:ascii="Arial" w:hAnsi="Arial" w:cs="Arial"/>
          <w:sz w:val="24"/>
          <w:szCs w:val="24"/>
        </w:rPr>
        <w:t xml:space="preserve">aran los derechos fundamentales invocados, (ii) </w:t>
      </w:r>
      <w:r w:rsidR="00836C3C" w:rsidRPr="005D31BC">
        <w:rPr>
          <w:rFonts w:ascii="Arial" w:hAnsi="Arial" w:cs="Arial"/>
          <w:sz w:val="24"/>
          <w:szCs w:val="24"/>
        </w:rPr>
        <w:t xml:space="preserve">se </w:t>
      </w:r>
      <w:r w:rsidR="001C6B7E">
        <w:rPr>
          <w:rFonts w:ascii="Arial" w:hAnsi="Arial" w:cs="Arial"/>
          <w:sz w:val="24"/>
          <w:szCs w:val="24"/>
        </w:rPr>
        <w:t xml:space="preserve">dejaran sin efectos </w:t>
      </w:r>
      <w:r w:rsidR="00990E4E" w:rsidRPr="005D31BC">
        <w:rPr>
          <w:rFonts w:ascii="Arial" w:hAnsi="Arial" w:cs="Arial"/>
          <w:sz w:val="24"/>
          <w:szCs w:val="24"/>
        </w:rPr>
        <w:t>la</w:t>
      </w:r>
      <w:r w:rsidR="009B2365">
        <w:rPr>
          <w:rFonts w:ascii="Arial" w:hAnsi="Arial" w:cs="Arial"/>
          <w:sz w:val="24"/>
          <w:szCs w:val="24"/>
        </w:rPr>
        <w:t>s</w:t>
      </w:r>
      <w:r w:rsidR="00990E4E" w:rsidRPr="005D31BC">
        <w:rPr>
          <w:rFonts w:ascii="Arial" w:hAnsi="Arial" w:cs="Arial"/>
          <w:sz w:val="24"/>
          <w:szCs w:val="24"/>
        </w:rPr>
        <w:t xml:space="preserve"> sentencia</w:t>
      </w:r>
      <w:r w:rsidR="009B2365">
        <w:rPr>
          <w:rFonts w:ascii="Arial" w:hAnsi="Arial" w:cs="Arial"/>
          <w:sz w:val="24"/>
          <w:szCs w:val="24"/>
        </w:rPr>
        <w:t>s</w:t>
      </w:r>
      <w:r w:rsidR="00990E4E" w:rsidRPr="005D31BC">
        <w:rPr>
          <w:rFonts w:ascii="Arial" w:hAnsi="Arial" w:cs="Arial"/>
          <w:sz w:val="24"/>
          <w:szCs w:val="24"/>
        </w:rPr>
        <w:t xml:space="preserve"> </w:t>
      </w:r>
      <w:r w:rsidR="001C6B7E">
        <w:rPr>
          <w:rFonts w:ascii="Arial" w:hAnsi="Arial" w:cs="Arial"/>
          <w:sz w:val="24"/>
          <w:szCs w:val="24"/>
        </w:rPr>
        <w:t>reprochadas</w:t>
      </w:r>
      <w:r w:rsidR="0050410E" w:rsidRPr="005D31BC">
        <w:rPr>
          <w:rFonts w:ascii="Arial" w:hAnsi="Arial" w:cs="Arial"/>
          <w:sz w:val="24"/>
          <w:szCs w:val="24"/>
        </w:rPr>
        <w:t>,</w:t>
      </w:r>
      <w:r w:rsidR="00836C3C" w:rsidRPr="005D31BC">
        <w:rPr>
          <w:rFonts w:ascii="Arial" w:hAnsi="Arial" w:cs="Arial"/>
          <w:sz w:val="24"/>
          <w:szCs w:val="24"/>
        </w:rPr>
        <w:t xml:space="preserve"> y (</w:t>
      </w:r>
      <w:r w:rsidR="0050410E" w:rsidRPr="005D31BC">
        <w:rPr>
          <w:rFonts w:ascii="Arial" w:hAnsi="Arial" w:cs="Arial"/>
          <w:sz w:val="24"/>
          <w:szCs w:val="24"/>
        </w:rPr>
        <w:t>i</w:t>
      </w:r>
      <w:r w:rsidR="00836C3C" w:rsidRPr="005D31BC">
        <w:rPr>
          <w:rFonts w:ascii="Arial" w:hAnsi="Arial" w:cs="Arial"/>
          <w:sz w:val="24"/>
          <w:szCs w:val="24"/>
        </w:rPr>
        <w:t xml:space="preserve">ii) se </w:t>
      </w:r>
      <w:r w:rsidR="008D5BDF" w:rsidRPr="005D31BC">
        <w:rPr>
          <w:rFonts w:ascii="Arial" w:hAnsi="Arial" w:cs="Arial"/>
          <w:sz w:val="24"/>
          <w:szCs w:val="24"/>
        </w:rPr>
        <w:t>le</w:t>
      </w:r>
      <w:r w:rsidR="009B2365">
        <w:rPr>
          <w:rFonts w:ascii="Arial" w:hAnsi="Arial" w:cs="Arial"/>
          <w:sz w:val="24"/>
          <w:szCs w:val="24"/>
        </w:rPr>
        <w:t>s</w:t>
      </w:r>
      <w:r w:rsidR="008D5BDF" w:rsidRPr="005D31BC">
        <w:rPr>
          <w:rFonts w:ascii="Arial" w:hAnsi="Arial" w:cs="Arial"/>
          <w:sz w:val="24"/>
          <w:szCs w:val="24"/>
        </w:rPr>
        <w:t xml:space="preserve"> </w:t>
      </w:r>
      <w:r w:rsidR="00836C3C" w:rsidRPr="005D31BC">
        <w:rPr>
          <w:rFonts w:ascii="Arial" w:hAnsi="Arial" w:cs="Arial"/>
          <w:sz w:val="24"/>
          <w:szCs w:val="24"/>
        </w:rPr>
        <w:t>orde</w:t>
      </w:r>
      <w:r w:rsidR="00B46FC9" w:rsidRPr="005D31BC">
        <w:rPr>
          <w:rFonts w:ascii="Arial" w:hAnsi="Arial" w:cs="Arial"/>
          <w:sz w:val="24"/>
          <w:szCs w:val="24"/>
        </w:rPr>
        <w:t>nara</w:t>
      </w:r>
      <w:r w:rsidR="00836C3C" w:rsidRPr="005D31BC">
        <w:rPr>
          <w:rFonts w:ascii="Arial" w:hAnsi="Arial" w:cs="Arial"/>
          <w:sz w:val="24"/>
          <w:szCs w:val="24"/>
        </w:rPr>
        <w:t xml:space="preserve"> </w:t>
      </w:r>
      <w:r w:rsidR="00746991">
        <w:rPr>
          <w:rFonts w:ascii="Arial" w:hAnsi="Arial" w:cs="Arial"/>
          <w:sz w:val="24"/>
          <w:szCs w:val="24"/>
        </w:rPr>
        <w:t xml:space="preserve">a los convocados </w:t>
      </w:r>
      <w:r w:rsidR="00B46FC9" w:rsidRPr="005D31BC">
        <w:rPr>
          <w:rFonts w:ascii="Arial" w:hAnsi="Arial" w:cs="Arial"/>
          <w:sz w:val="24"/>
          <w:szCs w:val="24"/>
        </w:rPr>
        <w:t>proferir</w:t>
      </w:r>
      <w:r w:rsidR="00836C3C" w:rsidRPr="005D31BC">
        <w:rPr>
          <w:rFonts w:ascii="Arial" w:hAnsi="Arial" w:cs="Arial"/>
          <w:sz w:val="24"/>
          <w:szCs w:val="24"/>
        </w:rPr>
        <w:t xml:space="preserve"> una nueva decisión.</w:t>
      </w:r>
    </w:p>
    <w:p w14:paraId="7BAC4347" w14:textId="77777777" w:rsidR="00CC03A4" w:rsidRDefault="00CC03A4" w:rsidP="005D31BC">
      <w:pPr>
        <w:tabs>
          <w:tab w:val="left" w:pos="207"/>
        </w:tabs>
        <w:spacing w:line="360" w:lineRule="auto"/>
        <w:contextualSpacing/>
        <w:jc w:val="both"/>
        <w:rPr>
          <w:rFonts w:ascii="Arial" w:hAnsi="Arial" w:cs="Arial"/>
          <w:sz w:val="24"/>
          <w:szCs w:val="24"/>
        </w:rPr>
      </w:pPr>
    </w:p>
    <w:p w14:paraId="1A9E05A3" w14:textId="77777777" w:rsidR="005D31BC" w:rsidRPr="0036207B" w:rsidRDefault="00E0464A" w:rsidP="005D31BC">
      <w:pPr>
        <w:tabs>
          <w:tab w:val="left" w:pos="207"/>
        </w:tabs>
        <w:spacing w:line="360" w:lineRule="auto"/>
        <w:contextualSpacing/>
        <w:jc w:val="both"/>
        <w:rPr>
          <w:rFonts w:ascii="Arial" w:hAnsi="Arial" w:cs="Arial"/>
          <w:sz w:val="24"/>
          <w:szCs w:val="24"/>
        </w:rPr>
      </w:pPr>
      <w:r w:rsidRPr="005D31BC">
        <w:rPr>
          <w:rFonts w:ascii="Arial" w:hAnsi="Arial" w:cs="Arial"/>
          <w:b/>
          <w:sz w:val="24"/>
          <w:szCs w:val="24"/>
        </w:rPr>
        <w:t>2</w:t>
      </w:r>
      <w:r w:rsidR="0011398C" w:rsidRPr="005D31BC">
        <w:rPr>
          <w:rFonts w:ascii="Arial" w:hAnsi="Arial" w:cs="Arial"/>
          <w:b/>
          <w:sz w:val="24"/>
          <w:szCs w:val="24"/>
        </w:rPr>
        <w:t xml:space="preserve">.- </w:t>
      </w:r>
      <w:r w:rsidR="00096400" w:rsidRPr="005D31BC">
        <w:rPr>
          <w:rFonts w:ascii="Arial" w:hAnsi="Arial" w:cs="Arial"/>
          <w:b/>
          <w:sz w:val="24"/>
          <w:szCs w:val="24"/>
        </w:rPr>
        <w:t xml:space="preserve">Trámite de la acción de tutela </w:t>
      </w:r>
    </w:p>
    <w:p w14:paraId="3B4B0805" w14:textId="77777777" w:rsidR="005D31BC" w:rsidRPr="005D31BC" w:rsidRDefault="005D31BC" w:rsidP="005D31BC">
      <w:pPr>
        <w:tabs>
          <w:tab w:val="left" w:pos="207"/>
        </w:tabs>
        <w:spacing w:line="360" w:lineRule="auto"/>
        <w:contextualSpacing/>
        <w:jc w:val="both"/>
        <w:rPr>
          <w:rFonts w:ascii="Arial" w:hAnsi="Arial" w:cs="Arial"/>
          <w:b/>
          <w:sz w:val="24"/>
          <w:szCs w:val="24"/>
        </w:rPr>
      </w:pPr>
    </w:p>
    <w:p w14:paraId="487F7E6F" w14:textId="77777777" w:rsidR="005D31BC" w:rsidRPr="005D31BC" w:rsidRDefault="00E0464A" w:rsidP="005D31BC">
      <w:pPr>
        <w:tabs>
          <w:tab w:val="left" w:pos="207"/>
        </w:tabs>
        <w:spacing w:line="360" w:lineRule="auto"/>
        <w:contextualSpacing/>
        <w:jc w:val="both"/>
        <w:rPr>
          <w:rFonts w:ascii="Arial" w:hAnsi="Arial" w:cs="Arial"/>
          <w:sz w:val="24"/>
          <w:szCs w:val="24"/>
        </w:rPr>
      </w:pPr>
      <w:r w:rsidRPr="005D31BC">
        <w:rPr>
          <w:rFonts w:ascii="Arial" w:hAnsi="Arial" w:cs="Arial"/>
          <w:sz w:val="24"/>
          <w:szCs w:val="24"/>
        </w:rPr>
        <w:t>2</w:t>
      </w:r>
      <w:r w:rsidR="00096400" w:rsidRPr="005D31BC">
        <w:rPr>
          <w:rFonts w:ascii="Arial" w:hAnsi="Arial" w:cs="Arial"/>
          <w:sz w:val="24"/>
          <w:szCs w:val="24"/>
        </w:rPr>
        <w:t xml:space="preserve">.1.- </w:t>
      </w:r>
      <w:r w:rsidR="007170BB" w:rsidRPr="005D31BC">
        <w:rPr>
          <w:rFonts w:ascii="Arial" w:hAnsi="Arial" w:cs="Arial"/>
          <w:sz w:val="24"/>
          <w:szCs w:val="24"/>
        </w:rPr>
        <w:t xml:space="preserve">Por auto del </w:t>
      </w:r>
      <w:r w:rsidR="00BC4E60">
        <w:rPr>
          <w:rFonts w:ascii="Arial" w:hAnsi="Arial" w:cs="Arial"/>
          <w:sz w:val="24"/>
          <w:szCs w:val="24"/>
        </w:rPr>
        <w:t>1</w:t>
      </w:r>
      <w:r w:rsidR="001C6B7E">
        <w:rPr>
          <w:rFonts w:ascii="Arial" w:hAnsi="Arial" w:cs="Arial"/>
          <w:sz w:val="24"/>
          <w:szCs w:val="24"/>
        </w:rPr>
        <w:t>4</w:t>
      </w:r>
      <w:r w:rsidR="007170BB" w:rsidRPr="005D31BC">
        <w:rPr>
          <w:rFonts w:ascii="Arial" w:hAnsi="Arial" w:cs="Arial"/>
          <w:sz w:val="24"/>
          <w:szCs w:val="24"/>
        </w:rPr>
        <w:t xml:space="preserve"> de </w:t>
      </w:r>
      <w:r w:rsidR="001C6B7E">
        <w:rPr>
          <w:rFonts w:ascii="Arial" w:hAnsi="Arial" w:cs="Arial"/>
          <w:sz w:val="24"/>
          <w:szCs w:val="24"/>
        </w:rPr>
        <w:t>enero</w:t>
      </w:r>
      <w:r w:rsidR="007170BB" w:rsidRPr="005D31BC">
        <w:rPr>
          <w:rFonts w:ascii="Arial" w:hAnsi="Arial" w:cs="Arial"/>
          <w:sz w:val="24"/>
          <w:szCs w:val="24"/>
        </w:rPr>
        <w:t xml:space="preserve"> de 202</w:t>
      </w:r>
      <w:r w:rsidR="00A01BD5" w:rsidRPr="005D31BC">
        <w:rPr>
          <w:rFonts w:ascii="Arial" w:hAnsi="Arial" w:cs="Arial"/>
          <w:sz w:val="24"/>
          <w:szCs w:val="24"/>
        </w:rPr>
        <w:t>1</w:t>
      </w:r>
      <w:r w:rsidR="007170BB" w:rsidRPr="005D31BC">
        <w:rPr>
          <w:rFonts w:ascii="Arial" w:hAnsi="Arial" w:cs="Arial"/>
          <w:sz w:val="24"/>
          <w:szCs w:val="24"/>
        </w:rPr>
        <w:t xml:space="preserve"> </w:t>
      </w:r>
      <w:r w:rsidR="00A01BD5" w:rsidRPr="005D31BC">
        <w:rPr>
          <w:rFonts w:ascii="Arial" w:hAnsi="Arial" w:cs="Arial"/>
          <w:sz w:val="24"/>
          <w:szCs w:val="24"/>
        </w:rPr>
        <w:t>el ponente</w:t>
      </w:r>
      <w:r w:rsidR="007170BB" w:rsidRPr="005D31BC">
        <w:rPr>
          <w:rFonts w:ascii="Arial" w:hAnsi="Arial" w:cs="Arial"/>
          <w:sz w:val="24"/>
          <w:szCs w:val="24"/>
        </w:rPr>
        <w:t xml:space="preserve"> admitió</w:t>
      </w:r>
      <w:r w:rsidR="00FC6703" w:rsidRPr="005D31BC">
        <w:rPr>
          <w:rStyle w:val="Refdenotaalpie"/>
          <w:rFonts w:ascii="Arial" w:hAnsi="Arial" w:cs="Arial"/>
          <w:sz w:val="24"/>
          <w:szCs w:val="24"/>
        </w:rPr>
        <w:footnoteReference w:id="14"/>
      </w:r>
      <w:r w:rsidR="007170BB" w:rsidRPr="005D31BC">
        <w:rPr>
          <w:rFonts w:ascii="Arial" w:hAnsi="Arial" w:cs="Arial"/>
          <w:sz w:val="24"/>
          <w:szCs w:val="24"/>
        </w:rPr>
        <w:t xml:space="preserve"> la</w:t>
      </w:r>
      <w:r w:rsidR="00A01BD5" w:rsidRPr="005D31BC">
        <w:rPr>
          <w:rFonts w:ascii="Arial" w:hAnsi="Arial" w:cs="Arial"/>
          <w:sz w:val="24"/>
          <w:szCs w:val="24"/>
        </w:rPr>
        <w:t xml:space="preserve"> acción de</w:t>
      </w:r>
      <w:r w:rsidR="007170BB" w:rsidRPr="005D31BC">
        <w:rPr>
          <w:rFonts w:ascii="Arial" w:hAnsi="Arial" w:cs="Arial"/>
          <w:sz w:val="24"/>
          <w:szCs w:val="24"/>
        </w:rPr>
        <w:t xml:space="preserve"> tutela</w:t>
      </w:r>
      <w:r w:rsidR="00A01BD5" w:rsidRPr="005D31BC">
        <w:rPr>
          <w:rFonts w:ascii="Arial" w:hAnsi="Arial" w:cs="Arial"/>
          <w:sz w:val="24"/>
          <w:szCs w:val="24"/>
        </w:rPr>
        <w:t>;</w:t>
      </w:r>
      <w:r w:rsidR="007170BB" w:rsidRPr="005D31BC">
        <w:rPr>
          <w:rFonts w:ascii="Arial" w:hAnsi="Arial" w:cs="Arial"/>
          <w:sz w:val="24"/>
          <w:szCs w:val="24"/>
        </w:rPr>
        <w:t xml:space="preserve"> </w:t>
      </w:r>
      <w:r w:rsidR="00A01BD5" w:rsidRPr="005D31BC">
        <w:rPr>
          <w:rFonts w:ascii="Arial" w:hAnsi="Arial" w:cs="Arial"/>
          <w:sz w:val="24"/>
          <w:szCs w:val="24"/>
        </w:rPr>
        <w:t>ordenó la vinculación de</w:t>
      </w:r>
      <w:r w:rsidR="009B2365">
        <w:rPr>
          <w:rFonts w:ascii="Arial" w:hAnsi="Arial" w:cs="Arial"/>
          <w:sz w:val="24"/>
          <w:szCs w:val="24"/>
        </w:rPr>
        <w:t xml:space="preserve"> </w:t>
      </w:r>
      <w:r w:rsidR="00746991">
        <w:rPr>
          <w:rFonts w:ascii="Arial" w:hAnsi="Arial" w:cs="Arial"/>
          <w:sz w:val="24"/>
          <w:szCs w:val="24"/>
        </w:rPr>
        <w:t>CCE</w:t>
      </w:r>
      <w:r w:rsidR="00DD2CB1" w:rsidRPr="005D31BC">
        <w:rPr>
          <w:rFonts w:ascii="Arial" w:hAnsi="Arial" w:cs="Arial"/>
          <w:sz w:val="24"/>
          <w:szCs w:val="24"/>
        </w:rPr>
        <w:t>;</w:t>
      </w:r>
      <w:r w:rsidR="00A01BD5" w:rsidRPr="005D31BC">
        <w:rPr>
          <w:rFonts w:ascii="Arial" w:hAnsi="Arial" w:cs="Arial"/>
          <w:sz w:val="24"/>
          <w:szCs w:val="24"/>
        </w:rPr>
        <w:t xml:space="preserve"> dispuso su notificación</w:t>
      </w:r>
      <w:r w:rsidR="00DD2CB1" w:rsidRPr="005D31BC">
        <w:rPr>
          <w:rFonts w:ascii="Arial" w:hAnsi="Arial" w:cs="Arial"/>
          <w:sz w:val="24"/>
          <w:szCs w:val="24"/>
        </w:rPr>
        <w:t xml:space="preserve">; y </w:t>
      </w:r>
      <w:r w:rsidR="00746991">
        <w:rPr>
          <w:rFonts w:ascii="Arial" w:hAnsi="Arial" w:cs="Arial"/>
          <w:sz w:val="24"/>
          <w:szCs w:val="24"/>
        </w:rPr>
        <w:t>le pidió</w:t>
      </w:r>
      <w:r w:rsidR="00DD2CB1" w:rsidRPr="005D31BC">
        <w:rPr>
          <w:rFonts w:ascii="Arial" w:hAnsi="Arial" w:cs="Arial"/>
          <w:sz w:val="24"/>
          <w:szCs w:val="24"/>
        </w:rPr>
        <w:t xml:space="preserve"> al </w:t>
      </w:r>
      <w:r w:rsidR="001C6B7E">
        <w:rPr>
          <w:rFonts w:ascii="Arial" w:hAnsi="Arial" w:cs="Arial"/>
          <w:sz w:val="24"/>
          <w:szCs w:val="24"/>
        </w:rPr>
        <w:t>Tribunal</w:t>
      </w:r>
      <w:r w:rsidR="009B2365">
        <w:rPr>
          <w:rFonts w:ascii="Arial" w:hAnsi="Arial" w:cs="Arial"/>
          <w:sz w:val="24"/>
          <w:szCs w:val="24"/>
        </w:rPr>
        <w:t xml:space="preserve"> Administrativo de </w:t>
      </w:r>
      <w:r w:rsidR="001C6B7E">
        <w:rPr>
          <w:rFonts w:ascii="Arial" w:hAnsi="Arial" w:cs="Arial"/>
          <w:sz w:val="24"/>
          <w:szCs w:val="24"/>
        </w:rPr>
        <w:t xml:space="preserve">Cundinamarca </w:t>
      </w:r>
      <w:r w:rsidR="00DD2CB1" w:rsidRPr="005D31BC">
        <w:rPr>
          <w:rFonts w:ascii="Arial" w:hAnsi="Arial" w:cs="Arial"/>
          <w:sz w:val="24"/>
          <w:szCs w:val="24"/>
        </w:rPr>
        <w:t>que remitiera el expediente del proceso ordinario digitalizado</w:t>
      </w:r>
      <w:r w:rsidR="00A01BD5" w:rsidRPr="005D31BC">
        <w:rPr>
          <w:rFonts w:ascii="Arial" w:hAnsi="Arial" w:cs="Arial"/>
          <w:sz w:val="24"/>
          <w:szCs w:val="24"/>
        </w:rPr>
        <w:t>.</w:t>
      </w:r>
    </w:p>
    <w:p w14:paraId="5E224143" w14:textId="77777777" w:rsidR="005D31BC" w:rsidRPr="005D31BC" w:rsidRDefault="005D31BC" w:rsidP="005D31BC">
      <w:pPr>
        <w:tabs>
          <w:tab w:val="left" w:pos="207"/>
        </w:tabs>
        <w:spacing w:line="360" w:lineRule="auto"/>
        <w:contextualSpacing/>
        <w:jc w:val="both"/>
        <w:rPr>
          <w:rFonts w:ascii="Arial" w:hAnsi="Arial" w:cs="Arial"/>
          <w:sz w:val="24"/>
          <w:szCs w:val="24"/>
        </w:rPr>
      </w:pPr>
    </w:p>
    <w:p w14:paraId="632E987B" w14:textId="77777777" w:rsidR="002245C3" w:rsidRDefault="00E0464A" w:rsidP="00281D0E">
      <w:pPr>
        <w:tabs>
          <w:tab w:val="left" w:pos="207"/>
        </w:tabs>
        <w:spacing w:line="360" w:lineRule="auto"/>
        <w:contextualSpacing/>
        <w:jc w:val="both"/>
        <w:rPr>
          <w:rFonts w:ascii="Arial" w:hAnsi="Arial" w:cs="Arial"/>
          <w:sz w:val="24"/>
          <w:szCs w:val="24"/>
        </w:rPr>
      </w:pPr>
      <w:r w:rsidRPr="00AA7FFE">
        <w:rPr>
          <w:rFonts w:ascii="Arial" w:hAnsi="Arial" w:cs="Arial"/>
          <w:sz w:val="24"/>
          <w:szCs w:val="24"/>
        </w:rPr>
        <w:t>2</w:t>
      </w:r>
      <w:r w:rsidR="00096400" w:rsidRPr="00AA7FFE">
        <w:rPr>
          <w:rFonts w:ascii="Arial" w:hAnsi="Arial" w:cs="Arial"/>
          <w:sz w:val="24"/>
          <w:szCs w:val="24"/>
        </w:rPr>
        <w:t>.</w:t>
      </w:r>
      <w:r w:rsidR="00810425" w:rsidRPr="00AA7FFE">
        <w:rPr>
          <w:rFonts w:ascii="Arial" w:hAnsi="Arial" w:cs="Arial"/>
          <w:sz w:val="24"/>
          <w:szCs w:val="24"/>
        </w:rPr>
        <w:t>2</w:t>
      </w:r>
      <w:r w:rsidR="00C302D1" w:rsidRPr="00AA7FFE">
        <w:rPr>
          <w:rFonts w:ascii="Arial" w:hAnsi="Arial" w:cs="Arial"/>
          <w:sz w:val="24"/>
          <w:szCs w:val="24"/>
        </w:rPr>
        <w:t>.</w:t>
      </w:r>
      <w:r w:rsidR="00096400" w:rsidRPr="00AA7FFE">
        <w:rPr>
          <w:rFonts w:ascii="Arial" w:hAnsi="Arial" w:cs="Arial"/>
          <w:sz w:val="24"/>
          <w:szCs w:val="24"/>
        </w:rPr>
        <w:t xml:space="preserve">- </w:t>
      </w:r>
      <w:r w:rsidR="002F7851">
        <w:rPr>
          <w:rFonts w:ascii="Arial" w:hAnsi="Arial" w:cs="Arial"/>
          <w:sz w:val="24"/>
          <w:szCs w:val="24"/>
        </w:rPr>
        <w:t xml:space="preserve">El Magistrado Ponente de la </w:t>
      </w:r>
      <w:r w:rsidR="002F7851" w:rsidRPr="002245C3">
        <w:rPr>
          <w:rFonts w:ascii="Arial" w:hAnsi="Arial" w:cs="Arial"/>
          <w:sz w:val="24"/>
          <w:szCs w:val="24"/>
        </w:rPr>
        <w:t>Subsección B de la Sección Tercera del Consejo de Estado</w:t>
      </w:r>
      <w:r w:rsidR="002F7851">
        <w:rPr>
          <w:rFonts w:ascii="Arial" w:hAnsi="Arial" w:cs="Arial"/>
          <w:sz w:val="24"/>
          <w:szCs w:val="24"/>
        </w:rPr>
        <w:t xml:space="preserve"> </w:t>
      </w:r>
      <w:r w:rsidR="002F7851" w:rsidRPr="00D75F7A">
        <w:rPr>
          <w:rFonts w:ascii="Arial" w:hAnsi="Arial" w:cs="Arial"/>
          <w:sz w:val="24"/>
          <w:szCs w:val="24"/>
        </w:rPr>
        <w:t xml:space="preserve">se pronunció sobre el amparo constitucional y </w:t>
      </w:r>
      <w:r w:rsidR="002F7851">
        <w:rPr>
          <w:rFonts w:ascii="Arial" w:hAnsi="Arial" w:cs="Arial"/>
          <w:sz w:val="24"/>
          <w:szCs w:val="24"/>
        </w:rPr>
        <w:t xml:space="preserve">adujo que </w:t>
      </w:r>
      <w:r w:rsidR="002F7851" w:rsidRPr="00435B1F">
        <w:rPr>
          <w:rFonts w:ascii="Arial" w:hAnsi="Arial" w:cs="Arial"/>
          <w:i/>
          <w:sz w:val="24"/>
          <w:szCs w:val="24"/>
        </w:rPr>
        <w:t>“la providencia y el expediente de la respectiva acción de controversias contractuales contienen los argumentos y elementos necesarios para que el juez de la acción de tutela tome la decisión que en derecho corresponda”</w:t>
      </w:r>
      <w:r w:rsidR="002F7851" w:rsidRPr="00435B1F">
        <w:rPr>
          <w:rStyle w:val="Refdenotaalpie"/>
          <w:rFonts w:ascii="Arial" w:hAnsi="Arial" w:cs="Arial"/>
          <w:sz w:val="24"/>
          <w:szCs w:val="24"/>
        </w:rPr>
        <w:t xml:space="preserve"> </w:t>
      </w:r>
      <w:r w:rsidR="002F7851" w:rsidRPr="00746991">
        <w:rPr>
          <w:rStyle w:val="Refdenotaalpie"/>
          <w:rFonts w:ascii="Arial" w:hAnsi="Arial" w:cs="Arial"/>
          <w:sz w:val="24"/>
          <w:szCs w:val="24"/>
        </w:rPr>
        <w:footnoteReference w:id="15"/>
      </w:r>
      <w:r w:rsidR="002F7851" w:rsidRPr="00746991">
        <w:rPr>
          <w:rFonts w:ascii="Arial" w:hAnsi="Arial" w:cs="Arial"/>
          <w:sz w:val="24"/>
          <w:szCs w:val="24"/>
        </w:rPr>
        <w:t>.</w:t>
      </w:r>
    </w:p>
    <w:p w14:paraId="0D9C8B2A" w14:textId="77777777" w:rsidR="00BF4D86" w:rsidRDefault="00BF4D86" w:rsidP="00281D0E">
      <w:pPr>
        <w:tabs>
          <w:tab w:val="left" w:pos="207"/>
        </w:tabs>
        <w:spacing w:line="360" w:lineRule="auto"/>
        <w:contextualSpacing/>
        <w:jc w:val="both"/>
        <w:rPr>
          <w:rFonts w:ascii="Arial" w:hAnsi="Arial" w:cs="Arial"/>
          <w:sz w:val="24"/>
          <w:szCs w:val="24"/>
        </w:rPr>
      </w:pPr>
    </w:p>
    <w:p w14:paraId="499393FD" w14:textId="77777777" w:rsidR="00435B1F" w:rsidRDefault="00BF4D86" w:rsidP="00435B1F">
      <w:pPr>
        <w:tabs>
          <w:tab w:val="left" w:pos="207"/>
        </w:tabs>
        <w:spacing w:line="360" w:lineRule="auto"/>
        <w:contextualSpacing/>
        <w:jc w:val="both"/>
        <w:rPr>
          <w:rFonts w:ascii="Arial" w:hAnsi="Arial" w:cs="Arial"/>
          <w:i/>
          <w:sz w:val="24"/>
          <w:szCs w:val="24"/>
        </w:rPr>
      </w:pPr>
      <w:r>
        <w:rPr>
          <w:rFonts w:ascii="Arial" w:hAnsi="Arial" w:cs="Arial"/>
          <w:sz w:val="24"/>
          <w:szCs w:val="24"/>
        </w:rPr>
        <w:t xml:space="preserve">2.3.- Luego, </w:t>
      </w:r>
      <w:r w:rsidR="002F7851">
        <w:rPr>
          <w:rFonts w:ascii="Arial" w:hAnsi="Arial" w:cs="Arial"/>
          <w:sz w:val="24"/>
          <w:szCs w:val="24"/>
        </w:rPr>
        <w:t>e</w:t>
      </w:r>
      <w:r w:rsidR="002F7851" w:rsidRPr="00AA7FFE">
        <w:rPr>
          <w:rFonts w:ascii="Arial" w:hAnsi="Arial" w:cs="Arial"/>
          <w:sz w:val="24"/>
          <w:szCs w:val="24"/>
        </w:rPr>
        <w:t>l Tribunal Administrativo de Cundinamarca allegó en digital el expediente ordinario</w:t>
      </w:r>
      <w:r w:rsidR="002F7851" w:rsidRPr="00AA7FFE">
        <w:rPr>
          <w:rStyle w:val="Refdenotaalpie"/>
          <w:rFonts w:ascii="Arial" w:hAnsi="Arial" w:cs="Arial"/>
          <w:sz w:val="24"/>
          <w:szCs w:val="24"/>
        </w:rPr>
        <w:footnoteReference w:id="16"/>
      </w:r>
      <w:r w:rsidR="002F7851">
        <w:rPr>
          <w:rFonts w:ascii="Arial" w:hAnsi="Arial" w:cs="Arial"/>
          <w:sz w:val="24"/>
          <w:szCs w:val="24"/>
        </w:rPr>
        <w:t>, pero guardó silencio sobre el objeto del proceso.</w:t>
      </w:r>
    </w:p>
    <w:p w14:paraId="3DA1208F" w14:textId="77777777" w:rsidR="00435B1F" w:rsidRDefault="00435B1F" w:rsidP="00435B1F">
      <w:pPr>
        <w:tabs>
          <w:tab w:val="left" w:pos="207"/>
        </w:tabs>
        <w:spacing w:line="360" w:lineRule="auto"/>
        <w:contextualSpacing/>
        <w:jc w:val="center"/>
        <w:rPr>
          <w:rFonts w:ascii="Arial" w:hAnsi="Arial" w:cs="Arial"/>
          <w:i/>
          <w:sz w:val="24"/>
          <w:szCs w:val="24"/>
        </w:rPr>
      </w:pPr>
    </w:p>
    <w:p w14:paraId="696AEB02" w14:textId="77777777" w:rsidR="00127AD9" w:rsidRDefault="00127AD9" w:rsidP="00435B1F">
      <w:pPr>
        <w:tabs>
          <w:tab w:val="left" w:pos="207"/>
        </w:tabs>
        <w:spacing w:line="360" w:lineRule="auto"/>
        <w:contextualSpacing/>
        <w:jc w:val="center"/>
        <w:rPr>
          <w:rFonts w:ascii="Arial" w:hAnsi="Arial" w:cs="Arial"/>
          <w:i/>
          <w:sz w:val="24"/>
          <w:szCs w:val="24"/>
        </w:rPr>
      </w:pPr>
    </w:p>
    <w:p w14:paraId="45C69C7E" w14:textId="77777777" w:rsidR="00127AD9" w:rsidRDefault="00127AD9" w:rsidP="00435B1F">
      <w:pPr>
        <w:tabs>
          <w:tab w:val="left" w:pos="207"/>
        </w:tabs>
        <w:spacing w:line="360" w:lineRule="auto"/>
        <w:contextualSpacing/>
        <w:jc w:val="center"/>
        <w:rPr>
          <w:rFonts w:ascii="Arial" w:hAnsi="Arial" w:cs="Arial"/>
          <w:i/>
          <w:sz w:val="24"/>
          <w:szCs w:val="24"/>
        </w:rPr>
      </w:pPr>
    </w:p>
    <w:p w14:paraId="6F6E75C5" w14:textId="77777777" w:rsidR="00435B1F" w:rsidRDefault="00096400" w:rsidP="00435B1F">
      <w:pPr>
        <w:tabs>
          <w:tab w:val="left" w:pos="207"/>
        </w:tabs>
        <w:spacing w:line="360" w:lineRule="auto"/>
        <w:contextualSpacing/>
        <w:jc w:val="center"/>
        <w:rPr>
          <w:rFonts w:ascii="Arial" w:hAnsi="Arial" w:cs="Arial"/>
          <w:b/>
          <w:sz w:val="24"/>
        </w:rPr>
      </w:pPr>
      <w:r w:rsidRPr="00435B1F">
        <w:rPr>
          <w:rFonts w:ascii="Arial" w:hAnsi="Arial" w:cs="Arial"/>
          <w:b/>
          <w:sz w:val="24"/>
        </w:rPr>
        <w:lastRenderedPageBreak/>
        <w:t>II.- CONSIDERACIONES</w:t>
      </w:r>
    </w:p>
    <w:p w14:paraId="7BA90B43" w14:textId="77777777" w:rsidR="00435B1F" w:rsidRDefault="00435B1F" w:rsidP="00435B1F">
      <w:pPr>
        <w:tabs>
          <w:tab w:val="left" w:pos="207"/>
        </w:tabs>
        <w:spacing w:line="360" w:lineRule="auto"/>
        <w:contextualSpacing/>
        <w:jc w:val="both"/>
        <w:rPr>
          <w:rFonts w:ascii="Arial" w:hAnsi="Arial" w:cs="Arial"/>
          <w:b/>
          <w:sz w:val="24"/>
        </w:rPr>
      </w:pPr>
    </w:p>
    <w:p w14:paraId="1F21FD8E" w14:textId="77777777" w:rsidR="00435B1F" w:rsidRDefault="00597FA3" w:rsidP="00435B1F">
      <w:pPr>
        <w:tabs>
          <w:tab w:val="left" w:pos="207"/>
        </w:tabs>
        <w:spacing w:line="360" w:lineRule="auto"/>
        <w:contextualSpacing/>
        <w:jc w:val="both"/>
        <w:rPr>
          <w:rFonts w:ascii="Arial" w:hAnsi="Arial" w:cs="Arial"/>
          <w:b/>
          <w:sz w:val="24"/>
          <w:szCs w:val="24"/>
        </w:rPr>
      </w:pPr>
      <w:r w:rsidRPr="005237D1">
        <w:rPr>
          <w:rFonts w:ascii="Arial" w:hAnsi="Arial" w:cs="Arial"/>
          <w:b/>
          <w:sz w:val="24"/>
          <w:szCs w:val="24"/>
        </w:rPr>
        <w:t xml:space="preserve">1.- </w:t>
      </w:r>
      <w:r>
        <w:rPr>
          <w:rFonts w:ascii="Arial" w:hAnsi="Arial" w:cs="Arial"/>
          <w:b/>
          <w:sz w:val="24"/>
          <w:szCs w:val="24"/>
        </w:rPr>
        <w:t>Cuestión Preliminar</w:t>
      </w:r>
    </w:p>
    <w:p w14:paraId="7608FFEF" w14:textId="77777777" w:rsidR="00435B1F" w:rsidRDefault="00435B1F" w:rsidP="00435B1F">
      <w:pPr>
        <w:tabs>
          <w:tab w:val="left" w:pos="207"/>
        </w:tabs>
        <w:spacing w:line="360" w:lineRule="auto"/>
        <w:contextualSpacing/>
        <w:jc w:val="both"/>
        <w:rPr>
          <w:rFonts w:ascii="Arial" w:hAnsi="Arial" w:cs="Arial"/>
          <w:b/>
          <w:sz w:val="24"/>
          <w:szCs w:val="24"/>
        </w:rPr>
      </w:pPr>
    </w:p>
    <w:p w14:paraId="524F5B60" w14:textId="77777777" w:rsidR="005651D9" w:rsidRDefault="00730710" w:rsidP="004252D7">
      <w:pPr>
        <w:tabs>
          <w:tab w:val="left" w:pos="207"/>
        </w:tabs>
        <w:spacing w:after="0" w:line="360" w:lineRule="auto"/>
        <w:contextualSpacing/>
        <w:jc w:val="both"/>
        <w:rPr>
          <w:rFonts w:ascii="Arial" w:hAnsi="Arial" w:cs="Arial"/>
          <w:b/>
          <w:sz w:val="24"/>
          <w:szCs w:val="24"/>
        </w:rPr>
      </w:pPr>
      <w:r>
        <w:rPr>
          <w:rFonts w:ascii="Arial" w:hAnsi="Arial" w:cs="Arial"/>
          <w:bCs/>
          <w:sz w:val="24"/>
          <w:szCs w:val="24"/>
        </w:rPr>
        <w:t>A pesar de que l</w:t>
      </w:r>
      <w:r w:rsidR="00597FA3">
        <w:rPr>
          <w:rFonts w:ascii="Arial" w:hAnsi="Arial" w:cs="Arial"/>
          <w:bCs/>
          <w:sz w:val="24"/>
          <w:szCs w:val="24"/>
        </w:rPr>
        <w:t>a parte actora en su escrito de amparo reprochó</w:t>
      </w:r>
      <w:r>
        <w:rPr>
          <w:rFonts w:ascii="Arial" w:hAnsi="Arial" w:cs="Arial"/>
          <w:bCs/>
          <w:sz w:val="24"/>
          <w:szCs w:val="24"/>
        </w:rPr>
        <w:t xml:space="preserve"> </w:t>
      </w:r>
      <w:r w:rsidR="00597FA3">
        <w:rPr>
          <w:rFonts w:ascii="Arial" w:hAnsi="Arial" w:cs="Arial"/>
          <w:bCs/>
          <w:sz w:val="24"/>
          <w:szCs w:val="24"/>
        </w:rPr>
        <w:t>las decisiones adoptadas por</w:t>
      </w:r>
      <w:r w:rsidR="00B41266">
        <w:rPr>
          <w:rFonts w:ascii="Arial" w:hAnsi="Arial" w:cs="Arial"/>
          <w:bCs/>
          <w:sz w:val="24"/>
          <w:szCs w:val="24"/>
        </w:rPr>
        <w:t xml:space="preserve"> la</w:t>
      </w:r>
      <w:r w:rsidR="00597FA3">
        <w:rPr>
          <w:rFonts w:ascii="Arial" w:hAnsi="Arial" w:cs="Arial"/>
          <w:bCs/>
          <w:sz w:val="24"/>
          <w:szCs w:val="24"/>
        </w:rPr>
        <w:t xml:space="preserve"> </w:t>
      </w:r>
      <w:r w:rsidR="00B41266" w:rsidRPr="00B41266">
        <w:rPr>
          <w:rFonts w:ascii="Arial" w:hAnsi="Arial" w:cs="Arial"/>
          <w:bCs/>
          <w:sz w:val="24"/>
          <w:szCs w:val="24"/>
        </w:rPr>
        <w:t xml:space="preserve">Subsección A de la Sección Tercera del Tribunal Administrativo de Cundinamarca y </w:t>
      </w:r>
      <w:r w:rsidR="00B41266">
        <w:rPr>
          <w:rFonts w:ascii="Arial" w:hAnsi="Arial" w:cs="Arial"/>
          <w:bCs/>
          <w:sz w:val="24"/>
          <w:szCs w:val="24"/>
        </w:rPr>
        <w:t xml:space="preserve">la </w:t>
      </w:r>
      <w:r w:rsidR="00B41266" w:rsidRPr="00B41266">
        <w:rPr>
          <w:rFonts w:ascii="Arial" w:hAnsi="Arial" w:cs="Arial"/>
          <w:bCs/>
          <w:sz w:val="24"/>
          <w:szCs w:val="24"/>
        </w:rPr>
        <w:t>Subsección B de la Sección Tercera del Consejo de Estado</w:t>
      </w:r>
      <w:r w:rsidR="00F13B22">
        <w:rPr>
          <w:rFonts w:ascii="Arial" w:hAnsi="Arial" w:cs="Arial"/>
          <w:sz w:val="24"/>
          <w:szCs w:val="24"/>
          <w:lang w:val="es-ES"/>
        </w:rPr>
        <w:t>,</w:t>
      </w:r>
      <w:r w:rsidR="00597FA3">
        <w:rPr>
          <w:rFonts w:ascii="Arial" w:hAnsi="Arial" w:cs="Arial"/>
          <w:sz w:val="24"/>
          <w:szCs w:val="24"/>
          <w:lang w:val="es-ES"/>
        </w:rPr>
        <w:t xml:space="preserve"> </w:t>
      </w:r>
      <w:r w:rsidR="00CE38C9">
        <w:rPr>
          <w:rFonts w:ascii="Arial" w:hAnsi="Arial" w:cs="Arial"/>
          <w:sz w:val="24"/>
          <w:szCs w:val="24"/>
          <w:lang w:val="es-ES"/>
        </w:rPr>
        <w:t>l</w:t>
      </w:r>
      <w:r w:rsidR="00597FA3">
        <w:rPr>
          <w:rFonts w:ascii="Arial" w:hAnsi="Arial" w:cs="Arial"/>
          <w:sz w:val="24"/>
          <w:szCs w:val="24"/>
          <w:lang w:val="es-ES"/>
        </w:rPr>
        <w:t xml:space="preserve">a Sala </w:t>
      </w:r>
      <w:r w:rsidR="00597FA3" w:rsidRPr="000160E1">
        <w:rPr>
          <w:rFonts w:ascii="Arial" w:hAnsi="Arial" w:cs="Arial"/>
          <w:sz w:val="24"/>
          <w:szCs w:val="24"/>
          <w:lang w:val="es-ES"/>
        </w:rPr>
        <w:t xml:space="preserve">se centrará en el análisis de </w:t>
      </w:r>
      <w:r w:rsidR="00597FA3">
        <w:rPr>
          <w:rFonts w:ascii="Arial" w:hAnsi="Arial" w:cs="Arial"/>
          <w:sz w:val="24"/>
          <w:szCs w:val="24"/>
          <w:lang w:val="es-ES"/>
        </w:rPr>
        <w:t xml:space="preserve">esta última, </w:t>
      </w:r>
      <w:r w:rsidR="00597FA3" w:rsidRPr="000160E1">
        <w:rPr>
          <w:rFonts w:ascii="Arial" w:hAnsi="Arial" w:cs="Arial"/>
          <w:sz w:val="24"/>
          <w:szCs w:val="24"/>
          <w:lang w:val="es-ES"/>
        </w:rPr>
        <w:t xml:space="preserve">por ser la que </w:t>
      </w:r>
      <w:r w:rsidR="00860747">
        <w:rPr>
          <w:rFonts w:ascii="Arial" w:hAnsi="Arial" w:cs="Arial"/>
          <w:sz w:val="24"/>
          <w:szCs w:val="24"/>
          <w:lang w:val="es-ES"/>
        </w:rPr>
        <w:t>resolvió</w:t>
      </w:r>
      <w:r w:rsidR="00597FA3" w:rsidRPr="000160E1">
        <w:rPr>
          <w:rFonts w:ascii="Arial" w:hAnsi="Arial" w:cs="Arial"/>
          <w:sz w:val="24"/>
          <w:szCs w:val="24"/>
          <w:lang w:val="es-ES"/>
        </w:rPr>
        <w:t xml:space="preserve"> de manera definitiva </w:t>
      </w:r>
      <w:r>
        <w:rPr>
          <w:rFonts w:ascii="Arial" w:hAnsi="Arial" w:cs="Arial"/>
          <w:sz w:val="24"/>
          <w:szCs w:val="24"/>
          <w:lang w:val="es-ES"/>
        </w:rPr>
        <w:t xml:space="preserve">el </w:t>
      </w:r>
      <w:r w:rsidRPr="005651D9">
        <w:rPr>
          <w:rFonts w:ascii="Arial" w:hAnsi="Arial" w:cs="Arial"/>
          <w:sz w:val="24"/>
          <w:szCs w:val="24"/>
        </w:rPr>
        <w:t xml:space="preserve">proceso </w:t>
      </w:r>
      <w:r w:rsidR="00597FA3" w:rsidRPr="005651D9">
        <w:rPr>
          <w:rFonts w:ascii="Arial" w:hAnsi="Arial" w:cs="Arial"/>
          <w:sz w:val="24"/>
          <w:szCs w:val="24"/>
        </w:rPr>
        <w:t xml:space="preserve">de </w:t>
      </w:r>
      <w:r w:rsidR="00B41266" w:rsidRPr="005651D9">
        <w:rPr>
          <w:rFonts w:ascii="Arial" w:hAnsi="Arial" w:cs="Arial"/>
          <w:sz w:val="24"/>
          <w:szCs w:val="24"/>
        </w:rPr>
        <w:t>controversias contractuales.</w:t>
      </w:r>
    </w:p>
    <w:p w14:paraId="49714CEA" w14:textId="77777777" w:rsidR="005651D9" w:rsidRDefault="005651D9" w:rsidP="004252D7">
      <w:pPr>
        <w:tabs>
          <w:tab w:val="left" w:pos="207"/>
        </w:tabs>
        <w:spacing w:after="0" w:line="360" w:lineRule="auto"/>
        <w:contextualSpacing/>
        <w:jc w:val="both"/>
        <w:rPr>
          <w:rFonts w:ascii="Arial" w:hAnsi="Arial" w:cs="Arial"/>
          <w:b/>
          <w:sz w:val="24"/>
          <w:szCs w:val="24"/>
        </w:rPr>
      </w:pPr>
    </w:p>
    <w:p w14:paraId="1AA07B16" w14:textId="77777777" w:rsidR="002F2511" w:rsidRDefault="00730710" w:rsidP="004252D7">
      <w:pPr>
        <w:tabs>
          <w:tab w:val="left" w:pos="207"/>
        </w:tabs>
        <w:spacing w:after="0" w:line="360" w:lineRule="auto"/>
        <w:contextualSpacing/>
        <w:jc w:val="both"/>
        <w:rPr>
          <w:rFonts w:ascii="Arial" w:hAnsi="Arial" w:cs="Arial"/>
          <w:b/>
          <w:sz w:val="24"/>
          <w:szCs w:val="24"/>
        </w:rPr>
      </w:pPr>
      <w:r w:rsidRPr="005651D9">
        <w:rPr>
          <w:rFonts w:ascii="Arial" w:hAnsi="Arial" w:cs="Arial"/>
          <w:b/>
          <w:sz w:val="24"/>
          <w:szCs w:val="24"/>
        </w:rPr>
        <w:t>2</w:t>
      </w:r>
      <w:r w:rsidR="00096400" w:rsidRPr="005651D9">
        <w:rPr>
          <w:rFonts w:ascii="Arial" w:hAnsi="Arial" w:cs="Arial"/>
          <w:b/>
          <w:sz w:val="24"/>
          <w:szCs w:val="24"/>
        </w:rPr>
        <w:t>.- Competencia</w:t>
      </w:r>
      <w:r w:rsidR="00002349" w:rsidRPr="005651D9">
        <w:rPr>
          <w:rFonts w:ascii="Arial" w:hAnsi="Arial" w:cs="Arial"/>
          <w:b/>
          <w:sz w:val="24"/>
          <w:szCs w:val="24"/>
        </w:rPr>
        <w:t xml:space="preserve"> </w:t>
      </w:r>
    </w:p>
    <w:p w14:paraId="199EB8D0" w14:textId="77777777" w:rsidR="004252D7" w:rsidRPr="004252D7" w:rsidRDefault="004252D7" w:rsidP="004252D7">
      <w:pPr>
        <w:tabs>
          <w:tab w:val="left" w:pos="207"/>
        </w:tabs>
        <w:spacing w:after="0" w:line="360" w:lineRule="auto"/>
        <w:contextualSpacing/>
        <w:jc w:val="both"/>
        <w:rPr>
          <w:rFonts w:ascii="Arial" w:hAnsi="Arial" w:cs="Arial"/>
          <w:b/>
          <w:sz w:val="24"/>
          <w:szCs w:val="24"/>
        </w:rPr>
      </w:pPr>
    </w:p>
    <w:p w14:paraId="7924B16A" w14:textId="77777777" w:rsidR="00862AC7" w:rsidRDefault="00FB7B39" w:rsidP="00002349">
      <w:pPr>
        <w:pStyle w:val="Sinespaciado1"/>
        <w:spacing w:line="360" w:lineRule="auto"/>
        <w:jc w:val="both"/>
        <w:rPr>
          <w:rFonts w:ascii="Arial" w:hAnsi="Arial" w:cs="Arial"/>
        </w:rPr>
      </w:pPr>
      <w:r w:rsidRPr="00233FE5">
        <w:rPr>
          <w:rFonts w:ascii="Arial" w:hAnsi="Arial" w:cs="Arial"/>
        </w:rPr>
        <w:t>Esta Sala es competente para conocer de la</w:t>
      </w:r>
      <w:r w:rsidR="00002349" w:rsidRPr="00233FE5">
        <w:rPr>
          <w:rFonts w:ascii="Arial" w:hAnsi="Arial" w:cs="Arial"/>
        </w:rPr>
        <w:t xml:space="preserve"> acción de tutela </w:t>
      </w:r>
      <w:r w:rsidRPr="00233FE5">
        <w:rPr>
          <w:rFonts w:ascii="Arial" w:hAnsi="Arial" w:cs="Arial"/>
        </w:rPr>
        <w:t>presentada</w:t>
      </w:r>
      <w:r w:rsidR="00002349" w:rsidRPr="00233FE5">
        <w:rPr>
          <w:rFonts w:ascii="Arial" w:hAnsi="Arial" w:cs="Arial"/>
        </w:rPr>
        <w:t xml:space="preserve"> por </w:t>
      </w:r>
      <w:r w:rsidR="00B41266">
        <w:rPr>
          <w:rFonts w:ascii="Arial" w:hAnsi="Arial" w:cs="Arial"/>
        </w:rPr>
        <w:t xml:space="preserve">la </w:t>
      </w:r>
      <w:r w:rsidR="00B41266" w:rsidRPr="00B41266">
        <w:rPr>
          <w:rFonts w:ascii="Arial" w:hAnsi="Arial" w:cs="Arial"/>
        </w:rPr>
        <w:t>Empresa de Telecomunicaciones de Bogotá S.A. E.S.P.</w:t>
      </w:r>
      <w:r w:rsidR="0086664F">
        <w:rPr>
          <w:rFonts w:ascii="Arial" w:hAnsi="Arial" w:cs="Arial"/>
        </w:rPr>
        <w:t>,</w:t>
      </w:r>
      <w:r w:rsidR="00B41266">
        <w:rPr>
          <w:rFonts w:ascii="Arial" w:hAnsi="Arial" w:cs="Arial"/>
        </w:rPr>
        <w:t xml:space="preserve"> </w:t>
      </w:r>
      <w:r w:rsidR="00153247" w:rsidRPr="00233FE5">
        <w:rPr>
          <w:rFonts w:ascii="Arial" w:hAnsi="Arial" w:cs="Arial"/>
        </w:rPr>
        <w:t>d</w:t>
      </w:r>
      <w:r w:rsidR="008057F3" w:rsidRPr="00233FE5">
        <w:rPr>
          <w:rFonts w:ascii="Arial" w:hAnsi="Arial" w:cs="Arial"/>
        </w:rPr>
        <w:t>e conformidad con lo establecido en los artículos 86 de la Constitución, 3</w:t>
      </w:r>
      <w:r w:rsidR="00002349" w:rsidRPr="00233FE5">
        <w:rPr>
          <w:rFonts w:ascii="Arial" w:hAnsi="Arial" w:cs="Arial"/>
        </w:rPr>
        <w:t>7</w:t>
      </w:r>
      <w:r w:rsidR="008057F3" w:rsidRPr="00233FE5">
        <w:rPr>
          <w:rFonts w:ascii="Arial" w:hAnsi="Arial" w:cs="Arial"/>
        </w:rPr>
        <w:t xml:space="preserve"> del Decreto 2591 de 1991 y </w:t>
      </w:r>
      <w:r w:rsidR="00002349" w:rsidRPr="00233FE5">
        <w:rPr>
          <w:rFonts w:ascii="Arial" w:hAnsi="Arial" w:cs="Arial"/>
        </w:rPr>
        <w:t>13</w:t>
      </w:r>
      <w:r w:rsidR="008057F3" w:rsidRPr="00233FE5">
        <w:rPr>
          <w:rFonts w:ascii="Arial" w:hAnsi="Arial" w:cs="Arial"/>
        </w:rPr>
        <w:t xml:space="preserve"> del Acuerdo No. 080 de 2019</w:t>
      </w:r>
      <w:r w:rsidR="00211334" w:rsidRPr="00233FE5">
        <w:rPr>
          <w:rFonts w:ascii="Arial" w:hAnsi="Arial" w:cs="Arial"/>
        </w:rPr>
        <w:t xml:space="preserve"> de la Sala Plena del Consejo de Estado.</w:t>
      </w:r>
      <w:r w:rsidR="008057F3" w:rsidRPr="00233FE5">
        <w:rPr>
          <w:rFonts w:ascii="Arial" w:hAnsi="Arial" w:cs="Arial"/>
        </w:rPr>
        <w:t xml:space="preserve"> </w:t>
      </w:r>
    </w:p>
    <w:p w14:paraId="0FB73602" w14:textId="77777777" w:rsidR="0086664F" w:rsidRPr="004252D7" w:rsidRDefault="0086664F" w:rsidP="00002349">
      <w:pPr>
        <w:pStyle w:val="Sinespaciado1"/>
        <w:spacing w:line="360" w:lineRule="auto"/>
        <w:jc w:val="both"/>
        <w:rPr>
          <w:rFonts w:ascii="Arial" w:hAnsi="Arial" w:cs="Arial"/>
        </w:rPr>
      </w:pPr>
    </w:p>
    <w:p w14:paraId="029FA001" w14:textId="77777777" w:rsidR="00DA346B" w:rsidRPr="00233FE5" w:rsidRDefault="00730710" w:rsidP="00002349">
      <w:pPr>
        <w:pStyle w:val="Sinespaciado1"/>
        <w:spacing w:line="360" w:lineRule="auto"/>
        <w:jc w:val="both"/>
        <w:rPr>
          <w:rFonts w:ascii="Arial" w:hAnsi="Arial" w:cs="Arial"/>
          <w:b/>
        </w:rPr>
      </w:pPr>
      <w:r>
        <w:rPr>
          <w:rFonts w:ascii="Arial" w:hAnsi="Arial" w:cs="Arial"/>
          <w:b/>
        </w:rPr>
        <w:t>3</w:t>
      </w:r>
      <w:r w:rsidR="00DE000E" w:rsidRPr="00233FE5">
        <w:rPr>
          <w:rFonts w:ascii="Arial" w:hAnsi="Arial" w:cs="Arial"/>
          <w:b/>
        </w:rPr>
        <w:t>.</w:t>
      </w:r>
      <w:r w:rsidR="00B10742" w:rsidRPr="00233FE5">
        <w:rPr>
          <w:rFonts w:ascii="Arial" w:hAnsi="Arial" w:cs="Arial"/>
          <w:b/>
        </w:rPr>
        <w:t>-</w:t>
      </w:r>
      <w:r w:rsidR="00DE000E" w:rsidRPr="00233FE5">
        <w:rPr>
          <w:rFonts w:ascii="Arial" w:hAnsi="Arial" w:cs="Arial"/>
          <w:b/>
        </w:rPr>
        <w:t xml:space="preserve"> Problema jurídico </w:t>
      </w:r>
    </w:p>
    <w:p w14:paraId="40C9FF75" w14:textId="77777777" w:rsidR="002F2511" w:rsidRDefault="002F2511" w:rsidP="00002349">
      <w:pPr>
        <w:pStyle w:val="Sinespaciado1"/>
        <w:spacing w:line="360" w:lineRule="auto"/>
        <w:ind w:right="50"/>
        <w:jc w:val="both"/>
        <w:rPr>
          <w:rFonts w:ascii="Arial" w:hAnsi="Arial" w:cs="Arial"/>
        </w:rPr>
      </w:pPr>
    </w:p>
    <w:p w14:paraId="205A1515" w14:textId="77777777" w:rsidR="001D20E4" w:rsidRPr="00C943A7" w:rsidRDefault="001D20E4" w:rsidP="00C943A7">
      <w:pPr>
        <w:pStyle w:val="Sinespaciado1"/>
        <w:spacing w:line="360" w:lineRule="auto"/>
        <w:jc w:val="both"/>
        <w:rPr>
          <w:rFonts w:ascii="Arial" w:hAnsi="Arial" w:cs="Arial"/>
        </w:rPr>
      </w:pPr>
      <w:r w:rsidRPr="00122FE2">
        <w:rPr>
          <w:rFonts w:ascii="Arial" w:eastAsia="Arial" w:hAnsi="Arial" w:cs="Arial"/>
        </w:rPr>
        <w:t>La Sala verificará si la solicitud de amparo cumple con los requisitos generales de procedibilidad en contra de providencias judiciales</w:t>
      </w:r>
      <w:r w:rsidR="00CE38C9">
        <w:rPr>
          <w:rFonts w:ascii="Arial" w:eastAsia="Arial" w:hAnsi="Arial" w:cs="Arial"/>
        </w:rPr>
        <w:t>.</w:t>
      </w:r>
    </w:p>
    <w:p w14:paraId="3AE78E7C" w14:textId="77777777" w:rsidR="00963D14" w:rsidRDefault="00963D14" w:rsidP="002D2AF6">
      <w:pPr>
        <w:pStyle w:val="Sinespaciado1"/>
        <w:spacing w:line="360" w:lineRule="auto"/>
        <w:ind w:right="50"/>
        <w:jc w:val="both"/>
        <w:rPr>
          <w:rFonts w:ascii="Arial" w:hAnsi="Arial" w:cs="Arial"/>
        </w:rPr>
      </w:pPr>
    </w:p>
    <w:p w14:paraId="60520C4D" w14:textId="77777777" w:rsidR="00A65AB4" w:rsidRPr="006642F4" w:rsidRDefault="00655D8D" w:rsidP="00A65AB4">
      <w:pPr>
        <w:pStyle w:val="Textosinformato"/>
        <w:spacing w:line="360" w:lineRule="auto"/>
        <w:jc w:val="both"/>
        <w:rPr>
          <w:rFonts w:ascii="Arial" w:hAnsi="Arial" w:cs="Arial"/>
          <w:b/>
          <w:sz w:val="24"/>
          <w:szCs w:val="24"/>
        </w:rPr>
      </w:pPr>
      <w:r>
        <w:rPr>
          <w:rFonts w:ascii="Arial" w:hAnsi="Arial" w:cs="Arial"/>
          <w:b/>
          <w:sz w:val="24"/>
          <w:szCs w:val="24"/>
        </w:rPr>
        <w:t>4</w:t>
      </w:r>
      <w:r w:rsidR="00A65AB4" w:rsidRPr="006642F4">
        <w:rPr>
          <w:rFonts w:ascii="Arial" w:hAnsi="Arial" w:cs="Arial"/>
          <w:b/>
          <w:sz w:val="24"/>
          <w:szCs w:val="24"/>
        </w:rPr>
        <w:t xml:space="preserve">.- La acción de tutela en contra de providencias judiciales </w:t>
      </w:r>
    </w:p>
    <w:p w14:paraId="46AEDD55" w14:textId="77777777" w:rsidR="00A65AB4" w:rsidRPr="006642F4" w:rsidRDefault="00A65AB4" w:rsidP="00A65AB4">
      <w:pPr>
        <w:pStyle w:val="Sinespaciado1"/>
        <w:spacing w:line="360" w:lineRule="auto"/>
        <w:jc w:val="both"/>
        <w:rPr>
          <w:rFonts w:ascii="Arial" w:hAnsi="Arial" w:cs="Arial"/>
        </w:rPr>
      </w:pPr>
    </w:p>
    <w:p w14:paraId="3D6DED48" w14:textId="77777777" w:rsidR="00FB695E" w:rsidRDefault="00A65AB4" w:rsidP="00A65AB4">
      <w:pPr>
        <w:spacing w:after="0" w:line="360" w:lineRule="auto"/>
        <w:ind w:right="-93"/>
        <w:jc w:val="both"/>
        <w:rPr>
          <w:rFonts w:ascii="Arial" w:hAnsi="Arial" w:cs="Arial"/>
          <w:sz w:val="24"/>
          <w:szCs w:val="24"/>
        </w:rPr>
      </w:pPr>
      <w:r w:rsidRPr="006642F4">
        <w:rPr>
          <w:rFonts w:ascii="Arial" w:hAnsi="Arial" w:cs="Arial"/>
          <w:sz w:val="24"/>
          <w:szCs w:val="24"/>
        </w:rPr>
        <w:t>La Corte Constitucional en la sentencia C-590 de 2005 reconoció que la acción de tutela en contra de providencias judiciales está sujeta al cumplimiento de rigurosos requisitos de procedibilidad</w:t>
      </w:r>
      <w:r w:rsidRPr="006642F4">
        <w:rPr>
          <w:rStyle w:val="Refdenotaalpie"/>
          <w:rFonts w:ascii="Arial" w:hAnsi="Arial" w:cs="Arial"/>
          <w:sz w:val="24"/>
          <w:szCs w:val="24"/>
        </w:rPr>
        <w:footnoteReference w:id="17"/>
      </w:r>
      <w:r w:rsidRPr="006642F4">
        <w:rPr>
          <w:rFonts w:ascii="Arial" w:hAnsi="Arial" w:cs="Arial"/>
          <w:sz w:val="24"/>
          <w:szCs w:val="24"/>
        </w:rPr>
        <w:t xml:space="preserve"> y de procedencia</w:t>
      </w:r>
      <w:r w:rsidRPr="006642F4">
        <w:rPr>
          <w:rStyle w:val="Refdenotaalpie"/>
          <w:rFonts w:ascii="Arial" w:hAnsi="Arial" w:cs="Arial"/>
          <w:sz w:val="24"/>
          <w:szCs w:val="24"/>
        </w:rPr>
        <w:footnoteReference w:id="18"/>
      </w:r>
      <w:r w:rsidRPr="006642F4">
        <w:rPr>
          <w:rFonts w:ascii="Arial" w:hAnsi="Arial" w:cs="Arial"/>
          <w:sz w:val="24"/>
          <w:szCs w:val="24"/>
        </w:rPr>
        <w:t>, con el fin de determinar si se vulneraron o no los derechos de orden superior.</w:t>
      </w:r>
    </w:p>
    <w:p w14:paraId="3D34B01C" w14:textId="77777777" w:rsidR="0095458B" w:rsidRDefault="0013414E" w:rsidP="0095458B">
      <w:pPr>
        <w:pStyle w:val="Textosinformato"/>
        <w:spacing w:line="360" w:lineRule="auto"/>
        <w:jc w:val="both"/>
        <w:rPr>
          <w:rFonts w:ascii="Arial" w:hAnsi="Arial" w:cs="Arial"/>
          <w:b/>
          <w:color w:val="000000"/>
          <w:sz w:val="24"/>
          <w:szCs w:val="24"/>
        </w:rPr>
      </w:pPr>
      <w:r w:rsidRPr="002F7851">
        <w:rPr>
          <w:rFonts w:ascii="Arial" w:hAnsi="Arial" w:cs="Arial"/>
          <w:b/>
          <w:sz w:val="24"/>
          <w:szCs w:val="24"/>
        </w:rPr>
        <w:lastRenderedPageBreak/>
        <w:t>5</w:t>
      </w:r>
      <w:r w:rsidR="0095458B" w:rsidRPr="002F7851">
        <w:rPr>
          <w:rFonts w:ascii="Arial" w:hAnsi="Arial" w:cs="Arial"/>
          <w:b/>
          <w:sz w:val="24"/>
          <w:szCs w:val="24"/>
        </w:rPr>
        <w:t xml:space="preserve">.- </w:t>
      </w:r>
      <w:r w:rsidR="002144CC" w:rsidRPr="002F7851">
        <w:rPr>
          <w:rFonts w:ascii="Arial" w:hAnsi="Arial" w:cs="Arial"/>
          <w:b/>
          <w:color w:val="000000"/>
          <w:sz w:val="24"/>
          <w:szCs w:val="24"/>
        </w:rPr>
        <w:t>Verificación del cumplimiento del requisito general de relevancia constitucional en el caso concreto</w:t>
      </w:r>
    </w:p>
    <w:p w14:paraId="2954EA8E" w14:textId="77777777" w:rsidR="0095458B" w:rsidRDefault="0095458B" w:rsidP="0095458B">
      <w:pPr>
        <w:pStyle w:val="Textosinformato"/>
        <w:spacing w:line="360" w:lineRule="auto"/>
        <w:jc w:val="both"/>
        <w:rPr>
          <w:rFonts w:ascii="Arial" w:hAnsi="Arial" w:cs="Arial"/>
          <w:b/>
          <w:sz w:val="24"/>
          <w:szCs w:val="24"/>
        </w:rPr>
      </w:pPr>
    </w:p>
    <w:p w14:paraId="39B70EE5" w14:textId="77777777" w:rsidR="0095458B" w:rsidRDefault="002144CC" w:rsidP="0095458B">
      <w:pPr>
        <w:pStyle w:val="Textosinformato"/>
        <w:spacing w:line="360" w:lineRule="auto"/>
        <w:jc w:val="both"/>
        <w:rPr>
          <w:rFonts w:ascii="Arial" w:eastAsia="Verdana" w:hAnsi="Arial" w:cs="Arial"/>
          <w:sz w:val="24"/>
          <w:szCs w:val="24"/>
        </w:rPr>
      </w:pPr>
      <w:r>
        <w:rPr>
          <w:rFonts w:ascii="Arial" w:hAnsi="Arial" w:cs="Arial"/>
          <w:sz w:val="24"/>
          <w:szCs w:val="24"/>
        </w:rPr>
        <w:t>5</w:t>
      </w:r>
      <w:r w:rsidR="0095458B" w:rsidRPr="0095458B">
        <w:rPr>
          <w:rFonts w:ascii="Arial" w:hAnsi="Arial" w:cs="Arial"/>
          <w:sz w:val="24"/>
          <w:szCs w:val="24"/>
        </w:rPr>
        <w:t xml:space="preserve">.1.- Sobre la relevancia constitucional, la Corte Constitucional ha señalado que el juez de tutela </w:t>
      </w:r>
      <w:r w:rsidR="0095458B" w:rsidRPr="0095458B">
        <w:rPr>
          <w:rFonts w:ascii="Arial" w:hAnsi="Arial" w:cs="Arial"/>
          <w:i/>
          <w:sz w:val="24"/>
          <w:szCs w:val="24"/>
        </w:rPr>
        <w:t>“no puede entrar</w:t>
      </w:r>
      <w:r w:rsidR="0095458B">
        <w:rPr>
          <w:rFonts w:ascii="Arial" w:hAnsi="Arial" w:cs="Arial"/>
          <w:i/>
          <w:sz w:val="24"/>
          <w:szCs w:val="24"/>
          <w:shd w:val="clear" w:color="auto" w:fill="FFFFFF"/>
        </w:rPr>
        <w:t xml:space="preserve"> a estudiar cuestiones que no tienen una clara y marcada importancia [ius fundamental] so pena de involucrarse en asuntos que corresponde definir a otras jurisdicciones”</w:t>
      </w:r>
      <w:r w:rsidR="0095458B" w:rsidRPr="002D7638">
        <w:rPr>
          <w:rFonts w:ascii="Arial" w:hAnsi="Arial" w:cs="Arial"/>
          <w:sz w:val="24"/>
          <w:szCs w:val="24"/>
          <w:shd w:val="clear" w:color="auto" w:fill="FFFFFF"/>
          <w:vertAlign w:val="superscript"/>
        </w:rPr>
        <w:footnoteReference w:id="19"/>
      </w:r>
      <w:r w:rsidR="0095458B" w:rsidRPr="002D7638">
        <w:rPr>
          <w:rFonts w:ascii="Arial" w:eastAsia="Verdana" w:hAnsi="Arial" w:cs="Arial"/>
          <w:sz w:val="24"/>
          <w:szCs w:val="24"/>
        </w:rPr>
        <w:t>.</w:t>
      </w:r>
    </w:p>
    <w:p w14:paraId="3EC341B5" w14:textId="77777777" w:rsidR="0095458B" w:rsidRDefault="0095458B" w:rsidP="0095458B">
      <w:pPr>
        <w:pStyle w:val="Textosinformato"/>
        <w:spacing w:line="360" w:lineRule="auto"/>
        <w:jc w:val="both"/>
        <w:rPr>
          <w:rFonts w:ascii="Arial" w:eastAsia="Verdana" w:hAnsi="Arial" w:cs="Arial"/>
          <w:sz w:val="24"/>
          <w:szCs w:val="24"/>
        </w:rPr>
      </w:pPr>
    </w:p>
    <w:p w14:paraId="63BC806A" w14:textId="77777777" w:rsidR="0095458B" w:rsidRPr="0095458B" w:rsidRDefault="002144CC" w:rsidP="0095458B">
      <w:pPr>
        <w:tabs>
          <w:tab w:val="left" w:pos="207"/>
        </w:tabs>
        <w:spacing w:line="360" w:lineRule="auto"/>
        <w:contextualSpacing/>
        <w:jc w:val="both"/>
        <w:rPr>
          <w:rFonts w:ascii="Arial" w:hAnsi="Arial" w:cs="Arial"/>
          <w:sz w:val="24"/>
          <w:szCs w:val="24"/>
        </w:rPr>
      </w:pPr>
      <w:r>
        <w:rPr>
          <w:rFonts w:ascii="Arial" w:hAnsi="Arial" w:cs="Arial"/>
          <w:sz w:val="24"/>
        </w:rPr>
        <w:t>5</w:t>
      </w:r>
      <w:r w:rsidR="0013414E">
        <w:rPr>
          <w:rFonts w:ascii="Arial" w:hAnsi="Arial" w:cs="Arial"/>
          <w:sz w:val="24"/>
        </w:rPr>
        <w:t xml:space="preserve">.2.- </w:t>
      </w:r>
      <w:r w:rsidR="0095458B">
        <w:rPr>
          <w:rFonts w:ascii="Arial" w:hAnsi="Arial" w:cs="Arial"/>
          <w:sz w:val="24"/>
        </w:rPr>
        <w:t>En efecto, para determinar si una solicitud de amparo tiene o no relevancia constitucional, la Sala Plena del Consejo de Estado ha considerado necesario examinar dos elementos, a saber</w:t>
      </w:r>
      <w:r w:rsidR="0095458B">
        <w:rPr>
          <w:rFonts w:ascii="Arial" w:hAnsi="Arial" w:cs="Arial"/>
          <w:sz w:val="24"/>
          <w:vertAlign w:val="superscript"/>
        </w:rPr>
        <w:footnoteReference w:id="20"/>
      </w:r>
      <w:r w:rsidR="0095458B">
        <w:rPr>
          <w:rFonts w:ascii="Arial" w:hAnsi="Arial" w:cs="Arial"/>
          <w:sz w:val="24"/>
        </w:rPr>
        <w:t xml:space="preserve">: (i) que el actor cumpla su carga argumentativa, en donde justifique suficientemente la relevancia constitucional por vulneración de derechos fundamentales, ya que no basta que se aduzca la transgresión de aquellos; y (ii) que la acción de tutela no se erija en una instancia adicional al proceso ordinario en el cual fue proferida la providencia acusada, puesto que este mecanismo especial constitucional está instituido para proteger derechos fundamentales y no para discutir la discrepancia </w:t>
      </w:r>
      <w:r w:rsidR="0095458B" w:rsidRPr="0095458B">
        <w:rPr>
          <w:rFonts w:ascii="Arial" w:hAnsi="Arial" w:cs="Arial"/>
          <w:sz w:val="24"/>
          <w:szCs w:val="24"/>
        </w:rPr>
        <w:t>que el actor tenga frente a la decisión judicial.</w:t>
      </w:r>
    </w:p>
    <w:p w14:paraId="51973D2C" w14:textId="77777777" w:rsidR="0095458B" w:rsidRPr="0095458B" w:rsidRDefault="0095458B" w:rsidP="0095458B">
      <w:pPr>
        <w:tabs>
          <w:tab w:val="left" w:pos="207"/>
        </w:tabs>
        <w:spacing w:line="360" w:lineRule="auto"/>
        <w:contextualSpacing/>
        <w:jc w:val="both"/>
        <w:rPr>
          <w:rFonts w:ascii="Arial" w:hAnsi="Arial" w:cs="Arial"/>
          <w:sz w:val="24"/>
          <w:szCs w:val="24"/>
        </w:rPr>
      </w:pPr>
    </w:p>
    <w:p w14:paraId="32129295" w14:textId="77777777" w:rsidR="009B39D5" w:rsidRDefault="002144CC" w:rsidP="0095458B">
      <w:pPr>
        <w:tabs>
          <w:tab w:val="left" w:pos="207"/>
        </w:tabs>
        <w:spacing w:line="360" w:lineRule="auto"/>
        <w:contextualSpacing/>
        <w:jc w:val="both"/>
        <w:rPr>
          <w:rFonts w:ascii="Arial" w:hAnsi="Arial" w:cs="Arial"/>
          <w:sz w:val="24"/>
          <w:szCs w:val="24"/>
        </w:rPr>
      </w:pPr>
      <w:r>
        <w:rPr>
          <w:rFonts w:ascii="Arial" w:hAnsi="Arial" w:cs="Arial"/>
          <w:sz w:val="24"/>
          <w:szCs w:val="24"/>
        </w:rPr>
        <w:t>5</w:t>
      </w:r>
      <w:r w:rsidR="0013414E">
        <w:rPr>
          <w:rFonts w:ascii="Arial" w:hAnsi="Arial" w:cs="Arial"/>
          <w:sz w:val="24"/>
          <w:szCs w:val="24"/>
        </w:rPr>
        <w:t xml:space="preserve">.3.- </w:t>
      </w:r>
      <w:r w:rsidR="00DE747A" w:rsidRPr="004D4DB3">
        <w:rPr>
          <w:rFonts w:ascii="Arial" w:hAnsi="Arial" w:cs="Arial"/>
          <w:sz w:val="24"/>
          <w:szCs w:val="24"/>
        </w:rPr>
        <w:t xml:space="preserve">La Sala advierte que el amparo impetrado no satisface el requisito de relevancia constitucional, </w:t>
      </w:r>
      <w:r w:rsidR="00DE747A" w:rsidRPr="004D4DB3">
        <w:rPr>
          <w:rFonts w:ascii="Arial" w:eastAsia="Verdana" w:hAnsi="Arial" w:cs="Arial"/>
          <w:sz w:val="24"/>
          <w:szCs w:val="24"/>
        </w:rPr>
        <w:t xml:space="preserve">pues pese a que cumple la carga argumentativa requerida, se percibe como un medio dirigido </w:t>
      </w:r>
      <w:r w:rsidR="00DE747A" w:rsidRPr="004D4DB3">
        <w:rPr>
          <w:rFonts w:ascii="Arial" w:hAnsi="Arial" w:cs="Arial"/>
          <w:sz w:val="24"/>
          <w:szCs w:val="24"/>
        </w:rPr>
        <w:t xml:space="preserve">a revivir el análisis jurídico efectuado por el juez </w:t>
      </w:r>
      <w:r w:rsidR="005A5617">
        <w:rPr>
          <w:rFonts w:ascii="Arial" w:hAnsi="Arial" w:cs="Arial"/>
          <w:sz w:val="24"/>
          <w:szCs w:val="24"/>
        </w:rPr>
        <w:t xml:space="preserve">natural </w:t>
      </w:r>
      <w:r w:rsidR="00DE747A" w:rsidRPr="004D4DB3">
        <w:rPr>
          <w:rFonts w:ascii="Arial" w:hAnsi="Arial" w:cs="Arial"/>
          <w:sz w:val="24"/>
          <w:szCs w:val="24"/>
        </w:rPr>
        <w:t xml:space="preserve">dentro del proceso de </w:t>
      </w:r>
      <w:r w:rsidR="00DE747A">
        <w:rPr>
          <w:rFonts w:ascii="Arial" w:hAnsi="Arial" w:cs="Arial"/>
          <w:sz w:val="24"/>
          <w:szCs w:val="24"/>
        </w:rPr>
        <w:t>controversias contractuales</w:t>
      </w:r>
      <w:r w:rsidR="00DE747A" w:rsidRPr="004D4DB3">
        <w:rPr>
          <w:rFonts w:ascii="Arial" w:hAnsi="Arial" w:cs="Arial"/>
          <w:sz w:val="24"/>
          <w:szCs w:val="24"/>
        </w:rPr>
        <w:t xml:space="preserve"> </w:t>
      </w:r>
      <w:r w:rsidR="00A563C8">
        <w:rPr>
          <w:rFonts w:ascii="Arial" w:hAnsi="Arial" w:cs="Arial"/>
          <w:sz w:val="24"/>
          <w:szCs w:val="24"/>
        </w:rPr>
        <w:t>con</w:t>
      </w:r>
      <w:r w:rsidR="00DE747A" w:rsidRPr="004D4DB3">
        <w:rPr>
          <w:rFonts w:ascii="Arial" w:hAnsi="Arial" w:cs="Arial"/>
          <w:sz w:val="24"/>
          <w:szCs w:val="24"/>
        </w:rPr>
        <w:t xml:space="preserve"> </w:t>
      </w:r>
      <w:r w:rsidR="006F1046" w:rsidRPr="004D4DB3">
        <w:rPr>
          <w:rFonts w:ascii="Arial" w:hAnsi="Arial" w:cs="Arial"/>
          <w:sz w:val="24"/>
          <w:szCs w:val="24"/>
        </w:rPr>
        <w:t xml:space="preserve">radicado </w:t>
      </w:r>
      <w:r w:rsidR="00DE747A" w:rsidRPr="004D4DB3">
        <w:rPr>
          <w:rFonts w:ascii="Arial" w:hAnsi="Arial" w:cs="Arial"/>
          <w:sz w:val="24"/>
          <w:szCs w:val="24"/>
          <w:lang w:val="es-ES"/>
        </w:rPr>
        <w:t xml:space="preserve">No. </w:t>
      </w:r>
      <w:r w:rsidR="00DE747A" w:rsidRPr="004E0223">
        <w:rPr>
          <w:rFonts w:ascii="Arial" w:hAnsi="Arial" w:cs="Arial"/>
          <w:sz w:val="24"/>
          <w:szCs w:val="24"/>
        </w:rPr>
        <w:t>25000</w:t>
      </w:r>
      <w:r w:rsidR="00DE747A">
        <w:rPr>
          <w:rFonts w:ascii="Arial" w:hAnsi="Arial" w:cs="Arial"/>
          <w:sz w:val="24"/>
          <w:szCs w:val="24"/>
        </w:rPr>
        <w:t>-</w:t>
      </w:r>
      <w:r w:rsidR="00DE747A" w:rsidRPr="004E0223">
        <w:rPr>
          <w:rFonts w:ascii="Arial" w:hAnsi="Arial" w:cs="Arial"/>
          <w:sz w:val="24"/>
          <w:szCs w:val="24"/>
        </w:rPr>
        <w:t>23</w:t>
      </w:r>
      <w:r w:rsidR="00DE747A">
        <w:rPr>
          <w:rFonts w:ascii="Arial" w:hAnsi="Arial" w:cs="Arial"/>
          <w:sz w:val="24"/>
          <w:szCs w:val="24"/>
        </w:rPr>
        <w:t>-</w:t>
      </w:r>
      <w:r w:rsidR="00DE747A" w:rsidRPr="004E0223">
        <w:rPr>
          <w:rFonts w:ascii="Arial" w:hAnsi="Arial" w:cs="Arial"/>
          <w:sz w:val="24"/>
          <w:szCs w:val="24"/>
        </w:rPr>
        <w:t>36</w:t>
      </w:r>
      <w:r w:rsidR="00DE747A">
        <w:rPr>
          <w:rFonts w:ascii="Arial" w:hAnsi="Arial" w:cs="Arial"/>
          <w:sz w:val="24"/>
          <w:szCs w:val="24"/>
        </w:rPr>
        <w:t>-</w:t>
      </w:r>
      <w:r w:rsidR="00DE747A" w:rsidRPr="004E0223">
        <w:rPr>
          <w:rFonts w:ascii="Arial" w:hAnsi="Arial" w:cs="Arial"/>
          <w:sz w:val="24"/>
          <w:szCs w:val="24"/>
        </w:rPr>
        <w:t>000</w:t>
      </w:r>
      <w:r w:rsidR="00DE747A">
        <w:rPr>
          <w:rFonts w:ascii="Arial" w:hAnsi="Arial" w:cs="Arial"/>
          <w:sz w:val="24"/>
          <w:szCs w:val="24"/>
        </w:rPr>
        <w:t>-</w:t>
      </w:r>
      <w:r w:rsidR="00DE747A" w:rsidRPr="004E0223">
        <w:rPr>
          <w:rFonts w:ascii="Arial" w:hAnsi="Arial" w:cs="Arial"/>
          <w:sz w:val="24"/>
          <w:szCs w:val="24"/>
        </w:rPr>
        <w:t>2015</w:t>
      </w:r>
      <w:r w:rsidR="00DE747A">
        <w:rPr>
          <w:rFonts w:ascii="Arial" w:hAnsi="Arial" w:cs="Arial"/>
          <w:sz w:val="24"/>
          <w:szCs w:val="24"/>
        </w:rPr>
        <w:t>-</w:t>
      </w:r>
      <w:r w:rsidR="00DE747A" w:rsidRPr="004E0223">
        <w:rPr>
          <w:rFonts w:ascii="Arial" w:hAnsi="Arial" w:cs="Arial"/>
          <w:sz w:val="24"/>
          <w:szCs w:val="24"/>
        </w:rPr>
        <w:t>01918</w:t>
      </w:r>
      <w:r w:rsidR="00DE747A">
        <w:rPr>
          <w:rFonts w:ascii="Arial" w:hAnsi="Arial" w:cs="Arial"/>
          <w:sz w:val="24"/>
          <w:szCs w:val="24"/>
        </w:rPr>
        <w:t>-</w:t>
      </w:r>
      <w:r w:rsidR="00DE747A" w:rsidRPr="004E0223">
        <w:rPr>
          <w:rFonts w:ascii="Arial" w:hAnsi="Arial" w:cs="Arial"/>
          <w:sz w:val="24"/>
          <w:szCs w:val="24"/>
        </w:rPr>
        <w:t>00/01</w:t>
      </w:r>
      <w:r w:rsidR="00DE747A" w:rsidRPr="004D4DB3">
        <w:rPr>
          <w:rFonts w:ascii="Arial" w:hAnsi="Arial" w:cs="Arial"/>
          <w:sz w:val="24"/>
          <w:szCs w:val="24"/>
        </w:rPr>
        <w:t>,</w:t>
      </w:r>
      <w:r w:rsidR="00DE747A" w:rsidRPr="004D4DB3">
        <w:rPr>
          <w:rFonts w:ascii="Arial" w:hAnsi="Arial" w:cs="Arial"/>
          <w:i/>
          <w:sz w:val="24"/>
          <w:szCs w:val="24"/>
        </w:rPr>
        <w:t xml:space="preserve"> </w:t>
      </w:r>
      <w:r w:rsidR="00DE747A" w:rsidRPr="004D4DB3">
        <w:rPr>
          <w:rFonts w:ascii="Arial" w:hAnsi="Arial" w:cs="Arial"/>
          <w:sz w:val="24"/>
          <w:szCs w:val="24"/>
        </w:rPr>
        <w:t>como si este mecanismo fuera una instancia adicional al proceso ordinario.</w:t>
      </w:r>
    </w:p>
    <w:p w14:paraId="0D8E308E" w14:textId="77777777" w:rsidR="00DE747A" w:rsidRDefault="00DE747A" w:rsidP="0095458B">
      <w:pPr>
        <w:tabs>
          <w:tab w:val="left" w:pos="207"/>
        </w:tabs>
        <w:spacing w:line="360" w:lineRule="auto"/>
        <w:contextualSpacing/>
        <w:jc w:val="both"/>
        <w:rPr>
          <w:rFonts w:ascii="Arial" w:hAnsi="Arial" w:cs="Arial"/>
          <w:sz w:val="24"/>
        </w:rPr>
      </w:pPr>
    </w:p>
    <w:p w14:paraId="22E96392" w14:textId="77777777" w:rsidR="005A5617" w:rsidRDefault="005A5617" w:rsidP="0095458B">
      <w:pPr>
        <w:tabs>
          <w:tab w:val="left" w:pos="207"/>
        </w:tabs>
        <w:spacing w:line="360" w:lineRule="auto"/>
        <w:contextualSpacing/>
        <w:jc w:val="both"/>
        <w:rPr>
          <w:rFonts w:ascii="Arial" w:hAnsi="Arial" w:cs="Arial"/>
          <w:sz w:val="24"/>
        </w:rPr>
      </w:pPr>
      <w:r>
        <w:rPr>
          <w:rFonts w:ascii="Arial" w:hAnsi="Arial" w:cs="Arial"/>
          <w:sz w:val="24"/>
        </w:rPr>
        <w:t xml:space="preserve">5.4.- En la demanda </w:t>
      </w:r>
      <w:r w:rsidR="00A563C8" w:rsidRPr="004D4DB3">
        <w:rPr>
          <w:rFonts w:ascii="Arial" w:hAnsi="Arial" w:cs="Arial"/>
          <w:sz w:val="24"/>
          <w:szCs w:val="24"/>
        </w:rPr>
        <w:t xml:space="preserve">de </w:t>
      </w:r>
      <w:r w:rsidR="00A563C8">
        <w:rPr>
          <w:rFonts w:ascii="Arial" w:hAnsi="Arial" w:cs="Arial"/>
          <w:sz w:val="24"/>
          <w:szCs w:val="24"/>
        </w:rPr>
        <w:t>controversias contractuales, esta Sala</w:t>
      </w:r>
      <w:r>
        <w:rPr>
          <w:rFonts w:ascii="Arial" w:hAnsi="Arial" w:cs="Arial"/>
          <w:sz w:val="24"/>
        </w:rPr>
        <w:t xml:space="preserve"> encuentra como pretensión subsidiaria la siguiente:</w:t>
      </w:r>
    </w:p>
    <w:p w14:paraId="6E9DA36A" w14:textId="77777777" w:rsidR="005A5617" w:rsidRDefault="005A5617" w:rsidP="0095458B">
      <w:pPr>
        <w:tabs>
          <w:tab w:val="left" w:pos="207"/>
        </w:tabs>
        <w:spacing w:line="360" w:lineRule="auto"/>
        <w:contextualSpacing/>
        <w:jc w:val="both"/>
        <w:rPr>
          <w:rFonts w:ascii="Arial" w:hAnsi="Arial" w:cs="Arial"/>
          <w:sz w:val="24"/>
        </w:rPr>
      </w:pPr>
    </w:p>
    <w:p w14:paraId="30930F5F" w14:textId="77777777" w:rsidR="005A5617" w:rsidRPr="005A5617" w:rsidRDefault="005A5617" w:rsidP="005A5617">
      <w:pPr>
        <w:tabs>
          <w:tab w:val="left" w:pos="207"/>
        </w:tabs>
        <w:spacing w:line="240" w:lineRule="auto"/>
        <w:ind w:left="567" w:right="617"/>
        <w:contextualSpacing/>
        <w:jc w:val="both"/>
        <w:rPr>
          <w:rFonts w:ascii="Arial" w:hAnsi="Arial" w:cs="Arial"/>
          <w:i/>
        </w:rPr>
      </w:pPr>
      <w:r w:rsidRPr="005A5617">
        <w:rPr>
          <w:rFonts w:ascii="Arial" w:hAnsi="Arial" w:cs="Arial"/>
          <w:i/>
        </w:rPr>
        <w:t xml:space="preserve">“En caso de no declararse la nulidad de las resoluciones Nos. 675 y 677 de 2015, se disponga que la cláusula penal impuesta por COLOMBIA COMPRA EFICIENTE contra ETB, sea calculada de manera </w:t>
      </w:r>
      <w:r w:rsidRPr="005A5617">
        <w:rPr>
          <w:rFonts w:ascii="Arial" w:hAnsi="Arial" w:cs="Arial"/>
          <w:b/>
          <w:i/>
          <w:u w:val="single"/>
        </w:rPr>
        <w:t>parcial</w:t>
      </w:r>
      <w:r w:rsidRPr="005A5617">
        <w:rPr>
          <w:rFonts w:ascii="Arial" w:hAnsi="Arial" w:cs="Arial"/>
          <w:i/>
        </w:rPr>
        <w:t xml:space="preserve"> y proporcional al supuesto incumplimiento parcial endilgado a ETB y no por el 10% del valor total de la Orden </w:t>
      </w:r>
      <w:r w:rsidRPr="005A5617">
        <w:rPr>
          <w:rFonts w:ascii="Arial" w:hAnsi="Arial" w:cs="Arial"/>
          <w:i/>
        </w:rPr>
        <w:lastRenderedPageBreak/>
        <w:t>de Compra, tal como fue calculada de manera desproporcional y exagerada por COLOMBIA COMPRA EFICIENTE”</w:t>
      </w:r>
      <w:r w:rsidR="00A563C8" w:rsidRPr="00297D79">
        <w:rPr>
          <w:rStyle w:val="Refdenotaalpie"/>
          <w:rFonts w:ascii="Arial" w:hAnsi="Arial" w:cs="Arial"/>
          <w:iCs/>
        </w:rPr>
        <w:footnoteReference w:id="21"/>
      </w:r>
      <w:r w:rsidRPr="00297D79">
        <w:rPr>
          <w:rFonts w:ascii="Arial" w:hAnsi="Arial" w:cs="Arial"/>
          <w:iCs/>
        </w:rPr>
        <w:t>.</w:t>
      </w:r>
    </w:p>
    <w:p w14:paraId="14C17EB7" w14:textId="77777777" w:rsidR="005A5617" w:rsidRDefault="005A5617" w:rsidP="0095458B">
      <w:pPr>
        <w:tabs>
          <w:tab w:val="left" w:pos="207"/>
        </w:tabs>
        <w:spacing w:line="360" w:lineRule="auto"/>
        <w:contextualSpacing/>
        <w:jc w:val="both"/>
        <w:rPr>
          <w:rFonts w:ascii="Arial" w:hAnsi="Arial" w:cs="Arial"/>
          <w:sz w:val="24"/>
        </w:rPr>
      </w:pPr>
    </w:p>
    <w:p w14:paraId="5E26E5BB" w14:textId="77777777" w:rsidR="005A5617" w:rsidRDefault="005A5617" w:rsidP="0095458B">
      <w:pPr>
        <w:tabs>
          <w:tab w:val="left" w:pos="207"/>
        </w:tabs>
        <w:spacing w:line="360" w:lineRule="auto"/>
        <w:contextualSpacing/>
        <w:jc w:val="both"/>
        <w:rPr>
          <w:rFonts w:ascii="Arial" w:hAnsi="Arial" w:cs="Arial"/>
          <w:sz w:val="24"/>
        </w:rPr>
      </w:pPr>
      <w:r>
        <w:rPr>
          <w:rFonts w:ascii="Arial" w:hAnsi="Arial" w:cs="Arial"/>
          <w:sz w:val="24"/>
        </w:rPr>
        <w:t>Adicionalmente,</w:t>
      </w:r>
      <w:r w:rsidR="00A563C8">
        <w:rPr>
          <w:rFonts w:ascii="Arial" w:hAnsi="Arial" w:cs="Arial"/>
          <w:sz w:val="24"/>
        </w:rPr>
        <w:t xml:space="preserve"> </w:t>
      </w:r>
      <w:r w:rsidR="006F1046">
        <w:rPr>
          <w:rFonts w:ascii="Arial" w:hAnsi="Arial" w:cs="Arial"/>
          <w:sz w:val="24"/>
        </w:rPr>
        <w:t xml:space="preserve">la </w:t>
      </w:r>
      <w:r w:rsidR="00A563C8">
        <w:rPr>
          <w:rFonts w:ascii="Arial" w:hAnsi="Arial" w:cs="Arial"/>
          <w:sz w:val="24"/>
        </w:rPr>
        <w:t xml:space="preserve">ETB argumentó la violación del artículo 867 del Código de Comercio, como fundamento de la desviación de las atribuciones propias de quien profirió el acto demandado. Explicó que para la fecha de </w:t>
      </w:r>
      <w:r w:rsidR="006F1046">
        <w:rPr>
          <w:rFonts w:ascii="Arial" w:hAnsi="Arial" w:cs="Arial"/>
          <w:sz w:val="24"/>
        </w:rPr>
        <w:t xml:space="preserve">la </w:t>
      </w:r>
      <w:r w:rsidR="00A563C8">
        <w:rPr>
          <w:rFonts w:ascii="Arial" w:hAnsi="Arial" w:cs="Arial"/>
          <w:sz w:val="24"/>
        </w:rPr>
        <w:t xml:space="preserve">declaratoria de incumplimiento parcial, </w:t>
      </w:r>
      <w:r w:rsidR="006F1046">
        <w:rPr>
          <w:rFonts w:ascii="Arial" w:hAnsi="Arial" w:cs="Arial"/>
          <w:sz w:val="24"/>
        </w:rPr>
        <w:t xml:space="preserve">la </w:t>
      </w:r>
      <w:r w:rsidR="00A563C8">
        <w:rPr>
          <w:rFonts w:ascii="Arial" w:hAnsi="Arial" w:cs="Arial"/>
          <w:sz w:val="24"/>
        </w:rPr>
        <w:t>ETB había cumplido en un 83% el objeto contractual, por lo que no procedía aplicar la cláusula penal en un 10% del valor total de la orden de compra</w:t>
      </w:r>
      <w:r w:rsidR="00CE4262">
        <w:rPr>
          <w:rFonts w:ascii="Arial" w:hAnsi="Arial" w:cs="Arial"/>
          <w:sz w:val="24"/>
        </w:rPr>
        <w:t>, tal y como se había pactado, sino que debía ser proporcional al incumplimiento</w:t>
      </w:r>
      <w:r w:rsidR="00A563C8">
        <w:rPr>
          <w:rFonts w:ascii="Arial" w:hAnsi="Arial" w:cs="Arial"/>
          <w:sz w:val="24"/>
        </w:rPr>
        <w:t>.</w:t>
      </w:r>
    </w:p>
    <w:p w14:paraId="15481A11" w14:textId="77777777" w:rsidR="005A5617" w:rsidRDefault="005A5617" w:rsidP="0095458B">
      <w:pPr>
        <w:tabs>
          <w:tab w:val="left" w:pos="207"/>
        </w:tabs>
        <w:spacing w:line="360" w:lineRule="auto"/>
        <w:contextualSpacing/>
        <w:jc w:val="both"/>
        <w:rPr>
          <w:rFonts w:ascii="Arial" w:hAnsi="Arial" w:cs="Arial"/>
          <w:sz w:val="24"/>
        </w:rPr>
      </w:pPr>
    </w:p>
    <w:p w14:paraId="0A1CBD92" w14:textId="77777777" w:rsidR="00CE4262" w:rsidRDefault="00CE4262" w:rsidP="00CE4262">
      <w:pPr>
        <w:tabs>
          <w:tab w:val="left" w:pos="207"/>
        </w:tabs>
        <w:spacing w:line="360" w:lineRule="auto"/>
        <w:contextualSpacing/>
        <w:jc w:val="both"/>
        <w:rPr>
          <w:rFonts w:ascii="Arial" w:hAnsi="Arial" w:cs="Arial"/>
          <w:sz w:val="24"/>
          <w:szCs w:val="24"/>
        </w:rPr>
      </w:pPr>
      <w:r>
        <w:rPr>
          <w:rFonts w:ascii="Arial" w:hAnsi="Arial" w:cs="Arial"/>
          <w:sz w:val="24"/>
        </w:rPr>
        <w:t>5.</w:t>
      </w:r>
      <w:r w:rsidR="006F1046">
        <w:rPr>
          <w:rFonts w:ascii="Arial" w:hAnsi="Arial" w:cs="Arial"/>
          <w:sz w:val="24"/>
        </w:rPr>
        <w:t>5</w:t>
      </w:r>
      <w:r>
        <w:rPr>
          <w:rFonts w:ascii="Arial" w:hAnsi="Arial" w:cs="Arial"/>
          <w:sz w:val="24"/>
        </w:rPr>
        <w:t xml:space="preserve">.- En primera instancia, </w:t>
      </w:r>
      <w:r w:rsidRPr="0026377D">
        <w:rPr>
          <w:rFonts w:ascii="Arial" w:hAnsi="Arial" w:cs="Arial"/>
          <w:sz w:val="24"/>
          <w:szCs w:val="24"/>
        </w:rPr>
        <w:t xml:space="preserve">la </w:t>
      </w:r>
      <w:r>
        <w:rPr>
          <w:rFonts w:ascii="Arial" w:hAnsi="Arial" w:cs="Arial"/>
          <w:sz w:val="24"/>
          <w:szCs w:val="24"/>
        </w:rPr>
        <w:t xml:space="preserve">Subsección A de la </w:t>
      </w:r>
      <w:r w:rsidRPr="0026377D">
        <w:rPr>
          <w:rFonts w:ascii="Arial" w:hAnsi="Arial" w:cs="Arial"/>
          <w:sz w:val="24"/>
          <w:szCs w:val="24"/>
        </w:rPr>
        <w:t>Sección Tercera del Tribunal Administrativo de Cundinamarca</w:t>
      </w:r>
      <w:r>
        <w:rPr>
          <w:rFonts w:ascii="Arial" w:hAnsi="Arial" w:cs="Arial"/>
          <w:sz w:val="24"/>
          <w:szCs w:val="24"/>
        </w:rPr>
        <w:t>,</w:t>
      </w:r>
      <w:r w:rsidRPr="0026377D">
        <w:rPr>
          <w:rFonts w:ascii="Arial" w:hAnsi="Arial" w:cs="Arial"/>
          <w:sz w:val="24"/>
          <w:szCs w:val="24"/>
        </w:rPr>
        <w:t xml:space="preserve"> </w:t>
      </w:r>
      <w:r>
        <w:rPr>
          <w:rFonts w:ascii="Arial" w:hAnsi="Arial" w:cs="Arial"/>
          <w:sz w:val="24"/>
          <w:szCs w:val="24"/>
        </w:rPr>
        <w:t xml:space="preserve">mediante sentencia del </w:t>
      </w:r>
      <w:r w:rsidRPr="0026377D">
        <w:rPr>
          <w:rFonts w:ascii="Arial" w:hAnsi="Arial" w:cs="Arial"/>
          <w:sz w:val="24"/>
          <w:szCs w:val="24"/>
        </w:rPr>
        <w:t>5 de octubre de 2016</w:t>
      </w:r>
      <w:r>
        <w:rPr>
          <w:rFonts w:ascii="Arial" w:hAnsi="Arial" w:cs="Arial"/>
          <w:sz w:val="24"/>
          <w:szCs w:val="24"/>
        </w:rPr>
        <w:t>, negó</w:t>
      </w:r>
      <w:r w:rsidRPr="0026377D">
        <w:rPr>
          <w:rFonts w:ascii="Arial" w:hAnsi="Arial" w:cs="Arial"/>
          <w:sz w:val="24"/>
          <w:szCs w:val="24"/>
        </w:rPr>
        <w:t xml:space="preserve"> las pretensiones de la demanda</w:t>
      </w:r>
      <w:r>
        <w:rPr>
          <w:rFonts w:ascii="Arial" w:hAnsi="Arial" w:cs="Arial"/>
          <w:sz w:val="24"/>
          <w:szCs w:val="24"/>
        </w:rPr>
        <w:t xml:space="preserve"> y al estudiar el cargo de desviación de las atribuciones propias de quien profiere el acto administrativo consideró:</w:t>
      </w:r>
    </w:p>
    <w:p w14:paraId="0BA130C8" w14:textId="77777777" w:rsidR="00CE4262" w:rsidRDefault="00CE4262" w:rsidP="00CE4262">
      <w:pPr>
        <w:tabs>
          <w:tab w:val="left" w:pos="207"/>
        </w:tabs>
        <w:spacing w:line="360" w:lineRule="auto"/>
        <w:contextualSpacing/>
        <w:jc w:val="both"/>
        <w:rPr>
          <w:rFonts w:ascii="Arial" w:hAnsi="Arial" w:cs="Arial"/>
          <w:sz w:val="24"/>
          <w:szCs w:val="24"/>
        </w:rPr>
      </w:pPr>
    </w:p>
    <w:p w14:paraId="41D9189C" w14:textId="77777777" w:rsidR="00CE4262" w:rsidRPr="00CE4262" w:rsidRDefault="00CE4262" w:rsidP="00CE4262">
      <w:pPr>
        <w:tabs>
          <w:tab w:val="left" w:pos="207"/>
        </w:tabs>
        <w:spacing w:line="240" w:lineRule="auto"/>
        <w:ind w:left="567" w:right="901"/>
        <w:contextualSpacing/>
        <w:jc w:val="both"/>
        <w:rPr>
          <w:rFonts w:ascii="Arial" w:hAnsi="Arial" w:cs="Arial"/>
          <w:i/>
          <w:szCs w:val="24"/>
        </w:rPr>
      </w:pPr>
      <w:r w:rsidRPr="00CE4262">
        <w:rPr>
          <w:rFonts w:ascii="Arial" w:hAnsi="Arial" w:cs="Arial"/>
          <w:i/>
          <w:szCs w:val="24"/>
        </w:rPr>
        <w:t>“Lo primero que precisa la Sala es que el contrato es ley para las partes, y que en la cláusula 17 del Convenio Marco de precios, los extremos de la relación negocial pactaron la cláusula penal en los siguientes términos: […]</w:t>
      </w:r>
    </w:p>
    <w:p w14:paraId="4091FC1A" w14:textId="77777777" w:rsidR="00CE4262" w:rsidRPr="00CE4262" w:rsidRDefault="00CE4262" w:rsidP="00CE4262">
      <w:pPr>
        <w:tabs>
          <w:tab w:val="left" w:pos="207"/>
        </w:tabs>
        <w:spacing w:line="240" w:lineRule="auto"/>
        <w:ind w:left="567" w:right="901"/>
        <w:contextualSpacing/>
        <w:jc w:val="both"/>
        <w:rPr>
          <w:rFonts w:ascii="Arial" w:hAnsi="Arial" w:cs="Arial"/>
          <w:i/>
          <w:szCs w:val="24"/>
        </w:rPr>
      </w:pPr>
    </w:p>
    <w:p w14:paraId="3B814CB5" w14:textId="77777777" w:rsidR="00CE4262" w:rsidRPr="00CE4262" w:rsidRDefault="00CE4262" w:rsidP="00CE4262">
      <w:pPr>
        <w:tabs>
          <w:tab w:val="left" w:pos="207"/>
        </w:tabs>
        <w:spacing w:line="240" w:lineRule="auto"/>
        <w:ind w:left="567" w:right="901"/>
        <w:contextualSpacing/>
        <w:jc w:val="both"/>
        <w:rPr>
          <w:rFonts w:ascii="Arial" w:hAnsi="Arial" w:cs="Arial"/>
          <w:i/>
          <w:szCs w:val="24"/>
        </w:rPr>
      </w:pPr>
      <w:r w:rsidRPr="00CE4262">
        <w:rPr>
          <w:rFonts w:ascii="Arial" w:hAnsi="Arial" w:cs="Arial"/>
          <w:i/>
          <w:szCs w:val="24"/>
        </w:rPr>
        <w:t>La Sala no desconoce que en cuanto a las sanciones impuestas es necesario que la administración se ajuste a razones de proporc</w:t>
      </w:r>
      <w:r w:rsidR="006F1046">
        <w:rPr>
          <w:rFonts w:ascii="Arial" w:hAnsi="Arial" w:cs="Arial"/>
          <w:i/>
          <w:szCs w:val="24"/>
        </w:rPr>
        <w:t>i</w:t>
      </w:r>
      <w:r w:rsidRPr="00CE4262">
        <w:rPr>
          <w:rFonts w:ascii="Arial" w:hAnsi="Arial" w:cs="Arial"/>
          <w:i/>
          <w:szCs w:val="24"/>
        </w:rPr>
        <w:t>onalidad, pero en este caso las dos partes han aceptado la manera como se pactó la clausula (sic) penal en el contrato.</w:t>
      </w:r>
    </w:p>
    <w:p w14:paraId="6A689EBB" w14:textId="77777777" w:rsidR="00CE4262" w:rsidRPr="00CE4262" w:rsidRDefault="00CE4262" w:rsidP="00CE4262">
      <w:pPr>
        <w:tabs>
          <w:tab w:val="left" w:pos="207"/>
        </w:tabs>
        <w:spacing w:line="240" w:lineRule="auto"/>
        <w:ind w:left="567" w:right="901"/>
        <w:contextualSpacing/>
        <w:jc w:val="both"/>
        <w:rPr>
          <w:rFonts w:ascii="Arial" w:hAnsi="Arial" w:cs="Arial"/>
          <w:i/>
          <w:szCs w:val="24"/>
        </w:rPr>
      </w:pPr>
    </w:p>
    <w:p w14:paraId="4A9E6A1D" w14:textId="77777777" w:rsidR="00CE4262" w:rsidRPr="00CE4262" w:rsidRDefault="00CE4262" w:rsidP="00CE4262">
      <w:pPr>
        <w:tabs>
          <w:tab w:val="left" w:pos="207"/>
        </w:tabs>
        <w:spacing w:line="240" w:lineRule="auto"/>
        <w:ind w:left="567" w:right="901"/>
        <w:contextualSpacing/>
        <w:jc w:val="both"/>
        <w:rPr>
          <w:rFonts w:ascii="Arial" w:hAnsi="Arial" w:cs="Arial"/>
          <w:i/>
          <w:szCs w:val="24"/>
        </w:rPr>
      </w:pPr>
      <w:r w:rsidRPr="00CE4262">
        <w:rPr>
          <w:rFonts w:ascii="Arial" w:hAnsi="Arial" w:cs="Arial"/>
          <w:i/>
          <w:szCs w:val="24"/>
        </w:rPr>
        <w:t>Evidencia la Sala que CCE lo que hizo en realidad fue atender el contenido de la clausula (sic) penal pecuniaria y por tanto, no puede el Juez interpretarla de manera diferente a como se pactó en el AMP”</w:t>
      </w:r>
      <w:r w:rsidRPr="0006786E">
        <w:rPr>
          <w:rStyle w:val="Refdenotaalpie"/>
          <w:rFonts w:ascii="Arial" w:hAnsi="Arial" w:cs="Arial"/>
          <w:iCs/>
          <w:szCs w:val="24"/>
        </w:rPr>
        <w:footnoteReference w:id="22"/>
      </w:r>
      <w:r w:rsidRPr="0006786E">
        <w:rPr>
          <w:rFonts w:ascii="Arial" w:hAnsi="Arial" w:cs="Arial"/>
          <w:iCs/>
          <w:szCs w:val="24"/>
        </w:rPr>
        <w:t>.</w:t>
      </w:r>
    </w:p>
    <w:p w14:paraId="3A59AFE1" w14:textId="77777777" w:rsidR="00CE4262" w:rsidRDefault="00CE4262" w:rsidP="00CE4262">
      <w:pPr>
        <w:tabs>
          <w:tab w:val="left" w:pos="207"/>
        </w:tabs>
        <w:spacing w:line="360" w:lineRule="auto"/>
        <w:contextualSpacing/>
        <w:jc w:val="both"/>
        <w:rPr>
          <w:rFonts w:ascii="Arial" w:hAnsi="Arial" w:cs="Arial"/>
          <w:sz w:val="24"/>
          <w:szCs w:val="24"/>
        </w:rPr>
      </w:pPr>
    </w:p>
    <w:p w14:paraId="1DBD204F" w14:textId="77777777" w:rsidR="00CE4262" w:rsidRPr="00A60751" w:rsidRDefault="006F1046" w:rsidP="00CE4262">
      <w:pPr>
        <w:tabs>
          <w:tab w:val="left" w:pos="207"/>
        </w:tabs>
        <w:spacing w:line="360" w:lineRule="auto"/>
        <w:contextualSpacing/>
        <w:jc w:val="both"/>
        <w:rPr>
          <w:rFonts w:ascii="Arial" w:hAnsi="Arial" w:cs="Arial"/>
          <w:i/>
          <w:sz w:val="24"/>
          <w:szCs w:val="24"/>
        </w:rPr>
      </w:pPr>
      <w:r>
        <w:rPr>
          <w:rFonts w:ascii="Arial" w:hAnsi="Arial" w:cs="Arial"/>
          <w:sz w:val="24"/>
          <w:szCs w:val="24"/>
        </w:rPr>
        <w:t>5.6</w:t>
      </w:r>
      <w:r w:rsidR="00997C8E">
        <w:rPr>
          <w:rFonts w:ascii="Arial" w:hAnsi="Arial" w:cs="Arial"/>
          <w:sz w:val="24"/>
          <w:szCs w:val="24"/>
        </w:rPr>
        <w:t xml:space="preserve">.- Ahora bien, en el recurso de apelación, </w:t>
      </w:r>
      <w:r w:rsidR="00A60751">
        <w:rPr>
          <w:rFonts w:ascii="Arial" w:hAnsi="Arial" w:cs="Arial"/>
          <w:sz w:val="24"/>
          <w:szCs w:val="24"/>
        </w:rPr>
        <w:t xml:space="preserve">la </w:t>
      </w:r>
      <w:r w:rsidR="00997C8E">
        <w:rPr>
          <w:rFonts w:ascii="Arial" w:hAnsi="Arial" w:cs="Arial"/>
          <w:sz w:val="24"/>
          <w:szCs w:val="24"/>
        </w:rPr>
        <w:t xml:space="preserve">ETB reiteró sus argumentos </w:t>
      </w:r>
      <w:r w:rsidR="002F7233">
        <w:rPr>
          <w:rFonts w:ascii="Arial" w:hAnsi="Arial" w:cs="Arial"/>
          <w:sz w:val="24"/>
          <w:szCs w:val="24"/>
        </w:rPr>
        <w:t xml:space="preserve">relacionados con su pedido de </w:t>
      </w:r>
      <w:r w:rsidR="00997C8E">
        <w:rPr>
          <w:rFonts w:ascii="Arial" w:hAnsi="Arial" w:cs="Arial"/>
          <w:sz w:val="24"/>
          <w:szCs w:val="24"/>
        </w:rPr>
        <w:t>reducción proporcional de la cláusula penal pecuniaria</w:t>
      </w:r>
      <w:r w:rsidR="00A60751">
        <w:rPr>
          <w:rFonts w:ascii="Arial" w:hAnsi="Arial" w:cs="Arial"/>
          <w:sz w:val="24"/>
          <w:szCs w:val="24"/>
        </w:rPr>
        <w:t xml:space="preserve">, y adujo que el Tribunal </w:t>
      </w:r>
      <w:r w:rsidR="00A60751" w:rsidRPr="00A60751">
        <w:rPr>
          <w:rFonts w:ascii="Arial" w:hAnsi="Arial" w:cs="Arial"/>
          <w:i/>
          <w:sz w:val="24"/>
          <w:szCs w:val="24"/>
        </w:rPr>
        <w:t xml:space="preserve">“omitió dar aplicación a las disposiciones contenidas en los </w:t>
      </w:r>
      <w:r w:rsidR="00A60751" w:rsidRPr="00FE14DE">
        <w:rPr>
          <w:rFonts w:ascii="Arial" w:hAnsi="Arial" w:cs="Arial"/>
          <w:i/>
          <w:sz w:val="24"/>
          <w:szCs w:val="24"/>
        </w:rPr>
        <w:t>artículo</w:t>
      </w:r>
      <w:r w:rsidR="00FE14DE" w:rsidRPr="00FE14DE">
        <w:rPr>
          <w:rFonts w:ascii="Arial" w:hAnsi="Arial" w:cs="Arial"/>
          <w:i/>
          <w:sz w:val="24"/>
          <w:szCs w:val="24"/>
        </w:rPr>
        <w:t>s</w:t>
      </w:r>
      <w:r w:rsidR="00A60751" w:rsidRPr="00FE14DE">
        <w:rPr>
          <w:rFonts w:ascii="Arial" w:hAnsi="Arial" w:cs="Arial"/>
          <w:i/>
          <w:sz w:val="24"/>
          <w:szCs w:val="24"/>
        </w:rPr>
        <w:t xml:space="preserve"> 1596</w:t>
      </w:r>
      <w:r w:rsidR="00A60751" w:rsidRPr="00A60751">
        <w:rPr>
          <w:rFonts w:ascii="Arial" w:hAnsi="Arial" w:cs="Arial"/>
          <w:i/>
          <w:sz w:val="24"/>
          <w:szCs w:val="24"/>
        </w:rPr>
        <w:t xml:space="preserve"> del Código Civil y 867 del Código de Comercio</w:t>
      </w:r>
      <w:r w:rsidR="00A60751">
        <w:rPr>
          <w:rFonts w:ascii="Arial" w:hAnsi="Arial" w:cs="Arial"/>
          <w:i/>
          <w:sz w:val="24"/>
          <w:szCs w:val="24"/>
        </w:rPr>
        <w:t>”</w:t>
      </w:r>
      <w:r w:rsidR="00A60751" w:rsidRPr="002F7233">
        <w:rPr>
          <w:rStyle w:val="Refdenotaalpie"/>
          <w:rFonts w:ascii="Arial" w:hAnsi="Arial" w:cs="Arial"/>
          <w:iCs/>
          <w:sz w:val="24"/>
          <w:szCs w:val="24"/>
        </w:rPr>
        <w:footnoteReference w:id="23"/>
      </w:r>
      <w:r w:rsidR="00A60751" w:rsidRPr="002F7233">
        <w:rPr>
          <w:rFonts w:ascii="Arial" w:hAnsi="Arial" w:cs="Arial"/>
          <w:iCs/>
          <w:sz w:val="24"/>
          <w:szCs w:val="24"/>
        </w:rPr>
        <w:t>.</w:t>
      </w:r>
    </w:p>
    <w:p w14:paraId="7B8D3ACE" w14:textId="77777777" w:rsidR="00997C8E" w:rsidRDefault="00997C8E" w:rsidP="00CE4262">
      <w:pPr>
        <w:tabs>
          <w:tab w:val="left" w:pos="207"/>
        </w:tabs>
        <w:spacing w:line="360" w:lineRule="auto"/>
        <w:contextualSpacing/>
        <w:jc w:val="both"/>
        <w:rPr>
          <w:rFonts w:ascii="Arial" w:hAnsi="Arial" w:cs="Arial"/>
          <w:sz w:val="24"/>
          <w:szCs w:val="24"/>
        </w:rPr>
      </w:pPr>
    </w:p>
    <w:p w14:paraId="7415F54E" w14:textId="3D4944B9" w:rsidR="00A60751" w:rsidRDefault="00A60751" w:rsidP="00A60751">
      <w:pPr>
        <w:tabs>
          <w:tab w:val="left" w:pos="207"/>
        </w:tabs>
        <w:spacing w:line="360" w:lineRule="auto"/>
        <w:contextualSpacing/>
        <w:jc w:val="both"/>
        <w:rPr>
          <w:rFonts w:ascii="Arial" w:hAnsi="Arial" w:cs="Arial"/>
          <w:sz w:val="24"/>
          <w:szCs w:val="24"/>
        </w:rPr>
      </w:pPr>
      <w:r>
        <w:rPr>
          <w:rFonts w:ascii="Arial" w:hAnsi="Arial" w:cs="Arial"/>
          <w:sz w:val="24"/>
        </w:rPr>
        <w:lastRenderedPageBreak/>
        <w:t>5.</w:t>
      </w:r>
      <w:r w:rsidR="006F1046">
        <w:rPr>
          <w:rFonts w:ascii="Arial" w:hAnsi="Arial" w:cs="Arial"/>
          <w:sz w:val="24"/>
        </w:rPr>
        <w:t>7</w:t>
      </w:r>
      <w:r>
        <w:rPr>
          <w:rFonts w:ascii="Arial" w:hAnsi="Arial" w:cs="Arial"/>
          <w:sz w:val="24"/>
        </w:rPr>
        <w:t xml:space="preserve">.- En segunda instancia, </w:t>
      </w:r>
      <w:r w:rsidRPr="0026377D">
        <w:rPr>
          <w:rFonts w:ascii="Arial" w:hAnsi="Arial" w:cs="Arial"/>
          <w:sz w:val="24"/>
          <w:szCs w:val="24"/>
        </w:rPr>
        <w:t xml:space="preserve">la Subsección </w:t>
      </w:r>
      <w:r>
        <w:rPr>
          <w:rFonts w:ascii="Arial" w:hAnsi="Arial" w:cs="Arial"/>
          <w:sz w:val="24"/>
          <w:szCs w:val="24"/>
        </w:rPr>
        <w:t>B</w:t>
      </w:r>
      <w:r w:rsidRPr="0026377D">
        <w:rPr>
          <w:rFonts w:ascii="Arial" w:hAnsi="Arial" w:cs="Arial"/>
          <w:sz w:val="24"/>
          <w:szCs w:val="24"/>
        </w:rPr>
        <w:t xml:space="preserve"> de la Sección Tercera del Consejo de</w:t>
      </w:r>
      <w:r>
        <w:rPr>
          <w:rFonts w:ascii="Arial" w:hAnsi="Arial" w:cs="Arial"/>
          <w:sz w:val="24"/>
          <w:szCs w:val="24"/>
        </w:rPr>
        <w:t xml:space="preserve"> </w:t>
      </w:r>
      <w:r w:rsidRPr="0026377D">
        <w:rPr>
          <w:rFonts w:ascii="Arial" w:hAnsi="Arial" w:cs="Arial"/>
          <w:sz w:val="24"/>
          <w:szCs w:val="24"/>
        </w:rPr>
        <w:t>Estado</w:t>
      </w:r>
      <w:r>
        <w:rPr>
          <w:rFonts w:ascii="Arial" w:hAnsi="Arial" w:cs="Arial"/>
          <w:sz w:val="24"/>
          <w:szCs w:val="24"/>
        </w:rPr>
        <w:t>, mediante sentencia d</w:t>
      </w:r>
      <w:r w:rsidRPr="0026377D">
        <w:rPr>
          <w:rFonts w:ascii="Arial" w:hAnsi="Arial" w:cs="Arial"/>
          <w:sz w:val="24"/>
          <w:szCs w:val="24"/>
        </w:rPr>
        <w:t>el 9 de julio de 2021</w:t>
      </w:r>
      <w:r>
        <w:rPr>
          <w:rFonts w:ascii="Arial" w:hAnsi="Arial" w:cs="Arial"/>
          <w:sz w:val="24"/>
          <w:szCs w:val="24"/>
        </w:rPr>
        <w:t xml:space="preserve">, también se pronunció sobre la solicitud de reducción proporcional de la cláusula penal, y sostuvo lo siguiente: </w:t>
      </w:r>
    </w:p>
    <w:p w14:paraId="3EDE546C" w14:textId="77777777" w:rsidR="00B00AAD" w:rsidRDefault="00B00AAD" w:rsidP="00A60751">
      <w:pPr>
        <w:tabs>
          <w:tab w:val="left" w:pos="207"/>
        </w:tabs>
        <w:spacing w:line="360" w:lineRule="auto"/>
        <w:contextualSpacing/>
        <w:jc w:val="both"/>
        <w:rPr>
          <w:rFonts w:ascii="Arial" w:hAnsi="Arial" w:cs="Arial"/>
          <w:sz w:val="24"/>
          <w:szCs w:val="24"/>
        </w:rPr>
      </w:pPr>
    </w:p>
    <w:p w14:paraId="0970B6F0" w14:textId="77777777" w:rsidR="00A60751" w:rsidRPr="00A60751" w:rsidRDefault="00A60751" w:rsidP="00A60751">
      <w:pPr>
        <w:tabs>
          <w:tab w:val="left" w:pos="207"/>
        </w:tabs>
        <w:spacing w:line="240" w:lineRule="auto"/>
        <w:ind w:left="567" w:right="617"/>
        <w:contextualSpacing/>
        <w:jc w:val="both"/>
        <w:rPr>
          <w:rFonts w:ascii="Arial" w:hAnsi="Arial" w:cs="Arial"/>
          <w:i/>
          <w:szCs w:val="24"/>
        </w:rPr>
      </w:pPr>
      <w:r>
        <w:rPr>
          <w:rFonts w:ascii="Arial" w:hAnsi="Arial" w:cs="Arial"/>
          <w:i/>
          <w:szCs w:val="24"/>
        </w:rPr>
        <w:t>“</w:t>
      </w:r>
      <w:r w:rsidRPr="00A60751">
        <w:rPr>
          <w:rFonts w:ascii="Arial" w:hAnsi="Arial" w:cs="Arial"/>
          <w:i/>
          <w:szCs w:val="24"/>
        </w:rPr>
        <w:t>54. En atención a lo estipulado en el contrato, y a lo consagrado por el propio Código Civil, las partes pactaron el 10% del valor de las órdenes de compra como cláusula penal frente a incumplimientos totales o parciales, como el que ocurrió en el caso bajo análisis. Por lo anterior, la administración, al hacer efectiva dicha cláusula, lo hizo en los propios términos del acuerdo, para lo cual debe recordarse que el Código Civil establece, en el artículo 1599, que “habrá lugar a exigir la pena en todos los casos en que se hubiere estipulado, sin que pueda alegarse por el deudor que la inejecución de lo pactado no ha inferido perjuicio al acreedor o le ha producido beneficio”</w:t>
      </w:r>
      <w:r w:rsidRPr="00F45BB2">
        <w:rPr>
          <w:rStyle w:val="Refdenotaalpie"/>
          <w:rFonts w:ascii="Arial" w:hAnsi="Arial" w:cs="Arial"/>
          <w:iCs/>
          <w:szCs w:val="24"/>
        </w:rPr>
        <w:footnoteReference w:id="24"/>
      </w:r>
      <w:r w:rsidRPr="00F45BB2">
        <w:rPr>
          <w:rFonts w:ascii="Arial" w:hAnsi="Arial" w:cs="Arial"/>
          <w:iCs/>
          <w:szCs w:val="24"/>
        </w:rPr>
        <w:t>.</w:t>
      </w:r>
    </w:p>
    <w:p w14:paraId="4426C391" w14:textId="77777777" w:rsidR="00A60751" w:rsidRDefault="00A60751" w:rsidP="00A60751">
      <w:pPr>
        <w:tabs>
          <w:tab w:val="left" w:pos="207"/>
        </w:tabs>
        <w:spacing w:line="360" w:lineRule="auto"/>
        <w:contextualSpacing/>
        <w:jc w:val="both"/>
        <w:rPr>
          <w:rFonts w:ascii="Arial" w:hAnsi="Arial" w:cs="Arial"/>
          <w:sz w:val="24"/>
          <w:szCs w:val="24"/>
        </w:rPr>
      </w:pPr>
    </w:p>
    <w:p w14:paraId="1E297C3A" w14:textId="77777777" w:rsidR="00A60751" w:rsidRDefault="00A60751" w:rsidP="0095458B">
      <w:pPr>
        <w:tabs>
          <w:tab w:val="left" w:pos="207"/>
        </w:tabs>
        <w:spacing w:line="360" w:lineRule="auto"/>
        <w:contextualSpacing/>
        <w:jc w:val="both"/>
        <w:rPr>
          <w:rFonts w:ascii="Arial" w:hAnsi="Arial" w:cs="Arial"/>
          <w:sz w:val="24"/>
          <w:szCs w:val="24"/>
        </w:rPr>
      </w:pPr>
      <w:r>
        <w:rPr>
          <w:rFonts w:ascii="Arial" w:hAnsi="Arial" w:cs="Arial"/>
          <w:sz w:val="24"/>
        </w:rPr>
        <w:t>5.</w:t>
      </w:r>
      <w:r w:rsidR="006F1046">
        <w:rPr>
          <w:rFonts w:ascii="Arial" w:hAnsi="Arial" w:cs="Arial"/>
          <w:sz w:val="24"/>
        </w:rPr>
        <w:t>8</w:t>
      </w:r>
      <w:r>
        <w:rPr>
          <w:rFonts w:ascii="Arial" w:hAnsi="Arial" w:cs="Arial"/>
          <w:sz w:val="24"/>
        </w:rPr>
        <w:t>.- De lo anterior se concluye que, t</w:t>
      </w:r>
      <w:r w:rsidR="005A5617">
        <w:rPr>
          <w:rFonts w:ascii="Arial" w:hAnsi="Arial" w:cs="Arial"/>
          <w:sz w:val="24"/>
          <w:szCs w:val="24"/>
        </w:rPr>
        <w:t xml:space="preserve">ras comparar las razones esgrimidas en la demanda ordinaria, el recurso de apelación y la solicitud de amparo constitucional, es claro que </w:t>
      </w:r>
      <w:r>
        <w:rPr>
          <w:rFonts w:ascii="Arial" w:hAnsi="Arial" w:cs="Arial"/>
          <w:sz w:val="24"/>
          <w:szCs w:val="24"/>
        </w:rPr>
        <w:t xml:space="preserve">lo que </w:t>
      </w:r>
      <w:r w:rsidR="005A5617">
        <w:rPr>
          <w:rFonts w:ascii="Arial" w:hAnsi="Arial" w:cs="Arial"/>
          <w:sz w:val="24"/>
          <w:szCs w:val="24"/>
        </w:rPr>
        <w:t xml:space="preserve">se pretende </w:t>
      </w:r>
      <w:r>
        <w:rPr>
          <w:rFonts w:ascii="Arial" w:hAnsi="Arial" w:cs="Arial"/>
          <w:sz w:val="24"/>
          <w:szCs w:val="24"/>
        </w:rPr>
        <w:t xml:space="preserve">es </w:t>
      </w:r>
      <w:r w:rsidR="005A5617">
        <w:rPr>
          <w:rFonts w:ascii="Arial" w:hAnsi="Arial" w:cs="Arial"/>
          <w:sz w:val="24"/>
          <w:szCs w:val="24"/>
        </w:rPr>
        <w:t xml:space="preserve">continuar </w:t>
      </w:r>
      <w:r w:rsidR="005A5617" w:rsidRPr="00AC3B06">
        <w:rPr>
          <w:rFonts w:ascii="Arial" w:hAnsi="Arial" w:cs="Arial"/>
          <w:sz w:val="24"/>
          <w:szCs w:val="24"/>
        </w:rPr>
        <w:t xml:space="preserve">con el debate jurídico que ya fue </w:t>
      </w:r>
      <w:r w:rsidR="00E65C32">
        <w:rPr>
          <w:rFonts w:ascii="Arial" w:hAnsi="Arial" w:cs="Arial"/>
          <w:sz w:val="24"/>
          <w:szCs w:val="24"/>
        </w:rPr>
        <w:t>resuelto</w:t>
      </w:r>
      <w:r w:rsidR="005A5617" w:rsidRPr="00AC3B06">
        <w:rPr>
          <w:rFonts w:ascii="Arial" w:hAnsi="Arial" w:cs="Arial"/>
          <w:sz w:val="24"/>
          <w:szCs w:val="24"/>
        </w:rPr>
        <w:t xml:space="preserve"> </w:t>
      </w:r>
      <w:r w:rsidR="00E65C32">
        <w:rPr>
          <w:rFonts w:ascii="Arial" w:hAnsi="Arial" w:cs="Arial"/>
          <w:sz w:val="24"/>
          <w:szCs w:val="24"/>
        </w:rPr>
        <w:t>por el juez natural,</w:t>
      </w:r>
      <w:r w:rsidR="00CE4262">
        <w:rPr>
          <w:rFonts w:ascii="Arial" w:hAnsi="Arial" w:cs="Arial"/>
          <w:sz w:val="24"/>
          <w:szCs w:val="24"/>
        </w:rPr>
        <w:t xml:space="preserve"> sobre la graduación de la cláusula penal</w:t>
      </w:r>
      <w:r w:rsidR="005A5617" w:rsidRPr="00AC3B06">
        <w:rPr>
          <w:rFonts w:ascii="Arial" w:hAnsi="Arial" w:cs="Arial"/>
          <w:sz w:val="24"/>
          <w:szCs w:val="24"/>
        </w:rPr>
        <w:t>.</w:t>
      </w:r>
      <w:r w:rsidR="005A5617">
        <w:rPr>
          <w:rFonts w:ascii="Arial" w:hAnsi="Arial" w:cs="Arial"/>
          <w:sz w:val="24"/>
          <w:szCs w:val="24"/>
        </w:rPr>
        <w:t xml:space="preserve"> </w:t>
      </w:r>
    </w:p>
    <w:p w14:paraId="388F7BC9" w14:textId="77777777" w:rsidR="00A60751" w:rsidRDefault="00A60751" w:rsidP="0095458B">
      <w:pPr>
        <w:tabs>
          <w:tab w:val="left" w:pos="207"/>
        </w:tabs>
        <w:spacing w:line="360" w:lineRule="auto"/>
        <w:contextualSpacing/>
        <w:jc w:val="both"/>
        <w:rPr>
          <w:rFonts w:ascii="Arial" w:hAnsi="Arial" w:cs="Arial"/>
          <w:sz w:val="24"/>
          <w:szCs w:val="24"/>
        </w:rPr>
      </w:pPr>
    </w:p>
    <w:p w14:paraId="738CA921" w14:textId="77777777" w:rsidR="008B4E87" w:rsidRDefault="00A60751" w:rsidP="0095458B">
      <w:pPr>
        <w:tabs>
          <w:tab w:val="left" w:pos="207"/>
        </w:tabs>
        <w:spacing w:line="360" w:lineRule="auto"/>
        <w:contextualSpacing/>
        <w:jc w:val="both"/>
        <w:rPr>
          <w:rFonts w:ascii="Arial" w:hAnsi="Arial" w:cs="Arial"/>
          <w:sz w:val="24"/>
          <w:szCs w:val="24"/>
        </w:rPr>
      </w:pPr>
      <w:r>
        <w:rPr>
          <w:rFonts w:ascii="Arial" w:hAnsi="Arial" w:cs="Arial"/>
          <w:sz w:val="24"/>
          <w:szCs w:val="24"/>
        </w:rPr>
        <w:t>5.</w:t>
      </w:r>
      <w:r w:rsidR="006F1046">
        <w:rPr>
          <w:rFonts w:ascii="Arial" w:hAnsi="Arial" w:cs="Arial"/>
          <w:sz w:val="24"/>
          <w:szCs w:val="24"/>
        </w:rPr>
        <w:t>9</w:t>
      </w:r>
      <w:r>
        <w:rPr>
          <w:rFonts w:ascii="Arial" w:hAnsi="Arial" w:cs="Arial"/>
          <w:sz w:val="24"/>
          <w:szCs w:val="24"/>
        </w:rPr>
        <w:t xml:space="preserve">.- </w:t>
      </w:r>
      <w:r w:rsidR="005A5617">
        <w:rPr>
          <w:rFonts w:ascii="Arial" w:hAnsi="Arial" w:cs="Arial"/>
          <w:sz w:val="24"/>
          <w:szCs w:val="24"/>
        </w:rPr>
        <w:t>En esa medida, los argumentos</w:t>
      </w:r>
      <w:r w:rsidR="005A5617" w:rsidRPr="00AC3B06">
        <w:rPr>
          <w:rFonts w:ascii="Arial" w:hAnsi="Arial" w:cs="Arial"/>
          <w:sz w:val="24"/>
          <w:szCs w:val="24"/>
        </w:rPr>
        <w:t xml:space="preserve"> de la accionante </w:t>
      </w:r>
      <w:r w:rsidR="005A5617">
        <w:rPr>
          <w:rFonts w:ascii="Arial" w:hAnsi="Arial" w:cs="Arial"/>
          <w:sz w:val="24"/>
          <w:szCs w:val="24"/>
        </w:rPr>
        <w:t>son</w:t>
      </w:r>
      <w:r w:rsidR="005A5617" w:rsidRPr="00AC3B06">
        <w:rPr>
          <w:rFonts w:ascii="Arial" w:hAnsi="Arial" w:cs="Arial"/>
          <w:sz w:val="24"/>
          <w:szCs w:val="24"/>
        </w:rPr>
        <w:t xml:space="preserve"> una mera inconformidad con el razonamiento de los jueces ordinarios</w:t>
      </w:r>
      <w:r w:rsidR="005A5617">
        <w:rPr>
          <w:rFonts w:ascii="Arial" w:hAnsi="Arial" w:cs="Arial"/>
          <w:sz w:val="24"/>
          <w:szCs w:val="24"/>
        </w:rPr>
        <w:t xml:space="preserve"> por </w:t>
      </w:r>
      <w:r w:rsidR="005A5617" w:rsidRPr="00AC3B06">
        <w:rPr>
          <w:rFonts w:ascii="Arial" w:hAnsi="Arial" w:cs="Arial"/>
          <w:sz w:val="24"/>
          <w:szCs w:val="24"/>
        </w:rPr>
        <w:t xml:space="preserve">una decisión </w:t>
      </w:r>
      <w:r w:rsidR="005A5617">
        <w:rPr>
          <w:rFonts w:ascii="Arial" w:hAnsi="Arial" w:cs="Arial"/>
          <w:sz w:val="24"/>
          <w:szCs w:val="24"/>
        </w:rPr>
        <w:t>desfavorable a</w:t>
      </w:r>
      <w:r>
        <w:rPr>
          <w:rFonts w:ascii="Arial" w:hAnsi="Arial" w:cs="Arial"/>
          <w:sz w:val="24"/>
          <w:szCs w:val="24"/>
        </w:rPr>
        <w:t xml:space="preserve"> su visión del litigio y</w:t>
      </w:r>
      <w:r w:rsidR="00E65C32">
        <w:rPr>
          <w:rFonts w:ascii="Arial" w:hAnsi="Arial" w:cs="Arial"/>
          <w:sz w:val="24"/>
          <w:szCs w:val="24"/>
        </w:rPr>
        <w:t>,</w:t>
      </w:r>
      <w:r w:rsidRPr="00A60751">
        <w:rPr>
          <w:rFonts w:ascii="Arial" w:hAnsi="Arial" w:cs="Arial"/>
          <w:sz w:val="24"/>
          <w:szCs w:val="24"/>
        </w:rPr>
        <w:t xml:space="preserve"> </w:t>
      </w:r>
      <w:r>
        <w:rPr>
          <w:rFonts w:ascii="Arial" w:hAnsi="Arial" w:cs="Arial"/>
          <w:sz w:val="24"/>
          <w:szCs w:val="24"/>
        </w:rPr>
        <w:t xml:space="preserve">para la Sala, los reproches de la parte actora intentan desconocer la decisión del juez </w:t>
      </w:r>
      <w:r w:rsidR="00E65C32">
        <w:rPr>
          <w:rFonts w:ascii="Arial" w:hAnsi="Arial" w:cs="Arial"/>
          <w:sz w:val="24"/>
          <w:szCs w:val="24"/>
        </w:rPr>
        <w:t>ordinario</w:t>
      </w:r>
      <w:r>
        <w:rPr>
          <w:rFonts w:ascii="Arial" w:hAnsi="Arial" w:cs="Arial"/>
          <w:sz w:val="24"/>
          <w:szCs w:val="24"/>
        </w:rPr>
        <w:t xml:space="preserve">, a través de </w:t>
      </w:r>
      <w:r w:rsidRPr="0057535E">
        <w:rPr>
          <w:rFonts w:ascii="Arial" w:eastAsia="MS Mincho" w:hAnsi="Arial" w:cs="Arial"/>
          <w:sz w:val="24"/>
          <w:szCs w:val="24"/>
        </w:rPr>
        <w:t>argumentos que buscan reabrir un debate de orden legal que fue resuelto</w:t>
      </w:r>
      <w:r>
        <w:rPr>
          <w:rFonts w:ascii="Arial" w:eastAsia="MS Mincho" w:hAnsi="Arial" w:cs="Arial"/>
          <w:sz w:val="24"/>
          <w:szCs w:val="24"/>
        </w:rPr>
        <w:t xml:space="preserve"> por la </w:t>
      </w:r>
      <w:r w:rsidRPr="004D54F9">
        <w:rPr>
          <w:rFonts w:ascii="Arial" w:eastAsia="MS Mincho" w:hAnsi="Arial" w:cs="Arial"/>
          <w:sz w:val="24"/>
          <w:szCs w:val="24"/>
        </w:rPr>
        <w:t xml:space="preserve">Subsección </w:t>
      </w:r>
      <w:r>
        <w:rPr>
          <w:rFonts w:ascii="Arial" w:eastAsia="MS Mincho" w:hAnsi="Arial" w:cs="Arial"/>
          <w:sz w:val="24"/>
          <w:szCs w:val="24"/>
        </w:rPr>
        <w:t>B</w:t>
      </w:r>
      <w:r w:rsidRPr="004D54F9">
        <w:rPr>
          <w:rFonts w:ascii="Arial" w:eastAsia="MS Mincho" w:hAnsi="Arial" w:cs="Arial"/>
          <w:sz w:val="24"/>
          <w:szCs w:val="24"/>
        </w:rPr>
        <w:t xml:space="preserve"> de la Sección </w:t>
      </w:r>
      <w:r>
        <w:rPr>
          <w:rFonts w:ascii="Arial" w:eastAsia="MS Mincho" w:hAnsi="Arial" w:cs="Arial"/>
          <w:sz w:val="24"/>
          <w:szCs w:val="24"/>
        </w:rPr>
        <w:t>Tercera</w:t>
      </w:r>
      <w:r w:rsidRPr="004D54F9">
        <w:rPr>
          <w:rFonts w:ascii="Arial" w:eastAsia="MS Mincho" w:hAnsi="Arial" w:cs="Arial"/>
          <w:sz w:val="24"/>
          <w:szCs w:val="24"/>
        </w:rPr>
        <w:t xml:space="preserve"> del </w:t>
      </w:r>
      <w:r>
        <w:rPr>
          <w:rFonts w:ascii="Arial" w:eastAsia="MS Mincho" w:hAnsi="Arial" w:cs="Arial"/>
          <w:sz w:val="24"/>
          <w:szCs w:val="24"/>
        </w:rPr>
        <w:t>Consejo de Estado.</w:t>
      </w:r>
    </w:p>
    <w:p w14:paraId="76415264" w14:textId="77777777" w:rsidR="005A5617" w:rsidRPr="00CE6CB7" w:rsidRDefault="005A5617" w:rsidP="0095458B">
      <w:pPr>
        <w:tabs>
          <w:tab w:val="left" w:pos="207"/>
        </w:tabs>
        <w:spacing w:line="360" w:lineRule="auto"/>
        <w:contextualSpacing/>
        <w:jc w:val="both"/>
        <w:rPr>
          <w:rFonts w:ascii="Arial" w:hAnsi="Arial" w:cs="Arial"/>
          <w:sz w:val="24"/>
        </w:rPr>
      </w:pPr>
    </w:p>
    <w:p w14:paraId="4302CCD3" w14:textId="77777777" w:rsidR="004D54F9" w:rsidRDefault="004C54AC" w:rsidP="0051341A">
      <w:pPr>
        <w:tabs>
          <w:tab w:val="left" w:pos="207"/>
        </w:tabs>
        <w:spacing w:line="360" w:lineRule="auto"/>
        <w:contextualSpacing/>
        <w:jc w:val="both"/>
        <w:rPr>
          <w:rFonts w:ascii="Arial" w:eastAsia="MS Mincho" w:hAnsi="Arial" w:cs="Arial"/>
          <w:sz w:val="28"/>
          <w:szCs w:val="24"/>
        </w:rPr>
      </w:pPr>
      <w:r>
        <w:rPr>
          <w:rFonts w:ascii="Arial" w:eastAsia="MS Mincho" w:hAnsi="Arial" w:cs="Arial"/>
          <w:sz w:val="24"/>
          <w:szCs w:val="24"/>
        </w:rPr>
        <w:t>5.</w:t>
      </w:r>
      <w:r w:rsidR="00907670">
        <w:rPr>
          <w:rFonts w:ascii="Arial" w:eastAsia="MS Mincho" w:hAnsi="Arial" w:cs="Arial"/>
          <w:sz w:val="24"/>
          <w:szCs w:val="24"/>
        </w:rPr>
        <w:t>1</w:t>
      </w:r>
      <w:r w:rsidR="006F1046">
        <w:rPr>
          <w:rFonts w:ascii="Arial" w:eastAsia="MS Mincho" w:hAnsi="Arial" w:cs="Arial"/>
          <w:sz w:val="24"/>
          <w:szCs w:val="24"/>
        </w:rPr>
        <w:t>0</w:t>
      </w:r>
      <w:r>
        <w:rPr>
          <w:rFonts w:ascii="Arial" w:eastAsia="MS Mincho" w:hAnsi="Arial" w:cs="Arial"/>
          <w:sz w:val="24"/>
          <w:szCs w:val="24"/>
        </w:rPr>
        <w:t xml:space="preserve">.- </w:t>
      </w:r>
      <w:r w:rsidR="004D54F9" w:rsidRPr="004D54F9">
        <w:rPr>
          <w:rFonts w:ascii="Arial" w:eastAsia="Verdana" w:hAnsi="Arial" w:cs="Arial"/>
          <w:sz w:val="24"/>
        </w:rPr>
        <w:t>Debe recordarse que la procedencia de la acción de tutela en contra de providencias judiciales es de carácter excepcional y no pretende desconocer la vigencia de la autonomía e independencia judicial, ni los principios de cosa juzgada y seguridad jurídica. Ello, en razón a que es concebida como un </w:t>
      </w:r>
      <w:r w:rsidR="004D54F9" w:rsidRPr="004D54F9">
        <w:rPr>
          <w:rFonts w:ascii="Arial" w:eastAsia="Verdana" w:hAnsi="Arial" w:cs="Arial"/>
          <w:i/>
          <w:iCs/>
          <w:sz w:val="24"/>
        </w:rPr>
        <w:t>“</w:t>
      </w:r>
      <w:r w:rsidR="004D54F9" w:rsidRPr="004D54F9">
        <w:rPr>
          <w:rFonts w:ascii="Arial" w:eastAsia="Verdana" w:hAnsi="Arial" w:cs="Arial"/>
          <w:i/>
          <w:sz w:val="24"/>
        </w:rPr>
        <w:t>juicio de validez”</w:t>
      </w:r>
      <w:r w:rsidR="004D54F9" w:rsidRPr="004D54F9">
        <w:rPr>
          <w:rFonts w:ascii="Arial" w:eastAsia="Verdana" w:hAnsi="Arial" w:cs="Arial"/>
          <w:sz w:val="24"/>
        </w:rPr>
        <w:t> y no como un </w:t>
      </w:r>
      <w:r w:rsidR="004D54F9" w:rsidRPr="004D54F9">
        <w:rPr>
          <w:rFonts w:ascii="Arial" w:eastAsia="Verdana" w:hAnsi="Arial" w:cs="Arial"/>
          <w:i/>
          <w:sz w:val="24"/>
        </w:rPr>
        <w:t>“juicio de corrección” </w:t>
      </w:r>
      <w:r w:rsidR="004D54F9" w:rsidRPr="004D54F9">
        <w:rPr>
          <w:rFonts w:ascii="Arial" w:eastAsia="Verdana" w:hAnsi="Arial" w:cs="Arial"/>
          <w:sz w:val="24"/>
        </w:rPr>
        <w:t>de la decisión cuestionad</w:t>
      </w:r>
      <w:bookmarkStart w:id="2" w:name="_ftnref30"/>
      <w:r w:rsidR="004D54F9" w:rsidRPr="004D54F9">
        <w:rPr>
          <w:rFonts w:ascii="Arial" w:eastAsia="Verdana" w:hAnsi="Arial" w:cs="Arial"/>
          <w:sz w:val="24"/>
        </w:rPr>
        <w:t>a</w:t>
      </w:r>
      <w:r w:rsidR="004D54F9" w:rsidRPr="004D54F9">
        <w:rPr>
          <w:rFonts w:ascii="Arial" w:eastAsia="Verdana" w:hAnsi="Arial" w:cs="Arial"/>
          <w:sz w:val="24"/>
          <w:vertAlign w:val="superscript"/>
        </w:rPr>
        <w:footnoteReference w:id="25"/>
      </w:r>
      <w:bookmarkEnd w:id="2"/>
      <w:r w:rsidR="004D54F9" w:rsidRPr="004D54F9">
        <w:rPr>
          <w:rFonts w:ascii="Arial" w:eastAsia="Verdana" w:hAnsi="Arial" w:cs="Arial"/>
          <w:sz w:val="24"/>
        </w:rPr>
        <w:t>, lo que se opone a que se use indebidamente como una nueva instancia para la discusión de los asuntos de interpretación del derecho</w:t>
      </w:r>
      <w:r w:rsidR="004D54F9" w:rsidRPr="004D54F9">
        <w:rPr>
          <w:rFonts w:ascii="Arial" w:eastAsia="Verdana" w:hAnsi="Arial" w:cs="Arial"/>
          <w:sz w:val="24"/>
          <w:vertAlign w:val="superscript"/>
        </w:rPr>
        <w:footnoteReference w:id="26"/>
      </w:r>
      <w:r w:rsidR="004D54F9" w:rsidRPr="004D54F9">
        <w:rPr>
          <w:rFonts w:ascii="Arial" w:eastAsia="Verdana" w:hAnsi="Arial" w:cs="Arial"/>
          <w:sz w:val="24"/>
        </w:rPr>
        <w:t xml:space="preserve">. </w:t>
      </w:r>
    </w:p>
    <w:p w14:paraId="5D78964A" w14:textId="77777777" w:rsidR="004D54F9" w:rsidRDefault="004D54F9" w:rsidP="0051341A">
      <w:pPr>
        <w:tabs>
          <w:tab w:val="left" w:pos="207"/>
        </w:tabs>
        <w:spacing w:line="360" w:lineRule="auto"/>
        <w:contextualSpacing/>
        <w:jc w:val="both"/>
        <w:rPr>
          <w:rFonts w:ascii="Arial" w:eastAsia="MS Mincho" w:hAnsi="Arial" w:cs="Arial"/>
          <w:sz w:val="28"/>
          <w:szCs w:val="24"/>
        </w:rPr>
      </w:pPr>
    </w:p>
    <w:p w14:paraId="762A7457" w14:textId="77777777" w:rsidR="00DE747A" w:rsidRPr="006642F4" w:rsidRDefault="00DE747A" w:rsidP="00DE747A">
      <w:pPr>
        <w:widowControl w:val="0"/>
        <w:spacing w:after="0" w:line="360" w:lineRule="auto"/>
        <w:ind w:right="-93"/>
        <w:jc w:val="both"/>
        <w:rPr>
          <w:rFonts w:ascii="Arial" w:hAnsi="Arial" w:cs="Arial"/>
          <w:sz w:val="24"/>
          <w:szCs w:val="24"/>
          <w:lang w:eastAsia="es-ES"/>
        </w:rPr>
      </w:pPr>
      <w:r>
        <w:rPr>
          <w:rFonts w:ascii="Arial" w:eastAsia="MS Mincho" w:hAnsi="Arial" w:cs="Arial"/>
          <w:sz w:val="24"/>
          <w:szCs w:val="24"/>
        </w:rPr>
        <w:t xml:space="preserve">6.- </w:t>
      </w:r>
      <w:r w:rsidRPr="006642F4">
        <w:rPr>
          <w:rFonts w:ascii="Arial" w:eastAsia="Arial" w:hAnsi="Arial" w:cs="Arial"/>
          <w:sz w:val="24"/>
          <w:szCs w:val="24"/>
        </w:rPr>
        <w:t xml:space="preserve">Así las cosas, en el </w:t>
      </w:r>
      <w:r w:rsidRPr="006642F4">
        <w:rPr>
          <w:rFonts w:ascii="Arial" w:eastAsia="Arial" w:hAnsi="Arial" w:cs="Arial"/>
          <w:i/>
          <w:iCs/>
          <w:sz w:val="24"/>
          <w:szCs w:val="24"/>
        </w:rPr>
        <w:t xml:space="preserve">sub judice </w:t>
      </w:r>
      <w:r w:rsidRPr="006642F4">
        <w:rPr>
          <w:rFonts w:ascii="Arial" w:eastAsia="Arial" w:hAnsi="Arial" w:cs="Arial"/>
          <w:sz w:val="24"/>
          <w:szCs w:val="24"/>
        </w:rPr>
        <w:t>no se acreditó la relevancia constitucional</w:t>
      </w:r>
      <w:r>
        <w:rPr>
          <w:rFonts w:ascii="Arial" w:hAnsi="Arial" w:cs="Arial"/>
          <w:sz w:val="24"/>
          <w:szCs w:val="24"/>
        </w:rPr>
        <w:t xml:space="preserve">, en tanto las </w:t>
      </w:r>
      <w:r>
        <w:rPr>
          <w:rFonts w:ascii="Arial" w:hAnsi="Arial" w:cs="Arial"/>
          <w:sz w:val="24"/>
          <w:szCs w:val="24"/>
        </w:rPr>
        <w:lastRenderedPageBreak/>
        <w:t xml:space="preserve">alegaciones de la acción tuitiva tienen como único fin que se </w:t>
      </w:r>
      <w:r w:rsidR="00907670">
        <w:rPr>
          <w:rFonts w:ascii="Arial" w:hAnsi="Arial" w:cs="Arial"/>
          <w:sz w:val="24"/>
          <w:szCs w:val="24"/>
        </w:rPr>
        <w:t>reduzca la cláusula penal impuesta por incumplimiento contractual</w:t>
      </w:r>
      <w:r>
        <w:rPr>
          <w:rFonts w:ascii="Arial" w:hAnsi="Arial" w:cs="Arial"/>
          <w:sz w:val="24"/>
          <w:szCs w:val="24"/>
        </w:rPr>
        <w:t>. En consecuencia,</w:t>
      </w:r>
      <w:r w:rsidRPr="006642F4">
        <w:rPr>
          <w:rFonts w:ascii="Arial" w:hAnsi="Arial" w:cs="Arial"/>
          <w:sz w:val="24"/>
          <w:szCs w:val="24"/>
        </w:rPr>
        <w:t xml:space="preserve"> se declarará la improcedencia de</w:t>
      </w:r>
      <w:r>
        <w:rPr>
          <w:rFonts w:ascii="Arial" w:hAnsi="Arial" w:cs="Arial"/>
          <w:sz w:val="24"/>
          <w:szCs w:val="24"/>
        </w:rPr>
        <w:t xml:space="preserve">l amparo constitucional. </w:t>
      </w:r>
      <w:r w:rsidRPr="006642F4">
        <w:rPr>
          <w:rFonts w:ascii="Arial" w:hAnsi="Arial" w:cs="Arial"/>
          <w:sz w:val="24"/>
          <w:szCs w:val="24"/>
        </w:rPr>
        <w:t xml:space="preserve"> </w:t>
      </w:r>
    </w:p>
    <w:p w14:paraId="55BE172E" w14:textId="77777777" w:rsidR="008D0C0B" w:rsidRDefault="008D0C0B" w:rsidP="008D0C0B">
      <w:pPr>
        <w:tabs>
          <w:tab w:val="left" w:pos="207"/>
        </w:tabs>
        <w:spacing w:line="360" w:lineRule="auto"/>
        <w:contextualSpacing/>
        <w:jc w:val="both"/>
        <w:rPr>
          <w:rFonts w:ascii="Arial" w:hAnsi="Arial" w:cs="Arial"/>
          <w:sz w:val="24"/>
          <w:lang w:val="es-ES"/>
        </w:rPr>
      </w:pPr>
    </w:p>
    <w:p w14:paraId="788C1700" w14:textId="77777777" w:rsidR="008D0C0B" w:rsidRPr="008D0C0B" w:rsidRDefault="00553B98" w:rsidP="008D0C0B">
      <w:pPr>
        <w:tabs>
          <w:tab w:val="left" w:pos="207"/>
        </w:tabs>
        <w:spacing w:line="360" w:lineRule="auto"/>
        <w:contextualSpacing/>
        <w:jc w:val="both"/>
        <w:rPr>
          <w:rFonts w:ascii="Arial" w:hAnsi="Arial" w:cs="Arial"/>
          <w:color w:val="000000"/>
          <w:sz w:val="24"/>
          <w:lang w:eastAsia="es-CO"/>
        </w:rPr>
      </w:pPr>
      <w:r w:rsidRPr="008D0C0B">
        <w:rPr>
          <w:rFonts w:ascii="Arial" w:hAnsi="Arial" w:cs="Arial"/>
          <w:color w:val="000000"/>
          <w:sz w:val="24"/>
          <w:lang w:eastAsia="es-CO"/>
        </w:rPr>
        <w:t>En mérito de lo expuesto, la Subsección C de la Sección Tercera de la Sala de lo Contencioso Administrativo del Consejo de Estado, administrando justicia en nombre de la República y por autoridad de la ley,</w:t>
      </w:r>
    </w:p>
    <w:p w14:paraId="315B4C4B" w14:textId="77777777" w:rsidR="008D0C0B" w:rsidRPr="00094A5D" w:rsidRDefault="008D0C0B" w:rsidP="008D0C0B">
      <w:pPr>
        <w:tabs>
          <w:tab w:val="left" w:pos="207"/>
        </w:tabs>
        <w:spacing w:line="360" w:lineRule="auto"/>
        <w:contextualSpacing/>
        <w:jc w:val="both"/>
        <w:rPr>
          <w:rFonts w:ascii="Arial" w:hAnsi="Arial" w:cs="Arial"/>
          <w:color w:val="000000"/>
          <w:sz w:val="24"/>
          <w:szCs w:val="24"/>
          <w:lang w:eastAsia="es-CO"/>
        </w:rPr>
      </w:pPr>
    </w:p>
    <w:p w14:paraId="168AA54D" w14:textId="77777777" w:rsidR="008D0C0B" w:rsidRPr="00094A5D" w:rsidRDefault="00A65AB4" w:rsidP="008D0C0B">
      <w:pPr>
        <w:tabs>
          <w:tab w:val="left" w:pos="207"/>
        </w:tabs>
        <w:spacing w:line="360" w:lineRule="auto"/>
        <w:contextualSpacing/>
        <w:jc w:val="center"/>
        <w:rPr>
          <w:rFonts w:ascii="Arial" w:eastAsia="Times New Roman" w:hAnsi="Arial" w:cs="Arial"/>
          <w:b/>
          <w:sz w:val="24"/>
          <w:szCs w:val="24"/>
          <w:lang w:eastAsia="es-CO"/>
        </w:rPr>
      </w:pPr>
      <w:r w:rsidRPr="00094A5D">
        <w:rPr>
          <w:rFonts w:ascii="Arial" w:eastAsia="Times New Roman" w:hAnsi="Arial" w:cs="Arial"/>
          <w:b/>
          <w:sz w:val="24"/>
          <w:szCs w:val="24"/>
          <w:lang w:eastAsia="es-CO"/>
        </w:rPr>
        <w:t>III.- RESUELVE</w:t>
      </w:r>
    </w:p>
    <w:p w14:paraId="5FF43C75" w14:textId="77777777" w:rsidR="008D0C0B" w:rsidRPr="00094A5D" w:rsidRDefault="008D0C0B" w:rsidP="008D0C0B">
      <w:pPr>
        <w:tabs>
          <w:tab w:val="left" w:pos="207"/>
        </w:tabs>
        <w:spacing w:line="360" w:lineRule="auto"/>
        <w:contextualSpacing/>
        <w:jc w:val="both"/>
        <w:rPr>
          <w:rFonts w:ascii="Arial" w:eastAsia="Times New Roman" w:hAnsi="Arial" w:cs="Arial"/>
          <w:b/>
          <w:sz w:val="24"/>
          <w:szCs w:val="24"/>
          <w:lang w:eastAsia="es-CO"/>
        </w:rPr>
      </w:pPr>
    </w:p>
    <w:p w14:paraId="37C04B44" w14:textId="77777777" w:rsidR="009261C1" w:rsidRPr="00094A5D" w:rsidRDefault="00A65AB4" w:rsidP="009261C1">
      <w:pPr>
        <w:tabs>
          <w:tab w:val="left" w:pos="207"/>
        </w:tabs>
        <w:spacing w:line="360" w:lineRule="auto"/>
        <w:contextualSpacing/>
        <w:jc w:val="both"/>
        <w:rPr>
          <w:rFonts w:ascii="Arial" w:eastAsia="Arial" w:hAnsi="Arial" w:cs="Arial"/>
          <w:sz w:val="24"/>
          <w:szCs w:val="24"/>
        </w:rPr>
      </w:pPr>
      <w:r w:rsidRPr="00094A5D">
        <w:rPr>
          <w:rFonts w:ascii="Arial" w:hAnsi="Arial" w:cs="Arial"/>
          <w:b/>
          <w:sz w:val="24"/>
          <w:szCs w:val="24"/>
          <w:lang w:eastAsia="es-CO"/>
        </w:rPr>
        <w:t xml:space="preserve">PRIMERO: </w:t>
      </w:r>
      <w:r w:rsidRPr="00094A5D">
        <w:rPr>
          <w:rFonts w:ascii="Arial" w:hAnsi="Arial" w:cs="Arial"/>
          <w:b/>
          <w:bCs/>
          <w:sz w:val="24"/>
          <w:szCs w:val="24"/>
        </w:rPr>
        <w:t xml:space="preserve">DECLARAR </w:t>
      </w:r>
      <w:r w:rsidRPr="00094A5D">
        <w:rPr>
          <w:rFonts w:ascii="Arial" w:hAnsi="Arial" w:cs="Arial"/>
          <w:sz w:val="24"/>
          <w:szCs w:val="24"/>
        </w:rPr>
        <w:t>improcedente</w:t>
      </w:r>
      <w:r w:rsidRPr="00094A5D">
        <w:rPr>
          <w:rFonts w:ascii="Arial" w:hAnsi="Arial" w:cs="Arial"/>
          <w:b/>
          <w:bCs/>
          <w:sz w:val="24"/>
          <w:szCs w:val="24"/>
        </w:rPr>
        <w:t xml:space="preserve"> </w:t>
      </w:r>
      <w:r w:rsidRPr="00094A5D">
        <w:rPr>
          <w:rFonts w:ascii="Arial" w:hAnsi="Arial" w:cs="Arial"/>
          <w:sz w:val="24"/>
          <w:szCs w:val="24"/>
        </w:rPr>
        <w:t xml:space="preserve">el amparo solicitado por </w:t>
      </w:r>
      <w:r w:rsidR="00DE747A">
        <w:rPr>
          <w:rFonts w:ascii="Arial" w:hAnsi="Arial" w:cs="Arial"/>
          <w:sz w:val="24"/>
          <w:szCs w:val="24"/>
        </w:rPr>
        <w:t xml:space="preserve">la </w:t>
      </w:r>
      <w:r w:rsidR="00DE747A" w:rsidRPr="00DE747A">
        <w:rPr>
          <w:rFonts w:ascii="Arial" w:hAnsi="Arial" w:cs="Arial"/>
          <w:sz w:val="24"/>
          <w:szCs w:val="24"/>
        </w:rPr>
        <w:t>Empresa de Telecomunicaciones de Bogotá S.A. E.S.P.</w:t>
      </w:r>
      <w:r w:rsidRPr="00094A5D">
        <w:rPr>
          <w:rFonts w:ascii="Arial" w:hAnsi="Arial" w:cs="Arial"/>
          <w:sz w:val="24"/>
          <w:szCs w:val="24"/>
        </w:rPr>
        <w:t xml:space="preserve"> </w:t>
      </w:r>
      <w:r w:rsidR="009261C1" w:rsidRPr="00094A5D">
        <w:rPr>
          <w:rFonts w:ascii="Arial" w:eastAsia="Arial" w:hAnsi="Arial" w:cs="Arial"/>
          <w:sz w:val="24"/>
          <w:szCs w:val="24"/>
        </w:rPr>
        <w:t>con fundamento en las razones expuestas en la parte motiva de esta providencia.</w:t>
      </w:r>
    </w:p>
    <w:p w14:paraId="671445B8" w14:textId="77777777" w:rsidR="009261C1" w:rsidRPr="00094A5D" w:rsidRDefault="009261C1" w:rsidP="009261C1">
      <w:pPr>
        <w:tabs>
          <w:tab w:val="left" w:pos="207"/>
        </w:tabs>
        <w:spacing w:line="360" w:lineRule="auto"/>
        <w:contextualSpacing/>
        <w:jc w:val="both"/>
        <w:rPr>
          <w:rFonts w:ascii="Arial" w:eastAsia="Arial" w:hAnsi="Arial" w:cs="Arial"/>
          <w:sz w:val="24"/>
          <w:szCs w:val="24"/>
        </w:rPr>
      </w:pPr>
    </w:p>
    <w:p w14:paraId="0FC391C4" w14:textId="77777777" w:rsidR="009261C1" w:rsidRPr="00094A5D" w:rsidRDefault="00A65AB4" w:rsidP="009261C1">
      <w:pPr>
        <w:tabs>
          <w:tab w:val="left" w:pos="207"/>
        </w:tabs>
        <w:spacing w:line="360" w:lineRule="auto"/>
        <w:contextualSpacing/>
        <w:jc w:val="both"/>
        <w:rPr>
          <w:rFonts w:ascii="Arial" w:eastAsia="Arial" w:hAnsi="Arial" w:cs="Arial"/>
          <w:sz w:val="24"/>
          <w:szCs w:val="24"/>
        </w:rPr>
      </w:pPr>
      <w:r w:rsidRPr="00094A5D">
        <w:rPr>
          <w:rFonts w:ascii="Arial" w:hAnsi="Arial" w:cs="Arial"/>
          <w:b/>
          <w:sz w:val="24"/>
          <w:szCs w:val="24"/>
          <w:lang w:eastAsia="es-CO"/>
        </w:rPr>
        <w:t xml:space="preserve">SEGUNDO: </w:t>
      </w:r>
      <w:r w:rsidR="009261C1" w:rsidRPr="00094A5D">
        <w:rPr>
          <w:rFonts w:ascii="Arial" w:eastAsia="Arial" w:hAnsi="Arial" w:cs="Arial"/>
          <w:b/>
          <w:sz w:val="24"/>
          <w:szCs w:val="24"/>
        </w:rPr>
        <w:t xml:space="preserve">NOTIFICAR </w:t>
      </w:r>
      <w:r w:rsidR="009261C1" w:rsidRPr="00094A5D">
        <w:rPr>
          <w:rFonts w:ascii="Arial" w:eastAsia="Arial" w:hAnsi="Arial" w:cs="Arial"/>
          <w:sz w:val="24"/>
          <w:szCs w:val="24"/>
        </w:rPr>
        <w:t>la presente decisión a los interesados por el medio más expedito.</w:t>
      </w:r>
    </w:p>
    <w:p w14:paraId="5CBBD196" w14:textId="77777777" w:rsidR="009261C1" w:rsidRPr="00094A5D" w:rsidRDefault="009261C1" w:rsidP="009261C1">
      <w:pPr>
        <w:tabs>
          <w:tab w:val="left" w:pos="207"/>
        </w:tabs>
        <w:spacing w:line="360" w:lineRule="auto"/>
        <w:contextualSpacing/>
        <w:jc w:val="both"/>
        <w:rPr>
          <w:rFonts w:ascii="Arial" w:eastAsia="Arial" w:hAnsi="Arial" w:cs="Arial"/>
          <w:sz w:val="24"/>
          <w:szCs w:val="24"/>
        </w:rPr>
      </w:pPr>
    </w:p>
    <w:p w14:paraId="2C6448FA" w14:textId="77777777" w:rsidR="00E344AF" w:rsidRPr="00094A5D" w:rsidRDefault="00A65AB4" w:rsidP="00E344AF">
      <w:pPr>
        <w:tabs>
          <w:tab w:val="left" w:pos="207"/>
        </w:tabs>
        <w:spacing w:line="360" w:lineRule="auto"/>
        <w:contextualSpacing/>
        <w:jc w:val="both"/>
        <w:rPr>
          <w:rFonts w:ascii="Arial" w:eastAsia="Arial" w:hAnsi="Arial" w:cs="Arial"/>
          <w:sz w:val="24"/>
          <w:szCs w:val="24"/>
        </w:rPr>
      </w:pPr>
      <w:r w:rsidRPr="00094A5D">
        <w:rPr>
          <w:rFonts w:ascii="Arial" w:hAnsi="Arial" w:cs="Arial"/>
          <w:b/>
          <w:sz w:val="24"/>
          <w:szCs w:val="24"/>
          <w:lang w:eastAsia="es-CO"/>
        </w:rPr>
        <w:t xml:space="preserve">TERCERO: </w:t>
      </w:r>
      <w:r w:rsidR="009261C1" w:rsidRPr="00094A5D">
        <w:rPr>
          <w:rFonts w:ascii="Arial" w:eastAsia="Arial" w:hAnsi="Arial" w:cs="Arial"/>
          <w:b/>
          <w:sz w:val="24"/>
          <w:szCs w:val="24"/>
        </w:rPr>
        <w:t xml:space="preserve">ENVIAR </w:t>
      </w:r>
      <w:r w:rsidR="009261C1" w:rsidRPr="00094A5D">
        <w:rPr>
          <w:rFonts w:ascii="Arial" w:eastAsia="Arial" w:hAnsi="Arial" w:cs="Arial"/>
          <w:sz w:val="24"/>
          <w:szCs w:val="24"/>
        </w:rPr>
        <w:t xml:space="preserve">a la Corte Constitucional para su eventual revisión, en caso de no ser impugnada.  </w:t>
      </w:r>
    </w:p>
    <w:p w14:paraId="1E505E5D" w14:textId="77777777" w:rsidR="00E344AF" w:rsidRPr="00094A5D" w:rsidRDefault="00E344AF" w:rsidP="00E344AF">
      <w:pPr>
        <w:tabs>
          <w:tab w:val="left" w:pos="207"/>
        </w:tabs>
        <w:spacing w:line="360" w:lineRule="auto"/>
        <w:contextualSpacing/>
        <w:jc w:val="both"/>
        <w:rPr>
          <w:rFonts w:ascii="Arial" w:eastAsia="Arial" w:hAnsi="Arial" w:cs="Arial"/>
          <w:sz w:val="24"/>
          <w:szCs w:val="24"/>
        </w:rPr>
      </w:pPr>
    </w:p>
    <w:p w14:paraId="0C40CA77" w14:textId="77777777" w:rsidR="005140E8" w:rsidRPr="00094A5D" w:rsidRDefault="00096400" w:rsidP="005140E8">
      <w:pPr>
        <w:tabs>
          <w:tab w:val="left" w:pos="207"/>
        </w:tabs>
        <w:spacing w:after="0" w:line="240" w:lineRule="auto"/>
        <w:contextualSpacing/>
        <w:jc w:val="center"/>
        <w:rPr>
          <w:rFonts w:ascii="Arial" w:hAnsi="Arial" w:cs="Arial"/>
          <w:b/>
          <w:sz w:val="24"/>
          <w:szCs w:val="24"/>
        </w:rPr>
      </w:pPr>
      <w:r w:rsidRPr="00094A5D">
        <w:rPr>
          <w:rFonts w:ascii="Arial" w:hAnsi="Arial" w:cs="Arial"/>
          <w:b/>
          <w:sz w:val="24"/>
          <w:szCs w:val="24"/>
        </w:rPr>
        <w:t>CÓPIESE, NOTIFÍQUESE Y CÚMPLASE</w:t>
      </w:r>
    </w:p>
    <w:tbl>
      <w:tblPr>
        <w:tblW w:w="9640" w:type="dxa"/>
        <w:tblInd w:w="-34" w:type="dxa"/>
        <w:tblLayout w:type="fixed"/>
        <w:tblLook w:val="0400" w:firstRow="0" w:lastRow="0" w:firstColumn="0" w:lastColumn="0" w:noHBand="0" w:noVBand="1"/>
      </w:tblPr>
      <w:tblGrid>
        <w:gridCol w:w="4820"/>
        <w:gridCol w:w="4820"/>
      </w:tblGrid>
      <w:tr w:rsidR="00DE747A" w:rsidRPr="00C05DD5" w14:paraId="02A44367" w14:textId="77777777" w:rsidTr="00A563C8">
        <w:tc>
          <w:tcPr>
            <w:tcW w:w="4820" w:type="dxa"/>
            <w:hideMark/>
          </w:tcPr>
          <w:p w14:paraId="2CA3DEF2" w14:textId="77777777" w:rsidR="00DE747A" w:rsidRDefault="00DE747A" w:rsidP="00A563C8">
            <w:pPr>
              <w:tabs>
                <w:tab w:val="left" w:pos="709"/>
                <w:tab w:val="left" w:pos="1701"/>
              </w:tabs>
              <w:spacing w:after="0" w:line="240" w:lineRule="auto"/>
              <w:ind w:right="50"/>
              <w:jc w:val="center"/>
              <w:rPr>
                <w:rFonts w:ascii="Arial" w:eastAsia="Arial" w:hAnsi="Arial" w:cs="Arial"/>
                <w:b/>
                <w:color w:val="000000"/>
                <w:sz w:val="24"/>
                <w:szCs w:val="24"/>
              </w:rPr>
            </w:pPr>
          </w:p>
          <w:p w14:paraId="25ACA7BB" w14:textId="77777777" w:rsidR="00DE747A" w:rsidRDefault="00DE747A" w:rsidP="00A563C8">
            <w:pPr>
              <w:tabs>
                <w:tab w:val="left" w:pos="709"/>
                <w:tab w:val="left" w:pos="1701"/>
              </w:tabs>
              <w:spacing w:after="0" w:line="240" w:lineRule="auto"/>
              <w:ind w:right="50"/>
              <w:jc w:val="center"/>
              <w:rPr>
                <w:rFonts w:ascii="Arial" w:eastAsia="Arial" w:hAnsi="Arial" w:cs="Arial"/>
                <w:b/>
                <w:color w:val="000000"/>
                <w:sz w:val="24"/>
                <w:szCs w:val="24"/>
              </w:rPr>
            </w:pPr>
          </w:p>
          <w:p w14:paraId="6BAB8527" w14:textId="77777777" w:rsidR="00DE747A" w:rsidRPr="00580DB7" w:rsidRDefault="00DE747A" w:rsidP="00473E9F">
            <w:pPr>
              <w:tabs>
                <w:tab w:val="left" w:pos="709"/>
                <w:tab w:val="left" w:pos="1701"/>
              </w:tabs>
              <w:spacing w:after="0" w:line="240" w:lineRule="auto"/>
              <w:ind w:right="50"/>
              <w:jc w:val="center"/>
              <w:rPr>
                <w:rFonts w:ascii="Arial" w:eastAsia="Arial" w:hAnsi="Arial" w:cs="Arial"/>
                <w:b/>
                <w:color w:val="000000"/>
                <w:sz w:val="24"/>
                <w:szCs w:val="24"/>
              </w:rPr>
            </w:pPr>
            <w:r w:rsidRPr="00580DB7">
              <w:rPr>
                <w:rFonts w:ascii="Arial" w:eastAsia="Arial" w:hAnsi="Arial" w:cs="Arial"/>
                <w:b/>
                <w:color w:val="000000"/>
                <w:sz w:val="24"/>
                <w:szCs w:val="24"/>
              </w:rPr>
              <w:t>NICOLÁS YEPES CORRALES</w:t>
            </w:r>
          </w:p>
          <w:p w14:paraId="2E20094D" w14:textId="77777777" w:rsidR="00DE747A" w:rsidRPr="00580DB7" w:rsidRDefault="00DE747A" w:rsidP="00473E9F">
            <w:pPr>
              <w:tabs>
                <w:tab w:val="left" w:pos="709"/>
                <w:tab w:val="left" w:pos="1701"/>
              </w:tabs>
              <w:spacing w:after="0" w:line="240" w:lineRule="auto"/>
              <w:ind w:right="50"/>
              <w:jc w:val="center"/>
              <w:rPr>
                <w:rFonts w:ascii="Arial" w:eastAsia="Arial" w:hAnsi="Arial" w:cs="Arial"/>
                <w:b/>
                <w:color w:val="000000"/>
                <w:sz w:val="24"/>
                <w:szCs w:val="24"/>
              </w:rPr>
            </w:pPr>
            <w:r w:rsidRPr="00580DB7">
              <w:rPr>
                <w:rFonts w:ascii="Arial" w:eastAsia="Arial" w:hAnsi="Arial" w:cs="Arial"/>
                <w:b/>
                <w:color w:val="000000"/>
                <w:sz w:val="24"/>
                <w:szCs w:val="24"/>
              </w:rPr>
              <w:t>Presidente de la Sala</w:t>
            </w:r>
          </w:p>
        </w:tc>
        <w:tc>
          <w:tcPr>
            <w:tcW w:w="4820" w:type="dxa"/>
            <w:hideMark/>
          </w:tcPr>
          <w:p w14:paraId="1E11AA9D" w14:textId="77777777" w:rsidR="00DE747A" w:rsidRDefault="00DE747A" w:rsidP="00A563C8">
            <w:pPr>
              <w:tabs>
                <w:tab w:val="left" w:pos="709"/>
                <w:tab w:val="left" w:pos="1701"/>
              </w:tabs>
              <w:spacing w:after="0" w:line="240" w:lineRule="auto"/>
              <w:ind w:right="50"/>
              <w:jc w:val="center"/>
              <w:rPr>
                <w:rFonts w:ascii="Arial" w:eastAsia="Arial" w:hAnsi="Arial" w:cs="Arial"/>
                <w:b/>
                <w:color w:val="000000"/>
                <w:sz w:val="24"/>
                <w:szCs w:val="24"/>
              </w:rPr>
            </w:pPr>
          </w:p>
          <w:p w14:paraId="26CB0222" w14:textId="77777777" w:rsidR="00DE747A" w:rsidRDefault="00DE747A" w:rsidP="00A563C8">
            <w:pPr>
              <w:tabs>
                <w:tab w:val="left" w:pos="709"/>
                <w:tab w:val="left" w:pos="1701"/>
              </w:tabs>
              <w:spacing w:after="0" w:line="240" w:lineRule="auto"/>
              <w:ind w:right="50"/>
              <w:jc w:val="center"/>
              <w:rPr>
                <w:rFonts w:ascii="Arial" w:eastAsia="Arial" w:hAnsi="Arial" w:cs="Arial"/>
                <w:b/>
                <w:color w:val="000000"/>
                <w:sz w:val="24"/>
                <w:szCs w:val="24"/>
              </w:rPr>
            </w:pPr>
          </w:p>
          <w:p w14:paraId="551D9590" w14:textId="77777777" w:rsidR="00DE747A" w:rsidRPr="00580DB7" w:rsidRDefault="00DE747A" w:rsidP="00A563C8">
            <w:pPr>
              <w:tabs>
                <w:tab w:val="left" w:pos="709"/>
                <w:tab w:val="left" w:pos="1701"/>
              </w:tabs>
              <w:spacing w:after="0" w:line="240" w:lineRule="auto"/>
              <w:ind w:right="50"/>
              <w:jc w:val="center"/>
              <w:rPr>
                <w:rFonts w:ascii="Arial" w:eastAsia="Arial" w:hAnsi="Arial" w:cs="Arial"/>
                <w:b/>
                <w:color w:val="000000"/>
                <w:sz w:val="24"/>
                <w:szCs w:val="24"/>
              </w:rPr>
            </w:pPr>
            <w:r w:rsidRPr="00580DB7">
              <w:rPr>
                <w:rFonts w:ascii="Arial" w:eastAsia="Arial" w:hAnsi="Arial" w:cs="Arial"/>
                <w:b/>
                <w:color w:val="000000"/>
                <w:sz w:val="24"/>
                <w:szCs w:val="24"/>
              </w:rPr>
              <w:t>JAIME ENRIQUE RODRÍGUEZ NAVAS</w:t>
            </w:r>
          </w:p>
          <w:p w14:paraId="6AFF8C87" w14:textId="77777777" w:rsidR="00DE747A" w:rsidRDefault="00DE747A" w:rsidP="00A563C8">
            <w:pPr>
              <w:tabs>
                <w:tab w:val="left" w:pos="709"/>
                <w:tab w:val="left" w:pos="1701"/>
              </w:tabs>
              <w:spacing w:after="0" w:line="240" w:lineRule="auto"/>
              <w:ind w:right="50"/>
              <w:jc w:val="center"/>
              <w:rPr>
                <w:rFonts w:ascii="Arial" w:eastAsia="Arial" w:hAnsi="Arial" w:cs="Arial"/>
                <w:b/>
                <w:color w:val="000000"/>
                <w:sz w:val="24"/>
                <w:szCs w:val="24"/>
              </w:rPr>
            </w:pPr>
            <w:r w:rsidRPr="00580DB7">
              <w:rPr>
                <w:rFonts w:ascii="Arial" w:eastAsia="Arial" w:hAnsi="Arial" w:cs="Arial"/>
                <w:b/>
                <w:color w:val="000000"/>
                <w:sz w:val="24"/>
                <w:szCs w:val="24"/>
              </w:rPr>
              <w:t xml:space="preserve">Consejero de </w:t>
            </w:r>
            <w:r w:rsidRPr="00FE1F73">
              <w:rPr>
                <w:rFonts w:ascii="Arial" w:eastAsia="Arial" w:hAnsi="Arial" w:cs="Arial"/>
                <w:b/>
                <w:color w:val="000000"/>
                <w:sz w:val="24"/>
                <w:szCs w:val="24"/>
              </w:rPr>
              <w:t>E</w:t>
            </w:r>
            <w:r w:rsidRPr="00580DB7">
              <w:rPr>
                <w:rFonts w:ascii="Arial" w:eastAsia="Arial" w:hAnsi="Arial" w:cs="Arial"/>
                <w:b/>
                <w:color w:val="000000"/>
                <w:sz w:val="24"/>
                <w:szCs w:val="24"/>
              </w:rPr>
              <w:t>stado</w:t>
            </w:r>
          </w:p>
          <w:p w14:paraId="68BF015D" w14:textId="77777777" w:rsidR="00DE747A" w:rsidRPr="00580DB7" w:rsidRDefault="00DE747A" w:rsidP="00A563C8">
            <w:pPr>
              <w:tabs>
                <w:tab w:val="left" w:pos="709"/>
                <w:tab w:val="left" w:pos="1701"/>
              </w:tabs>
              <w:spacing w:after="0" w:line="240" w:lineRule="auto"/>
              <w:ind w:right="50"/>
              <w:jc w:val="center"/>
              <w:rPr>
                <w:rFonts w:ascii="Arial" w:eastAsia="Arial" w:hAnsi="Arial" w:cs="Arial"/>
                <w:b/>
                <w:color w:val="000000"/>
                <w:sz w:val="24"/>
                <w:szCs w:val="24"/>
              </w:rPr>
            </w:pPr>
          </w:p>
        </w:tc>
      </w:tr>
      <w:tr w:rsidR="00DE747A" w:rsidRPr="00580DB7" w14:paraId="6047A178" w14:textId="77777777" w:rsidTr="00A563C8">
        <w:tc>
          <w:tcPr>
            <w:tcW w:w="9640" w:type="dxa"/>
            <w:gridSpan w:val="2"/>
          </w:tcPr>
          <w:p w14:paraId="72BA6822" w14:textId="77777777" w:rsidR="00DE747A" w:rsidRDefault="00DE747A" w:rsidP="00A563C8">
            <w:pPr>
              <w:tabs>
                <w:tab w:val="left" w:pos="709"/>
                <w:tab w:val="left" w:pos="1701"/>
              </w:tabs>
              <w:spacing w:after="0" w:line="240" w:lineRule="auto"/>
              <w:ind w:right="50"/>
              <w:rPr>
                <w:rFonts w:ascii="Arial" w:eastAsia="Arial" w:hAnsi="Arial" w:cs="Arial"/>
                <w:b/>
                <w:color w:val="000000"/>
                <w:sz w:val="24"/>
                <w:szCs w:val="24"/>
              </w:rPr>
            </w:pPr>
          </w:p>
          <w:p w14:paraId="7439D683" w14:textId="77777777" w:rsidR="003C6B99" w:rsidRDefault="003C6B99" w:rsidP="00A563C8">
            <w:pPr>
              <w:tabs>
                <w:tab w:val="left" w:pos="709"/>
                <w:tab w:val="left" w:pos="1701"/>
              </w:tabs>
              <w:spacing w:after="0" w:line="240" w:lineRule="auto"/>
              <w:ind w:right="50"/>
              <w:rPr>
                <w:rFonts w:ascii="Arial" w:eastAsia="Arial" w:hAnsi="Arial" w:cs="Arial"/>
                <w:b/>
                <w:color w:val="000000"/>
                <w:sz w:val="24"/>
                <w:szCs w:val="24"/>
              </w:rPr>
            </w:pPr>
          </w:p>
          <w:p w14:paraId="69E76197" w14:textId="77777777" w:rsidR="00DE747A" w:rsidRPr="00580DB7" w:rsidRDefault="00DE747A" w:rsidP="00A563C8">
            <w:pPr>
              <w:tabs>
                <w:tab w:val="left" w:pos="709"/>
                <w:tab w:val="left" w:pos="1701"/>
              </w:tabs>
              <w:spacing w:after="0" w:line="240" w:lineRule="auto"/>
              <w:ind w:right="50"/>
              <w:jc w:val="center"/>
              <w:rPr>
                <w:rFonts w:ascii="Arial" w:eastAsia="Arial" w:hAnsi="Arial" w:cs="Arial"/>
                <w:b/>
                <w:color w:val="000000"/>
                <w:sz w:val="24"/>
                <w:szCs w:val="24"/>
              </w:rPr>
            </w:pPr>
            <w:r w:rsidRPr="00580DB7">
              <w:rPr>
                <w:rFonts w:ascii="Arial" w:eastAsia="Arial" w:hAnsi="Arial" w:cs="Arial"/>
                <w:b/>
                <w:color w:val="000000"/>
                <w:sz w:val="24"/>
                <w:szCs w:val="24"/>
              </w:rPr>
              <w:t>GUILLERMO SÁNCHEZ LUQUE</w:t>
            </w:r>
          </w:p>
          <w:p w14:paraId="6C97BD63" w14:textId="0AAEF356" w:rsidR="00DE747A" w:rsidRDefault="00DE747A" w:rsidP="00A563C8">
            <w:pPr>
              <w:tabs>
                <w:tab w:val="left" w:pos="709"/>
                <w:tab w:val="left" w:pos="1701"/>
              </w:tabs>
              <w:spacing w:after="0" w:line="240" w:lineRule="auto"/>
              <w:ind w:right="50"/>
              <w:jc w:val="center"/>
              <w:rPr>
                <w:rFonts w:ascii="Arial" w:eastAsia="Arial" w:hAnsi="Arial" w:cs="Arial"/>
                <w:b/>
                <w:color w:val="000000"/>
                <w:sz w:val="24"/>
                <w:szCs w:val="24"/>
              </w:rPr>
            </w:pPr>
            <w:r w:rsidRPr="00580DB7">
              <w:rPr>
                <w:rFonts w:ascii="Arial" w:eastAsia="Arial" w:hAnsi="Arial" w:cs="Arial"/>
                <w:b/>
                <w:color w:val="000000"/>
                <w:sz w:val="24"/>
                <w:szCs w:val="24"/>
              </w:rPr>
              <w:t xml:space="preserve">Consejero de </w:t>
            </w:r>
            <w:r w:rsidRPr="00FE1F73">
              <w:rPr>
                <w:rFonts w:ascii="Arial" w:eastAsia="Arial" w:hAnsi="Arial" w:cs="Arial"/>
                <w:b/>
                <w:color w:val="000000"/>
                <w:sz w:val="24"/>
                <w:szCs w:val="24"/>
              </w:rPr>
              <w:t>E</w:t>
            </w:r>
            <w:r w:rsidRPr="00580DB7">
              <w:rPr>
                <w:rFonts w:ascii="Arial" w:eastAsia="Arial" w:hAnsi="Arial" w:cs="Arial"/>
                <w:b/>
                <w:color w:val="000000"/>
                <w:sz w:val="24"/>
                <w:szCs w:val="24"/>
              </w:rPr>
              <w:t>stado</w:t>
            </w:r>
          </w:p>
          <w:p w14:paraId="1939907E" w14:textId="77777777" w:rsidR="00347C53" w:rsidRPr="00056CE0" w:rsidRDefault="00347C53" w:rsidP="00347C53">
            <w:pPr>
              <w:spacing w:after="0" w:line="240" w:lineRule="auto"/>
              <w:jc w:val="center"/>
              <w:rPr>
                <w:rFonts w:ascii="Arial" w:eastAsia="Times New Roman" w:hAnsi="Arial" w:cs="Arial"/>
                <w:lang w:eastAsia="es-ES_tradnl"/>
              </w:rPr>
            </w:pPr>
            <w:r w:rsidRPr="00056CE0">
              <w:rPr>
                <w:rFonts w:ascii="Arial" w:eastAsia="Times New Roman" w:hAnsi="Arial" w:cs="Arial"/>
                <w:b/>
                <w:bCs/>
                <w:lang w:eastAsia="es-ES_tradnl"/>
              </w:rPr>
              <w:t xml:space="preserve">Aclaración de Voto </w:t>
            </w:r>
            <w:r w:rsidRPr="00056CE0">
              <w:rPr>
                <w:rFonts w:ascii="Arial" w:eastAsia="BatangChe" w:hAnsi="Arial" w:cs="Arial"/>
                <w:b/>
                <w:bCs/>
                <w:lang w:eastAsia="es-ES_tradnl"/>
              </w:rPr>
              <w:t>Cfr. Rad.</w:t>
            </w:r>
            <w:r w:rsidRPr="00056CE0">
              <w:rPr>
                <w:rFonts w:ascii="Times New Roman" w:eastAsia="Times New Roman" w:hAnsi="Times New Roman"/>
                <w:lang w:eastAsia="es-ES_tradnl"/>
              </w:rPr>
              <w:t xml:space="preserve"> </w:t>
            </w:r>
            <w:r w:rsidRPr="00056CE0">
              <w:rPr>
                <w:rFonts w:ascii="Arial" w:eastAsia="BatangChe" w:hAnsi="Arial" w:cs="Arial"/>
                <w:b/>
                <w:bCs/>
                <w:lang w:eastAsia="es-ES_tradnl"/>
              </w:rPr>
              <w:t>11001-03-15-000-2019-01299-00</w:t>
            </w:r>
          </w:p>
          <w:p w14:paraId="74B9DBFE" w14:textId="77777777" w:rsidR="00347C53" w:rsidRDefault="00347C53" w:rsidP="00A563C8">
            <w:pPr>
              <w:tabs>
                <w:tab w:val="left" w:pos="709"/>
                <w:tab w:val="left" w:pos="1701"/>
              </w:tabs>
              <w:spacing w:after="0" w:line="240" w:lineRule="auto"/>
              <w:ind w:right="50"/>
              <w:jc w:val="center"/>
              <w:rPr>
                <w:rFonts w:ascii="Arial" w:eastAsia="Arial" w:hAnsi="Arial" w:cs="Arial"/>
                <w:b/>
                <w:color w:val="000000"/>
                <w:sz w:val="24"/>
                <w:szCs w:val="24"/>
              </w:rPr>
            </w:pPr>
          </w:p>
          <w:p w14:paraId="14496F83" w14:textId="77777777" w:rsidR="00DE747A" w:rsidRPr="00FE1F73" w:rsidRDefault="00DE747A" w:rsidP="00A563C8">
            <w:pPr>
              <w:tabs>
                <w:tab w:val="left" w:pos="709"/>
                <w:tab w:val="left" w:pos="1701"/>
              </w:tabs>
              <w:spacing w:after="0" w:line="240" w:lineRule="auto"/>
              <w:ind w:right="50"/>
              <w:jc w:val="center"/>
              <w:rPr>
                <w:rFonts w:ascii="Arial" w:hAnsi="Arial" w:cs="Arial"/>
                <w:sz w:val="24"/>
                <w:szCs w:val="24"/>
              </w:rPr>
            </w:pPr>
          </w:p>
        </w:tc>
      </w:tr>
    </w:tbl>
    <w:p w14:paraId="370A713B" w14:textId="77777777" w:rsidR="00FE1F73" w:rsidRPr="00233FE5" w:rsidRDefault="00FE1F73" w:rsidP="00A6170A">
      <w:pPr>
        <w:pStyle w:val="Sinespaciado1"/>
        <w:jc w:val="center"/>
        <w:rPr>
          <w:rFonts w:ascii="Arial" w:hAnsi="Arial" w:cs="Arial"/>
          <w:b/>
        </w:rPr>
      </w:pPr>
    </w:p>
    <w:sectPr w:rsidR="00FE1F73" w:rsidRPr="00233FE5">
      <w:headerReference w:type="default" r:id="rId11"/>
      <w:headerReference w:type="first" r:id="rId12"/>
      <w:pgSz w:w="12242" w:h="18722"/>
      <w:pgMar w:top="1701" w:right="1418" w:bottom="1701" w:left="1418" w:header="1134" w:footer="851" w:gutter="0"/>
      <w:paperSrc w:first="260" w:other="26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36D2E" w14:textId="77777777" w:rsidR="000A11C2" w:rsidRDefault="000A11C2" w:rsidP="00096400">
      <w:pPr>
        <w:spacing w:after="0" w:line="240" w:lineRule="auto"/>
      </w:pPr>
      <w:r>
        <w:separator/>
      </w:r>
    </w:p>
  </w:endnote>
  <w:endnote w:type="continuationSeparator" w:id="0">
    <w:p w14:paraId="10582118" w14:textId="77777777" w:rsidR="000A11C2" w:rsidRDefault="000A11C2" w:rsidP="00096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A9793" w14:textId="77777777" w:rsidR="000A11C2" w:rsidRDefault="000A11C2" w:rsidP="00096400">
      <w:pPr>
        <w:spacing w:after="0" w:line="240" w:lineRule="auto"/>
      </w:pPr>
      <w:r>
        <w:separator/>
      </w:r>
    </w:p>
  </w:footnote>
  <w:footnote w:type="continuationSeparator" w:id="0">
    <w:p w14:paraId="2132482E" w14:textId="77777777" w:rsidR="000A11C2" w:rsidRDefault="000A11C2" w:rsidP="00096400">
      <w:pPr>
        <w:spacing w:after="0" w:line="240" w:lineRule="auto"/>
      </w:pPr>
      <w:r>
        <w:continuationSeparator/>
      </w:r>
    </w:p>
  </w:footnote>
  <w:footnote w:id="1">
    <w:p w14:paraId="5678671A" w14:textId="77777777" w:rsidR="00A563C8" w:rsidRPr="00E65C32" w:rsidRDefault="00A563C8" w:rsidP="00473E9F">
      <w:pPr>
        <w:pStyle w:val="Textonotapie"/>
        <w:jc w:val="both"/>
        <w:rPr>
          <w:rFonts w:ascii="Arial" w:hAnsi="Arial" w:cs="Arial"/>
          <w:lang w:val="es-CO" w:eastAsia="zh-CN"/>
        </w:rPr>
      </w:pPr>
      <w:r w:rsidRPr="00E65C32">
        <w:rPr>
          <w:rStyle w:val="Refdenotaalpie"/>
          <w:rFonts w:ascii="Arial" w:hAnsi="Arial" w:cs="Arial"/>
        </w:rPr>
        <w:footnoteRef/>
      </w:r>
      <w:r w:rsidRPr="00E65C32">
        <w:rPr>
          <w:rFonts w:ascii="Arial" w:hAnsi="Arial" w:cs="Arial"/>
        </w:rPr>
        <w:t xml:space="preserve"> Obra poder en SAMAI, en el índice 2, con certificado 29BF215F8BA1EF87 1A14FE1C8CDE44A4 FC2B67865580BB6A A4FC072088A30221.</w:t>
      </w:r>
    </w:p>
  </w:footnote>
  <w:footnote w:id="2">
    <w:p w14:paraId="64183E97" w14:textId="77777777" w:rsidR="00A563C8" w:rsidRPr="00E65C32" w:rsidRDefault="00A563C8" w:rsidP="00473E9F">
      <w:pPr>
        <w:pStyle w:val="Textonotapie"/>
        <w:jc w:val="both"/>
        <w:rPr>
          <w:rFonts w:ascii="Arial" w:hAnsi="Arial" w:cs="Arial"/>
          <w:color w:val="000000"/>
          <w:lang w:val="es-CO" w:eastAsia="zh-CN"/>
        </w:rPr>
      </w:pPr>
      <w:r w:rsidRPr="00E65C32">
        <w:rPr>
          <w:rStyle w:val="Refdenotaalpie"/>
          <w:rFonts w:ascii="Arial" w:hAnsi="Arial" w:cs="Arial"/>
          <w:color w:val="000000"/>
        </w:rPr>
        <w:footnoteRef/>
      </w:r>
      <w:r w:rsidRPr="00E65C32">
        <w:rPr>
          <w:rFonts w:ascii="Arial" w:hAnsi="Arial" w:cs="Arial"/>
          <w:color w:val="000000"/>
        </w:rPr>
        <w:t xml:space="preserve"> Obra escrito de tutela en SAMAI, en el índice 2, con certificado 04B58CBBAC6D9824 F8030EB91DBB1087 9B14A05FDD165C16 DDBA4788DC0CA377.</w:t>
      </w:r>
    </w:p>
  </w:footnote>
  <w:footnote w:id="3">
    <w:p w14:paraId="11260126" w14:textId="77777777" w:rsidR="0059074F" w:rsidRPr="00E65C32" w:rsidRDefault="0059074F" w:rsidP="00473E9F">
      <w:pPr>
        <w:pStyle w:val="Textonotapie"/>
        <w:jc w:val="both"/>
        <w:rPr>
          <w:rFonts w:ascii="Arial" w:hAnsi="Arial" w:cs="Arial"/>
          <w:lang w:val="es-CO" w:eastAsia="zh-CN"/>
        </w:rPr>
      </w:pPr>
      <w:r w:rsidRPr="00E65C32">
        <w:rPr>
          <w:rStyle w:val="Refdenotaalpie"/>
          <w:rFonts w:ascii="Arial" w:hAnsi="Arial" w:cs="Arial"/>
        </w:rPr>
        <w:footnoteRef/>
      </w:r>
      <w:r w:rsidRPr="00E65C32">
        <w:rPr>
          <w:rFonts w:ascii="Arial" w:hAnsi="Arial" w:cs="Arial"/>
        </w:rPr>
        <w:t xml:space="preserve"> </w:t>
      </w:r>
      <w:r w:rsidRPr="00E65C32">
        <w:rPr>
          <w:rFonts w:ascii="Arial" w:hAnsi="Arial" w:cs="Arial"/>
          <w:color w:val="000000"/>
        </w:rPr>
        <w:t>Obra en SAMAI</w:t>
      </w:r>
      <w:r w:rsidRPr="00E65C32">
        <w:rPr>
          <w:rFonts w:ascii="Arial" w:hAnsi="Arial" w:cs="Arial"/>
          <w:color w:val="000000"/>
          <w:lang w:val="es-CO"/>
        </w:rPr>
        <w:t>,</w:t>
      </w:r>
      <w:r w:rsidRPr="00E65C32">
        <w:rPr>
          <w:rFonts w:ascii="Arial" w:hAnsi="Arial" w:cs="Arial"/>
          <w:color w:val="000000"/>
          <w:lang w:val="es-ES"/>
        </w:rPr>
        <w:t xml:space="preserve"> </w:t>
      </w:r>
      <w:r w:rsidRPr="00E65C32">
        <w:rPr>
          <w:rFonts w:ascii="Arial" w:hAnsi="Arial" w:cs="Arial"/>
          <w:color w:val="000000"/>
        </w:rPr>
        <w:t xml:space="preserve">en el índice </w:t>
      </w:r>
      <w:r w:rsidRPr="00E65C32">
        <w:rPr>
          <w:rFonts w:ascii="Arial" w:hAnsi="Arial" w:cs="Arial"/>
          <w:color w:val="000000"/>
          <w:lang w:val="es-CO"/>
        </w:rPr>
        <w:t>11</w:t>
      </w:r>
      <w:r w:rsidRPr="00E65C32">
        <w:rPr>
          <w:rFonts w:ascii="Arial" w:hAnsi="Arial" w:cs="Arial"/>
          <w:color w:val="000000"/>
        </w:rPr>
        <w:t xml:space="preserve">, </w:t>
      </w:r>
      <w:r w:rsidRPr="00E65C32">
        <w:rPr>
          <w:rFonts w:ascii="Arial" w:hAnsi="Arial" w:cs="Arial"/>
          <w:color w:val="000000"/>
          <w:lang w:val="es-CO"/>
        </w:rPr>
        <w:t xml:space="preserve">en el </w:t>
      </w:r>
      <w:r w:rsidR="00925046">
        <w:rPr>
          <w:rFonts w:ascii="Arial" w:hAnsi="Arial" w:cs="Arial"/>
          <w:color w:val="000000"/>
          <w:lang w:val="es-CO"/>
        </w:rPr>
        <w:t>vínculo</w:t>
      </w:r>
      <w:r w:rsidRPr="00E65C32">
        <w:rPr>
          <w:rFonts w:ascii="Arial" w:hAnsi="Arial" w:cs="Arial"/>
          <w:color w:val="000000"/>
          <w:lang w:val="es-CO"/>
        </w:rPr>
        <w:t xml:space="preserve"> que aparece en el</w:t>
      </w:r>
      <w:r w:rsidRPr="00E65C32">
        <w:rPr>
          <w:rFonts w:ascii="Arial" w:hAnsi="Arial" w:cs="Arial"/>
          <w:color w:val="000000"/>
        </w:rPr>
        <w:t xml:space="preserve"> certificado</w:t>
      </w:r>
      <w:r w:rsidRPr="00E65C32">
        <w:rPr>
          <w:rFonts w:ascii="Arial" w:hAnsi="Arial" w:cs="Arial"/>
          <w:color w:val="000000"/>
          <w:lang w:val="es-CO"/>
        </w:rPr>
        <w:t xml:space="preserve"> B8D371463E17C1F6 B0C77371FF0F74AB F2969C0D6FB587F2 13700A77A1411459, documento “Cuaderno No. 2”, pág</w:t>
      </w:r>
      <w:r w:rsidR="007012E0" w:rsidRPr="00E65C32">
        <w:rPr>
          <w:rFonts w:ascii="Arial" w:hAnsi="Arial" w:cs="Arial"/>
          <w:color w:val="000000"/>
          <w:lang w:val="es-CO"/>
        </w:rPr>
        <w:t>s</w:t>
      </w:r>
      <w:r w:rsidRPr="00E65C32">
        <w:rPr>
          <w:rFonts w:ascii="Arial" w:hAnsi="Arial" w:cs="Arial"/>
          <w:color w:val="000000"/>
          <w:lang w:val="es-CO"/>
        </w:rPr>
        <w:t>. 42</w:t>
      </w:r>
      <w:r w:rsidR="007012E0" w:rsidRPr="00E65C32">
        <w:rPr>
          <w:rFonts w:ascii="Arial" w:hAnsi="Arial" w:cs="Arial"/>
          <w:color w:val="000000"/>
          <w:lang w:val="es-CO"/>
        </w:rPr>
        <w:t xml:space="preserve"> a 44.</w:t>
      </w:r>
      <w:r w:rsidRPr="00E65C32">
        <w:rPr>
          <w:rFonts w:ascii="Arial" w:hAnsi="Arial" w:cs="Arial"/>
          <w:color w:val="000000"/>
          <w:lang w:val="es-CO"/>
        </w:rPr>
        <w:t xml:space="preserve"> </w:t>
      </w:r>
    </w:p>
  </w:footnote>
  <w:footnote w:id="4">
    <w:p w14:paraId="7A06BD8F" w14:textId="77777777" w:rsidR="007012E0" w:rsidRPr="00E65C32" w:rsidRDefault="007012E0" w:rsidP="00473E9F">
      <w:pPr>
        <w:pStyle w:val="Textonotapie"/>
        <w:jc w:val="both"/>
        <w:rPr>
          <w:rFonts w:ascii="Arial" w:hAnsi="Arial" w:cs="Arial"/>
          <w:lang w:val="es-CO" w:eastAsia="zh-CN"/>
        </w:rPr>
      </w:pPr>
      <w:r w:rsidRPr="00E65C32">
        <w:rPr>
          <w:rStyle w:val="Refdenotaalpie"/>
          <w:rFonts w:ascii="Arial" w:hAnsi="Arial" w:cs="Arial"/>
        </w:rPr>
        <w:footnoteRef/>
      </w:r>
      <w:r w:rsidRPr="00E65C32">
        <w:rPr>
          <w:rFonts w:ascii="Arial" w:hAnsi="Arial" w:cs="Arial"/>
        </w:rPr>
        <w:t xml:space="preserve"> </w:t>
      </w:r>
      <w:r w:rsidRPr="00E65C32">
        <w:rPr>
          <w:rFonts w:ascii="Arial" w:hAnsi="Arial" w:cs="Arial"/>
          <w:color w:val="000000"/>
        </w:rPr>
        <w:t>Obra en SAMAI</w:t>
      </w:r>
      <w:r w:rsidRPr="00E65C32">
        <w:rPr>
          <w:rFonts w:ascii="Arial" w:hAnsi="Arial" w:cs="Arial"/>
          <w:color w:val="000000"/>
          <w:lang w:val="es-CO"/>
        </w:rPr>
        <w:t>,</w:t>
      </w:r>
      <w:r w:rsidRPr="00E65C32">
        <w:rPr>
          <w:rFonts w:ascii="Arial" w:hAnsi="Arial" w:cs="Arial"/>
          <w:color w:val="000000"/>
          <w:lang w:val="es-ES"/>
        </w:rPr>
        <w:t xml:space="preserve"> </w:t>
      </w:r>
      <w:r w:rsidRPr="00E65C32">
        <w:rPr>
          <w:rFonts w:ascii="Arial" w:hAnsi="Arial" w:cs="Arial"/>
          <w:color w:val="000000"/>
        </w:rPr>
        <w:t xml:space="preserve">en el índice </w:t>
      </w:r>
      <w:r w:rsidRPr="00E65C32">
        <w:rPr>
          <w:rFonts w:ascii="Arial" w:hAnsi="Arial" w:cs="Arial"/>
          <w:color w:val="000000"/>
          <w:lang w:val="es-CO"/>
        </w:rPr>
        <w:t>11</w:t>
      </w:r>
      <w:r w:rsidRPr="00E65C32">
        <w:rPr>
          <w:rFonts w:ascii="Arial" w:hAnsi="Arial" w:cs="Arial"/>
          <w:color w:val="000000"/>
        </w:rPr>
        <w:t xml:space="preserve">, </w:t>
      </w:r>
      <w:r w:rsidRPr="00E65C32">
        <w:rPr>
          <w:rFonts w:ascii="Arial" w:hAnsi="Arial" w:cs="Arial"/>
          <w:color w:val="000000"/>
          <w:lang w:val="es-CO"/>
        </w:rPr>
        <w:t xml:space="preserve">en el </w:t>
      </w:r>
      <w:r w:rsidR="00873B11">
        <w:rPr>
          <w:rFonts w:ascii="Arial" w:hAnsi="Arial" w:cs="Arial"/>
          <w:color w:val="000000"/>
          <w:lang w:val="es-CO"/>
        </w:rPr>
        <w:t xml:space="preserve">vínculo </w:t>
      </w:r>
      <w:r w:rsidRPr="00E65C32">
        <w:rPr>
          <w:rFonts w:ascii="Arial" w:hAnsi="Arial" w:cs="Arial"/>
          <w:color w:val="000000"/>
          <w:lang w:val="es-CO"/>
        </w:rPr>
        <w:t>que aparece en el</w:t>
      </w:r>
      <w:r w:rsidRPr="00E65C32">
        <w:rPr>
          <w:rFonts w:ascii="Arial" w:hAnsi="Arial" w:cs="Arial"/>
          <w:color w:val="000000"/>
        </w:rPr>
        <w:t xml:space="preserve"> certificado</w:t>
      </w:r>
      <w:r w:rsidRPr="00E65C32">
        <w:rPr>
          <w:rFonts w:ascii="Arial" w:hAnsi="Arial" w:cs="Arial"/>
          <w:color w:val="000000"/>
          <w:lang w:val="es-CO"/>
        </w:rPr>
        <w:t xml:space="preserve"> B8D371463E17C1F6 B0C77371FF0F74AB F2969C0D6FB587F2 13700A77A1411459, documento “Cuaderno No. 2”, págs. 46 a 48.</w:t>
      </w:r>
    </w:p>
  </w:footnote>
  <w:footnote w:id="5">
    <w:p w14:paraId="6FA2FDF9" w14:textId="77777777" w:rsidR="007012E0" w:rsidRPr="00E65C32" w:rsidRDefault="007012E0" w:rsidP="00473E9F">
      <w:pPr>
        <w:pStyle w:val="Textonotapie"/>
        <w:jc w:val="both"/>
        <w:rPr>
          <w:rFonts w:ascii="Arial" w:hAnsi="Arial" w:cs="Arial"/>
          <w:lang w:val="es-CO" w:eastAsia="zh-CN"/>
        </w:rPr>
      </w:pPr>
      <w:r w:rsidRPr="00E65C32">
        <w:rPr>
          <w:rStyle w:val="Refdenotaalpie"/>
          <w:rFonts w:ascii="Arial" w:hAnsi="Arial" w:cs="Arial"/>
        </w:rPr>
        <w:footnoteRef/>
      </w:r>
      <w:r w:rsidRPr="00E65C32">
        <w:rPr>
          <w:rFonts w:ascii="Arial" w:hAnsi="Arial" w:cs="Arial"/>
        </w:rPr>
        <w:t xml:space="preserve"> </w:t>
      </w:r>
      <w:r w:rsidRPr="00E65C32">
        <w:rPr>
          <w:rFonts w:ascii="Arial" w:hAnsi="Arial" w:cs="Arial"/>
          <w:color w:val="000000"/>
        </w:rPr>
        <w:t>Obra en SAMAI</w:t>
      </w:r>
      <w:r w:rsidRPr="00E65C32">
        <w:rPr>
          <w:rFonts w:ascii="Arial" w:hAnsi="Arial" w:cs="Arial"/>
          <w:color w:val="000000"/>
          <w:lang w:val="es-CO"/>
        </w:rPr>
        <w:t>,</w:t>
      </w:r>
      <w:r w:rsidRPr="00E65C32">
        <w:rPr>
          <w:rFonts w:ascii="Arial" w:hAnsi="Arial" w:cs="Arial"/>
          <w:color w:val="000000"/>
          <w:lang w:val="es-ES"/>
        </w:rPr>
        <w:t xml:space="preserve"> </w:t>
      </w:r>
      <w:r w:rsidRPr="00E65C32">
        <w:rPr>
          <w:rFonts w:ascii="Arial" w:hAnsi="Arial" w:cs="Arial"/>
          <w:color w:val="000000"/>
        </w:rPr>
        <w:t xml:space="preserve">en el índice </w:t>
      </w:r>
      <w:r w:rsidRPr="00E65C32">
        <w:rPr>
          <w:rFonts w:ascii="Arial" w:hAnsi="Arial" w:cs="Arial"/>
          <w:color w:val="000000"/>
          <w:lang w:val="es-CO"/>
        </w:rPr>
        <w:t>11</w:t>
      </w:r>
      <w:r w:rsidRPr="00E65C32">
        <w:rPr>
          <w:rFonts w:ascii="Arial" w:hAnsi="Arial" w:cs="Arial"/>
          <w:color w:val="000000"/>
        </w:rPr>
        <w:t xml:space="preserve">, </w:t>
      </w:r>
      <w:r w:rsidRPr="00E65C32">
        <w:rPr>
          <w:rFonts w:ascii="Arial" w:hAnsi="Arial" w:cs="Arial"/>
          <w:color w:val="000000"/>
          <w:lang w:val="es-CO"/>
        </w:rPr>
        <w:t xml:space="preserve">en el </w:t>
      </w:r>
      <w:r w:rsidR="00873B11">
        <w:rPr>
          <w:rFonts w:ascii="Arial" w:hAnsi="Arial" w:cs="Arial"/>
          <w:color w:val="000000"/>
          <w:lang w:val="es-CO"/>
        </w:rPr>
        <w:t>vínculo</w:t>
      </w:r>
      <w:r w:rsidRPr="00E65C32">
        <w:rPr>
          <w:rFonts w:ascii="Arial" w:hAnsi="Arial" w:cs="Arial"/>
          <w:color w:val="000000"/>
          <w:lang w:val="es-CO"/>
        </w:rPr>
        <w:t xml:space="preserve"> que aparece en el</w:t>
      </w:r>
      <w:r w:rsidRPr="00E65C32">
        <w:rPr>
          <w:rFonts w:ascii="Arial" w:hAnsi="Arial" w:cs="Arial"/>
          <w:color w:val="000000"/>
        </w:rPr>
        <w:t xml:space="preserve"> certificado</w:t>
      </w:r>
      <w:r w:rsidRPr="00E65C32">
        <w:rPr>
          <w:rFonts w:ascii="Arial" w:hAnsi="Arial" w:cs="Arial"/>
          <w:color w:val="000000"/>
          <w:lang w:val="es-CO"/>
        </w:rPr>
        <w:t xml:space="preserve"> B8D371463E17C1F6 B0C77371FF0F74AB F2969C0D6FB587F2 13700A77A1411459, documento “Cuaderno No. 2”, págs. 50 a 5</w:t>
      </w:r>
      <w:r w:rsidR="00B26237">
        <w:rPr>
          <w:rFonts w:ascii="Arial" w:hAnsi="Arial" w:cs="Arial"/>
          <w:color w:val="000000"/>
          <w:lang w:val="es-CO"/>
        </w:rPr>
        <w:t>4</w:t>
      </w:r>
      <w:r w:rsidRPr="00E65C32">
        <w:rPr>
          <w:rFonts w:ascii="Arial" w:hAnsi="Arial" w:cs="Arial"/>
          <w:color w:val="000000"/>
          <w:lang w:val="es-CO"/>
        </w:rPr>
        <w:t>.</w:t>
      </w:r>
    </w:p>
  </w:footnote>
  <w:footnote w:id="6">
    <w:p w14:paraId="5AF6305E" w14:textId="77777777" w:rsidR="007012E0" w:rsidRPr="00E65C32" w:rsidRDefault="007012E0" w:rsidP="00473E9F">
      <w:pPr>
        <w:pStyle w:val="Textonotapie"/>
        <w:jc w:val="both"/>
        <w:rPr>
          <w:rFonts w:ascii="Arial" w:hAnsi="Arial" w:cs="Arial"/>
          <w:lang w:val="es-CO" w:eastAsia="zh-CN"/>
        </w:rPr>
      </w:pPr>
      <w:r w:rsidRPr="00E65C32">
        <w:rPr>
          <w:rStyle w:val="Refdenotaalpie"/>
          <w:rFonts w:ascii="Arial" w:hAnsi="Arial" w:cs="Arial"/>
        </w:rPr>
        <w:footnoteRef/>
      </w:r>
      <w:r w:rsidRPr="00E65C32">
        <w:rPr>
          <w:rFonts w:ascii="Arial" w:hAnsi="Arial" w:cs="Arial"/>
        </w:rPr>
        <w:t xml:space="preserve"> </w:t>
      </w:r>
      <w:r w:rsidRPr="00E65C32">
        <w:rPr>
          <w:rFonts w:ascii="Arial" w:hAnsi="Arial" w:cs="Arial"/>
          <w:color w:val="000000"/>
        </w:rPr>
        <w:t>Obra en SAMAI</w:t>
      </w:r>
      <w:r w:rsidRPr="00E65C32">
        <w:rPr>
          <w:rFonts w:ascii="Arial" w:hAnsi="Arial" w:cs="Arial"/>
          <w:color w:val="000000"/>
          <w:lang w:val="es-CO"/>
        </w:rPr>
        <w:t>,</w:t>
      </w:r>
      <w:r w:rsidRPr="00E65C32">
        <w:rPr>
          <w:rFonts w:ascii="Arial" w:hAnsi="Arial" w:cs="Arial"/>
          <w:color w:val="000000"/>
          <w:lang w:val="es-ES"/>
        </w:rPr>
        <w:t xml:space="preserve"> </w:t>
      </w:r>
      <w:r w:rsidRPr="00E65C32">
        <w:rPr>
          <w:rFonts w:ascii="Arial" w:hAnsi="Arial" w:cs="Arial"/>
          <w:color w:val="000000"/>
        </w:rPr>
        <w:t xml:space="preserve">en el índice </w:t>
      </w:r>
      <w:r w:rsidRPr="00E65C32">
        <w:rPr>
          <w:rFonts w:ascii="Arial" w:hAnsi="Arial" w:cs="Arial"/>
          <w:color w:val="000000"/>
          <w:lang w:val="es-CO"/>
        </w:rPr>
        <w:t>11</w:t>
      </w:r>
      <w:r w:rsidRPr="00E65C32">
        <w:rPr>
          <w:rFonts w:ascii="Arial" w:hAnsi="Arial" w:cs="Arial"/>
          <w:color w:val="000000"/>
        </w:rPr>
        <w:t xml:space="preserve">, </w:t>
      </w:r>
      <w:r w:rsidRPr="00E65C32">
        <w:rPr>
          <w:rFonts w:ascii="Arial" w:hAnsi="Arial" w:cs="Arial"/>
          <w:color w:val="000000"/>
          <w:lang w:val="es-CO"/>
        </w:rPr>
        <w:t xml:space="preserve">en el </w:t>
      </w:r>
      <w:r w:rsidR="00873B11">
        <w:rPr>
          <w:rFonts w:ascii="Arial" w:hAnsi="Arial" w:cs="Arial"/>
          <w:color w:val="000000"/>
          <w:lang w:val="es-CO"/>
        </w:rPr>
        <w:t>vínculo</w:t>
      </w:r>
      <w:r w:rsidRPr="00E65C32">
        <w:rPr>
          <w:rFonts w:ascii="Arial" w:hAnsi="Arial" w:cs="Arial"/>
          <w:color w:val="000000"/>
          <w:lang w:val="es-CO"/>
        </w:rPr>
        <w:t xml:space="preserve"> que aparece en el</w:t>
      </w:r>
      <w:r w:rsidRPr="00E65C32">
        <w:rPr>
          <w:rFonts w:ascii="Arial" w:hAnsi="Arial" w:cs="Arial"/>
          <w:color w:val="000000"/>
        </w:rPr>
        <w:t xml:space="preserve"> certificado</w:t>
      </w:r>
      <w:r w:rsidRPr="00E65C32">
        <w:rPr>
          <w:rFonts w:ascii="Arial" w:hAnsi="Arial" w:cs="Arial"/>
          <w:color w:val="000000"/>
          <w:lang w:val="es-CO"/>
        </w:rPr>
        <w:t xml:space="preserve"> B8D371463E17C1F6 B0C77371FF0F74AB F2969C0D6FB587F2 13700A77A1411459, documento “Cuaderno No. 2”, págs. 76 a 82.</w:t>
      </w:r>
    </w:p>
  </w:footnote>
  <w:footnote w:id="7">
    <w:p w14:paraId="31AA6A2E" w14:textId="77777777" w:rsidR="007012E0" w:rsidRPr="00E65C32" w:rsidRDefault="007012E0" w:rsidP="00473E9F">
      <w:pPr>
        <w:pStyle w:val="Textonotapie"/>
        <w:jc w:val="both"/>
        <w:rPr>
          <w:rFonts w:ascii="Arial" w:hAnsi="Arial" w:cs="Arial"/>
          <w:lang w:val="es-CO" w:eastAsia="zh-CN"/>
        </w:rPr>
      </w:pPr>
      <w:r w:rsidRPr="00E65C32">
        <w:rPr>
          <w:rStyle w:val="Refdenotaalpie"/>
          <w:rFonts w:ascii="Arial" w:hAnsi="Arial" w:cs="Arial"/>
        </w:rPr>
        <w:footnoteRef/>
      </w:r>
      <w:r w:rsidRPr="00E65C32">
        <w:rPr>
          <w:rFonts w:ascii="Arial" w:hAnsi="Arial" w:cs="Arial"/>
        </w:rPr>
        <w:t xml:space="preserve"> </w:t>
      </w:r>
      <w:r w:rsidRPr="00E65C32">
        <w:rPr>
          <w:rFonts w:ascii="Arial" w:hAnsi="Arial" w:cs="Arial"/>
          <w:color w:val="000000"/>
        </w:rPr>
        <w:t>Obra en SAMAI</w:t>
      </w:r>
      <w:r w:rsidRPr="00E65C32">
        <w:rPr>
          <w:rFonts w:ascii="Arial" w:hAnsi="Arial" w:cs="Arial"/>
          <w:color w:val="000000"/>
          <w:lang w:val="es-CO"/>
        </w:rPr>
        <w:t>,</w:t>
      </w:r>
      <w:r w:rsidRPr="00E65C32">
        <w:rPr>
          <w:rFonts w:ascii="Arial" w:hAnsi="Arial" w:cs="Arial"/>
          <w:color w:val="000000"/>
          <w:lang w:val="es-ES"/>
        </w:rPr>
        <w:t xml:space="preserve"> </w:t>
      </w:r>
      <w:r w:rsidRPr="00E65C32">
        <w:rPr>
          <w:rFonts w:ascii="Arial" w:hAnsi="Arial" w:cs="Arial"/>
          <w:color w:val="000000"/>
        </w:rPr>
        <w:t xml:space="preserve">en el índice </w:t>
      </w:r>
      <w:r w:rsidRPr="00E65C32">
        <w:rPr>
          <w:rFonts w:ascii="Arial" w:hAnsi="Arial" w:cs="Arial"/>
          <w:color w:val="000000"/>
          <w:lang w:val="es-CO"/>
        </w:rPr>
        <w:t>11</w:t>
      </w:r>
      <w:r w:rsidRPr="00E65C32">
        <w:rPr>
          <w:rFonts w:ascii="Arial" w:hAnsi="Arial" w:cs="Arial"/>
          <w:color w:val="000000"/>
        </w:rPr>
        <w:t xml:space="preserve">, </w:t>
      </w:r>
      <w:r w:rsidRPr="00E65C32">
        <w:rPr>
          <w:rFonts w:ascii="Arial" w:hAnsi="Arial" w:cs="Arial"/>
          <w:color w:val="000000"/>
          <w:lang w:val="es-CO"/>
        </w:rPr>
        <w:t xml:space="preserve">en el </w:t>
      </w:r>
      <w:r w:rsidR="00873B11">
        <w:rPr>
          <w:rFonts w:ascii="Arial" w:hAnsi="Arial" w:cs="Arial"/>
          <w:color w:val="000000"/>
          <w:lang w:val="es-CO"/>
        </w:rPr>
        <w:t>vínculo</w:t>
      </w:r>
      <w:r w:rsidR="00873B11" w:rsidRPr="00E65C32">
        <w:rPr>
          <w:rFonts w:ascii="Arial" w:hAnsi="Arial" w:cs="Arial"/>
          <w:color w:val="000000"/>
          <w:lang w:val="es-CO"/>
        </w:rPr>
        <w:t xml:space="preserve"> </w:t>
      </w:r>
      <w:r w:rsidRPr="00E65C32">
        <w:rPr>
          <w:rFonts w:ascii="Arial" w:hAnsi="Arial" w:cs="Arial"/>
          <w:color w:val="000000"/>
          <w:lang w:val="es-CO"/>
        </w:rPr>
        <w:t>que aparece en el</w:t>
      </w:r>
      <w:r w:rsidRPr="00E65C32">
        <w:rPr>
          <w:rFonts w:ascii="Arial" w:hAnsi="Arial" w:cs="Arial"/>
          <w:color w:val="000000"/>
        </w:rPr>
        <w:t xml:space="preserve"> certificado</w:t>
      </w:r>
      <w:r w:rsidRPr="00E65C32">
        <w:rPr>
          <w:rFonts w:ascii="Arial" w:hAnsi="Arial" w:cs="Arial"/>
          <w:color w:val="000000"/>
          <w:lang w:val="es-CO"/>
        </w:rPr>
        <w:t xml:space="preserve"> B8D371463E17C1F6 B0C77371FF0F74AB F2969C0D6FB587F2 13700A77A1411459, documento “Cuaderno No. 2”, págs. 94 a 136.</w:t>
      </w:r>
    </w:p>
  </w:footnote>
  <w:footnote w:id="8">
    <w:p w14:paraId="71B82CFE" w14:textId="77777777" w:rsidR="007012E0" w:rsidRPr="00E65C32" w:rsidRDefault="007012E0" w:rsidP="00473E9F">
      <w:pPr>
        <w:pStyle w:val="Textonotapie"/>
        <w:jc w:val="both"/>
        <w:rPr>
          <w:rFonts w:ascii="Arial" w:hAnsi="Arial" w:cs="Arial"/>
          <w:lang w:val="es-CO" w:eastAsia="zh-CN"/>
        </w:rPr>
      </w:pPr>
      <w:r w:rsidRPr="00E65C32">
        <w:rPr>
          <w:rStyle w:val="Refdenotaalpie"/>
          <w:rFonts w:ascii="Arial" w:hAnsi="Arial" w:cs="Arial"/>
        </w:rPr>
        <w:footnoteRef/>
      </w:r>
      <w:r w:rsidRPr="00E65C32">
        <w:rPr>
          <w:rFonts w:ascii="Arial" w:hAnsi="Arial" w:cs="Arial"/>
        </w:rPr>
        <w:t xml:space="preserve"> </w:t>
      </w:r>
      <w:r w:rsidRPr="00E65C32">
        <w:rPr>
          <w:rFonts w:ascii="Arial" w:hAnsi="Arial" w:cs="Arial"/>
          <w:color w:val="000000"/>
        </w:rPr>
        <w:t>Obra en SAMAI</w:t>
      </w:r>
      <w:r w:rsidRPr="00E65C32">
        <w:rPr>
          <w:rFonts w:ascii="Arial" w:hAnsi="Arial" w:cs="Arial"/>
          <w:color w:val="000000"/>
          <w:lang w:val="es-CO"/>
        </w:rPr>
        <w:t>,</w:t>
      </w:r>
      <w:r w:rsidRPr="00E65C32">
        <w:rPr>
          <w:rFonts w:ascii="Arial" w:hAnsi="Arial" w:cs="Arial"/>
          <w:color w:val="000000"/>
          <w:lang w:val="es-ES"/>
        </w:rPr>
        <w:t xml:space="preserve"> </w:t>
      </w:r>
      <w:r w:rsidRPr="00E65C32">
        <w:rPr>
          <w:rFonts w:ascii="Arial" w:hAnsi="Arial" w:cs="Arial"/>
          <w:color w:val="000000"/>
        </w:rPr>
        <w:t xml:space="preserve">en el índice </w:t>
      </w:r>
      <w:r w:rsidRPr="00E65C32">
        <w:rPr>
          <w:rFonts w:ascii="Arial" w:hAnsi="Arial" w:cs="Arial"/>
          <w:color w:val="000000"/>
          <w:lang w:val="es-CO"/>
        </w:rPr>
        <w:t>11</w:t>
      </w:r>
      <w:r w:rsidRPr="00E65C32">
        <w:rPr>
          <w:rFonts w:ascii="Arial" w:hAnsi="Arial" w:cs="Arial"/>
          <w:color w:val="000000"/>
        </w:rPr>
        <w:t xml:space="preserve">, </w:t>
      </w:r>
      <w:r w:rsidRPr="00E65C32">
        <w:rPr>
          <w:rFonts w:ascii="Arial" w:hAnsi="Arial" w:cs="Arial"/>
          <w:color w:val="000000"/>
          <w:lang w:val="es-CO"/>
        </w:rPr>
        <w:t xml:space="preserve">en el </w:t>
      </w:r>
      <w:r w:rsidR="00873B11">
        <w:rPr>
          <w:rFonts w:ascii="Arial" w:hAnsi="Arial" w:cs="Arial"/>
          <w:color w:val="000000"/>
          <w:lang w:val="es-CO"/>
        </w:rPr>
        <w:t>vínculo</w:t>
      </w:r>
      <w:r w:rsidR="00873B11" w:rsidRPr="00E65C32">
        <w:rPr>
          <w:rFonts w:ascii="Arial" w:hAnsi="Arial" w:cs="Arial"/>
          <w:color w:val="000000"/>
          <w:lang w:val="es-CO"/>
        </w:rPr>
        <w:t xml:space="preserve"> </w:t>
      </w:r>
      <w:r w:rsidRPr="00E65C32">
        <w:rPr>
          <w:rFonts w:ascii="Arial" w:hAnsi="Arial" w:cs="Arial"/>
          <w:color w:val="000000"/>
          <w:lang w:val="es-CO"/>
        </w:rPr>
        <w:t>que aparece en el</w:t>
      </w:r>
      <w:r w:rsidRPr="00E65C32">
        <w:rPr>
          <w:rFonts w:ascii="Arial" w:hAnsi="Arial" w:cs="Arial"/>
          <w:color w:val="000000"/>
        </w:rPr>
        <w:t xml:space="preserve"> certificado</w:t>
      </w:r>
      <w:r w:rsidRPr="00E65C32">
        <w:rPr>
          <w:rFonts w:ascii="Arial" w:hAnsi="Arial" w:cs="Arial"/>
          <w:color w:val="000000"/>
          <w:lang w:val="es-CO"/>
        </w:rPr>
        <w:t xml:space="preserve"> B8D371463E17C1F6 B0C77371FF0F74AB F2969C0D6FB587F2 13700A77A1411459, documento “Cuaderno No. 2”, págs. 84 a 93.</w:t>
      </w:r>
    </w:p>
  </w:footnote>
  <w:footnote w:id="9">
    <w:p w14:paraId="41A2F4A6" w14:textId="77777777" w:rsidR="0072312C" w:rsidRPr="00E65C32" w:rsidRDefault="0072312C" w:rsidP="00473E9F">
      <w:pPr>
        <w:pStyle w:val="Textonotapie"/>
        <w:jc w:val="both"/>
        <w:rPr>
          <w:rFonts w:ascii="Arial" w:hAnsi="Arial" w:cs="Arial"/>
          <w:lang w:val="es-CO" w:eastAsia="zh-CN"/>
        </w:rPr>
      </w:pPr>
      <w:r w:rsidRPr="00E65C32">
        <w:rPr>
          <w:rStyle w:val="Refdenotaalpie"/>
          <w:rFonts w:ascii="Arial" w:hAnsi="Arial" w:cs="Arial"/>
        </w:rPr>
        <w:footnoteRef/>
      </w:r>
      <w:r w:rsidRPr="00E65C32">
        <w:rPr>
          <w:rFonts w:ascii="Arial" w:hAnsi="Arial" w:cs="Arial"/>
        </w:rPr>
        <w:t xml:space="preserve"> </w:t>
      </w:r>
      <w:r w:rsidRPr="00E65C32">
        <w:rPr>
          <w:rFonts w:ascii="Arial" w:hAnsi="Arial" w:cs="Arial"/>
          <w:color w:val="000000"/>
        </w:rPr>
        <w:t>Obra en SAMAI</w:t>
      </w:r>
      <w:r w:rsidRPr="00E65C32">
        <w:rPr>
          <w:rFonts w:ascii="Arial" w:hAnsi="Arial" w:cs="Arial"/>
          <w:color w:val="000000"/>
          <w:lang w:val="es-CO"/>
        </w:rPr>
        <w:t>,</w:t>
      </w:r>
      <w:r w:rsidRPr="00E65C32">
        <w:rPr>
          <w:rFonts w:ascii="Arial" w:hAnsi="Arial" w:cs="Arial"/>
          <w:color w:val="000000"/>
          <w:lang w:val="es-ES"/>
        </w:rPr>
        <w:t xml:space="preserve"> </w:t>
      </w:r>
      <w:r w:rsidRPr="00E65C32">
        <w:rPr>
          <w:rFonts w:ascii="Arial" w:hAnsi="Arial" w:cs="Arial"/>
          <w:color w:val="000000"/>
        </w:rPr>
        <w:t xml:space="preserve">en el índice </w:t>
      </w:r>
      <w:r w:rsidRPr="00E65C32">
        <w:rPr>
          <w:rFonts w:ascii="Arial" w:hAnsi="Arial" w:cs="Arial"/>
          <w:color w:val="000000"/>
          <w:lang w:val="es-CO"/>
        </w:rPr>
        <w:t>11</w:t>
      </w:r>
      <w:r w:rsidRPr="00E65C32">
        <w:rPr>
          <w:rFonts w:ascii="Arial" w:hAnsi="Arial" w:cs="Arial"/>
          <w:color w:val="000000"/>
        </w:rPr>
        <w:t xml:space="preserve">, </w:t>
      </w:r>
      <w:r w:rsidRPr="00E65C32">
        <w:rPr>
          <w:rFonts w:ascii="Arial" w:hAnsi="Arial" w:cs="Arial"/>
          <w:color w:val="000000"/>
          <w:lang w:val="es-CO"/>
        </w:rPr>
        <w:t xml:space="preserve">en el </w:t>
      </w:r>
      <w:r w:rsidR="00473E9F">
        <w:rPr>
          <w:rFonts w:ascii="Arial" w:hAnsi="Arial" w:cs="Arial"/>
          <w:color w:val="000000"/>
          <w:lang w:val="es-CO"/>
        </w:rPr>
        <w:t>vínculo</w:t>
      </w:r>
      <w:r w:rsidRPr="00E65C32">
        <w:rPr>
          <w:rFonts w:ascii="Arial" w:hAnsi="Arial" w:cs="Arial"/>
          <w:color w:val="000000"/>
          <w:lang w:val="es-CO"/>
        </w:rPr>
        <w:t xml:space="preserve"> que aparece en el</w:t>
      </w:r>
      <w:r w:rsidRPr="00E65C32">
        <w:rPr>
          <w:rFonts w:ascii="Arial" w:hAnsi="Arial" w:cs="Arial"/>
          <w:color w:val="000000"/>
        </w:rPr>
        <w:t xml:space="preserve"> certificado</w:t>
      </w:r>
      <w:r w:rsidRPr="00E65C32">
        <w:rPr>
          <w:rFonts w:ascii="Arial" w:hAnsi="Arial" w:cs="Arial"/>
          <w:color w:val="000000"/>
          <w:lang w:val="es-CO"/>
        </w:rPr>
        <w:t xml:space="preserve"> B8D371463E17C1F6 B0C77371FF0F74AB F2969C0D6FB587F2 13700A77A1411459, documento “Cuaderno Principal”, págs. 109 a 201.</w:t>
      </w:r>
    </w:p>
  </w:footnote>
  <w:footnote w:id="10">
    <w:p w14:paraId="23905F32" w14:textId="77777777" w:rsidR="0072312C" w:rsidRPr="00E65C32" w:rsidRDefault="0072312C" w:rsidP="00473E9F">
      <w:pPr>
        <w:pStyle w:val="Textonotapie"/>
        <w:jc w:val="both"/>
        <w:rPr>
          <w:rFonts w:ascii="Arial" w:hAnsi="Arial" w:cs="Arial"/>
          <w:lang w:val="es-CO" w:eastAsia="zh-CN"/>
        </w:rPr>
      </w:pPr>
      <w:r w:rsidRPr="00E65C32">
        <w:rPr>
          <w:rStyle w:val="Refdenotaalpie"/>
          <w:rFonts w:ascii="Arial" w:hAnsi="Arial" w:cs="Arial"/>
        </w:rPr>
        <w:footnoteRef/>
      </w:r>
      <w:r w:rsidRPr="00E65C32">
        <w:rPr>
          <w:rFonts w:ascii="Arial" w:hAnsi="Arial" w:cs="Arial"/>
        </w:rPr>
        <w:t xml:space="preserve"> </w:t>
      </w:r>
      <w:r w:rsidRPr="00E65C32">
        <w:rPr>
          <w:rFonts w:ascii="Arial" w:hAnsi="Arial" w:cs="Arial"/>
          <w:color w:val="000000"/>
        </w:rPr>
        <w:t>Obra en SAMAI</w:t>
      </w:r>
      <w:r w:rsidRPr="00E65C32">
        <w:rPr>
          <w:rFonts w:ascii="Arial" w:hAnsi="Arial" w:cs="Arial"/>
          <w:color w:val="000000"/>
          <w:lang w:val="es-CO"/>
        </w:rPr>
        <w:t>,</w:t>
      </w:r>
      <w:r w:rsidRPr="00E65C32">
        <w:rPr>
          <w:rFonts w:ascii="Arial" w:hAnsi="Arial" w:cs="Arial"/>
          <w:color w:val="000000"/>
          <w:lang w:val="es-ES"/>
        </w:rPr>
        <w:t xml:space="preserve"> </w:t>
      </w:r>
      <w:r w:rsidRPr="00E65C32">
        <w:rPr>
          <w:rFonts w:ascii="Arial" w:hAnsi="Arial" w:cs="Arial"/>
          <w:color w:val="000000"/>
        </w:rPr>
        <w:t xml:space="preserve">en el índice </w:t>
      </w:r>
      <w:r w:rsidRPr="00E65C32">
        <w:rPr>
          <w:rFonts w:ascii="Arial" w:hAnsi="Arial" w:cs="Arial"/>
          <w:color w:val="000000"/>
          <w:lang w:val="es-CO"/>
        </w:rPr>
        <w:t>11</w:t>
      </w:r>
      <w:r w:rsidRPr="00E65C32">
        <w:rPr>
          <w:rFonts w:ascii="Arial" w:hAnsi="Arial" w:cs="Arial"/>
          <w:color w:val="000000"/>
        </w:rPr>
        <w:t xml:space="preserve">, </w:t>
      </w:r>
      <w:r w:rsidRPr="00E65C32">
        <w:rPr>
          <w:rFonts w:ascii="Arial" w:hAnsi="Arial" w:cs="Arial"/>
          <w:color w:val="000000"/>
          <w:lang w:val="es-CO"/>
        </w:rPr>
        <w:t xml:space="preserve">en el </w:t>
      </w:r>
      <w:r w:rsidR="00473E9F">
        <w:rPr>
          <w:rFonts w:ascii="Arial" w:hAnsi="Arial" w:cs="Arial"/>
          <w:color w:val="000000"/>
          <w:lang w:val="es-CO"/>
        </w:rPr>
        <w:t>vínculo</w:t>
      </w:r>
      <w:r w:rsidRPr="00E65C32">
        <w:rPr>
          <w:rFonts w:ascii="Arial" w:hAnsi="Arial" w:cs="Arial"/>
          <w:color w:val="000000"/>
          <w:lang w:val="es-CO"/>
        </w:rPr>
        <w:t xml:space="preserve"> que aparece en el</w:t>
      </w:r>
      <w:r w:rsidRPr="00E65C32">
        <w:rPr>
          <w:rFonts w:ascii="Arial" w:hAnsi="Arial" w:cs="Arial"/>
          <w:color w:val="000000"/>
        </w:rPr>
        <w:t xml:space="preserve"> certificado</w:t>
      </w:r>
      <w:r w:rsidRPr="00E65C32">
        <w:rPr>
          <w:rFonts w:ascii="Arial" w:hAnsi="Arial" w:cs="Arial"/>
          <w:color w:val="000000"/>
          <w:lang w:val="es-CO"/>
        </w:rPr>
        <w:t xml:space="preserve"> B8D371463E17C1F6 B0C77371FF0F74AB F2969C0D6FB587F2 13700A77A1411459, documento “Cuaderno CE”, págs. 2 a 9.</w:t>
      </w:r>
    </w:p>
  </w:footnote>
  <w:footnote w:id="11">
    <w:p w14:paraId="74A0C14D" w14:textId="77777777" w:rsidR="00435E51" w:rsidRPr="00E65C32" w:rsidRDefault="00435E51" w:rsidP="00473E9F">
      <w:pPr>
        <w:pStyle w:val="Textonotapie"/>
        <w:jc w:val="both"/>
        <w:rPr>
          <w:rFonts w:ascii="Arial" w:hAnsi="Arial" w:cs="Arial"/>
          <w:lang w:val="es-CO" w:eastAsia="zh-CN"/>
        </w:rPr>
      </w:pPr>
      <w:r w:rsidRPr="00E65C32">
        <w:rPr>
          <w:rStyle w:val="Refdenotaalpie"/>
          <w:rFonts w:ascii="Arial" w:hAnsi="Arial" w:cs="Arial"/>
        </w:rPr>
        <w:footnoteRef/>
      </w:r>
      <w:r w:rsidRPr="00E65C32">
        <w:rPr>
          <w:rFonts w:ascii="Arial" w:hAnsi="Arial" w:cs="Arial"/>
        </w:rPr>
        <w:t xml:space="preserve"> </w:t>
      </w:r>
      <w:r w:rsidRPr="00E65C32">
        <w:rPr>
          <w:rFonts w:ascii="Arial" w:hAnsi="Arial" w:cs="Arial"/>
          <w:color w:val="000000"/>
        </w:rPr>
        <w:t>Obra en SAMAI</w:t>
      </w:r>
      <w:r w:rsidRPr="00E65C32">
        <w:rPr>
          <w:rFonts w:ascii="Arial" w:hAnsi="Arial" w:cs="Arial"/>
          <w:color w:val="000000"/>
          <w:lang w:val="es-CO"/>
        </w:rPr>
        <w:t>,</w:t>
      </w:r>
      <w:r w:rsidRPr="00E65C32">
        <w:rPr>
          <w:rFonts w:ascii="Arial" w:hAnsi="Arial" w:cs="Arial"/>
          <w:color w:val="000000"/>
          <w:lang w:val="es-ES"/>
        </w:rPr>
        <w:t xml:space="preserve"> </w:t>
      </w:r>
      <w:r w:rsidRPr="00E65C32">
        <w:rPr>
          <w:rFonts w:ascii="Arial" w:hAnsi="Arial" w:cs="Arial"/>
          <w:color w:val="000000"/>
        </w:rPr>
        <w:t xml:space="preserve">en el índice </w:t>
      </w:r>
      <w:r w:rsidRPr="00E65C32">
        <w:rPr>
          <w:rFonts w:ascii="Arial" w:hAnsi="Arial" w:cs="Arial"/>
          <w:color w:val="000000"/>
          <w:lang w:val="es-CO"/>
        </w:rPr>
        <w:t>11</w:t>
      </w:r>
      <w:r w:rsidRPr="00E65C32">
        <w:rPr>
          <w:rFonts w:ascii="Arial" w:hAnsi="Arial" w:cs="Arial"/>
          <w:color w:val="000000"/>
        </w:rPr>
        <w:t xml:space="preserve">, </w:t>
      </w:r>
      <w:r w:rsidRPr="00E65C32">
        <w:rPr>
          <w:rFonts w:ascii="Arial" w:hAnsi="Arial" w:cs="Arial"/>
          <w:color w:val="000000"/>
          <w:lang w:val="es-CO"/>
        </w:rPr>
        <w:t xml:space="preserve">en el </w:t>
      </w:r>
      <w:r w:rsidR="00473E9F">
        <w:rPr>
          <w:rFonts w:ascii="Arial" w:hAnsi="Arial" w:cs="Arial"/>
          <w:color w:val="000000"/>
          <w:lang w:val="es-CO"/>
        </w:rPr>
        <w:t>vínculo</w:t>
      </w:r>
      <w:r w:rsidRPr="00E65C32">
        <w:rPr>
          <w:rFonts w:ascii="Arial" w:hAnsi="Arial" w:cs="Arial"/>
          <w:color w:val="000000"/>
          <w:lang w:val="es-CO"/>
        </w:rPr>
        <w:t xml:space="preserve"> que aparece en el</w:t>
      </w:r>
      <w:r w:rsidRPr="00E65C32">
        <w:rPr>
          <w:rFonts w:ascii="Arial" w:hAnsi="Arial" w:cs="Arial"/>
          <w:color w:val="000000"/>
        </w:rPr>
        <w:t xml:space="preserve"> certificado</w:t>
      </w:r>
      <w:r w:rsidRPr="00E65C32">
        <w:rPr>
          <w:rFonts w:ascii="Arial" w:hAnsi="Arial" w:cs="Arial"/>
          <w:color w:val="000000"/>
          <w:lang w:val="es-CO"/>
        </w:rPr>
        <w:t xml:space="preserve"> B8D371463E17C1F6 B0C77371FF0F74AB F2969C0D6FB587F2 13700A77A1411459, documento “Cuaderno CE”, págs. 10 a 66.</w:t>
      </w:r>
    </w:p>
  </w:footnote>
  <w:footnote w:id="12">
    <w:p w14:paraId="56249365" w14:textId="77777777" w:rsidR="00FB40DB" w:rsidRPr="00E65C32" w:rsidRDefault="00FB40DB" w:rsidP="00473E9F">
      <w:pPr>
        <w:pStyle w:val="Textonotapie"/>
        <w:jc w:val="both"/>
        <w:rPr>
          <w:rFonts w:ascii="Arial" w:hAnsi="Arial" w:cs="Arial"/>
          <w:lang w:val="es-CO" w:eastAsia="zh-CN"/>
        </w:rPr>
      </w:pPr>
      <w:r w:rsidRPr="00E65C32">
        <w:rPr>
          <w:rStyle w:val="Refdenotaalpie"/>
          <w:rFonts w:ascii="Arial" w:hAnsi="Arial" w:cs="Arial"/>
        </w:rPr>
        <w:footnoteRef/>
      </w:r>
      <w:r w:rsidRPr="00E65C32">
        <w:rPr>
          <w:rFonts w:ascii="Arial" w:hAnsi="Arial" w:cs="Arial"/>
        </w:rPr>
        <w:t xml:space="preserve"> </w:t>
      </w:r>
      <w:r w:rsidRPr="00E65C32">
        <w:rPr>
          <w:rFonts w:ascii="Arial" w:hAnsi="Arial" w:cs="Arial"/>
          <w:color w:val="000000"/>
        </w:rPr>
        <w:t>Obra en SAMAI</w:t>
      </w:r>
      <w:r w:rsidRPr="00E65C32">
        <w:rPr>
          <w:rFonts w:ascii="Arial" w:hAnsi="Arial" w:cs="Arial"/>
          <w:color w:val="000000"/>
          <w:lang w:val="es-CO"/>
        </w:rPr>
        <w:t>,</w:t>
      </w:r>
      <w:r w:rsidRPr="00E65C32">
        <w:rPr>
          <w:rFonts w:ascii="Arial" w:hAnsi="Arial" w:cs="Arial"/>
          <w:color w:val="000000"/>
          <w:lang w:val="es-ES"/>
        </w:rPr>
        <w:t xml:space="preserve"> </w:t>
      </w:r>
      <w:r w:rsidRPr="00E65C32">
        <w:rPr>
          <w:rFonts w:ascii="Arial" w:hAnsi="Arial" w:cs="Arial"/>
          <w:color w:val="000000"/>
        </w:rPr>
        <w:t xml:space="preserve">en el índice </w:t>
      </w:r>
      <w:r w:rsidRPr="00E65C32">
        <w:rPr>
          <w:rFonts w:ascii="Arial" w:hAnsi="Arial" w:cs="Arial"/>
          <w:color w:val="000000"/>
          <w:lang w:val="es-CO"/>
        </w:rPr>
        <w:t>11</w:t>
      </w:r>
      <w:r w:rsidRPr="00E65C32">
        <w:rPr>
          <w:rFonts w:ascii="Arial" w:hAnsi="Arial" w:cs="Arial"/>
          <w:color w:val="000000"/>
        </w:rPr>
        <w:t xml:space="preserve">, </w:t>
      </w:r>
      <w:r w:rsidRPr="00E65C32">
        <w:rPr>
          <w:rFonts w:ascii="Arial" w:hAnsi="Arial" w:cs="Arial"/>
          <w:color w:val="000000"/>
          <w:lang w:val="es-CO"/>
        </w:rPr>
        <w:t xml:space="preserve">en el </w:t>
      </w:r>
      <w:r w:rsidR="00473E9F">
        <w:rPr>
          <w:rFonts w:ascii="Arial" w:hAnsi="Arial" w:cs="Arial"/>
          <w:color w:val="000000"/>
          <w:lang w:val="es-CO"/>
        </w:rPr>
        <w:t>vínculo</w:t>
      </w:r>
      <w:r w:rsidRPr="00E65C32">
        <w:rPr>
          <w:rFonts w:ascii="Arial" w:hAnsi="Arial" w:cs="Arial"/>
          <w:color w:val="000000"/>
          <w:lang w:val="es-CO"/>
        </w:rPr>
        <w:t xml:space="preserve"> que aparece en el</w:t>
      </w:r>
      <w:r w:rsidRPr="00E65C32">
        <w:rPr>
          <w:rFonts w:ascii="Arial" w:hAnsi="Arial" w:cs="Arial"/>
          <w:color w:val="000000"/>
        </w:rPr>
        <w:t xml:space="preserve"> certificado</w:t>
      </w:r>
      <w:r w:rsidRPr="00E65C32">
        <w:rPr>
          <w:rFonts w:ascii="Arial" w:hAnsi="Arial" w:cs="Arial"/>
          <w:color w:val="000000"/>
          <w:lang w:val="es-CO"/>
        </w:rPr>
        <w:t xml:space="preserve"> B8D371463E17C1F6 B0C77371FF0F74AB F2969C0D6FB587F2 13700A77A1411459, documento “Cuaderno CE”, págs. 254 a 266.</w:t>
      </w:r>
    </w:p>
  </w:footnote>
  <w:footnote w:id="13">
    <w:p w14:paraId="54375D3C" w14:textId="77777777" w:rsidR="00A563C8" w:rsidRPr="00127AD9" w:rsidRDefault="00A563C8" w:rsidP="00473E9F">
      <w:pPr>
        <w:pStyle w:val="Textonotapie"/>
        <w:jc w:val="both"/>
        <w:rPr>
          <w:rFonts w:ascii="Arial" w:hAnsi="Arial" w:cs="Arial"/>
          <w:lang w:eastAsia="zh-CN"/>
        </w:rPr>
      </w:pPr>
      <w:r w:rsidRPr="00E65C32">
        <w:rPr>
          <w:rStyle w:val="Refdenotaalpie"/>
          <w:rFonts w:ascii="Arial" w:hAnsi="Arial" w:cs="Arial"/>
        </w:rPr>
        <w:footnoteRef/>
      </w:r>
      <w:r w:rsidRPr="00E65C32">
        <w:rPr>
          <w:rFonts w:ascii="Arial" w:hAnsi="Arial" w:cs="Arial"/>
        </w:rPr>
        <w:t xml:space="preserve"> Consejo de Estado</w:t>
      </w:r>
      <w:r w:rsidRPr="00E65C32">
        <w:rPr>
          <w:rFonts w:ascii="Arial" w:hAnsi="Arial" w:cs="Arial"/>
          <w:lang w:val="es-CO"/>
        </w:rPr>
        <w:t xml:space="preserve">, </w:t>
      </w:r>
      <w:r w:rsidRPr="00E65C32">
        <w:rPr>
          <w:rFonts w:ascii="Arial" w:hAnsi="Arial" w:cs="Arial"/>
        </w:rPr>
        <w:t>Sección Tercera, C.P. Carlos Alberto Zambrano Barrera</w:t>
      </w:r>
      <w:r w:rsidRPr="00E65C32">
        <w:rPr>
          <w:rFonts w:ascii="Arial" w:hAnsi="Arial" w:cs="Arial"/>
          <w:lang w:val="es-CO"/>
        </w:rPr>
        <w:t xml:space="preserve">, </w:t>
      </w:r>
      <w:r w:rsidR="003C4516">
        <w:rPr>
          <w:rFonts w:ascii="Arial" w:hAnsi="Arial" w:cs="Arial"/>
          <w:lang w:val="es-CO"/>
        </w:rPr>
        <w:t>s</w:t>
      </w:r>
      <w:r w:rsidRPr="00E65C32">
        <w:rPr>
          <w:rFonts w:ascii="Arial" w:hAnsi="Arial" w:cs="Arial"/>
          <w:lang w:val="es-CO"/>
        </w:rPr>
        <w:t xml:space="preserve">entencia del </w:t>
      </w:r>
      <w:r w:rsidRPr="00E65C32">
        <w:rPr>
          <w:rFonts w:ascii="Arial" w:hAnsi="Arial" w:cs="Arial"/>
        </w:rPr>
        <w:t>6 de julio de 2017</w:t>
      </w:r>
      <w:r w:rsidRPr="00E65C32">
        <w:rPr>
          <w:rFonts w:ascii="Arial" w:hAnsi="Arial" w:cs="Arial"/>
          <w:lang w:val="es-CO"/>
        </w:rPr>
        <w:t>,</w:t>
      </w:r>
      <w:r w:rsidRPr="00E65C32">
        <w:rPr>
          <w:rFonts w:ascii="Arial" w:hAnsi="Arial" w:cs="Arial"/>
        </w:rPr>
        <w:t xml:space="preserve"> Exp. No. 36.199</w:t>
      </w:r>
      <w:r w:rsidRPr="00E65C32">
        <w:rPr>
          <w:rFonts w:ascii="Arial" w:hAnsi="Arial" w:cs="Arial"/>
          <w:lang w:val="es-CO"/>
        </w:rPr>
        <w:t>; C.P.</w:t>
      </w:r>
      <w:r w:rsidRPr="00E65C32">
        <w:rPr>
          <w:rFonts w:ascii="Arial" w:hAnsi="Arial" w:cs="Arial"/>
        </w:rPr>
        <w:t xml:space="preserve"> Jaime Orlando Santofimio Gamboa</w:t>
      </w:r>
      <w:r w:rsidRPr="00E65C32">
        <w:rPr>
          <w:rFonts w:ascii="Arial" w:hAnsi="Arial" w:cs="Arial"/>
          <w:lang w:val="es-CO"/>
        </w:rPr>
        <w:t>, sentencia del</w:t>
      </w:r>
      <w:r w:rsidRPr="00E65C32">
        <w:rPr>
          <w:rFonts w:ascii="Arial" w:hAnsi="Arial" w:cs="Arial"/>
        </w:rPr>
        <w:t xml:space="preserve"> 26 de noviembre de 2015</w:t>
      </w:r>
      <w:r w:rsidRPr="00E65C32">
        <w:rPr>
          <w:rFonts w:ascii="Arial" w:hAnsi="Arial" w:cs="Arial"/>
          <w:lang w:val="es-CO"/>
        </w:rPr>
        <w:t>,</w:t>
      </w:r>
      <w:r w:rsidRPr="00E65C32">
        <w:rPr>
          <w:rFonts w:ascii="Arial" w:hAnsi="Arial" w:cs="Arial"/>
        </w:rPr>
        <w:t xml:space="preserve"> Exp. No.</w:t>
      </w:r>
      <w:r w:rsidRPr="00E65C32">
        <w:rPr>
          <w:rFonts w:ascii="Arial" w:hAnsi="Arial" w:cs="Arial"/>
          <w:lang w:val="es-CO"/>
        </w:rPr>
        <w:t xml:space="preserve"> </w:t>
      </w:r>
      <w:r w:rsidRPr="00E65C32">
        <w:rPr>
          <w:rFonts w:ascii="Arial" w:hAnsi="Arial" w:cs="Arial"/>
        </w:rPr>
        <w:t>53.877</w:t>
      </w:r>
      <w:r w:rsidRPr="00E65C32">
        <w:rPr>
          <w:rFonts w:ascii="Arial" w:hAnsi="Arial" w:cs="Arial"/>
          <w:lang w:val="es-CO"/>
        </w:rPr>
        <w:t xml:space="preserve">; C.P. </w:t>
      </w:r>
      <w:r w:rsidRPr="00E65C32">
        <w:rPr>
          <w:rFonts w:ascii="Arial" w:hAnsi="Arial" w:cs="Arial"/>
        </w:rPr>
        <w:t>Jaime Orlando Santofimio Gamboa</w:t>
      </w:r>
      <w:r w:rsidRPr="00E65C32">
        <w:rPr>
          <w:rFonts w:ascii="Arial" w:hAnsi="Arial" w:cs="Arial"/>
          <w:lang w:val="es-CO"/>
        </w:rPr>
        <w:t xml:space="preserve">, </w:t>
      </w:r>
      <w:r w:rsidR="003C4516">
        <w:rPr>
          <w:rFonts w:ascii="Arial" w:hAnsi="Arial" w:cs="Arial"/>
          <w:lang w:val="es-CO"/>
        </w:rPr>
        <w:t>s</w:t>
      </w:r>
      <w:r w:rsidRPr="00E65C32">
        <w:rPr>
          <w:rFonts w:ascii="Arial" w:hAnsi="Arial" w:cs="Arial"/>
          <w:lang w:val="es-CO"/>
        </w:rPr>
        <w:t>entencia del</w:t>
      </w:r>
      <w:r w:rsidRPr="00E65C32">
        <w:rPr>
          <w:rFonts w:ascii="Arial" w:hAnsi="Arial" w:cs="Arial"/>
        </w:rPr>
        <w:t xml:space="preserve"> 26 de noviembre de 2015</w:t>
      </w:r>
      <w:r w:rsidRPr="00E65C32">
        <w:rPr>
          <w:rFonts w:ascii="Arial" w:hAnsi="Arial" w:cs="Arial"/>
          <w:lang w:val="es-CO"/>
        </w:rPr>
        <w:t>,</w:t>
      </w:r>
      <w:r w:rsidRPr="00E65C32">
        <w:rPr>
          <w:rFonts w:ascii="Arial" w:hAnsi="Arial" w:cs="Arial"/>
        </w:rPr>
        <w:t xml:space="preserve"> Exp. No.</w:t>
      </w:r>
      <w:r w:rsidRPr="00E65C32">
        <w:rPr>
          <w:rFonts w:ascii="Arial" w:hAnsi="Arial" w:cs="Arial"/>
          <w:lang w:val="es-CO"/>
        </w:rPr>
        <w:t xml:space="preserve"> </w:t>
      </w:r>
      <w:r w:rsidRPr="00E65C32">
        <w:rPr>
          <w:rFonts w:ascii="Arial" w:hAnsi="Arial" w:cs="Arial"/>
        </w:rPr>
        <w:t>48.892</w:t>
      </w:r>
      <w:r w:rsidRPr="00E65C32">
        <w:rPr>
          <w:rFonts w:ascii="Arial" w:hAnsi="Arial" w:cs="Arial"/>
          <w:lang w:val="es-CO"/>
        </w:rPr>
        <w:t>; C.P.</w:t>
      </w:r>
      <w:r w:rsidRPr="00E65C32">
        <w:rPr>
          <w:rFonts w:ascii="Arial" w:hAnsi="Arial" w:cs="Arial"/>
        </w:rPr>
        <w:t xml:space="preserve"> Danilo Rojas Betancourth</w:t>
      </w:r>
      <w:r w:rsidRPr="00E65C32">
        <w:rPr>
          <w:rFonts w:ascii="Arial" w:hAnsi="Arial" w:cs="Arial"/>
          <w:lang w:val="es-CO"/>
        </w:rPr>
        <w:t xml:space="preserve">, </w:t>
      </w:r>
      <w:r w:rsidR="003C4516">
        <w:rPr>
          <w:rFonts w:ascii="Arial" w:hAnsi="Arial" w:cs="Arial"/>
          <w:lang w:val="es-CO"/>
        </w:rPr>
        <w:t>s</w:t>
      </w:r>
      <w:r w:rsidRPr="00E65C32">
        <w:rPr>
          <w:rFonts w:ascii="Arial" w:hAnsi="Arial" w:cs="Arial"/>
          <w:lang w:val="es-CO"/>
        </w:rPr>
        <w:t>entencia del</w:t>
      </w:r>
      <w:r w:rsidRPr="00E65C32">
        <w:rPr>
          <w:rFonts w:ascii="Arial" w:hAnsi="Arial" w:cs="Arial"/>
        </w:rPr>
        <w:t xml:space="preserve"> 6 de diciembre de 2013</w:t>
      </w:r>
      <w:r w:rsidRPr="00E65C32">
        <w:rPr>
          <w:rFonts w:ascii="Arial" w:hAnsi="Arial" w:cs="Arial"/>
          <w:lang w:val="es-CO"/>
        </w:rPr>
        <w:t>,</w:t>
      </w:r>
      <w:r w:rsidRPr="00E65C32">
        <w:rPr>
          <w:rFonts w:ascii="Arial" w:hAnsi="Arial" w:cs="Arial"/>
        </w:rPr>
        <w:t xml:space="preserve"> Exp. No. 27.593</w:t>
      </w:r>
      <w:r w:rsidRPr="00E65C32">
        <w:rPr>
          <w:rFonts w:ascii="Arial" w:hAnsi="Arial" w:cs="Arial"/>
          <w:lang w:val="es-CO"/>
        </w:rPr>
        <w:t>.</w:t>
      </w:r>
    </w:p>
  </w:footnote>
  <w:footnote w:id="14">
    <w:p w14:paraId="6B00B4F0" w14:textId="77777777" w:rsidR="00A563C8" w:rsidRPr="00E65C32" w:rsidRDefault="00A563C8" w:rsidP="00473E9F">
      <w:pPr>
        <w:pStyle w:val="Textonotapie"/>
        <w:jc w:val="both"/>
        <w:rPr>
          <w:rFonts w:ascii="Arial" w:hAnsi="Arial" w:cs="Arial"/>
          <w:color w:val="000000"/>
          <w:highlight w:val="yellow"/>
          <w:lang w:val="es-CO" w:eastAsia="zh-CN"/>
        </w:rPr>
      </w:pPr>
      <w:r w:rsidRPr="00E65C32">
        <w:rPr>
          <w:rStyle w:val="Refdenotaalpie"/>
          <w:rFonts w:ascii="Arial" w:hAnsi="Arial" w:cs="Arial"/>
          <w:color w:val="000000"/>
        </w:rPr>
        <w:footnoteRef/>
      </w:r>
      <w:r w:rsidRPr="00E65C32">
        <w:rPr>
          <w:rFonts w:ascii="Arial" w:hAnsi="Arial" w:cs="Arial"/>
          <w:color w:val="000000"/>
        </w:rPr>
        <w:t xml:space="preserve"> Obra en SAMAI</w:t>
      </w:r>
      <w:r w:rsidRPr="00E65C32">
        <w:rPr>
          <w:rFonts w:ascii="Arial" w:hAnsi="Arial" w:cs="Arial"/>
          <w:color w:val="000000"/>
          <w:lang w:val="es-CO"/>
        </w:rPr>
        <w:t>,</w:t>
      </w:r>
      <w:r w:rsidRPr="00E65C32">
        <w:rPr>
          <w:rFonts w:ascii="Arial" w:hAnsi="Arial" w:cs="Arial"/>
          <w:color w:val="000000"/>
          <w:lang w:val="es-ES"/>
        </w:rPr>
        <w:t xml:space="preserve"> </w:t>
      </w:r>
      <w:r w:rsidRPr="00E65C32">
        <w:rPr>
          <w:rFonts w:ascii="Arial" w:hAnsi="Arial" w:cs="Arial"/>
          <w:color w:val="000000"/>
        </w:rPr>
        <w:t xml:space="preserve">en el índice </w:t>
      </w:r>
      <w:r w:rsidRPr="00E65C32">
        <w:rPr>
          <w:rFonts w:ascii="Arial" w:hAnsi="Arial" w:cs="Arial"/>
          <w:color w:val="000000"/>
          <w:lang w:val="es-CO"/>
        </w:rPr>
        <w:t>4</w:t>
      </w:r>
      <w:r w:rsidRPr="00E65C32">
        <w:rPr>
          <w:rFonts w:ascii="Arial" w:hAnsi="Arial" w:cs="Arial"/>
          <w:color w:val="000000"/>
        </w:rPr>
        <w:t xml:space="preserve">, con certificado </w:t>
      </w:r>
      <w:r w:rsidRPr="00E65C32">
        <w:rPr>
          <w:rFonts w:ascii="Arial" w:hAnsi="Arial" w:cs="Arial"/>
          <w:color w:val="000000"/>
          <w:lang w:val="es-ES"/>
        </w:rPr>
        <w:t>4E3C1C56E899EF6E FAEECC9CE0440264 445314FF3002A81D 92512F3F1004B9E0.</w:t>
      </w:r>
    </w:p>
  </w:footnote>
  <w:footnote w:id="15">
    <w:p w14:paraId="152A5BD8" w14:textId="77777777" w:rsidR="00A563C8" w:rsidRPr="00E65C32" w:rsidRDefault="00A563C8" w:rsidP="00473E9F">
      <w:pPr>
        <w:pStyle w:val="Textonotapie"/>
        <w:jc w:val="both"/>
        <w:rPr>
          <w:rFonts w:ascii="Arial" w:hAnsi="Arial" w:cs="Arial"/>
          <w:color w:val="000000"/>
          <w:lang w:val="es-CO" w:eastAsia="zh-CN"/>
        </w:rPr>
      </w:pPr>
      <w:r w:rsidRPr="00E65C32">
        <w:rPr>
          <w:rStyle w:val="Refdenotaalpie"/>
          <w:rFonts w:ascii="Arial" w:hAnsi="Arial" w:cs="Arial"/>
          <w:color w:val="000000"/>
        </w:rPr>
        <w:footnoteRef/>
      </w:r>
      <w:r w:rsidRPr="00E65C32">
        <w:rPr>
          <w:rFonts w:ascii="Arial" w:hAnsi="Arial" w:cs="Arial"/>
          <w:color w:val="000000"/>
        </w:rPr>
        <w:t xml:space="preserve"> Obra en SAMAI</w:t>
      </w:r>
      <w:r w:rsidRPr="00E65C32">
        <w:rPr>
          <w:rFonts w:ascii="Arial" w:hAnsi="Arial" w:cs="Arial"/>
          <w:color w:val="000000"/>
          <w:lang w:val="es-CO"/>
        </w:rPr>
        <w:t>,</w:t>
      </w:r>
      <w:r w:rsidRPr="00E65C32">
        <w:rPr>
          <w:rFonts w:ascii="Arial" w:hAnsi="Arial" w:cs="Arial"/>
          <w:color w:val="000000"/>
          <w:lang w:val="es-ES"/>
        </w:rPr>
        <w:t xml:space="preserve"> </w:t>
      </w:r>
      <w:r w:rsidRPr="00E65C32">
        <w:rPr>
          <w:rFonts w:ascii="Arial" w:hAnsi="Arial" w:cs="Arial"/>
          <w:color w:val="000000"/>
        </w:rPr>
        <w:t xml:space="preserve">en el índice </w:t>
      </w:r>
      <w:r w:rsidRPr="00E65C32">
        <w:rPr>
          <w:rFonts w:ascii="Arial" w:hAnsi="Arial" w:cs="Arial"/>
          <w:color w:val="000000"/>
          <w:lang w:val="es-CO"/>
        </w:rPr>
        <w:t>9</w:t>
      </w:r>
      <w:r w:rsidRPr="00E65C32">
        <w:rPr>
          <w:rFonts w:ascii="Arial" w:hAnsi="Arial" w:cs="Arial"/>
          <w:color w:val="000000"/>
        </w:rPr>
        <w:t>, con</w:t>
      </w:r>
      <w:r w:rsidRPr="00E65C32">
        <w:rPr>
          <w:rFonts w:ascii="Arial" w:hAnsi="Arial" w:cs="Arial"/>
          <w:color w:val="000000"/>
          <w:lang w:val="es-CO"/>
        </w:rPr>
        <w:t xml:space="preserve"> certificado 4B9451730997D462 DDF29EC2DD1727C4 E53E2E8B8000DBC1 2F537A71D6236D15.</w:t>
      </w:r>
    </w:p>
  </w:footnote>
  <w:footnote w:id="16">
    <w:p w14:paraId="15121C4D" w14:textId="77777777" w:rsidR="00A563C8" w:rsidRPr="00E65C32" w:rsidRDefault="00A563C8" w:rsidP="00473E9F">
      <w:pPr>
        <w:pStyle w:val="Textonotapie"/>
        <w:jc w:val="both"/>
        <w:rPr>
          <w:rFonts w:ascii="Arial" w:hAnsi="Arial" w:cs="Arial"/>
          <w:lang w:val="es-CO" w:eastAsia="zh-CN"/>
        </w:rPr>
      </w:pPr>
      <w:r w:rsidRPr="00E65C32">
        <w:rPr>
          <w:rStyle w:val="Refdenotaalpie"/>
          <w:rFonts w:ascii="Arial" w:hAnsi="Arial" w:cs="Arial"/>
        </w:rPr>
        <w:footnoteRef/>
      </w:r>
      <w:r w:rsidRPr="00E65C32">
        <w:rPr>
          <w:rFonts w:ascii="Arial" w:hAnsi="Arial" w:cs="Arial"/>
        </w:rPr>
        <w:t xml:space="preserve"> </w:t>
      </w:r>
      <w:r w:rsidRPr="00E65C32">
        <w:rPr>
          <w:rFonts w:ascii="Arial" w:hAnsi="Arial" w:cs="Arial"/>
          <w:color w:val="000000"/>
        </w:rPr>
        <w:t>Obra en SAMAI</w:t>
      </w:r>
      <w:r w:rsidRPr="00E65C32">
        <w:rPr>
          <w:rFonts w:ascii="Arial" w:hAnsi="Arial" w:cs="Arial"/>
          <w:color w:val="000000"/>
          <w:lang w:val="es-CO"/>
        </w:rPr>
        <w:t>,</w:t>
      </w:r>
      <w:r w:rsidRPr="00E65C32">
        <w:rPr>
          <w:rFonts w:ascii="Arial" w:hAnsi="Arial" w:cs="Arial"/>
          <w:color w:val="000000"/>
          <w:lang w:val="es-ES"/>
        </w:rPr>
        <w:t xml:space="preserve"> </w:t>
      </w:r>
      <w:r w:rsidRPr="00E65C32">
        <w:rPr>
          <w:rFonts w:ascii="Arial" w:hAnsi="Arial" w:cs="Arial"/>
          <w:color w:val="000000"/>
        </w:rPr>
        <w:t xml:space="preserve">en el índice </w:t>
      </w:r>
      <w:r w:rsidRPr="00E65C32">
        <w:rPr>
          <w:rFonts w:ascii="Arial" w:hAnsi="Arial" w:cs="Arial"/>
          <w:color w:val="000000"/>
          <w:lang w:val="es-CO"/>
        </w:rPr>
        <w:t>11</w:t>
      </w:r>
      <w:r w:rsidRPr="00E65C32">
        <w:rPr>
          <w:rFonts w:ascii="Arial" w:hAnsi="Arial" w:cs="Arial"/>
          <w:color w:val="000000"/>
        </w:rPr>
        <w:t>, con</w:t>
      </w:r>
      <w:r w:rsidRPr="00E65C32">
        <w:rPr>
          <w:rFonts w:ascii="Arial" w:hAnsi="Arial" w:cs="Arial"/>
          <w:color w:val="000000"/>
          <w:lang w:val="es-CO"/>
        </w:rPr>
        <w:t xml:space="preserve"> certificado F3A06F407A8E6CD0 6E5C07D70825F494 E02CB70229DDF90A CCE11ED60B35C308.</w:t>
      </w:r>
    </w:p>
  </w:footnote>
  <w:footnote w:id="17">
    <w:p w14:paraId="72D47D9A" w14:textId="77777777" w:rsidR="00A563C8" w:rsidRPr="00E65C32" w:rsidRDefault="00A563C8" w:rsidP="00473E9F">
      <w:pPr>
        <w:spacing w:after="0" w:line="240" w:lineRule="auto"/>
        <w:contextualSpacing/>
        <w:jc w:val="both"/>
        <w:rPr>
          <w:rFonts w:ascii="Arial" w:hAnsi="Arial" w:cs="Arial"/>
          <w:color w:val="000000"/>
          <w:sz w:val="20"/>
          <w:szCs w:val="20"/>
        </w:rPr>
      </w:pPr>
      <w:r w:rsidRPr="00E65C32">
        <w:rPr>
          <w:rStyle w:val="Refdenotaalpie"/>
          <w:rFonts w:ascii="Arial" w:hAnsi="Arial" w:cs="Arial"/>
          <w:color w:val="000000"/>
          <w:sz w:val="20"/>
          <w:szCs w:val="20"/>
        </w:rPr>
        <w:footnoteRef/>
      </w:r>
      <w:r w:rsidRPr="00E65C32">
        <w:rPr>
          <w:rFonts w:ascii="Arial" w:hAnsi="Arial" w:cs="Arial"/>
          <w:color w:val="000000"/>
          <w:sz w:val="20"/>
          <w:szCs w:val="20"/>
        </w:rPr>
        <w:t xml:space="preserve"> De acuerdo con la sentencia C-590 de 2005, la tutela en contra de providencia judicial está sujeta al cumplimiento de los siguientes requisitos generales de procedibilidad: que </w:t>
      </w:r>
      <w:r w:rsidRPr="00E65C32">
        <w:rPr>
          <w:rFonts w:ascii="Arial" w:hAnsi="Arial" w:cs="Arial"/>
          <w:color w:val="000000"/>
          <w:sz w:val="20"/>
          <w:szCs w:val="20"/>
          <w:lang w:eastAsia="es-CO"/>
        </w:rPr>
        <w:t>el asunto sometido a estudio del juez de tutela tenga relevancia constitucional; que el actor haya agotado los recursos judiciales ordinarios y extraordinarios antes de acudir al juez de tutela; que la petición cumpla con el requisito de inmediatez</w:t>
      </w:r>
      <w:r w:rsidRPr="00E65C32">
        <w:rPr>
          <w:rFonts w:ascii="Arial" w:eastAsia="MS Mincho" w:hAnsi="Arial" w:cs="Arial"/>
          <w:color w:val="000000"/>
          <w:sz w:val="20"/>
          <w:szCs w:val="20"/>
          <w:lang w:eastAsia="es-CO"/>
        </w:rPr>
        <w:t xml:space="preserve">; </w:t>
      </w:r>
      <w:r w:rsidRPr="00E65C32">
        <w:rPr>
          <w:rFonts w:ascii="Arial" w:hAnsi="Arial" w:cs="Arial"/>
          <w:color w:val="000000"/>
          <w:sz w:val="20"/>
          <w:szCs w:val="20"/>
          <w:lang w:eastAsia="es-CO"/>
        </w:rPr>
        <w:t>que en el evento de fundamentarse la solicitud en una irregularidad procesal, esta tenga incidencia directa en la decisión de fondo que se estima violatoria de los derechos fundamentales; que se identifiquen en forma razonable los hechos que generan la vulneración de los derechos y, de ser posible, hayan sido cuestionados al interior del proceso y; que el fallo censurado no sea de tutela.</w:t>
      </w:r>
    </w:p>
  </w:footnote>
  <w:footnote w:id="18">
    <w:p w14:paraId="5CE36FA9" w14:textId="77777777" w:rsidR="00A563C8" w:rsidRPr="00E65C32" w:rsidRDefault="00A563C8" w:rsidP="00473E9F">
      <w:pPr>
        <w:spacing w:after="0" w:line="240" w:lineRule="auto"/>
        <w:contextualSpacing/>
        <w:jc w:val="both"/>
        <w:rPr>
          <w:rFonts w:ascii="Arial" w:eastAsia="Verdana" w:hAnsi="Arial" w:cs="Arial"/>
          <w:color w:val="000000"/>
          <w:sz w:val="20"/>
          <w:szCs w:val="20"/>
        </w:rPr>
      </w:pPr>
      <w:r w:rsidRPr="00E65C32">
        <w:rPr>
          <w:rStyle w:val="Refdenotaalpie"/>
          <w:rFonts w:ascii="Arial" w:hAnsi="Arial" w:cs="Arial"/>
          <w:color w:val="000000"/>
          <w:sz w:val="20"/>
          <w:szCs w:val="20"/>
        </w:rPr>
        <w:footnoteRef/>
      </w:r>
      <w:r w:rsidRPr="00E65C32">
        <w:rPr>
          <w:rFonts w:ascii="Arial" w:hAnsi="Arial" w:cs="Arial"/>
          <w:color w:val="000000"/>
          <w:sz w:val="20"/>
          <w:szCs w:val="20"/>
        </w:rPr>
        <w:t xml:space="preserve"> Los requisitos específicos, también conocidos como defectos, son: d</w:t>
      </w:r>
      <w:r w:rsidRPr="00E65C32">
        <w:rPr>
          <w:rFonts w:ascii="Arial" w:eastAsia="Verdana" w:hAnsi="Arial" w:cs="Arial"/>
          <w:color w:val="000000"/>
          <w:sz w:val="20"/>
          <w:szCs w:val="20"/>
        </w:rPr>
        <w:t xml:space="preserve">efecto orgánico; defecto procedimental; defecto fáctico; defecto material o sustantivo; defecto por error inducido; defecto por falta de motivación; defecto por desconocimiento del precedente; y defecto por violación directa de la Constitución. </w:t>
      </w:r>
    </w:p>
  </w:footnote>
  <w:footnote w:id="19">
    <w:p w14:paraId="1C3F83D5" w14:textId="77777777" w:rsidR="00A563C8" w:rsidRPr="00E65C32" w:rsidRDefault="00A563C8" w:rsidP="00473E9F">
      <w:pPr>
        <w:pStyle w:val="Sinespaciado"/>
        <w:ind w:right="51"/>
        <w:jc w:val="both"/>
        <w:rPr>
          <w:rFonts w:ascii="Arial" w:hAnsi="Arial" w:cs="Arial"/>
          <w:color w:val="000000"/>
          <w:sz w:val="20"/>
          <w:szCs w:val="20"/>
        </w:rPr>
      </w:pPr>
      <w:r w:rsidRPr="00E65C32">
        <w:rPr>
          <w:rStyle w:val="Refdenotaalpie"/>
          <w:rFonts w:ascii="Arial" w:hAnsi="Arial" w:cs="Arial"/>
          <w:color w:val="000000"/>
          <w:sz w:val="20"/>
          <w:szCs w:val="20"/>
        </w:rPr>
        <w:footnoteRef/>
      </w:r>
      <w:r w:rsidRPr="00E65C32">
        <w:rPr>
          <w:rFonts w:ascii="Arial" w:hAnsi="Arial" w:cs="Arial"/>
          <w:color w:val="000000"/>
          <w:sz w:val="20"/>
          <w:szCs w:val="20"/>
        </w:rPr>
        <w:t xml:space="preserve"> Corte Constitucional, sentencia C-590 de 2005.</w:t>
      </w:r>
    </w:p>
  </w:footnote>
  <w:footnote w:id="20">
    <w:p w14:paraId="4BB14943" w14:textId="77777777" w:rsidR="00A563C8" w:rsidRPr="00E65C32" w:rsidRDefault="00A563C8" w:rsidP="00473E9F">
      <w:pPr>
        <w:pStyle w:val="Sinespaciado"/>
        <w:ind w:right="51"/>
        <w:jc w:val="both"/>
        <w:rPr>
          <w:rFonts w:ascii="Arial" w:hAnsi="Arial" w:cs="Arial"/>
          <w:color w:val="000000"/>
          <w:sz w:val="20"/>
          <w:szCs w:val="20"/>
        </w:rPr>
      </w:pPr>
      <w:r w:rsidRPr="00E65C32">
        <w:rPr>
          <w:rFonts w:ascii="Arial" w:hAnsi="Arial" w:cs="Arial"/>
          <w:color w:val="000000"/>
          <w:sz w:val="20"/>
          <w:szCs w:val="20"/>
          <w:vertAlign w:val="superscript"/>
        </w:rPr>
        <w:footnoteRef/>
      </w:r>
      <w:r w:rsidRPr="00E65C32">
        <w:rPr>
          <w:rFonts w:ascii="Arial" w:hAnsi="Arial" w:cs="Arial"/>
          <w:color w:val="000000"/>
          <w:sz w:val="20"/>
          <w:szCs w:val="20"/>
        </w:rPr>
        <w:t xml:space="preserve"> Sentencia del 05 de agosto de 2014, radicado No. 11001-03-15-000-2012-02201-01 (IJ). </w:t>
      </w:r>
    </w:p>
  </w:footnote>
  <w:footnote w:id="21">
    <w:p w14:paraId="6B5462BC" w14:textId="77777777" w:rsidR="00A563C8" w:rsidRPr="00E65C32" w:rsidRDefault="00A563C8" w:rsidP="00473E9F">
      <w:pPr>
        <w:pStyle w:val="Textonotapie"/>
        <w:jc w:val="both"/>
        <w:rPr>
          <w:rFonts w:ascii="Arial" w:hAnsi="Arial" w:cs="Arial"/>
          <w:color w:val="000000"/>
          <w:lang w:val="es-CO" w:eastAsia="zh-CN"/>
        </w:rPr>
      </w:pPr>
      <w:r w:rsidRPr="00E65C32">
        <w:rPr>
          <w:rStyle w:val="Refdenotaalpie"/>
          <w:rFonts w:ascii="Arial" w:hAnsi="Arial" w:cs="Arial"/>
        </w:rPr>
        <w:footnoteRef/>
      </w:r>
      <w:r w:rsidRPr="00E65C32">
        <w:rPr>
          <w:rFonts w:ascii="Arial" w:hAnsi="Arial" w:cs="Arial"/>
        </w:rPr>
        <w:t xml:space="preserve"> </w:t>
      </w:r>
      <w:r w:rsidR="00B64294" w:rsidRPr="00E65C32">
        <w:rPr>
          <w:rFonts w:ascii="Arial" w:hAnsi="Arial" w:cs="Arial"/>
          <w:color w:val="000000"/>
        </w:rPr>
        <w:t>Obra en SAMAI, en el índice 2, con certificado 4A556AFCA0E2DB22 1D05E1753001EE52 47DBCF4ECE520DAA 6E548AF5B2286F11</w:t>
      </w:r>
      <w:r w:rsidR="00B64294" w:rsidRPr="00E65C32">
        <w:rPr>
          <w:rFonts w:ascii="Arial" w:hAnsi="Arial" w:cs="Arial"/>
          <w:color w:val="000000"/>
          <w:lang w:val="es-CO"/>
        </w:rPr>
        <w:t>,</w:t>
      </w:r>
      <w:r w:rsidR="00A60751" w:rsidRPr="00E65C32">
        <w:rPr>
          <w:rFonts w:ascii="Arial" w:hAnsi="Arial" w:cs="Arial"/>
          <w:lang w:val="es-CO"/>
        </w:rPr>
        <w:t xml:space="preserve"> </w:t>
      </w:r>
      <w:r w:rsidR="00473E9F" w:rsidRPr="00E65C32">
        <w:rPr>
          <w:rFonts w:ascii="Arial" w:hAnsi="Arial" w:cs="Arial"/>
          <w:color w:val="000000"/>
          <w:lang w:val="es-CO"/>
        </w:rPr>
        <w:t xml:space="preserve">pág. </w:t>
      </w:r>
      <w:r w:rsidR="00473E9F">
        <w:rPr>
          <w:rFonts w:ascii="Arial" w:hAnsi="Arial" w:cs="Arial"/>
          <w:color w:val="000000"/>
          <w:lang w:val="es-CO"/>
        </w:rPr>
        <w:t>5.</w:t>
      </w:r>
    </w:p>
  </w:footnote>
  <w:footnote w:id="22">
    <w:p w14:paraId="1F5CA682" w14:textId="77777777" w:rsidR="00CE4262" w:rsidRPr="00E65C32" w:rsidRDefault="00CE4262" w:rsidP="00473E9F">
      <w:pPr>
        <w:pStyle w:val="Textonotapie"/>
        <w:jc w:val="both"/>
        <w:rPr>
          <w:rFonts w:ascii="Arial" w:hAnsi="Arial" w:cs="Arial"/>
          <w:lang w:val="es-CO" w:eastAsia="zh-CN"/>
        </w:rPr>
      </w:pPr>
      <w:r w:rsidRPr="00E65C32">
        <w:rPr>
          <w:rStyle w:val="Refdenotaalpie"/>
          <w:rFonts w:ascii="Arial" w:hAnsi="Arial" w:cs="Arial"/>
        </w:rPr>
        <w:footnoteRef/>
      </w:r>
      <w:r w:rsidRPr="00E65C32">
        <w:rPr>
          <w:rFonts w:ascii="Arial" w:hAnsi="Arial" w:cs="Arial"/>
        </w:rPr>
        <w:t xml:space="preserve"> </w:t>
      </w:r>
      <w:r w:rsidR="00B64294" w:rsidRPr="00E65C32">
        <w:rPr>
          <w:rFonts w:ascii="Arial" w:hAnsi="Arial" w:cs="Arial"/>
          <w:color w:val="000000"/>
        </w:rPr>
        <w:t>Obra en SAMAI, en el índice 2, con certificado 37598975D2F56AEA D99A1641614A9A4E BB8BC21D1FC61760 DDBFA7AC8D7B4E26</w:t>
      </w:r>
      <w:r w:rsidR="00B64294" w:rsidRPr="00E65C32">
        <w:rPr>
          <w:rFonts w:ascii="Arial" w:hAnsi="Arial" w:cs="Arial"/>
          <w:color w:val="000000"/>
          <w:lang w:val="es-CO"/>
        </w:rPr>
        <w:t>,</w:t>
      </w:r>
      <w:r w:rsidR="00B64294" w:rsidRPr="00E65C32">
        <w:rPr>
          <w:rFonts w:ascii="Arial" w:hAnsi="Arial" w:cs="Arial"/>
          <w:color w:val="000000"/>
        </w:rPr>
        <w:t xml:space="preserve"> </w:t>
      </w:r>
      <w:r w:rsidR="00473E9F">
        <w:rPr>
          <w:rFonts w:ascii="Arial" w:hAnsi="Arial" w:cs="Arial"/>
          <w:color w:val="000000"/>
          <w:lang w:val="es-ES"/>
        </w:rPr>
        <w:t>p</w:t>
      </w:r>
      <w:proofErr w:type="spellStart"/>
      <w:r w:rsidR="00A60751" w:rsidRPr="00E65C32">
        <w:rPr>
          <w:rFonts w:ascii="Arial" w:hAnsi="Arial" w:cs="Arial"/>
          <w:lang w:val="es-CO" w:eastAsia="zh-CN"/>
        </w:rPr>
        <w:t>ág</w:t>
      </w:r>
      <w:r w:rsidR="00473E9F">
        <w:rPr>
          <w:rFonts w:ascii="Arial" w:hAnsi="Arial" w:cs="Arial"/>
          <w:lang w:val="es-CO" w:eastAsia="zh-CN"/>
        </w:rPr>
        <w:t>s</w:t>
      </w:r>
      <w:proofErr w:type="spellEnd"/>
      <w:r w:rsidR="00A60751" w:rsidRPr="00E65C32">
        <w:rPr>
          <w:rFonts w:ascii="Arial" w:hAnsi="Arial" w:cs="Arial"/>
          <w:lang w:val="es-CO" w:eastAsia="zh-CN"/>
        </w:rPr>
        <w:t>. 6 a 7.</w:t>
      </w:r>
    </w:p>
  </w:footnote>
  <w:footnote w:id="23">
    <w:p w14:paraId="406C8565" w14:textId="77777777" w:rsidR="00A60751" w:rsidRPr="00E65C32" w:rsidRDefault="00A60751" w:rsidP="00473E9F">
      <w:pPr>
        <w:pStyle w:val="Textonotapie"/>
        <w:jc w:val="both"/>
        <w:rPr>
          <w:rFonts w:ascii="Arial" w:hAnsi="Arial" w:cs="Arial"/>
          <w:lang w:val="es-CO" w:eastAsia="zh-CN"/>
        </w:rPr>
      </w:pPr>
      <w:r w:rsidRPr="00E65C32">
        <w:rPr>
          <w:rStyle w:val="Refdenotaalpie"/>
          <w:rFonts w:ascii="Arial" w:hAnsi="Arial" w:cs="Arial"/>
        </w:rPr>
        <w:footnoteRef/>
      </w:r>
      <w:r w:rsidRPr="00E65C32">
        <w:rPr>
          <w:rFonts w:ascii="Arial" w:hAnsi="Arial" w:cs="Arial"/>
        </w:rPr>
        <w:t xml:space="preserve"> </w:t>
      </w:r>
      <w:r w:rsidR="00B64294" w:rsidRPr="00E65C32">
        <w:rPr>
          <w:rFonts w:ascii="Arial" w:hAnsi="Arial" w:cs="Arial"/>
          <w:color w:val="000000"/>
        </w:rPr>
        <w:t xml:space="preserve">Obra en SAMAI, en el índice 2, con certificado </w:t>
      </w:r>
      <w:r w:rsidR="00B64294" w:rsidRPr="00E65C32">
        <w:rPr>
          <w:rFonts w:ascii="Arial" w:hAnsi="Arial" w:cs="Arial"/>
          <w:lang w:val="es-CO"/>
        </w:rPr>
        <w:t xml:space="preserve">30BE9BBDA1DC75DA 180D6FBED5266209 984CA8B3AFEC0275 0EA74E8939541E47, </w:t>
      </w:r>
      <w:r w:rsidR="00473E9F">
        <w:rPr>
          <w:rFonts w:ascii="Arial" w:hAnsi="Arial" w:cs="Arial"/>
          <w:lang w:val="es-CO" w:eastAsia="zh-CN"/>
        </w:rPr>
        <w:t>p</w:t>
      </w:r>
      <w:r w:rsidRPr="00E65C32">
        <w:rPr>
          <w:rFonts w:ascii="Arial" w:hAnsi="Arial" w:cs="Arial"/>
          <w:lang w:val="es-CO" w:eastAsia="zh-CN"/>
        </w:rPr>
        <w:t>ág. 20.</w:t>
      </w:r>
    </w:p>
  </w:footnote>
  <w:footnote w:id="24">
    <w:p w14:paraId="1E464810" w14:textId="77777777" w:rsidR="00A60751" w:rsidRPr="00E65C32" w:rsidRDefault="00A60751" w:rsidP="00473E9F">
      <w:pPr>
        <w:pStyle w:val="Textonotapie"/>
        <w:jc w:val="both"/>
        <w:rPr>
          <w:rFonts w:ascii="Arial" w:hAnsi="Arial" w:cs="Arial"/>
          <w:lang w:val="es-CO" w:eastAsia="zh-CN"/>
        </w:rPr>
      </w:pPr>
      <w:r w:rsidRPr="00E65C32">
        <w:rPr>
          <w:rStyle w:val="Refdenotaalpie"/>
          <w:rFonts w:ascii="Arial" w:hAnsi="Arial" w:cs="Arial"/>
        </w:rPr>
        <w:footnoteRef/>
      </w:r>
      <w:r w:rsidRPr="00E65C32">
        <w:rPr>
          <w:rFonts w:ascii="Arial" w:hAnsi="Arial" w:cs="Arial"/>
        </w:rPr>
        <w:t xml:space="preserve"> </w:t>
      </w:r>
      <w:r w:rsidR="00B64294" w:rsidRPr="00E65C32">
        <w:rPr>
          <w:rFonts w:ascii="Arial" w:hAnsi="Arial" w:cs="Arial"/>
          <w:color w:val="000000"/>
        </w:rPr>
        <w:t xml:space="preserve">Obra en SAMAI, en el índice 2, con certificado </w:t>
      </w:r>
      <w:r w:rsidR="00B64294" w:rsidRPr="00E65C32">
        <w:rPr>
          <w:rFonts w:ascii="Arial" w:hAnsi="Arial" w:cs="Arial"/>
          <w:lang w:val="es-CO" w:eastAsia="zh-CN"/>
        </w:rPr>
        <w:t xml:space="preserve">C9A47683BAB2536D 6031F19E991460CF 1B67D9D667A050B5 324EFDA363E9927C, </w:t>
      </w:r>
      <w:r w:rsidR="00473E9F">
        <w:rPr>
          <w:rFonts w:ascii="Arial" w:hAnsi="Arial" w:cs="Arial"/>
          <w:lang w:val="es-CO" w:eastAsia="zh-CN"/>
        </w:rPr>
        <w:t>p</w:t>
      </w:r>
      <w:r w:rsidRPr="00E65C32">
        <w:rPr>
          <w:rFonts w:ascii="Arial" w:hAnsi="Arial" w:cs="Arial"/>
          <w:lang w:val="es-CO" w:eastAsia="zh-CN"/>
        </w:rPr>
        <w:t>ág</w:t>
      </w:r>
      <w:r w:rsidR="00473E9F">
        <w:rPr>
          <w:rFonts w:ascii="Arial" w:hAnsi="Arial" w:cs="Arial"/>
          <w:lang w:val="es-CO" w:eastAsia="zh-CN"/>
        </w:rPr>
        <w:t>s</w:t>
      </w:r>
      <w:r w:rsidRPr="00E65C32">
        <w:rPr>
          <w:rFonts w:ascii="Arial" w:hAnsi="Arial" w:cs="Arial"/>
          <w:lang w:val="es-CO" w:eastAsia="zh-CN"/>
        </w:rPr>
        <w:t xml:space="preserve">. </w:t>
      </w:r>
      <w:r w:rsidR="003373BE">
        <w:rPr>
          <w:rFonts w:ascii="Arial" w:hAnsi="Arial" w:cs="Arial"/>
          <w:lang w:val="es-CO" w:eastAsia="zh-CN"/>
        </w:rPr>
        <w:t>12</w:t>
      </w:r>
      <w:r w:rsidR="00E23037">
        <w:rPr>
          <w:rFonts w:ascii="Arial" w:hAnsi="Arial" w:cs="Arial"/>
          <w:lang w:val="es-CO" w:eastAsia="zh-CN"/>
        </w:rPr>
        <w:t xml:space="preserve"> a </w:t>
      </w:r>
      <w:r w:rsidRPr="00E65C32">
        <w:rPr>
          <w:rFonts w:ascii="Arial" w:hAnsi="Arial" w:cs="Arial"/>
          <w:lang w:val="es-CO" w:eastAsia="zh-CN"/>
        </w:rPr>
        <w:t>13.</w:t>
      </w:r>
    </w:p>
  </w:footnote>
  <w:footnote w:id="25">
    <w:p w14:paraId="09475586" w14:textId="77777777" w:rsidR="00A563C8" w:rsidRPr="00E65C32" w:rsidRDefault="00A563C8" w:rsidP="00473E9F">
      <w:pPr>
        <w:pStyle w:val="Textonotapie"/>
        <w:ind w:right="51"/>
        <w:jc w:val="both"/>
        <w:rPr>
          <w:rFonts w:ascii="Arial" w:hAnsi="Arial" w:cs="Arial"/>
          <w:lang w:eastAsia="zh-CN"/>
        </w:rPr>
      </w:pPr>
      <w:r w:rsidRPr="00E65C32">
        <w:rPr>
          <w:rStyle w:val="Refdenotaalpie"/>
          <w:rFonts w:ascii="Arial" w:hAnsi="Arial" w:cs="Arial"/>
          <w:lang w:eastAsia="zh-CN"/>
        </w:rPr>
        <w:footnoteRef/>
      </w:r>
      <w:r w:rsidRPr="00E65C32">
        <w:rPr>
          <w:rFonts w:ascii="Arial" w:hAnsi="Arial" w:cs="Arial"/>
          <w:lang w:eastAsia="zh-CN"/>
        </w:rPr>
        <w:t xml:space="preserve"> Corte Constitucional, sentencia T-310 de 2009.</w:t>
      </w:r>
    </w:p>
  </w:footnote>
  <w:footnote w:id="26">
    <w:p w14:paraId="10A8A2A4" w14:textId="77777777" w:rsidR="00A563C8" w:rsidRPr="00E65C32" w:rsidRDefault="00A563C8" w:rsidP="00473E9F">
      <w:pPr>
        <w:pStyle w:val="Textonotapie"/>
        <w:ind w:right="51"/>
        <w:jc w:val="both"/>
        <w:rPr>
          <w:rFonts w:ascii="Arial" w:hAnsi="Arial" w:cs="Arial"/>
          <w:lang w:eastAsia="zh-CN"/>
        </w:rPr>
      </w:pPr>
      <w:r w:rsidRPr="00E65C32">
        <w:rPr>
          <w:rStyle w:val="Refdenotaalpie"/>
          <w:rFonts w:ascii="Arial" w:hAnsi="Arial" w:cs="Arial"/>
          <w:lang w:eastAsia="zh-CN"/>
        </w:rPr>
        <w:footnoteRef/>
      </w:r>
      <w:r w:rsidRPr="00E65C32">
        <w:rPr>
          <w:rFonts w:ascii="Arial" w:hAnsi="Arial" w:cs="Arial"/>
          <w:lang w:eastAsia="zh-CN"/>
        </w:rPr>
        <w:t xml:space="preserve"> Corte Constitucional, sentencia T-384 de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27301" w14:textId="77777777" w:rsidR="00A563C8" w:rsidRPr="005140E8" w:rsidRDefault="00A563C8" w:rsidP="00133BF7">
    <w:pPr>
      <w:pStyle w:val="Encabezado"/>
      <w:jc w:val="right"/>
      <w:rPr>
        <w:rFonts w:ascii="Arial" w:hAnsi="Arial" w:cs="Arial"/>
        <w:sz w:val="16"/>
        <w:szCs w:val="16"/>
      </w:rPr>
    </w:pPr>
    <w:r w:rsidRPr="005140E8">
      <w:rPr>
        <w:rFonts w:ascii="Arial" w:hAnsi="Arial" w:cs="Arial"/>
        <w:sz w:val="16"/>
        <w:szCs w:val="16"/>
      </w:rPr>
      <w:fldChar w:fldCharType="begin"/>
    </w:r>
    <w:r w:rsidRPr="005140E8">
      <w:rPr>
        <w:rFonts w:ascii="Arial" w:hAnsi="Arial" w:cs="Arial"/>
        <w:sz w:val="16"/>
        <w:szCs w:val="16"/>
      </w:rPr>
      <w:instrText>PAGE   \* MERGEFORMAT</w:instrText>
    </w:r>
    <w:r w:rsidRPr="005140E8">
      <w:rPr>
        <w:rFonts w:ascii="Arial" w:hAnsi="Arial" w:cs="Arial"/>
        <w:sz w:val="16"/>
        <w:szCs w:val="16"/>
      </w:rPr>
      <w:fldChar w:fldCharType="separate"/>
    </w:r>
    <w:r w:rsidR="006F1046" w:rsidRPr="006F1046">
      <w:rPr>
        <w:rFonts w:ascii="Arial" w:hAnsi="Arial" w:cs="Arial"/>
        <w:noProof/>
        <w:sz w:val="16"/>
        <w:szCs w:val="16"/>
        <w:lang w:val="es-ES"/>
      </w:rPr>
      <w:t>12</w:t>
    </w:r>
    <w:r w:rsidRPr="005140E8">
      <w:rPr>
        <w:rFonts w:ascii="Arial" w:hAnsi="Arial" w:cs="Arial"/>
        <w:sz w:val="16"/>
        <w:szCs w:val="16"/>
      </w:rPr>
      <w:fldChar w:fldCharType="end"/>
    </w:r>
  </w:p>
  <w:p w14:paraId="0742E2C8" w14:textId="77777777" w:rsidR="00A563C8" w:rsidRPr="005140E8" w:rsidRDefault="00A563C8" w:rsidP="00133BF7">
    <w:pPr>
      <w:pStyle w:val="Sinespaciado1"/>
      <w:jc w:val="right"/>
      <w:rPr>
        <w:rFonts w:ascii="Arial" w:hAnsi="Arial" w:cs="Arial"/>
        <w:i/>
        <w:iCs/>
        <w:sz w:val="16"/>
        <w:szCs w:val="16"/>
      </w:rPr>
    </w:pPr>
  </w:p>
  <w:p w14:paraId="2C02B7F9" w14:textId="77777777" w:rsidR="00A563C8" w:rsidRPr="005140E8" w:rsidRDefault="00A563C8" w:rsidP="00133BF7">
    <w:pPr>
      <w:pStyle w:val="Sinespaciado1"/>
      <w:jc w:val="right"/>
      <w:rPr>
        <w:rFonts w:ascii="Arial" w:hAnsi="Arial" w:cs="Arial"/>
        <w:sz w:val="16"/>
        <w:szCs w:val="16"/>
      </w:rPr>
    </w:pPr>
    <w:r w:rsidRPr="005140E8">
      <w:rPr>
        <w:rFonts w:ascii="Arial" w:hAnsi="Arial" w:cs="Arial"/>
        <w:i/>
        <w:iCs/>
        <w:sz w:val="16"/>
        <w:szCs w:val="16"/>
      </w:rPr>
      <w:t>Asunto: Acción de tutela – Primera instancia</w:t>
    </w:r>
    <w:r w:rsidRPr="005140E8">
      <w:rPr>
        <w:rFonts w:ascii="Arial" w:hAnsi="Arial" w:cs="Arial"/>
        <w:i/>
        <w:sz w:val="16"/>
        <w:szCs w:val="16"/>
      </w:rPr>
      <w:t xml:space="preserve">               </w:t>
    </w:r>
  </w:p>
  <w:p w14:paraId="7F589076" w14:textId="77777777" w:rsidR="00A563C8" w:rsidRPr="00F95426" w:rsidRDefault="00A563C8" w:rsidP="00F95426">
    <w:pPr>
      <w:pStyle w:val="Sinespaciado1"/>
      <w:jc w:val="right"/>
      <w:rPr>
        <w:rFonts w:ascii="Arial" w:hAnsi="Arial" w:cs="Arial"/>
        <w:i/>
        <w:iCs/>
        <w:sz w:val="16"/>
        <w:szCs w:val="16"/>
      </w:rPr>
    </w:pPr>
    <w:r w:rsidRPr="00F95426">
      <w:rPr>
        <w:rFonts w:ascii="Arial" w:hAnsi="Arial" w:cs="Arial"/>
        <w:i/>
        <w:iCs/>
        <w:sz w:val="16"/>
        <w:szCs w:val="16"/>
      </w:rPr>
      <w:t xml:space="preserve">Radicación: 11001-03-15-000-2022-00037-00 </w:t>
    </w:r>
  </w:p>
  <w:p w14:paraId="03AB0A3D" w14:textId="77777777" w:rsidR="00A563C8" w:rsidRPr="00F95426" w:rsidRDefault="00A563C8" w:rsidP="00F95426">
    <w:pPr>
      <w:pStyle w:val="Sinespaciado1"/>
      <w:jc w:val="right"/>
      <w:rPr>
        <w:rFonts w:ascii="Arial" w:hAnsi="Arial" w:cs="Arial"/>
        <w:i/>
        <w:iCs/>
        <w:sz w:val="16"/>
        <w:szCs w:val="16"/>
      </w:rPr>
    </w:pPr>
    <w:r w:rsidRPr="00F95426">
      <w:rPr>
        <w:rFonts w:ascii="Arial" w:hAnsi="Arial" w:cs="Arial"/>
        <w:i/>
        <w:iCs/>
        <w:sz w:val="16"/>
        <w:szCs w:val="16"/>
      </w:rPr>
      <w:t>Accionante: Empresa de Telecomunicaciones de Bogotá S.A. E.S.P.</w:t>
    </w:r>
  </w:p>
  <w:p w14:paraId="53B473F1" w14:textId="77777777" w:rsidR="00A563C8" w:rsidRDefault="00A563C8" w:rsidP="00F95426">
    <w:pPr>
      <w:pStyle w:val="Sinespaciado1"/>
      <w:jc w:val="right"/>
      <w:rPr>
        <w:rFonts w:ascii="Arial" w:hAnsi="Arial" w:cs="Arial"/>
        <w:i/>
        <w:iCs/>
        <w:sz w:val="16"/>
        <w:szCs w:val="16"/>
      </w:rPr>
    </w:pPr>
    <w:r w:rsidRPr="00F95426">
      <w:rPr>
        <w:rFonts w:ascii="Arial" w:hAnsi="Arial" w:cs="Arial"/>
        <w:i/>
        <w:iCs/>
        <w:sz w:val="16"/>
        <w:szCs w:val="16"/>
      </w:rPr>
      <w:t xml:space="preserve">Accionados: Subsección A de la Sección Tercera del Tribunal Administrativo de Cundinamarca y </w:t>
    </w:r>
  </w:p>
  <w:p w14:paraId="4CD0BDB7" w14:textId="77777777" w:rsidR="00A563C8" w:rsidRDefault="00A563C8" w:rsidP="00F95426">
    <w:pPr>
      <w:pStyle w:val="Sinespaciado1"/>
      <w:jc w:val="right"/>
      <w:rPr>
        <w:rFonts w:ascii="Arial" w:hAnsi="Arial" w:cs="Arial"/>
        <w:i/>
        <w:iCs/>
        <w:sz w:val="16"/>
        <w:szCs w:val="16"/>
      </w:rPr>
    </w:pPr>
    <w:r w:rsidRPr="00F95426">
      <w:rPr>
        <w:rFonts w:ascii="Arial" w:hAnsi="Arial" w:cs="Arial"/>
        <w:i/>
        <w:iCs/>
        <w:sz w:val="16"/>
        <w:szCs w:val="16"/>
      </w:rPr>
      <w:t>Subsección B de la Sección Tercera del Consejo de Estado</w:t>
    </w:r>
  </w:p>
  <w:p w14:paraId="7F0AF529" w14:textId="77777777" w:rsidR="00A563C8" w:rsidRDefault="00A563C8" w:rsidP="00F95426">
    <w:pPr>
      <w:pStyle w:val="Sinespaciado1"/>
      <w:jc w:val="right"/>
      <w:rPr>
        <w:rFonts w:ascii="Arial" w:hAnsi="Arial" w:cs="Arial"/>
        <w:i/>
        <w:iCs/>
        <w:sz w:val="16"/>
        <w:szCs w:val="16"/>
      </w:rPr>
    </w:pPr>
  </w:p>
  <w:p w14:paraId="626C245F" w14:textId="77777777" w:rsidR="00A563C8" w:rsidRPr="005140E8" w:rsidRDefault="00A563C8" w:rsidP="00F95426">
    <w:pPr>
      <w:pStyle w:val="Sinespaciado1"/>
      <w:jc w:val="right"/>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26804" w14:textId="3C30651B" w:rsidR="00A563C8" w:rsidRDefault="00456C82" w:rsidP="00024164">
    <w:pPr>
      <w:pStyle w:val="Encabezado"/>
    </w:pPr>
    <w:r>
      <w:rPr>
        <w:noProof/>
      </w:rPr>
      <w:drawing>
        <wp:anchor distT="0" distB="0" distL="114300" distR="114300" simplePos="0" relativeHeight="251657728" behindDoc="1" locked="0" layoutInCell="1" allowOverlap="1" wp14:anchorId="4A05AADB" wp14:editId="385F5443">
          <wp:simplePos x="0" y="0"/>
          <wp:positionH relativeFrom="column">
            <wp:posOffset>92710</wp:posOffset>
          </wp:positionH>
          <wp:positionV relativeFrom="paragraph">
            <wp:posOffset>92710</wp:posOffset>
          </wp:positionV>
          <wp:extent cx="962025" cy="8997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CD4D6E" w14:textId="77777777" w:rsidR="00A563C8" w:rsidRPr="00736F34" w:rsidRDefault="00A563C8" w:rsidP="00024164">
    <w:pPr>
      <w:pStyle w:val="Sinespaciado1"/>
      <w:spacing w:line="276" w:lineRule="auto"/>
      <w:jc w:val="center"/>
      <w:rPr>
        <w:rFonts w:ascii="Arial" w:hAnsi="Arial" w:cs="Arial"/>
        <w:b/>
      </w:rPr>
    </w:pPr>
    <w:r w:rsidRPr="00736F34">
      <w:rPr>
        <w:rFonts w:ascii="Arial" w:hAnsi="Arial" w:cs="Arial"/>
        <w:b/>
      </w:rPr>
      <w:t>CONSEJO DE ESTADO</w:t>
    </w:r>
  </w:p>
  <w:p w14:paraId="0D201EB3" w14:textId="77777777" w:rsidR="00A563C8" w:rsidRPr="00736F34" w:rsidRDefault="00A563C8" w:rsidP="00024164">
    <w:pPr>
      <w:pStyle w:val="Sinespaciado1"/>
      <w:spacing w:line="276" w:lineRule="auto"/>
      <w:jc w:val="center"/>
      <w:rPr>
        <w:rFonts w:ascii="Arial" w:hAnsi="Arial" w:cs="Arial"/>
        <w:b/>
      </w:rPr>
    </w:pPr>
    <w:r w:rsidRPr="00736F34">
      <w:rPr>
        <w:rFonts w:ascii="Arial" w:hAnsi="Arial" w:cs="Arial"/>
        <w:b/>
      </w:rPr>
      <w:t>SALA DE LO CONTENCIOSO ADMINISTRATIVO</w:t>
    </w:r>
  </w:p>
  <w:p w14:paraId="2446732C" w14:textId="77777777" w:rsidR="00A563C8" w:rsidRPr="00736F34" w:rsidRDefault="00A563C8" w:rsidP="00024164">
    <w:pPr>
      <w:pStyle w:val="Sinespaciado1"/>
      <w:spacing w:line="276" w:lineRule="auto"/>
      <w:jc w:val="center"/>
      <w:rPr>
        <w:rFonts w:ascii="Arial" w:hAnsi="Arial" w:cs="Arial"/>
        <w:b/>
      </w:rPr>
    </w:pPr>
    <w:r w:rsidRPr="00736F34">
      <w:rPr>
        <w:rFonts w:ascii="Arial" w:hAnsi="Arial" w:cs="Arial"/>
        <w:b/>
      </w:rPr>
      <w:t>SECCIÓN TERCERA</w:t>
    </w:r>
  </w:p>
  <w:p w14:paraId="3DBD3707" w14:textId="77777777" w:rsidR="00A563C8" w:rsidRPr="00736F34" w:rsidRDefault="00A563C8" w:rsidP="00BD4DAE">
    <w:pPr>
      <w:pStyle w:val="Sinespaciado1"/>
      <w:spacing w:line="276" w:lineRule="auto"/>
      <w:jc w:val="center"/>
      <w:rPr>
        <w:rFonts w:ascii="Arial" w:hAnsi="Arial" w:cs="Arial"/>
        <w:b/>
      </w:rPr>
    </w:pPr>
    <w:r w:rsidRPr="00736F34">
      <w:rPr>
        <w:rFonts w:ascii="Arial" w:hAnsi="Arial" w:cs="Arial"/>
        <w:b/>
      </w:rPr>
      <w:t>SUBSECCIÓN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2797F"/>
    <w:multiLevelType w:val="hybridMultilevel"/>
    <w:tmpl w:val="78724F34"/>
    <w:lvl w:ilvl="0" w:tplc="373081D0">
      <w:start w:val="1"/>
      <w:numFmt w:val="decimal"/>
      <w:lvlText w:val="%1."/>
      <w:lvlJc w:val="left"/>
      <w:pPr>
        <w:ind w:left="360" w:hanging="360"/>
      </w:pPr>
      <w:rPr>
        <w:rFonts w:eastAsia="Calibri" w:hint="default"/>
        <w:b w:val="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0DBD4AC4"/>
    <w:multiLevelType w:val="hybridMultilevel"/>
    <w:tmpl w:val="BCAED7CA"/>
    <w:lvl w:ilvl="0" w:tplc="5C28FD08">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0862DB"/>
    <w:multiLevelType w:val="hybridMultilevel"/>
    <w:tmpl w:val="A10278D6"/>
    <w:lvl w:ilvl="0" w:tplc="83B06F20">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5B62747"/>
    <w:multiLevelType w:val="hybridMultilevel"/>
    <w:tmpl w:val="EDC89F7A"/>
    <w:lvl w:ilvl="0" w:tplc="83B06F20">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AC4750E"/>
    <w:multiLevelType w:val="hybridMultilevel"/>
    <w:tmpl w:val="B1DA85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4EF3AC1"/>
    <w:multiLevelType w:val="hybridMultilevel"/>
    <w:tmpl w:val="FCFCEB84"/>
    <w:lvl w:ilvl="0" w:tplc="F47CF552">
      <w:start w:val="1"/>
      <w:numFmt w:val="lowerRoman"/>
      <w:lvlText w:val="(%1)"/>
      <w:lvlJc w:val="left"/>
      <w:pPr>
        <w:ind w:left="1146" w:hanging="72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6" w15:restartNumberingAfterBreak="0">
    <w:nsid w:val="7FF53810"/>
    <w:multiLevelType w:val="hybridMultilevel"/>
    <w:tmpl w:val="D7243CB6"/>
    <w:lvl w:ilvl="0" w:tplc="84B0C28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400"/>
    <w:rsid w:val="00000171"/>
    <w:rsid w:val="00000372"/>
    <w:rsid w:val="000008BA"/>
    <w:rsid w:val="00001E1D"/>
    <w:rsid w:val="00001E3D"/>
    <w:rsid w:val="00002349"/>
    <w:rsid w:val="00003271"/>
    <w:rsid w:val="000043BA"/>
    <w:rsid w:val="00007D6A"/>
    <w:rsid w:val="0001024F"/>
    <w:rsid w:val="00010511"/>
    <w:rsid w:val="00010832"/>
    <w:rsid w:val="00011069"/>
    <w:rsid w:val="00011FD6"/>
    <w:rsid w:val="00012598"/>
    <w:rsid w:val="0001397D"/>
    <w:rsid w:val="00014122"/>
    <w:rsid w:val="00020A69"/>
    <w:rsid w:val="00021843"/>
    <w:rsid w:val="0002200B"/>
    <w:rsid w:val="00022396"/>
    <w:rsid w:val="00024164"/>
    <w:rsid w:val="00024A48"/>
    <w:rsid w:val="00025199"/>
    <w:rsid w:val="000304AA"/>
    <w:rsid w:val="00032EF7"/>
    <w:rsid w:val="00034B52"/>
    <w:rsid w:val="000358B8"/>
    <w:rsid w:val="000365D2"/>
    <w:rsid w:val="00040659"/>
    <w:rsid w:val="000419A8"/>
    <w:rsid w:val="00041B44"/>
    <w:rsid w:val="0004218E"/>
    <w:rsid w:val="00043447"/>
    <w:rsid w:val="00044D72"/>
    <w:rsid w:val="00045C88"/>
    <w:rsid w:val="00045FB2"/>
    <w:rsid w:val="000504CF"/>
    <w:rsid w:val="000519FC"/>
    <w:rsid w:val="00052017"/>
    <w:rsid w:val="00053713"/>
    <w:rsid w:val="0005434D"/>
    <w:rsid w:val="00056C96"/>
    <w:rsid w:val="00056CE0"/>
    <w:rsid w:val="00057EAC"/>
    <w:rsid w:val="00060D9E"/>
    <w:rsid w:val="00060DD0"/>
    <w:rsid w:val="00060F7D"/>
    <w:rsid w:val="00060FF4"/>
    <w:rsid w:val="00061302"/>
    <w:rsid w:val="00061EC9"/>
    <w:rsid w:val="0006261F"/>
    <w:rsid w:val="00063379"/>
    <w:rsid w:val="00064407"/>
    <w:rsid w:val="0006448F"/>
    <w:rsid w:val="0006482E"/>
    <w:rsid w:val="00064D2D"/>
    <w:rsid w:val="00065D57"/>
    <w:rsid w:val="000666B9"/>
    <w:rsid w:val="000668D3"/>
    <w:rsid w:val="00066B67"/>
    <w:rsid w:val="00066DCF"/>
    <w:rsid w:val="0006765C"/>
    <w:rsid w:val="0006786E"/>
    <w:rsid w:val="00067B36"/>
    <w:rsid w:val="0007108B"/>
    <w:rsid w:val="00071599"/>
    <w:rsid w:val="00072ECB"/>
    <w:rsid w:val="00074707"/>
    <w:rsid w:val="00074BB7"/>
    <w:rsid w:val="0007539C"/>
    <w:rsid w:val="000753E1"/>
    <w:rsid w:val="00075A1E"/>
    <w:rsid w:val="00075C23"/>
    <w:rsid w:val="00076A13"/>
    <w:rsid w:val="00077CB0"/>
    <w:rsid w:val="00081ABE"/>
    <w:rsid w:val="000826E5"/>
    <w:rsid w:val="000843C7"/>
    <w:rsid w:val="0008547B"/>
    <w:rsid w:val="00085D4F"/>
    <w:rsid w:val="000867E6"/>
    <w:rsid w:val="00086976"/>
    <w:rsid w:val="00086EF9"/>
    <w:rsid w:val="00090222"/>
    <w:rsid w:val="00090FC0"/>
    <w:rsid w:val="00091646"/>
    <w:rsid w:val="00091D9A"/>
    <w:rsid w:val="00094A5D"/>
    <w:rsid w:val="0009507F"/>
    <w:rsid w:val="00096400"/>
    <w:rsid w:val="00097A2C"/>
    <w:rsid w:val="000A03EB"/>
    <w:rsid w:val="000A080D"/>
    <w:rsid w:val="000A1087"/>
    <w:rsid w:val="000A11C2"/>
    <w:rsid w:val="000A1791"/>
    <w:rsid w:val="000A506C"/>
    <w:rsid w:val="000A58C9"/>
    <w:rsid w:val="000B1170"/>
    <w:rsid w:val="000B1752"/>
    <w:rsid w:val="000B5951"/>
    <w:rsid w:val="000B643C"/>
    <w:rsid w:val="000B71F7"/>
    <w:rsid w:val="000C1305"/>
    <w:rsid w:val="000C362E"/>
    <w:rsid w:val="000C381E"/>
    <w:rsid w:val="000C3B51"/>
    <w:rsid w:val="000D243D"/>
    <w:rsid w:val="000D2B1C"/>
    <w:rsid w:val="000D2CC5"/>
    <w:rsid w:val="000D3823"/>
    <w:rsid w:val="000D3B53"/>
    <w:rsid w:val="000D5912"/>
    <w:rsid w:val="000D68E3"/>
    <w:rsid w:val="000E02EE"/>
    <w:rsid w:val="000E0B25"/>
    <w:rsid w:val="000E24E8"/>
    <w:rsid w:val="000E2BCD"/>
    <w:rsid w:val="000E31BD"/>
    <w:rsid w:val="000E3B86"/>
    <w:rsid w:val="000E6026"/>
    <w:rsid w:val="000E6597"/>
    <w:rsid w:val="000F065F"/>
    <w:rsid w:val="000F203A"/>
    <w:rsid w:val="000F287F"/>
    <w:rsid w:val="000F3D5E"/>
    <w:rsid w:val="000F42F6"/>
    <w:rsid w:val="000F505B"/>
    <w:rsid w:val="000F61C8"/>
    <w:rsid w:val="000F6942"/>
    <w:rsid w:val="0010081C"/>
    <w:rsid w:val="001014B4"/>
    <w:rsid w:val="00104659"/>
    <w:rsid w:val="001067A5"/>
    <w:rsid w:val="001073DC"/>
    <w:rsid w:val="00107A28"/>
    <w:rsid w:val="00107D57"/>
    <w:rsid w:val="0011206D"/>
    <w:rsid w:val="0011255A"/>
    <w:rsid w:val="0011398C"/>
    <w:rsid w:val="00114EC6"/>
    <w:rsid w:val="001157AC"/>
    <w:rsid w:val="00117FDB"/>
    <w:rsid w:val="001234CF"/>
    <w:rsid w:val="0012392E"/>
    <w:rsid w:val="001246DF"/>
    <w:rsid w:val="00125D46"/>
    <w:rsid w:val="00125FAD"/>
    <w:rsid w:val="00126572"/>
    <w:rsid w:val="00127193"/>
    <w:rsid w:val="00127AD9"/>
    <w:rsid w:val="00127F7A"/>
    <w:rsid w:val="001322A6"/>
    <w:rsid w:val="001336A5"/>
    <w:rsid w:val="00133BF7"/>
    <w:rsid w:val="00133F03"/>
    <w:rsid w:val="0013414E"/>
    <w:rsid w:val="0013671F"/>
    <w:rsid w:val="00137C98"/>
    <w:rsid w:val="00140106"/>
    <w:rsid w:val="00141503"/>
    <w:rsid w:val="0014385A"/>
    <w:rsid w:val="00143BE4"/>
    <w:rsid w:val="00143EFE"/>
    <w:rsid w:val="00144959"/>
    <w:rsid w:val="00144F6F"/>
    <w:rsid w:val="00145123"/>
    <w:rsid w:val="0014559B"/>
    <w:rsid w:val="00146583"/>
    <w:rsid w:val="00146BB0"/>
    <w:rsid w:val="00147ED0"/>
    <w:rsid w:val="00150236"/>
    <w:rsid w:val="0015102D"/>
    <w:rsid w:val="00151F9C"/>
    <w:rsid w:val="001522C8"/>
    <w:rsid w:val="001524B1"/>
    <w:rsid w:val="0015263D"/>
    <w:rsid w:val="00153247"/>
    <w:rsid w:val="001557E1"/>
    <w:rsid w:val="00155D79"/>
    <w:rsid w:val="00156862"/>
    <w:rsid w:val="0015739D"/>
    <w:rsid w:val="00162747"/>
    <w:rsid w:val="00162C2F"/>
    <w:rsid w:val="0016320A"/>
    <w:rsid w:val="001637BE"/>
    <w:rsid w:val="00163CAA"/>
    <w:rsid w:val="00164CE8"/>
    <w:rsid w:val="001653E6"/>
    <w:rsid w:val="00171CCC"/>
    <w:rsid w:val="00172A3A"/>
    <w:rsid w:val="00172F42"/>
    <w:rsid w:val="00173304"/>
    <w:rsid w:val="00173951"/>
    <w:rsid w:val="00175BE6"/>
    <w:rsid w:val="00176E6E"/>
    <w:rsid w:val="00176E83"/>
    <w:rsid w:val="001778E6"/>
    <w:rsid w:val="00181936"/>
    <w:rsid w:val="00183782"/>
    <w:rsid w:val="00183EDB"/>
    <w:rsid w:val="00184C6B"/>
    <w:rsid w:val="0018611C"/>
    <w:rsid w:val="00186EFD"/>
    <w:rsid w:val="001872C1"/>
    <w:rsid w:val="00187A9B"/>
    <w:rsid w:val="0019063B"/>
    <w:rsid w:val="00190912"/>
    <w:rsid w:val="0019137B"/>
    <w:rsid w:val="00191FEE"/>
    <w:rsid w:val="0019224C"/>
    <w:rsid w:val="001926FA"/>
    <w:rsid w:val="001941F3"/>
    <w:rsid w:val="001945D6"/>
    <w:rsid w:val="00195B5C"/>
    <w:rsid w:val="00195BE8"/>
    <w:rsid w:val="00196E6D"/>
    <w:rsid w:val="00196FF3"/>
    <w:rsid w:val="001974F1"/>
    <w:rsid w:val="001A0169"/>
    <w:rsid w:val="001A0760"/>
    <w:rsid w:val="001A0955"/>
    <w:rsid w:val="001A14E6"/>
    <w:rsid w:val="001A16FD"/>
    <w:rsid w:val="001A3B2F"/>
    <w:rsid w:val="001A4E23"/>
    <w:rsid w:val="001A5BBD"/>
    <w:rsid w:val="001A6150"/>
    <w:rsid w:val="001A6FA3"/>
    <w:rsid w:val="001B2721"/>
    <w:rsid w:val="001B27CC"/>
    <w:rsid w:val="001B43D6"/>
    <w:rsid w:val="001B5344"/>
    <w:rsid w:val="001B5B06"/>
    <w:rsid w:val="001C1FD3"/>
    <w:rsid w:val="001C20B9"/>
    <w:rsid w:val="001C27C3"/>
    <w:rsid w:val="001C2ECC"/>
    <w:rsid w:val="001C3ACE"/>
    <w:rsid w:val="001C4A60"/>
    <w:rsid w:val="001C4D58"/>
    <w:rsid w:val="001C5D66"/>
    <w:rsid w:val="001C6B7E"/>
    <w:rsid w:val="001C6DD6"/>
    <w:rsid w:val="001C72F1"/>
    <w:rsid w:val="001D154A"/>
    <w:rsid w:val="001D20E4"/>
    <w:rsid w:val="001D3421"/>
    <w:rsid w:val="001D416B"/>
    <w:rsid w:val="001D4463"/>
    <w:rsid w:val="001D4CD2"/>
    <w:rsid w:val="001D513F"/>
    <w:rsid w:val="001D52C9"/>
    <w:rsid w:val="001D55BE"/>
    <w:rsid w:val="001D56A6"/>
    <w:rsid w:val="001D6CF7"/>
    <w:rsid w:val="001D79B6"/>
    <w:rsid w:val="001E1F52"/>
    <w:rsid w:val="001E401C"/>
    <w:rsid w:val="001E7827"/>
    <w:rsid w:val="001E7885"/>
    <w:rsid w:val="001F0255"/>
    <w:rsid w:val="001F07CC"/>
    <w:rsid w:val="001F1DCE"/>
    <w:rsid w:val="001F2024"/>
    <w:rsid w:val="001F5233"/>
    <w:rsid w:val="001F5B9B"/>
    <w:rsid w:val="001F5CA9"/>
    <w:rsid w:val="001F5FAA"/>
    <w:rsid w:val="001F6761"/>
    <w:rsid w:val="00201333"/>
    <w:rsid w:val="00202B6E"/>
    <w:rsid w:val="0020393E"/>
    <w:rsid w:val="0020442C"/>
    <w:rsid w:val="002051F6"/>
    <w:rsid w:val="00206176"/>
    <w:rsid w:val="00206646"/>
    <w:rsid w:val="00206CC3"/>
    <w:rsid w:val="00206DC5"/>
    <w:rsid w:val="00211334"/>
    <w:rsid w:val="00211FEC"/>
    <w:rsid w:val="002144CC"/>
    <w:rsid w:val="002151BD"/>
    <w:rsid w:val="0021730B"/>
    <w:rsid w:val="00217BBC"/>
    <w:rsid w:val="00220FD6"/>
    <w:rsid w:val="00220FED"/>
    <w:rsid w:val="00222A0D"/>
    <w:rsid w:val="002232AE"/>
    <w:rsid w:val="00223697"/>
    <w:rsid w:val="002245C3"/>
    <w:rsid w:val="00224635"/>
    <w:rsid w:val="00233305"/>
    <w:rsid w:val="00233FE5"/>
    <w:rsid w:val="00234EE3"/>
    <w:rsid w:val="0023741D"/>
    <w:rsid w:val="00237C69"/>
    <w:rsid w:val="0024053E"/>
    <w:rsid w:val="00243524"/>
    <w:rsid w:val="002435C4"/>
    <w:rsid w:val="002440BA"/>
    <w:rsid w:val="00244E0B"/>
    <w:rsid w:val="00245FF7"/>
    <w:rsid w:val="00246477"/>
    <w:rsid w:val="00246E4B"/>
    <w:rsid w:val="002470B9"/>
    <w:rsid w:val="002470ED"/>
    <w:rsid w:val="00247DF0"/>
    <w:rsid w:val="00251443"/>
    <w:rsid w:val="002518AE"/>
    <w:rsid w:val="0025232C"/>
    <w:rsid w:val="00253248"/>
    <w:rsid w:val="002536A0"/>
    <w:rsid w:val="00254024"/>
    <w:rsid w:val="00254182"/>
    <w:rsid w:val="002552F9"/>
    <w:rsid w:val="00260F11"/>
    <w:rsid w:val="002623E2"/>
    <w:rsid w:val="00262DAD"/>
    <w:rsid w:val="00262EA3"/>
    <w:rsid w:val="00263684"/>
    <w:rsid w:val="0026377D"/>
    <w:rsid w:val="00264F27"/>
    <w:rsid w:val="0026523B"/>
    <w:rsid w:val="00265AF1"/>
    <w:rsid w:val="00267445"/>
    <w:rsid w:val="002677F0"/>
    <w:rsid w:val="002713D6"/>
    <w:rsid w:val="0027195D"/>
    <w:rsid w:val="002719FD"/>
    <w:rsid w:val="002745D6"/>
    <w:rsid w:val="002755CD"/>
    <w:rsid w:val="00275BFA"/>
    <w:rsid w:val="00277808"/>
    <w:rsid w:val="002801D4"/>
    <w:rsid w:val="002812CD"/>
    <w:rsid w:val="00281D0E"/>
    <w:rsid w:val="00281D80"/>
    <w:rsid w:val="0028295C"/>
    <w:rsid w:val="00283551"/>
    <w:rsid w:val="0028395D"/>
    <w:rsid w:val="002853A1"/>
    <w:rsid w:val="0028576A"/>
    <w:rsid w:val="002863F4"/>
    <w:rsid w:val="002864D0"/>
    <w:rsid w:val="00287A10"/>
    <w:rsid w:val="00287B11"/>
    <w:rsid w:val="00287C3D"/>
    <w:rsid w:val="00287EB0"/>
    <w:rsid w:val="00290C45"/>
    <w:rsid w:val="0029233D"/>
    <w:rsid w:val="002934FF"/>
    <w:rsid w:val="00293DCD"/>
    <w:rsid w:val="00294457"/>
    <w:rsid w:val="00294BDE"/>
    <w:rsid w:val="00295369"/>
    <w:rsid w:val="00295ED2"/>
    <w:rsid w:val="00296E2C"/>
    <w:rsid w:val="00296F70"/>
    <w:rsid w:val="00297D79"/>
    <w:rsid w:val="002A0477"/>
    <w:rsid w:val="002A07E9"/>
    <w:rsid w:val="002A0E35"/>
    <w:rsid w:val="002A125E"/>
    <w:rsid w:val="002A3766"/>
    <w:rsid w:val="002A5214"/>
    <w:rsid w:val="002A58A6"/>
    <w:rsid w:val="002A78B0"/>
    <w:rsid w:val="002B0674"/>
    <w:rsid w:val="002B28CC"/>
    <w:rsid w:val="002B4200"/>
    <w:rsid w:val="002B544E"/>
    <w:rsid w:val="002B666D"/>
    <w:rsid w:val="002B66C6"/>
    <w:rsid w:val="002B6C91"/>
    <w:rsid w:val="002B6E52"/>
    <w:rsid w:val="002B7321"/>
    <w:rsid w:val="002B76F0"/>
    <w:rsid w:val="002B7F6C"/>
    <w:rsid w:val="002C1076"/>
    <w:rsid w:val="002C1B62"/>
    <w:rsid w:val="002C213F"/>
    <w:rsid w:val="002C322F"/>
    <w:rsid w:val="002C66E4"/>
    <w:rsid w:val="002C79E6"/>
    <w:rsid w:val="002D0457"/>
    <w:rsid w:val="002D0687"/>
    <w:rsid w:val="002D2AF6"/>
    <w:rsid w:val="002D32B3"/>
    <w:rsid w:val="002D5E39"/>
    <w:rsid w:val="002D7638"/>
    <w:rsid w:val="002E1F4D"/>
    <w:rsid w:val="002E2B6A"/>
    <w:rsid w:val="002E46B1"/>
    <w:rsid w:val="002E6D5C"/>
    <w:rsid w:val="002F06F9"/>
    <w:rsid w:val="002F07A5"/>
    <w:rsid w:val="002F2511"/>
    <w:rsid w:val="002F2C92"/>
    <w:rsid w:val="002F2CD7"/>
    <w:rsid w:val="002F31DB"/>
    <w:rsid w:val="002F3E36"/>
    <w:rsid w:val="002F4977"/>
    <w:rsid w:val="002F7233"/>
    <w:rsid w:val="002F7851"/>
    <w:rsid w:val="002F78C0"/>
    <w:rsid w:val="00301C6C"/>
    <w:rsid w:val="003047F3"/>
    <w:rsid w:val="003063B5"/>
    <w:rsid w:val="00306A80"/>
    <w:rsid w:val="003077C8"/>
    <w:rsid w:val="0031067E"/>
    <w:rsid w:val="00310CF0"/>
    <w:rsid w:val="00310ECE"/>
    <w:rsid w:val="003116C6"/>
    <w:rsid w:val="00311960"/>
    <w:rsid w:val="00313854"/>
    <w:rsid w:val="00313FDD"/>
    <w:rsid w:val="003156CD"/>
    <w:rsid w:val="0031620E"/>
    <w:rsid w:val="00316F95"/>
    <w:rsid w:val="00317005"/>
    <w:rsid w:val="00320DBE"/>
    <w:rsid w:val="00323077"/>
    <w:rsid w:val="00323C8F"/>
    <w:rsid w:val="0032441F"/>
    <w:rsid w:val="00325D7C"/>
    <w:rsid w:val="00326E41"/>
    <w:rsid w:val="00327407"/>
    <w:rsid w:val="00327B3C"/>
    <w:rsid w:val="00330272"/>
    <w:rsid w:val="00330E61"/>
    <w:rsid w:val="00331939"/>
    <w:rsid w:val="00332082"/>
    <w:rsid w:val="00332CB9"/>
    <w:rsid w:val="00333BAB"/>
    <w:rsid w:val="00333D74"/>
    <w:rsid w:val="0033455F"/>
    <w:rsid w:val="003373BE"/>
    <w:rsid w:val="00341983"/>
    <w:rsid w:val="003435B5"/>
    <w:rsid w:val="00345626"/>
    <w:rsid w:val="00345E76"/>
    <w:rsid w:val="00345F11"/>
    <w:rsid w:val="00347C53"/>
    <w:rsid w:val="00347F07"/>
    <w:rsid w:val="00350B07"/>
    <w:rsid w:val="00350D2E"/>
    <w:rsid w:val="00351D39"/>
    <w:rsid w:val="00352E95"/>
    <w:rsid w:val="00353FE1"/>
    <w:rsid w:val="003560F2"/>
    <w:rsid w:val="00357DE9"/>
    <w:rsid w:val="003606F7"/>
    <w:rsid w:val="00360A25"/>
    <w:rsid w:val="0036105B"/>
    <w:rsid w:val="0036111A"/>
    <w:rsid w:val="0036207B"/>
    <w:rsid w:val="0036284F"/>
    <w:rsid w:val="00362B82"/>
    <w:rsid w:val="003641AC"/>
    <w:rsid w:val="00367D32"/>
    <w:rsid w:val="00370676"/>
    <w:rsid w:val="00370E81"/>
    <w:rsid w:val="00371486"/>
    <w:rsid w:val="00372708"/>
    <w:rsid w:val="00372B4B"/>
    <w:rsid w:val="003746D6"/>
    <w:rsid w:val="003755E1"/>
    <w:rsid w:val="0037749D"/>
    <w:rsid w:val="0038063B"/>
    <w:rsid w:val="00383A23"/>
    <w:rsid w:val="00384964"/>
    <w:rsid w:val="00384E3E"/>
    <w:rsid w:val="00385A83"/>
    <w:rsid w:val="00385CEA"/>
    <w:rsid w:val="00390A97"/>
    <w:rsid w:val="00391063"/>
    <w:rsid w:val="003914D1"/>
    <w:rsid w:val="00392662"/>
    <w:rsid w:val="003944DB"/>
    <w:rsid w:val="00394B23"/>
    <w:rsid w:val="00395485"/>
    <w:rsid w:val="00395751"/>
    <w:rsid w:val="003A1DCC"/>
    <w:rsid w:val="003A3E38"/>
    <w:rsid w:val="003A44CB"/>
    <w:rsid w:val="003B00D3"/>
    <w:rsid w:val="003B3266"/>
    <w:rsid w:val="003B387F"/>
    <w:rsid w:val="003B399A"/>
    <w:rsid w:val="003B3A70"/>
    <w:rsid w:val="003B4BED"/>
    <w:rsid w:val="003B674A"/>
    <w:rsid w:val="003B67A5"/>
    <w:rsid w:val="003B75B7"/>
    <w:rsid w:val="003C024B"/>
    <w:rsid w:val="003C2503"/>
    <w:rsid w:val="003C284F"/>
    <w:rsid w:val="003C2B86"/>
    <w:rsid w:val="003C398E"/>
    <w:rsid w:val="003C3EC2"/>
    <w:rsid w:val="003C4516"/>
    <w:rsid w:val="003C4CEA"/>
    <w:rsid w:val="003C6B99"/>
    <w:rsid w:val="003D67E2"/>
    <w:rsid w:val="003D6F56"/>
    <w:rsid w:val="003D73C2"/>
    <w:rsid w:val="003E0767"/>
    <w:rsid w:val="003E1933"/>
    <w:rsid w:val="003E317D"/>
    <w:rsid w:val="003E44ED"/>
    <w:rsid w:val="003E51BD"/>
    <w:rsid w:val="003E59EE"/>
    <w:rsid w:val="003E6D0D"/>
    <w:rsid w:val="003F0606"/>
    <w:rsid w:val="003F0943"/>
    <w:rsid w:val="003F117B"/>
    <w:rsid w:val="003F13B1"/>
    <w:rsid w:val="003F1F51"/>
    <w:rsid w:val="003F23BD"/>
    <w:rsid w:val="003F54D8"/>
    <w:rsid w:val="003F6F9E"/>
    <w:rsid w:val="003F7FE3"/>
    <w:rsid w:val="004005C5"/>
    <w:rsid w:val="00401BFA"/>
    <w:rsid w:val="00401D17"/>
    <w:rsid w:val="004039BF"/>
    <w:rsid w:val="00403F26"/>
    <w:rsid w:val="00404F01"/>
    <w:rsid w:val="0040684B"/>
    <w:rsid w:val="0040703C"/>
    <w:rsid w:val="00407F9C"/>
    <w:rsid w:val="00410453"/>
    <w:rsid w:val="0041050F"/>
    <w:rsid w:val="00410BA1"/>
    <w:rsid w:val="004113FF"/>
    <w:rsid w:val="004122BE"/>
    <w:rsid w:val="00413840"/>
    <w:rsid w:val="00414DF0"/>
    <w:rsid w:val="00414F99"/>
    <w:rsid w:val="00415534"/>
    <w:rsid w:val="004204C1"/>
    <w:rsid w:val="00420832"/>
    <w:rsid w:val="00423B45"/>
    <w:rsid w:val="004252D7"/>
    <w:rsid w:val="004304E8"/>
    <w:rsid w:val="004310A7"/>
    <w:rsid w:val="0043256E"/>
    <w:rsid w:val="0043395A"/>
    <w:rsid w:val="004345BA"/>
    <w:rsid w:val="00434621"/>
    <w:rsid w:val="00434D57"/>
    <w:rsid w:val="0043517F"/>
    <w:rsid w:val="00435267"/>
    <w:rsid w:val="00435B1F"/>
    <w:rsid w:val="00435D2F"/>
    <w:rsid w:val="00435E51"/>
    <w:rsid w:val="00436EAD"/>
    <w:rsid w:val="00437EA8"/>
    <w:rsid w:val="00440886"/>
    <w:rsid w:val="00440C51"/>
    <w:rsid w:val="00440D87"/>
    <w:rsid w:val="00441689"/>
    <w:rsid w:val="0044211F"/>
    <w:rsid w:val="00445D8E"/>
    <w:rsid w:val="00447A62"/>
    <w:rsid w:val="00452A9C"/>
    <w:rsid w:val="00454BFC"/>
    <w:rsid w:val="00456C82"/>
    <w:rsid w:val="00457AF3"/>
    <w:rsid w:val="00457BA1"/>
    <w:rsid w:val="0046115D"/>
    <w:rsid w:val="004618EC"/>
    <w:rsid w:val="00461934"/>
    <w:rsid w:val="00462FC7"/>
    <w:rsid w:val="004707EF"/>
    <w:rsid w:val="00471011"/>
    <w:rsid w:val="004711CD"/>
    <w:rsid w:val="00471D6A"/>
    <w:rsid w:val="00473E9F"/>
    <w:rsid w:val="0047467F"/>
    <w:rsid w:val="00474AAE"/>
    <w:rsid w:val="00474AD5"/>
    <w:rsid w:val="00475B7D"/>
    <w:rsid w:val="0047604A"/>
    <w:rsid w:val="00476095"/>
    <w:rsid w:val="004761EB"/>
    <w:rsid w:val="00476CEA"/>
    <w:rsid w:val="00477044"/>
    <w:rsid w:val="00477968"/>
    <w:rsid w:val="004804FA"/>
    <w:rsid w:val="00481B1D"/>
    <w:rsid w:val="0048303C"/>
    <w:rsid w:val="00485132"/>
    <w:rsid w:val="004879F6"/>
    <w:rsid w:val="00490506"/>
    <w:rsid w:val="00490B67"/>
    <w:rsid w:val="0049460B"/>
    <w:rsid w:val="00494659"/>
    <w:rsid w:val="00494E61"/>
    <w:rsid w:val="004955B8"/>
    <w:rsid w:val="00496949"/>
    <w:rsid w:val="0049717D"/>
    <w:rsid w:val="00497E89"/>
    <w:rsid w:val="004A03B2"/>
    <w:rsid w:val="004A0707"/>
    <w:rsid w:val="004A1438"/>
    <w:rsid w:val="004A16BF"/>
    <w:rsid w:val="004A2768"/>
    <w:rsid w:val="004A325F"/>
    <w:rsid w:val="004A3A26"/>
    <w:rsid w:val="004A4564"/>
    <w:rsid w:val="004A6FED"/>
    <w:rsid w:val="004A73AD"/>
    <w:rsid w:val="004B0ED5"/>
    <w:rsid w:val="004B0FD7"/>
    <w:rsid w:val="004B2165"/>
    <w:rsid w:val="004B2477"/>
    <w:rsid w:val="004B2ECA"/>
    <w:rsid w:val="004B320C"/>
    <w:rsid w:val="004B3B07"/>
    <w:rsid w:val="004B51CE"/>
    <w:rsid w:val="004B7D91"/>
    <w:rsid w:val="004C3604"/>
    <w:rsid w:val="004C4F37"/>
    <w:rsid w:val="004C525C"/>
    <w:rsid w:val="004C5405"/>
    <w:rsid w:val="004C54AC"/>
    <w:rsid w:val="004C7FBC"/>
    <w:rsid w:val="004D36E8"/>
    <w:rsid w:val="004D4EE1"/>
    <w:rsid w:val="004D54F9"/>
    <w:rsid w:val="004D78BF"/>
    <w:rsid w:val="004D7C5D"/>
    <w:rsid w:val="004E0223"/>
    <w:rsid w:val="004E053A"/>
    <w:rsid w:val="004E310C"/>
    <w:rsid w:val="004E319C"/>
    <w:rsid w:val="004E3732"/>
    <w:rsid w:val="004E4566"/>
    <w:rsid w:val="004E5D50"/>
    <w:rsid w:val="004E6747"/>
    <w:rsid w:val="004E6A56"/>
    <w:rsid w:val="004E736F"/>
    <w:rsid w:val="004F0FFF"/>
    <w:rsid w:val="004F2E44"/>
    <w:rsid w:val="004F3748"/>
    <w:rsid w:val="004F50EC"/>
    <w:rsid w:val="004F7EC2"/>
    <w:rsid w:val="005004B4"/>
    <w:rsid w:val="0050137D"/>
    <w:rsid w:val="00501D53"/>
    <w:rsid w:val="00502615"/>
    <w:rsid w:val="00502AD8"/>
    <w:rsid w:val="00502EE3"/>
    <w:rsid w:val="0050316E"/>
    <w:rsid w:val="0050320C"/>
    <w:rsid w:val="0050410E"/>
    <w:rsid w:val="00506266"/>
    <w:rsid w:val="00506292"/>
    <w:rsid w:val="00506525"/>
    <w:rsid w:val="00506DFC"/>
    <w:rsid w:val="00507ABB"/>
    <w:rsid w:val="005112CA"/>
    <w:rsid w:val="0051341A"/>
    <w:rsid w:val="00513521"/>
    <w:rsid w:val="005140E8"/>
    <w:rsid w:val="0051429B"/>
    <w:rsid w:val="00516D4A"/>
    <w:rsid w:val="0052114B"/>
    <w:rsid w:val="00521E8D"/>
    <w:rsid w:val="005229E4"/>
    <w:rsid w:val="00522E75"/>
    <w:rsid w:val="00526509"/>
    <w:rsid w:val="00530B6A"/>
    <w:rsid w:val="00531389"/>
    <w:rsid w:val="00531428"/>
    <w:rsid w:val="00531EEA"/>
    <w:rsid w:val="005328D4"/>
    <w:rsid w:val="005328F1"/>
    <w:rsid w:val="00533D58"/>
    <w:rsid w:val="005356E1"/>
    <w:rsid w:val="00535E12"/>
    <w:rsid w:val="00535EB6"/>
    <w:rsid w:val="005367D0"/>
    <w:rsid w:val="00536F18"/>
    <w:rsid w:val="00540754"/>
    <w:rsid w:val="00540CEB"/>
    <w:rsid w:val="00541EA3"/>
    <w:rsid w:val="00541F55"/>
    <w:rsid w:val="005432CB"/>
    <w:rsid w:val="00543E80"/>
    <w:rsid w:val="00543EED"/>
    <w:rsid w:val="00544CC7"/>
    <w:rsid w:val="005469B6"/>
    <w:rsid w:val="00547A33"/>
    <w:rsid w:val="00550F39"/>
    <w:rsid w:val="00552DCC"/>
    <w:rsid w:val="00553B98"/>
    <w:rsid w:val="00554328"/>
    <w:rsid w:val="00555697"/>
    <w:rsid w:val="00555BBF"/>
    <w:rsid w:val="005563E8"/>
    <w:rsid w:val="005575B7"/>
    <w:rsid w:val="00557BAC"/>
    <w:rsid w:val="00557CA1"/>
    <w:rsid w:val="00557D33"/>
    <w:rsid w:val="00557D91"/>
    <w:rsid w:val="005601BB"/>
    <w:rsid w:val="005601CE"/>
    <w:rsid w:val="005608A5"/>
    <w:rsid w:val="00561A34"/>
    <w:rsid w:val="00561DF6"/>
    <w:rsid w:val="00563870"/>
    <w:rsid w:val="005644D1"/>
    <w:rsid w:val="005651D9"/>
    <w:rsid w:val="00566177"/>
    <w:rsid w:val="00566269"/>
    <w:rsid w:val="00571D4C"/>
    <w:rsid w:val="00572816"/>
    <w:rsid w:val="00572954"/>
    <w:rsid w:val="00572D9A"/>
    <w:rsid w:val="00573026"/>
    <w:rsid w:val="00573AF1"/>
    <w:rsid w:val="00574AB4"/>
    <w:rsid w:val="00574D72"/>
    <w:rsid w:val="0057535E"/>
    <w:rsid w:val="00576563"/>
    <w:rsid w:val="00577181"/>
    <w:rsid w:val="00577F81"/>
    <w:rsid w:val="00580E91"/>
    <w:rsid w:val="005822C4"/>
    <w:rsid w:val="00583771"/>
    <w:rsid w:val="0058416A"/>
    <w:rsid w:val="00585A01"/>
    <w:rsid w:val="00585EB6"/>
    <w:rsid w:val="00586481"/>
    <w:rsid w:val="0058763A"/>
    <w:rsid w:val="0059074F"/>
    <w:rsid w:val="00590C2D"/>
    <w:rsid w:val="0059258B"/>
    <w:rsid w:val="0059439B"/>
    <w:rsid w:val="005949E8"/>
    <w:rsid w:val="00595191"/>
    <w:rsid w:val="00596CC1"/>
    <w:rsid w:val="005973EF"/>
    <w:rsid w:val="00597FA3"/>
    <w:rsid w:val="005A0741"/>
    <w:rsid w:val="005A17B8"/>
    <w:rsid w:val="005A2A7A"/>
    <w:rsid w:val="005A4447"/>
    <w:rsid w:val="005A5617"/>
    <w:rsid w:val="005A6F49"/>
    <w:rsid w:val="005A77DE"/>
    <w:rsid w:val="005A7814"/>
    <w:rsid w:val="005A7C32"/>
    <w:rsid w:val="005B0042"/>
    <w:rsid w:val="005B1275"/>
    <w:rsid w:val="005B2D27"/>
    <w:rsid w:val="005B3E36"/>
    <w:rsid w:val="005B4C55"/>
    <w:rsid w:val="005B5CDE"/>
    <w:rsid w:val="005B6104"/>
    <w:rsid w:val="005B65D1"/>
    <w:rsid w:val="005B6C0F"/>
    <w:rsid w:val="005C1709"/>
    <w:rsid w:val="005C2A12"/>
    <w:rsid w:val="005C32D6"/>
    <w:rsid w:val="005C4113"/>
    <w:rsid w:val="005C5422"/>
    <w:rsid w:val="005C5A86"/>
    <w:rsid w:val="005C6AC9"/>
    <w:rsid w:val="005D31BC"/>
    <w:rsid w:val="005D3E29"/>
    <w:rsid w:val="005D4486"/>
    <w:rsid w:val="005D4A67"/>
    <w:rsid w:val="005D7F49"/>
    <w:rsid w:val="005E03D0"/>
    <w:rsid w:val="005E0B5E"/>
    <w:rsid w:val="005E1510"/>
    <w:rsid w:val="005E3169"/>
    <w:rsid w:val="005E3B3E"/>
    <w:rsid w:val="005E4BE4"/>
    <w:rsid w:val="005E4E32"/>
    <w:rsid w:val="005E4FDD"/>
    <w:rsid w:val="005E5571"/>
    <w:rsid w:val="005E563B"/>
    <w:rsid w:val="005E5AB2"/>
    <w:rsid w:val="005E5BA6"/>
    <w:rsid w:val="005E74BB"/>
    <w:rsid w:val="005E78A9"/>
    <w:rsid w:val="005E7FDF"/>
    <w:rsid w:val="005F002D"/>
    <w:rsid w:val="005F0718"/>
    <w:rsid w:val="005F0BDB"/>
    <w:rsid w:val="005F1918"/>
    <w:rsid w:val="005F1A73"/>
    <w:rsid w:val="005F2402"/>
    <w:rsid w:val="005F6947"/>
    <w:rsid w:val="006009EB"/>
    <w:rsid w:val="00600E1C"/>
    <w:rsid w:val="006025AF"/>
    <w:rsid w:val="00602703"/>
    <w:rsid w:val="00602B39"/>
    <w:rsid w:val="00603FF1"/>
    <w:rsid w:val="006046C6"/>
    <w:rsid w:val="00606303"/>
    <w:rsid w:val="00607626"/>
    <w:rsid w:val="00610390"/>
    <w:rsid w:val="00612501"/>
    <w:rsid w:val="006126CE"/>
    <w:rsid w:val="00614B40"/>
    <w:rsid w:val="00615305"/>
    <w:rsid w:val="006162A9"/>
    <w:rsid w:val="0061635A"/>
    <w:rsid w:val="00616467"/>
    <w:rsid w:val="0062031B"/>
    <w:rsid w:val="0062063F"/>
    <w:rsid w:val="00620F68"/>
    <w:rsid w:val="00622BB5"/>
    <w:rsid w:val="0062512C"/>
    <w:rsid w:val="00625A10"/>
    <w:rsid w:val="0062722D"/>
    <w:rsid w:val="0062729F"/>
    <w:rsid w:val="0062734D"/>
    <w:rsid w:val="0063063C"/>
    <w:rsid w:val="00630A61"/>
    <w:rsid w:val="00630CBC"/>
    <w:rsid w:val="0063133E"/>
    <w:rsid w:val="006322D8"/>
    <w:rsid w:val="00632954"/>
    <w:rsid w:val="0063390D"/>
    <w:rsid w:val="00637236"/>
    <w:rsid w:val="00641267"/>
    <w:rsid w:val="006413F2"/>
    <w:rsid w:val="0064277E"/>
    <w:rsid w:val="006427E9"/>
    <w:rsid w:val="00642EAC"/>
    <w:rsid w:val="0064367E"/>
    <w:rsid w:val="00644508"/>
    <w:rsid w:val="00646DC3"/>
    <w:rsid w:val="00647B54"/>
    <w:rsid w:val="00650A3A"/>
    <w:rsid w:val="00650A46"/>
    <w:rsid w:val="00650C20"/>
    <w:rsid w:val="00651096"/>
    <w:rsid w:val="00652916"/>
    <w:rsid w:val="00655D8D"/>
    <w:rsid w:val="0065743F"/>
    <w:rsid w:val="006578F6"/>
    <w:rsid w:val="00660CC2"/>
    <w:rsid w:val="0066201F"/>
    <w:rsid w:val="00662465"/>
    <w:rsid w:val="00663FCC"/>
    <w:rsid w:val="0066426F"/>
    <w:rsid w:val="00665A2C"/>
    <w:rsid w:val="00670BC5"/>
    <w:rsid w:val="006714DC"/>
    <w:rsid w:val="006718F4"/>
    <w:rsid w:val="00672000"/>
    <w:rsid w:val="00672B2A"/>
    <w:rsid w:val="00674081"/>
    <w:rsid w:val="00674617"/>
    <w:rsid w:val="00674A79"/>
    <w:rsid w:val="00677018"/>
    <w:rsid w:val="006806D7"/>
    <w:rsid w:val="00683BA9"/>
    <w:rsid w:val="00686CC3"/>
    <w:rsid w:val="00686E83"/>
    <w:rsid w:val="00691B7C"/>
    <w:rsid w:val="00693F37"/>
    <w:rsid w:val="00696635"/>
    <w:rsid w:val="00696911"/>
    <w:rsid w:val="006976B1"/>
    <w:rsid w:val="006976B9"/>
    <w:rsid w:val="006A0191"/>
    <w:rsid w:val="006A15FD"/>
    <w:rsid w:val="006A1CEE"/>
    <w:rsid w:val="006A23DE"/>
    <w:rsid w:val="006A6825"/>
    <w:rsid w:val="006A7650"/>
    <w:rsid w:val="006B1FF2"/>
    <w:rsid w:val="006B31DF"/>
    <w:rsid w:val="006B3350"/>
    <w:rsid w:val="006B6388"/>
    <w:rsid w:val="006B7F6F"/>
    <w:rsid w:val="006B7F98"/>
    <w:rsid w:val="006C14F8"/>
    <w:rsid w:val="006C18DD"/>
    <w:rsid w:val="006C41D2"/>
    <w:rsid w:val="006C4329"/>
    <w:rsid w:val="006C59DB"/>
    <w:rsid w:val="006C5A0A"/>
    <w:rsid w:val="006C5F7F"/>
    <w:rsid w:val="006D0929"/>
    <w:rsid w:val="006D2026"/>
    <w:rsid w:val="006D2246"/>
    <w:rsid w:val="006D3358"/>
    <w:rsid w:val="006D36FA"/>
    <w:rsid w:val="006D4C53"/>
    <w:rsid w:val="006D55C2"/>
    <w:rsid w:val="006D6B6F"/>
    <w:rsid w:val="006E12E7"/>
    <w:rsid w:val="006E2255"/>
    <w:rsid w:val="006E29CC"/>
    <w:rsid w:val="006E3862"/>
    <w:rsid w:val="006E4759"/>
    <w:rsid w:val="006E5A50"/>
    <w:rsid w:val="006F0193"/>
    <w:rsid w:val="006F0492"/>
    <w:rsid w:val="006F0964"/>
    <w:rsid w:val="006F0F3A"/>
    <w:rsid w:val="006F1046"/>
    <w:rsid w:val="006F40CF"/>
    <w:rsid w:val="006F4127"/>
    <w:rsid w:val="006F4564"/>
    <w:rsid w:val="006F5FEC"/>
    <w:rsid w:val="006F65DC"/>
    <w:rsid w:val="00700090"/>
    <w:rsid w:val="00700BAE"/>
    <w:rsid w:val="007012E0"/>
    <w:rsid w:val="007031A1"/>
    <w:rsid w:val="007036BC"/>
    <w:rsid w:val="00704F04"/>
    <w:rsid w:val="007060BE"/>
    <w:rsid w:val="007064BA"/>
    <w:rsid w:val="0071016E"/>
    <w:rsid w:val="007126CE"/>
    <w:rsid w:val="0071270F"/>
    <w:rsid w:val="00712800"/>
    <w:rsid w:val="007132E2"/>
    <w:rsid w:val="00715F54"/>
    <w:rsid w:val="007170BB"/>
    <w:rsid w:val="0072312C"/>
    <w:rsid w:val="007236D7"/>
    <w:rsid w:val="007260F4"/>
    <w:rsid w:val="0073044C"/>
    <w:rsid w:val="00730710"/>
    <w:rsid w:val="00730C93"/>
    <w:rsid w:val="00730FB3"/>
    <w:rsid w:val="00732395"/>
    <w:rsid w:val="0073259E"/>
    <w:rsid w:val="00732AB5"/>
    <w:rsid w:val="00736F92"/>
    <w:rsid w:val="007371B1"/>
    <w:rsid w:val="00740890"/>
    <w:rsid w:val="007422A7"/>
    <w:rsid w:val="007444FD"/>
    <w:rsid w:val="00744586"/>
    <w:rsid w:val="00745FD4"/>
    <w:rsid w:val="007464CB"/>
    <w:rsid w:val="0074650E"/>
    <w:rsid w:val="007466F6"/>
    <w:rsid w:val="00746991"/>
    <w:rsid w:val="0075068B"/>
    <w:rsid w:val="00750937"/>
    <w:rsid w:val="00750AD5"/>
    <w:rsid w:val="0075181B"/>
    <w:rsid w:val="0075196B"/>
    <w:rsid w:val="00751E7C"/>
    <w:rsid w:val="00752DCA"/>
    <w:rsid w:val="007535ED"/>
    <w:rsid w:val="007541B7"/>
    <w:rsid w:val="00754E1E"/>
    <w:rsid w:val="00755077"/>
    <w:rsid w:val="007555B8"/>
    <w:rsid w:val="00755876"/>
    <w:rsid w:val="007562C4"/>
    <w:rsid w:val="007563E1"/>
    <w:rsid w:val="007573C5"/>
    <w:rsid w:val="00757D92"/>
    <w:rsid w:val="007617F1"/>
    <w:rsid w:val="0076489C"/>
    <w:rsid w:val="00765527"/>
    <w:rsid w:val="00765A27"/>
    <w:rsid w:val="007679FB"/>
    <w:rsid w:val="00771F82"/>
    <w:rsid w:val="00773082"/>
    <w:rsid w:val="00773104"/>
    <w:rsid w:val="007757F6"/>
    <w:rsid w:val="00775B9B"/>
    <w:rsid w:val="007772F5"/>
    <w:rsid w:val="0078105A"/>
    <w:rsid w:val="00783B46"/>
    <w:rsid w:val="007856C0"/>
    <w:rsid w:val="00790DF2"/>
    <w:rsid w:val="00791472"/>
    <w:rsid w:val="00791879"/>
    <w:rsid w:val="00791D89"/>
    <w:rsid w:val="007928AB"/>
    <w:rsid w:val="00793745"/>
    <w:rsid w:val="007938C4"/>
    <w:rsid w:val="00793F78"/>
    <w:rsid w:val="00797173"/>
    <w:rsid w:val="007A04B3"/>
    <w:rsid w:val="007A07AA"/>
    <w:rsid w:val="007A124B"/>
    <w:rsid w:val="007A133F"/>
    <w:rsid w:val="007A3335"/>
    <w:rsid w:val="007A50EE"/>
    <w:rsid w:val="007A5CB5"/>
    <w:rsid w:val="007A74C2"/>
    <w:rsid w:val="007B0DE6"/>
    <w:rsid w:val="007B28F4"/>
    <w:rsid w:val="007B2E30"/>
    <w:rsid w:val="007B3646"/>
    <w:rsid w:val="007B3B5E"/>
    <w:rsid w:val="007B3DAB"/>
    <w:rsid w:val="007B41F4"/>
    <w:rsid w:val="007B65F7"/>
    <w:rsid w:val="007B6A39"/>
    <w:rsid w:val="007C0632"/>
    <w:rsid w:val="007C11C3"/>
    <w:rsid w:val="007C1FB3"/>
    <w:rsid w:val="007C24BB"/>
    <w:rsid w:val="007C3640"/>
    <w:rsid w:val="007C4B1F"/>
    <w:rsid w:val="007C5BB6"/>
    <w:rsid w:val="007C64EE"/>
    <w:rsid w:val="007C72E0"/>
    <w:rsid w:val="007C7BBE"/>
    <w:rsid w:val="007C7D5A"/>
    <w:rsid w:val="007C7DE8"/>
    <w:rsid w:val="007D03A9"/>
    <w:rsid w:val="007D07B2"/>
    <w:rsid w:val="007D2555"/>
    <w:rsid w:val="007D33FA"/>
    <w:rsid w:val="007D41D9"/>
    <w:rsid w:val="007D5DF5"/>
    <w:rsid w:val="007D6A9E"/>
    <w:rsid w:val="007E018D"/>
    <w:rsid w:val="007E4493"/>
    <w:rsid w:val="007E46A5"/>
    <w:rsid w:val="007E7273"/>
    <w:rsid w:val="007E74D5"/>
    <w:rsid w:val="007F2379"/>
    <w:rsid w:val="007F2F7D"/>
    <w:rsid w:val="007F3DD7"/>
    <w:rsid w:val="00802E7E"/>
    <w:rsid w:val="0080302A"/>
    <w:rsid w:val="0080309D"/>
    <w:rsid w:val="008037B0"/>
    <w:rsid w:val="008057F3"/>
    <w:rsid w:val="00805DD3"/>
    <w:rsid w:val="00806180"/>
    <w:rsid w:val="008069DC"/>
    <w:rsid w:val="00806C93"/>
    <w:rsid w:val="00807AFF"/>
    <w:rsid w:val="00807D82"/>
    <w:rsid w:val="00810425"/>
    <w:rsid w:val="00811084"/>
    <w:rsid w:val="008116CD"/>
    <w:rsid w:val="00815383"/>
    <w:rsid w:val="00816653"/>
    <w:rsid w:val="008203BF"/>
    <w:rsid w:val="008208D1"/>
    <w:rsid w:val="008211BF"/>
    <w:rsid w:val="00824177"/>
    <w:rsid w:val="00824878"/>
    <w:rsid w:val="00825CAA"/>
    <w:rsid w:val="00825D8C"/>
    <w:rsid w:val="00827907"/>
    <w:rsid w:val="0083003D"/>
    <w:rsid w:val="00832778"/>
    <w:rsid w:val="0083303C"/>
    <w:rsid w:val="008361F9"/>
    <w:rsid w:val="0083683B"/>
    <w:rsid w:val="00836C3C"/>
    <w:rsid w:val="00836D25"/>
    <w:rsid w:val="00843BD9"/>
    <w:rsid w:val="00844050"/>
    <w:rsid w:val="008460BB"/>
    <w:rsid w:val="008470DA"/>
    <w:rsid w:val="008471F0"/>
    <w:rsid w:val="00851488"/>
    <w:rsid w:val="008518A2"/>
    <w:rsid w:val="00852EE8"/>
    <w:rsid w:val="0085398A"/>
    <w:rsid w:val="00857E83"/>
    <w:rsid w:val="00860747"/>
    <w:rsid w:val="00861E03"/>
    <w:rsid w:val="00861FC8"/>
    <w:rsid w:val="00862AC7"/>
    <w:rsid w:val="0086349E"/>
    <w:rsid w:val="00863F18"/>
    <w:rsid w:val="00864701"/>
    <w:rsid w:val="00864B49"/>
    <w:rsid w:val="00864FF8"/>
    <w:rsid w:val="00865164"/>
    <w:rsid w:val="0086624B"/>
    <w:rsid w:val="008665BA"/>
    <w:rsid w:val="0086664F"/>
    <w:rsid w:val="00867270"/>
    <w:rsid w:val="00867985"/>
    <w:rsid w:val="00867A04"/>
    <w:rsid w:val="00871185"/>
    <w:rsid w:val="0087138A"/>
    <w:rsid w:val="00873B11"/>
    <w:rsid w:val="00874949"/>
    <w:rsid w:val="008749E1"/>
    <w:rsid w:val="00874B71"/>
    <w:rsid w:val="00874DE8"/>
    <w:rsid w:val="00875432"/>
    <w:rsid w:val="00876CDA"/>
    <w:rsid w:val="00877B8C"/>
    <w:rsid w:val="00880B07"/>
    <w:rsid w:val="00880C2D"/>
    <w:rsid w:val="00883627"/>
    <w:rsid w:val="008847EA"/>
    <w:rsid w:val="008863FC"/>
    <w:rsid w:val="0088643D"/>
    <w:rsid w:val="00887272"/>
    <w:rsid w:val="00887D25"/>
    <w:rsid w:val="00895906"/>
    <w:rsid w:val="008962FB"/>
    <w:rsid w:val="0089637E"/>
    <w:rsid w:val="0089739E"/>
    <w:rsid w:val="008A151B"/>
    <w:rsid w:val="008A2B61"/>
    <w:rsid w:val="008A3731"/>
    <w:rsid w:val="008A3982"/>
    <w:rsid w:val="008A40BE"/>
    <w:rsid w:val="008A41AB"/>
    <w:rsid w:val="008A54D3"/>
    <w:rsid w:val="008A7373"/>
    <w:rsid w:val="008B015A"/>
    <w:rsid w:val="008B0F8A"/>
    <w:rsid w:val="008B1C3C"/>
    <w:rsid w:val="008B2000"/>
    <w:rsid w:val="008B2005"/>
    <w:rsid w:val="008B2F3D"/>
    <w:rsid w:val="008B44D4"/>
    <w:rsid w:val="008B4839"/>
    <w:rsid w:val="008B4E87"/>
    <w:rsid w:val="008C103E"/>
    <w:rsid w:val="008C12A5"/>
    <w:rsid w:val="008C161D"/>
    <w:rsid w:val="008C1831"/>
    <w:rsid w:val="008C1D49"/>
    <w:rsid w:val="008C1D80"/>
    <w:rsid w:val="008C4908"/>
    <w:rsid w:val="008C4DA4"/>
    <w:rsid w:val="008C5143"/>
    <w:rsid w:val="008C713D"/>
    <w:rsid w:val="008D0964"/>
    <w:rsid w:val="008D0C0B"/>
    <w:rsid w:val="008D0E78"/>
    <w:rsid w:val="008D1EE1"/>
    <w:rsid w:val="008D2700"/>
    <w:rsid w:val="008D309F"/>
    <w:rsid w:val="008D5992"/>
    <w:rsid w:val="008D5BDF"/>
    <w:rsid w:val="008D7305"/>
    <w:rsid w:val="008D7996"/>
    <w:rsid w:val="008D7A74"/>
    <w:rsid w:val="008D7D99"/>
    <w:rsid w:val="008E05D6"/>
    <w:rsid w:val="008E20C5"/>
    <w:rsid w:val="008E23BA"/>
    <w:rsid w:val="008E45AE"/>
    <w:rsid w:val="008E47A2"/>
    <w:rsid w:val="008E4B5A"/>
    <w:rsid w:val="008E4F19"/>
    <w:rsid w:val="008E59B6"/>
    <w:rsid w:val="008E5EC2"/>
    <w:rsid w:val="008E794B"/>
    <w:rsid w:val="008E7CDF"/>
    <w:rsid w:val="008F090D"/>
    <w:rsid w:val="008F14CE"/>
    <w:rsid w:val="008F1FC3"/>
    <w:rsid w:val="008F2B1B"/>
    <w:rsid w:val="008F4423"/>
    <w:rsid w:val="00907670"/>
    <w:rsid w:val="0091022B"/>
    <w:rsid w:val="009106DB"/>
    <w:rsid w:val="00911A41"/>
    <w:rsid w:val="00911F1D"/>
    <w:rsid w:val="00912A1C"/>
    <w:rsid w:val="00912F7F"/>
    <w:rsid w:val="00913A09"/>
    <w:rsid w:val="00915FAF"/>
    <w:rsid w:val="00917FB7"/>
    <w:rsid w:val="00920544"/>
    <w:rsid w:val="00920A50"/>
    <w:rsid w:val="009214D9"/>
    <w:rsid w:val="00921E95"/>
    <w:rsid w:val="00925046"/>
    <w:rsid w:val="00925991"/>
    <w:rsid w:val="00925CF3"/>
    <w:rsid w:val="009260E0"/>
    <w:rsid w:val="009261C1"/>
    <w:rsid w:val="009269EA"/>
    <w:rsid w:val="00927543"/>
    <w:rsid w:val="00930A7B"/>
    <w:rsid w:val="00931133"/>
    <w:rsid w:val="00931343"/>
    <w:rsid w:val="00934660"/>
    <w:rsid w:val="00936966"/>
    <w:rsid w:val="0093707B"/>
    <w:rsid w:val="00937C71"/>
    <w:rsid w:val="00940B5A"/>
    <w:rsid w:val="00942A47"/>
    <w:rsid w:val="00943671"/>
    <w:rsid w:val="00944A6D"/>
    <w:rsid w:val="00945A51"/>
    <w:rsid w:val="00946A16"/>
    <w:rsid w:val="00946DA2"/>
    <w:rsid w:val="009479D8"/>
    <w:rsid w:val="00947A92"/>
    <w:rsid w:val="00950406"/>
    <w:rsid w:val="00951CC5"/>
    <w:rsid w:val="00953DEA"/>
    <w:rsid w:val="00953E20"/>
    <w:rsid w:val="0095458B"/>
    <w:rsid w:val="009565A7"/>
    <w:rsid w:val="009576DC"/>
    <w:rsid w:val="009628C7"/>
    <w:rsid w:val="00962C77"/>
    <w:rsid w:val="00963C76"/>
    <w:rsid w:val="00963D14"/>
    <w:rsid w:val="00964E5E"/>
    <w:rsid w:val="00966938"/>
    <w:rsid w:val="00966988"/>
    <w:rsid w:val="0096751D"/>
    <w:rsid w:val="0097052B"/>
    <w:rsid w:val="00970EA1"/>
    <w:rsid w:val="00972948"/>
    <w:rsid w:val="00972E0A"/>
    <w:rsid w:val="009732C1"/>
    <w:rsid w:val="00973F16"/>
    <w:rsid w:val="00974969"/>
    <w:rsid w:val="0097540D"/>
    <w:rsid w:val="00977AC0"/>
    <w:rsid w:val="00982DAD"/>
    <w:rsid w:val="00982E25"/>
    <w:rsid w:val="0098373B"/>
    <w:rsid w:val="00983C3A"/>
    <w:rsid w:val="00983C98"/>
    <w:rsid w:val="009853A1"/>
    <w:rsid w:val="00987219"/>
    <w:rsid w:val="0098760A"/>
    <w:rsid w:val="00987DB2"/>
    <w:rsid w:val="00990D99"/>
    <w:rsid w:val="00990E4E"/>
    <w:rsid w:val="00995910"/>
    <w:rsid w:val="00996FF7"/>
    <w:rsid w:val="009975C9"/>
    <w:rsid w:val="00997924"/>
    <w:rsid w:val="00997C8E"/>
    <w:rsid w:val="009A2E7E"/>
    <w:rsid w:val="009A3E26"/>
    <w:rsid w:val="009A4224"/>
    <w:rsid w:val="009A5BC7"/>
    <w:rsid w:val="009A5FFC"/>
    <w:rsid w:val="009A6EA5"/>
    <w:rsid w:val="009A7803"/>
    <w:rsid w:val="009A79B1"/>
    <w:rsid w:val="009A7D35"/>
    <w:rsid w:val="009B0730"/>
    <w:rsid w:val="009B0874"/>
    <w:rsid w:val="009B08F9"/>
    <w:rsid w:val="009B2365"/>
    <w:rsid w:val="009B39D5"/>
    <w:rsid w:val="009B5DF6"/>
    <w:rsid w:val="009B6224"/>
    <w:rsid w:val="009B69ED"/>
    <w:rsid w:val="009B7235"/>
    <w:rsid w:val="009B7DD2"/>
    <w:rsid w:val="009C15AE"/>
    <w:rsid w:val="009C1B1D"/>
    <w:rsid w:val="009C4171"/>
    <w:rsid w:val="009C54A9"/>
    <w:rsid w:val="009C612A"/>
    <w:rsid w:val="009C67E5"/>
    <w:rsid w:val="009C6BB8"/>
    <w:rsid w:val="009D301E"/>
    <w:rsid w:val="009D5CF0"/>
    <w:rsid w:val="009D5F80"/>
    <w:rsid w:val="009D6C0B"/>
    <w:rsid w:val="009D7044"/>
    <w:rsid w:val="009D71E3"/>
    <w:rsid w:val="009D7BED"/>
    <w:rsid w:val="009E0FDF"/>
    <w:rsid w:val="009E1015"/>
    <w:rsid w:val="009E1E10"/>
    <w:rsid w:val="009E27F0"/>
    <w:rsid w:val="009E35D1"/>
    <w:rsid w:val="009E4D9B"/>
    <w:rsid w:val="009E52A8"/>
    <w:rsid w:val="009E5CF4"/>
    <w:rsid w:val="009E68D4"/>
    <w:rsid w:val="009E7819"/>
    <w:rsid w:val="009F1975"/>
    <w:rsid w:val="009F198D"/>
    <w:rsid w:val="009F19F0"/>
    <w:rsid w:val="009F39B1"/>
    <w:rsid w:val="009F5D71"/>
    <w:rsid w:val="009F75A0"/>
    <w:rsid w:val="00A003C6"/>
    <w:rsid w:val="00A0083D"/>
    <w:rsid w:val="00A00DCF"/>
    <w:rsid w:val="00A01BD5"/>
    <w:rsid w:val="00A01DCC"/>
    <w:rsid w:val="00A0286B"/>
    <w:rsid w:val="00A029B7"/>
    <w:rsid w:val="00A02BFE"/>
    <w:rsid w:val="00A03226"/>
    <w:rsid w:val="00A04CF4"/>
    <w:rsid w:val="00A057F5"/>
    <w:rsid w:val="00A06315"/>
    <w:rsid w:val="00A075B8"/>
    <w:rsid w:val="00A07A85"/>
    <w:rsid w:val="00A101D2"/>
    <w:rsid w:val="00A11E4F"/>
    <w:rsid w:val="00A130FF"/>
    <w:rsid w:val="00A1330B"/>
    <w:rsid w:val="00A13B8C"/>
    <w:rsid w:val="00A1473E"/>
    <w:rsid w:val="00A147E5"/>
    <w:rsid w:val="00A14FFA"/>
    <w:rsid w:val="00A15EC5"/>
    <w:rsid w:val="00A16B20"/>
    <w:rsid w:val="00A200C0"/>
    <w:rsid w:val="00A20991"/>
    <w:rsid w:val="00A22D5F"/>
    <w:rsid w:val="00A23550"/>
    <w:rsid w:val="00A23C9E"/>
    <w:rsid w:val="00A244E1"/>
    <w:rsid w:val="00A3060B"/>
    <w:rsid w:val="00A31E6F"/>
    <w:rsid w:val="00A331C7"/>
    <w:rsid w:val="00A3320D"/>
    <w:rsid w:val="00A33A68"/>
    <w:rsid w:val="00A354C5"/>
    <w:rsid w:val="00A36E1B"/>
    <w:rsid w:val="00A37CB4"/>
    <w:rsid w:val="00A40EF0"/>
    <w:rsid w:val="00A418E7"/>
    <w:rsid w:val="00A447A3"/>
    <w:rsid w:val="00A450F5"/>
    <w:rsid w:val="00A466C7"/>
    <w:rsid w:val="00A52839"/>
    <w:rsid w:val="00A5477F"/>
    <w:rsid w:val="00A563C8"/>
    <w:rsid w:val="00A5664E"/>
    <w:rsid w:val="00A5758E"/>
    <w:rsid w:val="00A60751"/>
    <w:rsid w:val="00A6170A"/>
    <w:rsid w:val="00A6268D"/>
    <w:rsid w:val="00A65A2D"/>
    <w:rsid w:val="00A65AB4"/>
    <w:rsid w:val="00A67880"/>
    <w:rsid w:val="00A67F37"/>
    <w:rsid w:val="00A70EBE"/>
    <w:rsid w:val="00A70FB7"/>
    <w:rsid w:val="00A73154"/>
    <w:rsid w:val="00A74E31"/>
    <w:rsid w:val="00A757AE"/>
    <w:rsid w:val="00A76ED3"/>
    <w:rsid w:val="00A77802"/>
    <w:rsid w:val="00A77FDC"/>
    <w:rsid w:val="00A80D99"/>
    <w:rsid w:val="00A8233F"/>
    <w:rsid w:val="00A83FA7"/>
    <w:rsid w:val="00A8418D"/>
    <w:rsid w:val="00A841C8"/>
    <w:rsid w:val="00A84AAB"/>
    <w:rsid w:val="00A84CAB"/>
    <w:rsid w:val="00A85866"/>
    <w:rsid w:val="00A85A24"/>
    <w:rsid w:val="00A85BB8"/>
    <w:rsid w:val="00A8668E"/>
    <w:rsid w:val="00A86AF1"/>
    <w:rsid w:val="00A87E37"/>
    <w:rsid w:val="00A92931"/>
    <w:rsid w:val="00A942AA"/>
    <w:rsid w:val="00A945AE"/>
    <w:rsid w:val="00A948F5"/>
    <w:rsid w:val="00A94D5C"/>
    <w:rsid w:val="00A95533"/>
    <w:rsid w:val="00AA1A2F"/>
    <w:rsid w:val="00AA1F0E"/>
    <w:rsid w:val="00AA4EA6"/>
    <w:rsid w:val="00AA59E5"/>
    <w:rsid w:val="00AA74BD"/>
    <w:rsid w:val="00AA7EE6"/>
    <w:rsid w:val="00AA7FFE"/>
    <w:rsid w:val="00AB034F"/>
    <w:rsid w:val="00AB043D"/>
    <w:rsid w:val="00AB0AA5"/>
    <w:rsid w:val="00AB0DD9"/>
    <w:rsid w:val="00AB0EF3"/>
    <w:rsid w:val="00AB15D1"/>
    <w:rsid w:val="00AB415E"/>
    <w:rsid w:val="00AB5C2A"/>
    <w:rsid w:val="00AB7953"/>
    <w:rsid w:val="00AB7E40"/>
    <w:rsid w:val="00AC2112"/>
    <w:rsid w:val="00AC2EF1"/>
    <w:rsid w:val="00AC35CB"/>
    <w:rsid w:val="00AC4AE0"/>
    <w:rsid w:val="00AC6AF0"/>
    <w:rsid w:val="00AD01F1"/>
    <w:rsid w:val="00AD06E2"/>
    <w:rsid w:val="00AD12ED"/>
    <w:rsid w:val="00AD298B"/>
    <w:rsid w:val="00AD29C5"/>
    <w:rsid w:val="00AD2E47"/>
    <w:rsid w:val="00AD3088"/>
    <w:rsid w:val="00AD4313"/>
    <w:rsid w:val="00AD4B36"/>
    <w:rsid w:val="00AD523D"/>
    <w:rsid w:val="00AD55DC"/>
    <w:rsid w:val="00AD5A5C"/>
    <w:rsid w:val="00AD64AC"/>
    <w:rsid w:val="00AD7423"/>
    <w:rsid w:val="00AD7EFB"/>
    <w:rsid w:val="00AE0CF2"/>
    <w:rsid w:val="00AE20D2"/>
    <w:rsid w:val="00AE2371"/>
    <w:rsid w:val="00AE263F"/>
    <w:rsid w:val="00AE29C3"/>
    <w:rsid w:val="00AE4F6A"/>
    <w:rsid w:val="00AE6064"/>
    <w:rsid w:val="00AE6471"/>
    <w:rsid w:val="00AF021E"/>
    <w:rsid w:val="00AF13D0"/>
    <w:rsid w:val="00AF1F7F"/>
    <w:rsid w:val="00AF2236"/>
    <w:rsid w:val="00AF4552"/>
    <w:rsid w:val="00AF5FBC"/>
    <w:rsid w:val="00AF781B"/>
    <w:rsid w:val="00AF7AEC"/>
    <w:rsid w:val="00B00205"/>
    <w:rsid w:val="00B00AAD"/>
    <w:rsid w:val="00B014E3"/>
    <w:rsid w:val="00B03010"/>
    <w:rsid w:val="00B0371B"/>
    <w:rsid w:val="00B05DEA"/>
    <w:rsid w:val="00B06480"/>
    <w:rsid w:val="00B064F0"/>
    <w:rsid w:val="00B06796"/>
    <w:rsid w:val="00B07C3F"/>
    <w:rsid w:val="00B10742"/>
    <w:rsid w:val="00B11255"/>
    <w:rsid w:val="00B11D8D"/>
    <w:rsid w:val="00B12066"/>
    <w:rsid w:val="00B1280C"/>
    <w:rsid w:val="00B12C97"/>
    <w:rsid w:val="00B133C6"/>
    <w:rsid w:val="00B14284"/>
    <w:rsid w:val="00B1438D"/>
    <w:rsid w:val="00B144A1"/>
    <w:rsid w:val="00B14C96"/>
    <w:rsid w:val="00B1722B"/>
    <w:rsid w:val="00B17B04"/>
    <w:rsid w:val="00B20101"/>
    <w:rsid w:val="00B210C2"/>
    <w:rsid w:val="00B22523"/>
    <w:rsid w:val="00B236A4"/>
    <w:rsid w:val="00B245A7"/>
    <w:rsid w:val="00B24F56"/>
    <w:rsid w:val="00B26237"/>
    <w:rsid w:val="00B27808"/>
    <w:rsid w:val="00B2783B"/>
    <w:rsid w:val="00B30C28"/>
    <w:rsid w:val="00B31342"/>
    <w:rsid w:val="00B32D6C"/>
    <w:rsid w:val="00B3310F"/>
    <w:rsid w:val="00B3321F"/>
    <w:rsid w:val="00B3359C"/>
    <w:rsid w:val="00B34953"/>
    <w:rsid w:val="00B36DC5"/>
    <w:rsid w:val="00B4009D"/>
    <w:rsid w:val="00B40C70"/>
    <w:rsid w:val="00B41266"/>
    <w:rsid w:val="00B4129C"/>
    <w:rsid w:val="00B415F9"/>
    <w:rsid w:val="00B42618"/>
    <w:rsid w:val="00B42AC2"/>
    <w:rsid w:val="00B42DDE"/>
    <w:rsid w:val="00B4321C"/>
    <w:rsid w:val="00B435A8"/>
    <w:rsid w:val="00B43D55"/>
    <w:rsid w:val="00B45243"/>
    <w:rsid w:val="00B46FC9"/>
    <w:rsid w:val="00B47154"/>
    <w:rsid w:val="00B47F93"/>
    <w:rsid w:val="00B52F3A"/>
    <w:rsid w:val="00B53602"/>
    <w:rsid w:val="00B5384F"/>
    <w:rsid w:val="00B57205"/>
    <w:rsid w:val="00B61362"/>
    <w:rsid w:val="00B61440"/>
    <w:rsid w:val="00B6411A"/>
    <w:rsid w:val="00B64294"/>
    <w:rsid w:val="00B64C37"/>
    <w:rsid w:val="00B65099"/>
    <w:rsid w:val="00B66938"/>
    <w:rsid w:val="00B67FD8"/>
    <w:rsid w:val="00B7082A"/>
    <w:rsid w:val="00B7126D"/>
    <w:rsid w:val="00B72294"/>
    <w:rsid w:val="00B74798"/>
    <w:rsid w:val="00B75E2D"/>
    <w:rsid w:val="00B777A9"/>
    <w:rsid w:val="00B8054F"/>
    <w:rsid w:val="00B80CF9"/>
    <w:rsid w:val="00B81AD6"/>
    <w:rsid w:val="00B82412"/>
    <w:rsid w:val="00B82879"/>
    <w:rsid w:val="00B85036"/>
    <w:rsid w:val="00B86E3C"/>
    <w:rsid w:val="00B87E10"/>
    <w:rsid w:val="00B927D2"/>
    <w:rsid w:val="00B932B7"/>
    <w:rsid w:val="00B93E7B"/>
    <w:rsid w:val="00B9462E"/>
    <w:rsid w:val="00B95145"/>
    <w:rsid w:val="00B979B0"/>
    <w:rsid w:val="00B97F4D"/>
    <w:rsid w:val="00BA1AB0"/>
    <w:rsid w:val="00BA1BC8"/>
    <w:rsid w:val="00BA356E"/>
    <w:rsid w:val="00BA428D"/>
    <w:rsid w:val="00BA7643"/>
    <w:rsid w:val="00BB092E"/>
    <w:rsid w:val="00BB1289"/>
    <w:rsid w:val="00BB3D86"/>
    <w:rsid w:val="00BB3D8D"/>
    <w:rsid w:val="00BB460F"/>
    <w:rsid w:val="00BB46D9"/>
    <w:rsid w:val="00BB535B"/>
    <w:rsid w:val="00BB53A6"/>
    <w:rsid w:val="00BB630F"/>
    <w:rsid w:val="00BB6472"/>
    <w:rsid w:val="00BB654C"/>
    <w:rsid w:val="00BC0026"/>
    <w:rsid w:val="00BC1472"/>
    <w:rsid w:val="00BC18D9"/>
    <w:rsid w:val="00BC1EC0"/>
    <w:rsid w:val="00BC2FB4"/>
    <w:rsid w:val="00BC4E60"/>
    <w:rsid w:val="00BC54E0"/>
    <w:rsid w:val="00BC69A9"/>
    <w:rsid w:val="00BC7258"/>
    <w:rsid w:val="00BC7BBB"/>
    <w:rsid w:val="00BD09C0"/>
    <w:rsid w:val="00BD1556"/>
    <w:rsid w:val="00BD1F6E"/>
    <w:rsid w:val="00BD4591"/>
    <w:rsid w:val="00BD4DAE"/>
    <w:rsid w:val="00BD5135"/>
    <w:rsid w:val="00BD54A2"/>
    <w:rsid w:val="00BD58A5"/>
    <w:rsid w:val="00BD5DD0"/>
    <w:rsid w:val="00BE144C"/>
    <w:rsid w:val="00BE1B18"/>
    <w:rsid w:val="00BE2671"/>
    <w:rsid w:val="00BE2CAC"/>
    <w:rsid w:val="00BE31FF"/>
    <w:rsid w:val="00BE36EF"/>
    <w:rsid w:val="00BE417B"/>
    <w:rsid w:val="00BE4352"/>
    <w:rsid w:val="00BE4842"/>
    <w:rsid w:val="00BE50CB"/>
    <w:rsid w:val="00BE65B4"/>
    <w:rsid w:val="00BE77C6"/>
    <w:rsid w:val="00BF0AAE"/>
    <w:rsid w:val="00BF0DE3"/>
    <w:rsid w:val="00BF10F6"/>
    <w:rsid w:val="00BF34F9"/>
    <w:rsid w:val="00BF412E"/>
    <w:rsid w:val="00BF45AD"/>
    <w:rsid w:val="00BF4D86"/>
    <w:rsid w:val="00BF5AC9"/>
    <w:rsid w:val="00BF674D"/>
    <w:rsid w:val="00BF6FA2"/>
    <w:rsid w:val="00BF70EF"/>
    <w:rsid w:val="00C00017"/>
    <w:rsid w:val="00C0119C"/>
    <w:rsid w:val="00C01437"/>
    <w:rsid w:val="00C02411"/>
    <w:rsid w:val="00C029A0"/>
    <w:rsid w:val="00C02F51"/>
    <w:rsid w:val="00C0313E"/>
    <w:rsid w:val="00C038CB"/>
    <w:rsid w:val="00C03F57"/>
    <w:rsid w:val="00C05DD5"/>
    <w:rsid w:val="00C07552"/>
    <w:rsid w:val="00C0767B"/>
    <w:rsid w:val="00C07DF0"/>
    <w:rsid w:val="00C11BD0"/>
    <w:rsid w:val="00C122D3"/>
    <w:rsid w:val="00C13176"/>
    <w:rsid w:val="00C1485A"/>
    <w:rsid w:val="00C150B9"/>
    <w:rsid w:val="00C2037A"/>
    <w:rsid w:val="00C20F03"/>
    <w:rsid w:val="00C21206"/>
    <w:rsid w:val="00C21DA0"/>
    <w:rsid w:val="00C22212"/>
    <w:rsid w:val="00C228D0"/>
    <w:rsid w:val="00C23697"/>
    <w:rsid w:val="00C24A23"/>
    <w:rsid w:val="00C24C88"/>
    <w:rsid w:val="00C24F3F"/>
    <w:rsid w:val="00C25641"/>
    <w:rsid w:val="00C2598E"/>
    <w:rsid w:val="00C26270"/>
    <w:rsid w:val="00C2783E"/>
    <w:rsid w:val="00C302D1"/>
    <w:rsid w:val="00C31DF1"/>
    <w:rsid w:val="00C34182"/>
    <w:rsid w:val="00C3441C"/>
    <w:rsid w:val="00C372E2"/>
    <w:rsid w:val="00C375F3"/>
    <w:rsid w:val="00C4052E"/>
    <w:rsid w:val="00C4116B"/>
    <w:rsid w:val="00C41196"/>
    <w:rsid w:val="00C41A4E"/>
    <w:rsid w:val="00C4298B"/>
    <w:rsid w:val="00C43F05"/>
    <w:rsid w:val="00C44E84"/>
    <w:rsid w:val="00C478B0"/>
    <w:rsid w:val="00C50C56"/>
    <w:rsid w:val="00C5168E"/>
    <w:rsid w:val="00C51C8F"/>
    <w:rsid w:val="00C52673"/>
    <w:rsid w:val="00C53EEA"/>
    <w:rsid w:val="00C540F7"/>
    <w:rsid w:val="00C542DF"/>
    <w:rsid w:val="00C5441E"/>
    <w:rsid w:val="00C54EE4"/>
    <w:rsid w:val="00C55A6B"/>
    <w:rsid w:val="00C56120"/>
    <w:rsid w:val="00C569C7"/>
    <w:rsid w:val="00C6073A"/>
    <w:rsid w:val="00C614B5"/>
    <w:rsid w:val="00C61E06"/>
    <w:rsid w:val="00C61ED6"/>
    <w:rsid w:val="00C65F58"/>
    <w:rsid w:val="00C6672B"/>
    <w:rsid w:val="00C66B37"/>
    <w:rsid w:val="00C675FF"/>
    <w:rsid w:val="00C67A62"/>
    <w:rsid w:val="00C7077D"/>
    <w:rsid w:val="00C70C25"/>
    <w:rsid w:val="00C72588"/>
    <w:rsid w:val="00C72E9D"/>
    <w:rsid w:val="00C740BD"/>
    <w:rsid w:val="00C74B49"/>
    <w:rsid w:val="00C7701D"/>
    <w:rsid w:val="00C775D0"/>
    <w:rsid w:val="00C778A1"/>
    <w:rsid w:val="00C77E70"/>
    <w:rsid w:val="00C80456"/>
    <w:rsid w:val="00C804AB"/>
    <w:rsid w:val="00C80D8D"/>
    <w:rsid w:val="00C819CE"/>
    <w:rsid w:val="00C83E17"/>
    <w:rsid w:val="00C840AB"/>
    <w:rsid w:val="00C843E1"/>
    <w:rsid w:val="00C8787F"/>
    <w:rsid w:val="00C87C65"/>
    <w:rsid w:val="00C90C2C"/>
    <w:rsid w:val="00C910B7"/>
    <w:rsid w:val="00C9321B"/>
    <w:rsid w:val="00C943A7"/>
    <w:rsid w:val="00C94F10"/>
    <w:rsid w:val="00C975F2"/>
    <w:rsid w:val="00CA2590"/>
    <w:rsid w:val="00CA2ED3"/>
    <w:rsid w:val="00CA3B18"/>
    <w:rsid w:val="00CA3EF8"/>
    <w:rsid w:val="00CA5144"/>
    <w:rsid w:val="00CA5324"/>
    <w:rsid w:val="00CA580D"/>
    <w:rsid w:val="00CB0F7F"/>
    <w:rsid w:val="00CB132C"/>
    <w:rsid w:val="00CB2576"/>
    <w:rsid w:val="00CB2948"/>
    <w:rsid w:val="00CB3884"/>
    <w:rsid w:val="00CB40C9"/>
    <w:rsid w:val="00CB4B2E"/>
    <w:rsid w:val="00CB5E44"/>
    <w:rsid w:val="00CB73BA"/>
    <w:rsid w:val="00CC03A4"/>
    <w:rsid w:val="00CC04AE"/>
    <w:rsid w:val="00CC19A1"/>
    <w:rsid w:val="00CC4163"/>
    <w:rsid w:val="00CC62F9"/>
    <w:rsid w:val="00CC6424"/>
    <w:rsid w:val="00CC707C"/>
    <w:rsid w:val="00CD1B5F"/>
    <w:rsid w:val="00CD5554"/>
    <w:rsid w:val="00CD5A3C"/>
    <w:rsid w:val="00CD6001"/>
    <w:rsid w:val="00CD6412"/>
    <w:rsid w:val="00CD7259"/>
    <w:rsid w:val="00CE04A2"/>
    <w:rsid w:val="00CE2293"/>
    <w:rsid w:val="00CE38C9"/>
    <w:rsid w:val="00CE3F13"/>
    <w:rsid w:val="00CE4262"/>
    <w:rsid w:val="00CE49DD"/>
    <w:rsid w:val="00CE5FDF"/>
    <w:rsid w:val="00CE602F"/>
    <w:rsid w:val="00CE66EA"/>
    <w:rsid w:val="00CE6CB7"/>
    <w:rsid w:val="00CE75C1"/>
    <w:rsid w:val="00CF19A9"/>
    <w:rsid w:val="00CF2656"/>
    <w:rsid w:val="00CF5894"/>
    <w:rsid w:val="00CF5920"/>
    <w:rsid w:val="00CF6BB0"/>
    <w:rsid w:val="00CF7AF8"/>
    <w:rsid w:val="00D00293"/>
    <w:rsid w:val="00D0285B"/>
    <w:rsid w:val="00D038F4"/>
    <w:rsid w:val="00D04015"/>
    <w:rsid w:val="00D06336"/>
    <w:rsid w:val="00D068C1"/>
    <w:rsid w:val="00D07E96"/>
    <w:rsid w:val="00D10075"/>
    <w:rsid w:val="00D10F0F"/>
    <w:rsid w:val="00D116CA"/>
    <w:rsid w:val="00D143B0"/>
    <w:rsid w:val="00D14594"/>
    <w:rsid w:val="00D14DA1"/>
    <w:rsid w:val="00D15311"/>
    <w:rsid w:val="00D161C8"/>
    <w:rsid w:val="00D17409"/>
    <w:rsid w:val="00D176E5"/>
    <w:rsid w:val="00D2024B"/>
    <w:rsid w:val="00D20702"/>
    <w:rsid w:val="00D2101E"/>
    <w:rsid w:val="00D21289"/>
    <w:rsid w:val="00D2175B"/>
    <w:rsid w:val="00D22097"/>
    <w:rsid w:val="00D22A24"/>
    <w:rsid w:val="00D22E59"/>
    <w:rsid w:val="00D25B1E"/>
    <w:rsid w:val="00D2685E"/>
    <w:rsid w:val="00D27A34"/>
    <w:rsid w:val="00D30452"/>
    <w:rsid w:val="00D3046B"/>
    <w:rsid w:val="00D30D37"/>
    <w:rsid w:val="00D31852"/>
    <w:rsid w:val="00D3222A"/>
    <w:rsid w:val="00D33505"/>
    <w:rsid w:val="00D33B9D"/>
    <w:rsid w:val="00D34AF9"/>
    <w:rsid w:val="00D34E32"/>
    <w:rsid w:val="00D35F41"/>
    <w:rsid w:val="00D3689E"/>
    <w:rsid w:val="00D36E2B"/>
    <w:rsid w:val="00D37062"/>
    <w:rsid w:val="00D40160"/>
    <w:rsid w:val="00D4017C"/>
    <w:rsid w:val="00D408BE"/>
    <w:rsid w:val="00D40D64"/>
    <w:rsid w:val="00D40F00"/>
    <w:rsid w:val="00D420B8"/>
    <w:rsid w:val="00D432D0"/>
    <w:rsid w:val="00D441DF"/>
    <w:rsid w:val="00D45719"/>
    <w:rsid w:val="00D46CCC"/>
    <w:rsid w:val="00D47837"/>
    <w:rsid w:val="00D47AFD"/>
    <w:rsid w:val="00D500FD"/>
    <w:rsid w:val="00D50485"/>
    <w:rsid w:val="00D5071D"/>
    <w:rsid w:val="00D5145E"/>
    <w:rsid w:val="00D51739"/>
    <w:rsid w:val="00D5221C"/>
    <w:rsid w:val="00D5241A"/>
    <w:rsid w:val="00D53313"/>
    <w:rsid w:val="00D53FCB"/>
    <w:rsid w:val="00D562DC"/>
    <w:rsid w:val="00D57895"/>
    <w:rsid w:val="00D57AA8"/>
    <w:rsid w:val="00D62017"/>
    <w:rsid w:val="00D62F2A"/>
    <w:rsid w:val="00D63A88"/>
    <w:rsid w:val="00D63B47"/>
    <w:rsid w:val="00D63E00"/>
    <w:rsid w:val="00D646DC"/>
    <w:rsid w:val="00D64EB3"/>
    <w:rsid w:val="00D64FB1"/>
    <w:rsid w:val="00D65D63"/>
    <w:rsid w:val="00D66079"/>
    <w:rsid w:val="00D6643F"/>
    <w:rsid w:val="00D66848"/>
    <w:rsid w:val="00D674A3"/>
    <w:rsid w:val="00D70F72"/>
    <w:rsid w:val="00D72396"/>
    <w:rsid w:val="00D72AC2"/>
    <w:rsid w:val="00D72BF9"/>
    <w:rsid w:val="00D72F2F"/>
    <w:rsid w:val="00D73048"/>
    <w:rsid w:val="00D7377F"/>
    <w:rsid w:val="00D7408A"/>
    <w:rsid w:val="00D74DBC"/>
    <w:rsid w:val="00D753F0"/>
    <w:rsid w:val="00D75F7A"/>
    <w:rsid w:val="00D76CD7"/>
    <w:rsid w:val="00D77DE1"/>
    <w:rsid w:val="00D82069"/>
    <w:rsid w:val="00D821EC"/>
    <w:rsid w:val="00D87475"/>
    <w:rsid w:val="00D879B1"/>
    <w:rsid w:val="00D900D2"/>
    <w:rsid w:val="00D90CC7"/>
    <w:rsid w:val="00D91AFD"/>
    <w:rsid w:val="00D942F5"/>
    <w:rsid w:val="00D94AD4"/>
    <w:rsid w:val="00D94CAE"/>
    <w:rsid w:val="00D9521E"/>
    <w:rsid w:val="00D97A10"/>
    <w:rsid w:val="00DA1361"/>
    <w:rsid w:val="00DA1C76"/>
    <w:rsid w:val="00DA2EB5"/>
    <w:rsid w:val="00DA346B"/>
    <w:rsid w:val="00DA5BB4"/>
    <w:rsid w:val="00DA72F4"/>
    <w:rsid w:val="00DB0914"/>
    <w:rsid w:val="00DB12AF"/>
    <w:rsid w:val="00DB3C04"/>
    <w:rsid w:val="00DB3C10"/>
    <w:rsid w:val="00DB41C6"/>
    <w:rsid w:val="00DB5793"/>
    <w:rsid w:val="00DB70BA"/>
    <w:rsid w:val="00DB7A5C"/>
    <w:rsid w:val="00DB7E73"/>
    <w:rsid w:val="00DB7F73"/>
    <w:rsid w:val="00DC2150"/>
    <w:rsid w:val="00DC2A9B"/>
    <w:rsid w:val="00DC3AA9"/>
    <w:rsid w:val="00DC4DEA"/>
    <w:rsid w:val="00DC6E8E"/>
    <w:rsid w:val="00DC776D"/>
    <w:rsid w:val="00DD16D3"/>
    <w:rsid w:val="00DD2CB1"/>
    <w:rsid w:val="00DD2D5D"/>
    <w:rsid w:val="00DD435C"/>
    <w:rsid w:val="00DD674D"/>
    <w:rsid w:val="00DE000E"/>
    <w:rsid w:val="00DE0266"/>
    <w:rsid w:val="00DE04D1"/>
    <w:rsid w:val="00DE0AC2"/>
    <w:rsid w:val="00DE2121"/>
    <w:rsid w:val="00DE2244"/>
    <w:rsid w:val="00DE3283"/>
    <w:rsid w:val="00DE38F0"/>
    <w:rsid w:val="00DE4457"/>
    <w:rsid w:val="00DE48DF"/>
    <w:rsid w:val="00DE5460"/>
    <w:rsid w:val="00DE56BA"/>
    <w:rsid w:val="00DE5A82"/>
    <w:rsid w:val="00DE5CD6"/>
    <w:rsid w:val="00DE6084"/>
    <w:rsid w:val="00DE626A"/>
    <w:rsid w:val="00DE69DD"/>
    <w:rsid w:val="00DE747A"/>
    <w:rsid w:val="00DF0155"/>
    <w:rsid w:val="00DF1B7E"/>
    <w:rsid w:val="00DF1CB8"/>
    <w:rsid w:val="00DF1CEB"/>
    <w:rsid w:val="00DF3823"/>
    <w:rsid w:val="00DF475F"/>
    <w:rsid w:val="00DF49A5"/>
    <w:rsid w:val="00DF5BAD"/>
    <w:rsid w:val="00DF63B9"/>
    <w:rsid w:val="00DF6613"/>
    <w:rsid w:val="00DF6C39"/>
    <w:rsid w:val="00DF7B70"/>
    <w:rsid w:val="00E00963"/>
    <w:rsid w:val="00E017F9"/>
    <w:rsid w:val="00E023DE"/>
    <w:rsid w:val="00E0464A"/>
    <w:rsid w:val="00E04EB4"/>
    <w:rsid w:val="00E06127"/>
    <w:rsid w:val="00E06818"/>
    <w:rsid w:val="00E06DF3"/>
    <w:rsid w:val="00E07D83"/>
    <w:rsid w:val="00E11475"/>
    <w:rsid w:val="00E1232E"/>
    <w:rsid w:val="00E124D7"/>
    <w:rsid w:val="00E13051"/>
    <w:rsid w:val="00E13201"/>
    <w:rsid w:val="00E139DC"/>
    <w:rsid w:val="00E13FE0"/>
    <w:rsid w:val="00E14274"/>
    <w:rsid w:val="00E14ECC"/>
    <w:rsid w:val="00E15605"/>
    <w:rsid w:val="00E15650"/>
    <w:rsid w:val="00E15E78"/>
    <w:rsid w:val="00E15EDF"/>
    <w:rsid w:val="00E176D8"/>
    <w:rsid w:val="00E205AD"/>
    <w:rsid w:val="00E20A85"/>
    <w:rsid w:val="00E22626"/>
    <w:rsid w:val="00E23037"/>
    <w:rsid w:val="00E23A4C"/>
    <w:rsid w:val="00E23F1C"/>
    <w:rsid w:val="00E23F3E"/>
    <w:rsid w:val="00E24B68"/>
    <w:rsid w:val="00E252FA"/>
    <w:rsid w:val="00E25480"/>
    <w:rsid w:val="00E261EF"/>
    <w:rsid w:val="00E2698B"/>
    <w:rsid w:val="00E272F6"/>
    <w:rsid w:val="00E27DFA"/>
    <w:rsid w:val="00E30F02"/>
    <w:rsid w:val="00E32C44"/>
    <w:rsid w:val="00E3330D"/>
    <w:rsid w:val="00E33FC4"/>
    <w:rsid w:val="00E344AF"/>
    <w:rsid w:val="00E35197"/>
    <w:rsid w:val="00E360EA"/>
    <w:rsid w:val="00E367F5"/>
    <w:rsid w:val="00E41E35"/>
    <w:rsid w:val="00E432C4"/>
    <w:rsid w:val="00E4400C"/>
    <w:rsid w:val="00E444CA"/>
    <w:rsid w:val="00E45E4D"/>
    <w:rsid w:val="00E471D7"/>
    <w:rsid w:val="00E508D5"/>
    <w:rsid w:val="00E54080"/>
    <w:rsid w:val="00E5420E"/>
    <w:rsid w:val="00E54214"/>
    <w:rsid w:val="00E55273"/>
    <w:rsid w:val="00E56605"/>
    <w:rsid w:val="00E57B10"/>
    <w:rsid w:val="00E61093"/>
    <w:rsid w:val="00E65C32"/>
    <w:rsid w:val="00E67B9D"/>
    <w:rsid w:val="00E67E79"/>
    <w:rsid w:val="00E702D8"/>
    <w:rsid w:val="00E70428"/>
    <w:rsid w:val="00E70AD5"/>
    <w:rsid w:val="00E71C36"/>
    <w:rsid w:val="00E7249E"/>
    <w:rsid w:val="00E724F7"/>
    <w:rsid w:val="00E72F50"/>
    <w:rsid w:val="00E73215"/>
    <w:rsid w:val="00E732C8"/>
    <w:rsid w:val="00E749C6"/>
    <w:rsid w:val="00E74CE9"/>
    <w:rsid w:val="00E77A49"/>
    <w:rsid w:val="00E77F42"/>
    <w:rsid w:val="00E8274A"/>
    <w:rsid w:val="00E833D7"/>
    <w:rsid w:val="00E83CE1"/>
    <w:rsid w:val="00E845C9"/>
    <w:rsid w:val="00E84C03"/>
    <w:rsid w:val="00E84D0D"/>
    <w:rsid w:val="00E8505C"/>
    <w:rsid w:val="00E8673D"/>
    <w:rsid w:val="00E86B16"/>
    <w:rsid w:val="00E917A9"/>
    <w:rsid w:val="00E91A89"/>
    <w:rsid w:val="00E923E7"/>
    <w:rsid w:val="00E93C3F"/>
    <w:rsid w:val="00E93D40"/>
    <w:rsid w:val="00E94F80"/>
    <w:rsid w:val="00E9566C"/>
    <w:rsid w:val="00E95AB3"/>
    <w:rsid w:val="00E9604B"/>
    <w:rsid w:val="00E971AD"/>
    <w:rsid w:val="00EA336D"/>
    <w:rsid w:val="00EA450C"/>
    <w:rsid w:val="00EA5486"/>
    <w:rsid w:val="00EA58A9"/>
    <w:rsid w:val="00EA664B"/>
    <w:rsid w:val="00EA6692"/>
    <w:rsid w:val="00EA7846"/>
    <w:rsid w:val="00EB1428"/>
    <w:rsid w:val="00EB1491"/>
    <w:rsid w:val="00EB37B3"/>
    <w:rsid w:val="00EB3C46"/>
    <w:rsid w:val="00EB4153"/>
    <w:rsid w:val="00EB42A8"/>
    <w:rsid w:val="00EB49CB"/>
    <w:rsid w:val="00EC1334"/>
    <w:rsid w:val="00EC287B"/>
    <w:rsid w:val="00EC48FF"/>
    <w:rsid w:val="00EC6F9F"/>
    <w:rsid w:val="00ED1A78"/>
    <w:rsid w:val="00ED277D"/>
    <w:rsid w:val="00ED2A57"/>
    <w:rsid w:val="00ED359C"/>
    <w:rsid w:val="00ED35A1"/>
    <w:rsid w:val="00ED6925"/>
    <w:rsid w:val="00ED7DB7"/>
    <w:rsid w:val="00EE3C9F"/>
    <w:rsid w:val="00EE6A51"/>
    <w:rsid w:val="00EE76EC"/>
    <w:rsid w:val="00EE77DC"/>
    <w:rsid w:val="00EF2429"/>
    <w:rsid w:val="00EF2D7D"/>
    <w:rsid w:val="00EF3410"/>
    <w:rsid w:val="00EF36D8"/>
    <w:rsid w:val="00EF7903"/>
    <w:rsid w:val="00F00951"/>
    <w:rsid w:val="00F00E16"/>
    <w:rsid w:val="00F0108B"/>
    <w:rsid w:val="00F01127"/>
    <w:rsid w:val="00F02CF8"/>
    <w:rsid w:val="00F044B8"/>
    <w:rsid w:val="00F046A2"/>
    <w:rsid w:val="00F049B4"/>
    <w:rsid w:val="00F04DCD"/>
    <w:rsid w:val="00F05A6E"/>
    <w:rsid w:val="00F110C7"/>
    <w:rsid w:val="00F11BD3"/>
    <w:rsid w:val="00F12116"/>
    <w:rsid w:val="00F12C4D"/>
    <w:rsid w:val="00F136A7"/>
    <w:rsid w:val="00F13B22"/>
    <w:rsid w:val="00F142FB"/>
    <w:rsid w:val="00F1442E"/>
    <w:rsid w:val="00F14890"/>
    <w:rsid w:val="00F149DD"/>
    <w:rsid w:val="00F152C3"/>
    <w:rsid w:val="00F24961"/>
    <w:rsid w:val="00F25359"/>
    <w:rsid w:val="00F26818"/>
    <w:rsid w:val="00F26D98"/>
    <w:rsid w:val="00F2745A"/>
    <w:rsid w:val="00F27641"/>
    <w:rsid w:val="00F300A0"/>
    <w:rsid w:val="00F31240"/>
    <w:rsid w:val="00F31266"/>
    <w:rsid w:val="00F312A1"/>
    <w:rsid w:val="00F317CD"/>
    <w:rsid w:val="00F3194D"/>
    <w:rsid w:val="00F32C84"/>
    <w:rsid w:val="00F34C6E"/>
    <w:rsid w:val="00F34CC7"/>
    <w:rsid w:val="00F35AEF"/>
    <w:rsid w:val="00F367F1"/>
    <w:rsid w:val="00F36BDB"/>
    <w:rsid w:val="00F36E9D"/>
    <w:rsid w:val="00F40487"/>
    <w:rsid w:val="00F40E12"/>
    <w:rsid w:val="00F41588"/>
    <w:rsid w:val="00F4251B"/>
    <w:rsid w:val="00F42EA0"/>
    <w:rsid w:val="00F43B42"/>
    <w:rsid w:val="00F4434A"/>
    <w:rsid w:val="00F44E63"/>
    <w:rsid w:val="00F45BB2"/>
    <w:rsid w:val="00F461EE"/>
    <w:rsid w:val="00F464F2"/>
    <w:rsid w:val="00F466DA"/>
    <w:rsid w:val="00F51D5F"/>
    <w:rsid w:val="00F53017"/>
    <w:rsid w:val="00F5312D"/>
    <w:rsid w:val="00F53134"/>
    <w:rsid w:val="00F53DBE"/>
    <w:rsid w:val="00F542B7"/>
    <w:rsid w:val="00F5446A"/>
    <w:rsid w:val="00F549B2"/>
    <w:rsid w:val="00F556E0"/>
    <w:rsid w:val="00F5584B"/>
    <w:rsid w:val="00F567D3"/>
    <w:rsid w:val="00F57123"/>
    <w:rsid w:val="00F607F3"/>
    <w:rsid w:val="00F608F4"/>
    <w:rsid w:val="00F611E3"/>
    <w:rsid w:val="00F62C26"/>
    <w:rsid w:val="00F65BA8"/>
    <w:rsid w:val="00F66643"/>
    <w:rsid w:val="00F66885"/>
    <w:rsid w:val="00F67790"/>
    <w:rsid w:val="00F70EEB"/>
    <w:rsid w:val="00F7272F"/>
    <w:rsid w:val="00F72B28"/>
    <w:rsid w:val="00F75C54"/>
    <w:rsid w:val="00F76C4C"/>
    <w:rsid w:val="00F77093"/>
    <w:rsid w:val="00F77804"/>
    <w:rsid w:val="00F77BA1"/>
    <w:rsid w:val="00F80112"/>
    <w:rsid w:val="00F808C0"/>
    <w:rsid w:val="00F81B48"/>
    <w:rsid w:val="00F822EB"/>
    <w:rsid w:val="00F825DF"/>
    <w:rsid w:val="00F82EDF"/>
    <w:rsid w:val="00F84293"/>
    <w:rsid w:val="00F855A7"/>
    <w:rsid w:val="00F85E03"/>
    <w:rsid w:val="00F86A60"/>
    <w:rsid w:val="00F87AD6"/>
    <w:rsid w:val="00F90A70"/>
    <w:rsid w:val="00F92563"/>
    <w:rsid w:val="00F942CE"/>
    <w:rsid w:val="00F95395"/>
    <w:rsid w:val="00F95426"/>
    <w:rsid w:val="00F96755"/>
    <w:rsid w:val="00F970C8"/>
    <w:rsid w:val="00F97750"/>
    <w:rsid w:val="00FA0634"/>
    <w:rsid w:val="00FA2577"/>
    <w:rsid w:val="00FA2EE7"/>
    <w:rsid w:val="00FA2F6A"/>
    <w:rsid w:val="00FA314D"/>
    <w:rsid w:val="00FA3C0B"/>
    <w:rsid w:val="00FA40F4"/>
    <w:rsid w:val="00FA5588"/>
    <w:rsid w:val="00FA5766"/>
    <w:rsid w:val="00FA578A"/>
    <w:rsid w:val="00FA6801"/>
    <w:rsid w:val="00FB0523"/>
    <w:rsid w:val="00FB1DA8"/>
    <w:rsid w:val="00FB40DB"/>
    <w:rsid w:val="00FB439D"/>
    <w:rsid w:val="00FB49BB"/>
    <w:rsid w:val="00FB534F"/>
    <w:rsid w:val="00FB5627"/>
    <w:rsid w:val="00FB5693"/>
    <w:rsid w:val="00FB5F44"/>
    <w:rsid w:val="00FB6535"/>
    <w:rsid w:val="00FB695E"/>
    <w:rsid w:val="00FB78EB"/>
    <w:rsid w:val="00FB7B39"/>
    <w:rsid w:val="00FC2174"/>
    <w:rsid w:val="00FC4890"/>
    <w:rsid w:val="00FC4AFB"/>
    <w:rsid w:val="00FC6703"/>
    <w:rsid w:val="00FC7E69"/>
    <w:rsid w:val="00FD010A"/>
    <w:rsid w:val="00FD0CFA"/>
    <w:rsid w:val="00FD0E4C"/>
    <w:rsid w:val="00FD1CCA"/>
    <w:rsid w:val="00FD309F"/>
    <w:rsid w:val="00FD3180"/>
    <w:rsid w:val="00FD4185"/>
    <w:rsid w:val="00FD636D"/>
    <w:rsid w:val="00FD64DD"/>
    <w:rsid w:val="00FE0888"/>
    <w:rsid w:val="00FE0E67"/>
    <w:rsid w:val="00FE14DD"/>
    <w:rsid w:val="00FE14DE"/>
    <w:rsid w:val="00FE1F73"/>
    <w:rsid w:val="00FE674A"/>
    <w:rsid w:val="00FE6EB2"/>
    <w:rsid w:val="00FE7052"/>
    <w:rsid w:val="00FE70AF"/>
    <w:rsid w:val="00FE71C1"/>
    <w:rsid w:val="00FF02F8"/>
    <w:rsid w:val="00FF1826"/>
    <w:rsid w:val="00FF45F7"/>
    <w:rsid w:val="00FF4E85"/>
    <w:rsid w:val="00FF4FAA"/>
    <w:rsid w:val="00FF529F"/>
    <w:rsid w:val="00FF751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887BE"/>
  <w15:chartTrackingRefBased/>
  <w15:docId w15:val="{6ECA3E74-98BB-4ACC-A09F-B97B33837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s-US" w:eastAsia="es-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s-CO" w:eastAsia="en-US"/>
    </w:rPr>
  </w:style>
  <w:style w:type="paragraph" w:styleId="Ttulo3">
    <w:name w:val="heading 3"/>
    <w:basedOn w:val="Normal"/>
    <w:next w:val="Normal"/>
    <w:link w:val="Ttulo3Car"/>
    <w:qFormat/>
    <w:rsid w:val="00096400"/>
    <w:pPr>
      <w:keepNext/>
      <w:autoSpaceDE w:val="0"/>
      <w:autoSpaceDN w:val="0"/>
      <w:spacing w:after="0" w:line="240" w:lineRule="auto"/>
      <w:jc w:val="center"/>
      <w:outlineLvl w:val="2"/>
    </w:pPr>
    <w:rPr>
      <w:rFonts w:ascii="Arial" w:eastAsia="Times New Roman" w:hAnsi="Arial"/>
      <w:b/>
      <w:bCs/>
      <w:color w:val="00008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qFormat/>
    <w:rsid w:val="00096400"/>
    <w:rPr>
      <w:rFonts w:ascii="Arial" w:eastAsia="Times New Roman" w:hAnsi="Arial"/>
      <w:b/>
      <w:bCs/>
      <w:color w:val="000080"/>
      <w:sz w:val="24"/>
      <w:szCs w:val="24"/>
      <w:lang w:eastAsia="es-ES"/>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Texto nota pie Ca"/>
    <w:basedOn w:val="Normal"/>
    <w:link w:val="TextonotapieCar1"/>
    <w:qFormat/>
    <w:rsid w:val="00096400"/>
    <w:pPr>
      <w:spacing w:after="0" w:line="240" w:lineRule="auto"/>
    </w:pPr>
    <w:rPr>
      <w:rFonts w:ascii="Times New Roman" w:eastAsia="Times New Roman" w:hAnsi="Times New Roman"/>
      <w:sz w:val="20"/>
      <w:szCs w:val="20"/>
      <w:lang w:val="zh-CN"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n Car"/>
    <w:uiPriority w:val="99"/>
    <w:qFormat/>
    <w:rsid w:val="00096400"/>
    <w:rPr>
      <w:lang w:eastAsia="en-US"/>
    </w:rPr>
  </w:style>
  <w:style w:type="paragraph" w:styleId="Encabezado">
    <w:name w:val="header"/>
    <w:basedOn w:val="Normal"/>
    <w:link w:val="EncabezadoCar"/>
    <w:uiPriority w:val="99"/>
    <w:rsid w:val="00096400"/>
    <w:pPr>
      <w:tabs>
        <w:tab w:val="center" w:pos="4252"/>
        <w:tab w:val="right" w:pos="8504"/>
      </w:tabs>
      <w:autoSpaceDE w:val="0"/>
      <w:autoSpaceDN w:val="0"/>
      <w:spacing w:after="0" w:line="240" w:lineRule="auto"/>
    </w:pPr>
    <w:rPr>
      <w:rFonts w:ascii="Times New Roman" w:eastAsia="Times New Roman" w:hAnsi="Times New Roman"/>
      <w:sz w:val="20"/>
      <w:szCs w:val="20"/>
      <w:lang w:eastAsia="es-ES"/>
    </w:rPr>
  </w:style>
  <w:style w:type="character" w:customStyle="1" w:styleId="EncabezadoCar">
    <w:name w:val="Encabezado Car"/>
    <w:link w:val="Encabezado"/>
    <w:uiPriority w:val="99"/>
    <w:qFormat/>
    <w:rsid w:val="00096400"/>
    <w:rPr>
      <w:rFonts w:ascii="Times New Roman" w:eastAsia="Times New Roman" w:hAnsi="Times New Roman"/>
      <w:lang w:eastAsia="es-ES"/>
    </w:rPr>
  </w:style>
  <w:style w:type="paragraph" w:styleId="Lista">
    <w:name w:val="List"/>
    <w:basedOn w:val="Normal"/>
    <w:qFormat/>
    <w:rsid w:val="00096400"/>
    <w:pPr>
      <w:autoSpaceDE w:val="0"/>
      <w:autoSpaceDN w:val="0"/>
      <w:spacing w:after="0" w:line="240" w:lineRule="auto"/>
      <w:ind w:left="283" w:hanging="283"/>
    </w:pPr>
    <w:rPr>
      <w:rFonts w:ascii="Arial" w:eastAsia="Times New Roman" w:hAnsi="Arial" w:cs="Arial"/>
      <w:sz w:val="28"/>
      <w:szCs w:val="28"/>
      <w:lang w:eastAsia="es-ES"/>
    </w:rPr>
  </w:style>
  <w:style w:type="paragraph" w:styleId="NormalWeb">
    <w:name w:val="Normal (Web)"/>
    <w:basedOn w:val="Normal"/>
    <w:uiPriority w:val="99"/>
    <w:unhideWhenUsed/>
    <w:qFormat/>
    <w:rsid w:val="00096400"/>
    <w:pPr>
      <w:spacing w:before="100" w:beforeAutospacing="1" w:after="100" w:afterAutospacing="1" w:line="240" w:lineRule="auto"/>
    </w:pPr>
    <w:rPr>
      <w:rFonts w:ascii="Times New Roman" w:eastAsia="Times New Roman" w:hAnsi="Times New Roman"/>
      <w:sz w:val="24"/>
      <w:szCs w:val="24"/>
      <w:lang w:eastAsia="es-CO"/>
    </w:rPr>
  </w:style>
  <w:style w:type="paragraph" w:styleId="Textosinformato">
    <w:name w:val="Plain Text"/>
    <w:basedOn w:val="Normal"/>
    <w:link w:val="TextosinformatoCar"/>
    <w:qFormat/>
    <w:rsid w:val="00096400"/>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link w:val="Textosinformato"/>
    <w:qFormat/>
    <w:rsid w:val="00096400"/>
    <w:rPr>
      <w:rFonts w:ascii="Courier New" w:eastAsia="Times New Roman" w:hAnsi="Courier New"/>
      <w:lang w:val="es-ES" w:eastAsia="es-ES"/>
    </w:rPr>
  </w:style>
  <w:style w:type="character" w:styleId="Refdenotaalpie">
    <w:name w:val="footnote reference"/>
    <w:aliases w:val="Texto de nota al pie,referencia nota al pie,Footnotes refss,Appel note de bas de page,Ref. de nota al pie 2,Footnote number,BVI fnr,f,4_G,16 Point,Superscript 6 Point,Texto nota al pie,Pie de Página,FC,Texto de nota al pi,Nota de pie"/>
    <w:link w:val="4GChar"/>
    <w:uiPriority w:val="99"/>
    <w:qFormat/>
    <w:rsid w:val="00096400"/>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96400"/>
    <w:pPr>
      <w:spacing w:after="0" w:line="240" w:lineRule="auto"/>
      <w:jc w:val="both"/>
    </w:pPr>
    <w:rPr>
      <w:sz w:val="20"/>
      <w:szCs w:val="20"/>
      <w:vertAlign w:val="superscript"/>
      <w:lang w:eastAsia="es-CO"/>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r Car1,texto de nota al pie Car,Texto nota pie Ca Car"/>
    <w:link w:val="Textonotapie"/>
    <w:qFormat/>
    <w:locked/>
    <w:rsid w:val="00096400"/>
    <w:rPr>
      <w:rFonts w:ascii="Times New Roman" w:eastAsia="Times New Roman" w:hAnsi="Times New Roman"/>
      <w:lang w:val="zh-CN" w:eastAsia="es-ES"/>
    </w:rPr>
  </w:style>
  <w:style w:type="paragraph" w:customStyle="1" w:styleId="Encabe">
    <w:name w:val="Encabe"/>
    <w:basedOn w:val="Normal"/>
    <w:uiPriority w:val="99"/>
    <w:rsid w:val="00096400"/>
    <w:pPr>
      <w:tabs>
        <w:tab w:val="center" w:pos="4252"/>
        <w:tab w:val="right" w:pos="8504"/>
      </w:tabs>
      <w:overflowPunct w:val="0"/>
      <w:autoSpaceDE w:val="0"/>
      <w:autoSpaceDN w:val="0"/>
      <w:adjustRightInd w:val="0"/>
      <w:spacing w:after="0" w:line="360" w:lineRule="auto"/>
      <w:jc w:val="both"/>
      <w:textAlignment w:val="baseline"/>
    </w:pPr>
    <w:rPr>
      <w:rFonts w:ascii="Arial" w:eastAsia="Times New Roman" w:hAnsi="Arial"/>
      <w:sz w:val="24"/>
      <w:szCs w:val="20"/>
      <w:lang w:eastAsia="es-ES"/>
    </w:rPr>
  </w:style>
  <w:style w:type="paragraph" w:styleId="Sinespaciado">
    <w:name w:val="No Spacing"/>
    <w:aliases w:val="C. Extensa,CITA 1,CITA,Bullets"/>
    <w:link w:val="SinespaciadoCar"/>
    <w:uiPriority w:val="1"/>
    <w:qFormat/>
    <w:rsid w:val="00096400"/>
    <w:rPr>
      <w:sz w:val="22"/>
      <w:szCs w:val="22"/>
      <w:lang w:val="es-CO" w:eastAsia="en-US"/>
    </w:rPr>
  </w:style>
  <w:style w:type="character" w:customStyle="1" w:styleId="SinespaciadoCar">
    <w:name w:val="Sin espaciado Car"/>
    <w:aliases w:val="C. Extensa Car,CITA 1 Car,CITA Car,Bullets Car"/>
    <w:link w:val="Sinespaciado"/>
    <w:uiPriority w:val="1"/>
    <w:qFormat/>
    <w:locked/>
    <w:rsid w:val="00096400"/>
    <w:rPr>
      <w:sz w:val="22"/>
      <w:szCs w:val="22"/>
      <w:lang w:eastAsia="en-US"/>
    </w:rPr>
  </w:style>
  <w:style w:type="paragraph" w:customStyle="1" w:styleId="Sinespaciado1">
    <w:name w:val="Sin espaciado1"/>
    <w:link w:val="NoSpacingChar"/>
    <w:qFormat/>
    <w:rsid w:val="00096400"/>
    <w:rPr>
      <w:rFonts w:ascii="Times New Roman" w:eastAsia="Times New Roman" w:hAnsi="Times New Roman"/>
      <w:sz w:val="24"/>
      <w:szCs w:val="24"/>
      <w:lang w:val="es-CO" w:eastAsia="es-ES"/>
    </w:rPr>
  </w:style>
  <w:style w:type="character" w:customStyle="1" w:styleId="NoSpacingChar">
    <w:name w:val="No Spacing Char"/>
    <w:link w:val="Sinespaciado1"/>
    <w:locked/>
    <w:rsid w:val="00096400"/>
    <w:rPr>
      <w:rFonts w:ascii="Times New Roman" w:eastAsia="Times New Roman" w:hAnsi="Times New Roman"/>
      <w:sz w:val="24"/>
      <w:szCs w:val="24"/>
      <w:lang w:eastAsia="es-ES"/>
    </w:rPr>
  </w:style>
  <w:style w:type="paragraph" w:styleId="Piedepgina">
    <w:name w:val="footer"/>
    <w:basedOn w:val="Normal"/>
    <w:link w:val="PiedepginaCar"/>
    <w:uiPriority w:val="99"/>
    <w:unhideWhenUsed/>
    <w:rsid w:val="00246477"/>
    <w:pPr>
      <w:tabs>
        <w:tab w:val="center" w:pos="4419"/>
        <w:tab w:val="right" w:pos="8838"/>
      </w:tabs>
    </w:pPr>
  </w:style>
  <w:style w:type="character" w:customStyle="1" w:styleId="PiedepginaCar">
    <w:name w:val="Pie de página Car"/>
    <w:link w:val="Piedepgina"/>
    <w:uiPriority w:val="99"/>
    <w:rsid w:val="00246477"/>
    <w:rPr>
      <w:sz w:val="22"/>
      <w:szCs w:val="22"/>
      <w:lang w:eastAsia="en-US"/>
    </w:rPr>
  </w:style>
  <w:style w:type="character" w:customStyle="1" w:styleId="baj">
    <w:name w:val="b_aj"/>
    <w:rsid w:val="00DE000E"/>
  </w:style>
  <w:style w:type="character" w:styleId="Hipervnculo">
    <w:name w:val="Hyperlink"/>
    <w:uiPriority w:val="99"/>
    <w:unhideWhenUsed/>
    <w:rsid w:val="00683BA9"/>
    <w:rPr>
      <w:color w:val="0000FF"/>
      <w:u w:val="single"/>
    </w:rPr>
  </w:style>
  <w:style w:type="paragraph" w:customStyle="1" w:styleId="Cuadrculamedia21">
    <w:name w:val="Cuadrícula media 21"/>
    <w:uiPriority w:val="1"/>
    <w:qFormat/>
    <w:rsid w:val="00AB043D"/>
    <w:rPr>
      <w:sz w:val="22"/>
      <w:szCs w:val="22"/>
      <w:lang w:val="es-CO" w:eastAsia="en-US"/>
    </w:rPr>
  </w:style>
  <w:style w:type="character" w:styleId="Refdecomentario">
    <w:name w:val="annotation reference"/>
    <w:uiPriority w:val="99"/>
    <w:semiHidden/>
    <w:unhideWhenUsed/>
    <w:rsid w:val="00B86E3C"/>
    <w:rPr>
      <w:sz w:val="16"/>
      <w:szCs w:val="16"/>
    </w:rPr>
  </w:style>
  <w:style w:type="paragraph" w:styleId="Textocomentario">
    <w:name w:val="annotation text"/>
    <w:basedOn w:val="Normal"/>
    <w:link w:val="TextocomentarioCar"/>
    <w:uiPriority w:val="99"/>
    <w:unhideWhenUsed/>
    <w:rsid w:val="00B86E3C"/>
    <w:rPr>
      <w:sz w:val="20"/>
      <w:szCs w:val="20"/>
    </w:rPr>
  </w:style>
  <w:style w:type="character" w:customStyle="1" w:styleId="TextocomentarioCar">
    <w:name w:val="Texto comentario Car"/>
    <w:link w:val="Textocomentario"/>
    <w:uiPriority w:val="99"/>
    <w:rsid w:val="00B86E3C"/>
    <w:rPr>
      <w:lang w:eastAsia="en-US"/>
    </w:rPr>
  </w:style>
  <w:style w:type="paragraph" w:styleId="Asuntodelcomentario">
    <w:name w:val="annotation subject"/>
    <w:basedOn w:val="Textocomentario"/>
    <w:next w:val="Textocomentario"/>
    <w:link w:val="AsuntodelcomentarioCar"/>
    <w:uiPriority w:val="99"/>
    <w:semiHidden/>
    <w:unhideWhenUsed/>
    <w:rsid w:val="00B86E3C"/>
    <w:rPr>
      <w:b/>
      <w:bCs/>
    </w:rPr>
  </w:style>
  <w:style w:type="character" w:customStyle="1" w:styleId="AsuntodelcomentarioCar">
    <w:name w:val="Asunto del comentario Car"/>
    <w:link w:val="Asuntodelcomentario"/>
    <w:uiPriority w:val="99"/>
    <w:semiHidden/>
    <w:rsid w:val="00B86E3C"/>
    <w:rPr>
      <w:b/>
      <w:bCs/>
      <w:lang w:eastAsia="en-US"/>
    </w:rPr>
  </w:style>
  <w:style w:type="paragraph" w:styleId="Textodeglobo">
    <w:name w:val="Balloon Text"/>
    <w:basedOn w:val="Normal"/>
    <w:link w:val="TextodegloboCar"/>
    <w:uiPriority w:val="99"/>
    <w:semiHidden/>
    <w:unhideWhenUsed/>
    <w:rsid w:val="00B86E3C"/>
    <w:pPr>
      <w:spacing w:after="0" w:line="240" w:lineRule="auto"/>
    </w:pPr>
    <w:rPr>
      <w:rFonts w:ascii="Times New Roman" w:hAnsi="Times New Roman"/>
      <w:sz w:val="18"/>
      <w:szCs w:val="18"/>
    </w:rPr>
  </w:style>
  <w:style w:type="character" w:customStyle="1" w:styleId="TextodegloboCar">
    <w:name w:val="Texto de globo Car"/>
    <w:link w:val="Textodeglobo"/>
    <w:uiPriority w:val="99"/>
    <w:semiHidden/>
    <w:rsid w:val="00B86E3C"/>
    <w:rPr>
      <w:rFonts w:ascii="Times New Roman" w:hAnsi="Times New Roman"/>
      <w:sz w:val="18"/>
      <w:szCs w:val="18"/>
      <w:lang w:eastAsia="en-US"/>
    </w:rPr>
  </w:style>
  <w:style w:type="paragraph" w:styleId="Prrafodelista">
    <w:name w:val="List Paragraph"/>
    <w:basedOn w:val="Normal"/>
    <w:uiPriority w:val="34"/>
    <w:qFormat/>
    <w:rsid w:val="00B777A9"/>
    <w:pPr>
      <w:ind w:left="708"/>
    </w:pPr>
  </w:style>
  <w:style w:type="paragraph" w:styleId="Sangradetextonormal">
    <w:name w:val="Body Text Indent"/>
    <w:basedOn w:val="Normal"/>
    <w:link w:val="SangradetextonormalCar"/>
    <w:rsid w:val="00A36E1B"/>
    <w:pPr>
      <w:spacing w:after="120" w:line="240" w:lineRule="auto"/>
      <w:ind w:left="283"/>
    </w:pPr>
    <w:rPr>
      <w:rFonts w:ascii="Arial" w:eastAsia="Calibri" w:hAnsi="Arial"/>
      <w:sz w:val="24"/>
      <w:szCs w:val="20"/>
      <w:lang w:val="es-ES" w:eastAsia="es-ES"/>
    </w:rPr>
  </w:style>
  <w:style w:type="character" w:customStyle="1" w:styleId="SangradetextonormalCar">
    <w:name w:val="Sangría de texto normal Car"/>
    <w:link w:val="Sangradetextonormal"/>
    <w:rsid w:val="00A36E1B"/>
    <w:rPr>
      <w:rFonts w:ascii="Arial" w:eastAsia="Calibri" w:hAnsi="Arial"/>
      <w:sz w:val="24"/>
      <w:lang w:val="es-ES" w:eastAsia="es-ES"/>
    </w:rPr>
  </w:style>
  <w:style w:type="paragraph" w:customStyle="1" w:styleId="CITAOK">
    <w:name w:val="CITA OK"/>
    <w:basedOn w:val="Normal"/>
    <w:link w:val="CITAOKCar"/>
    <w:qFormat/>
    <w:rsid w:val="00A36E1B"/>
    <w:pPr>
      <w:overflowPunct w:val="0"/>
      <w:autoSpaceDE w:val="0"/>
      <w:autoSpaceDN w:val="0"/>
      <w:adjustRightInd w:val="0"/>
      <w:spacing w:after="0" w:line="240" w:lineRule="auto"/>
      <w:ind w:left="709" w:right="758"/>
      <w:jc w:val="both"/>
      <w:textAlignment w:val="baseline"/>
    </w:pPr>
    <w:rPr>
      <w:rFonts w:ascii="Arial" w:eastAsia="Times New Roman" w:hAnsi="Arial" w:cs="Arial"/>
      <w:i/>
      <w:iCs/>
      <w:color w:val="000000"/>
      <w:lang w:val="es-ES_tradnl" w:eastAsia="es-ES"/>
    </w:rPr>
  </w:style>
  <w:style w:type="character" w:customStyle="1" w:styleId="CITAOKCar">
    <w:name w:val="CITA OK Car"/>
    <w:link w:val="CITAOK"/>
    <w:rsid w:val="00A36E1B"/>
    <w:rPr>
      <w:rFonts w:ascii="Arial" w:eastAsia="Times New Roman" w:hAnsi="Arial" w:cs="Arial"/>
      <w:i/>
      <w:iCs/>
      <w:color w:val="000000"/>
      <w:sz w:val="22"/>
      <w:szCs w:val="22"/>
      <w:lang w:val="es-ES_tradnl" w:eastAsia="es-ES"/>
    </w:rPr>
  </w:style>
  <w:style w:type="character" w:customStyle="1" w:styleId="Ninguno">
    <w:name w:val="Ninguno"/>
    <w:rsid w:val="00A36E1B"/>
  </w:style>
  <w:style w:type="paragraph" w:customStyle="1" w:styleId="Piedepagina">
    <w:name w:val="Pie de pagina"/>
    <w:basedOn w:val="Normal"/>
    <w:uiPriority w:val="99"/>
    <w:rsid w:val="00FD3180"/>
    <w:pPr>
      <w:spacing w:after="160" w:line="240" w:lineRule="exact"/>
    </w:pPr>
    <w:rPr>
      <w:rFonts w:eastAsia="Calibri"/>
      <w:sz w:val="20"/>
      <w:szCs w:val="20"/>
      <w:vertAlign w:val="superscript"/>
      <w:lang w:eastAsia="es-CO"/>
    </w:rPr>
  </w:style>
  <w:style w:type="character" w:styleId="Textoennegrita">
    <w:name w:val="Strong"/>
    <w:uiPriority w:val="22"/>
    <w:qFormat/>
    <w:rsid w:val="00B03010"/>
    <w:rPr>
      <w:b/>
      <w:bCs/>
    </w:rPr>
  </w:style>
  <w:style w:type="paragraph" w:customStyle="1" w:styleId="BodyText21">
    <w:name w:val="Body Text 21"/>
    <w:basedOn w:val="Normal"/>
    <w:link w:val="BodyText21Car"/>
    <w:rsid w:val="00AD3088"/>
    <w:pPr>
      <w:overflowPunct w:val="0"/>
      <w:autoSpaceDE w:val="0"/>
      <w:autoSpaceDN w:val="0"/>
      <w:adjustRightInd w:val="0"/>
      <w:spacing w:after="0" w:line="480" w:lineRule="auto"/>
      <w:jc w:val="both"/>
    </w:pPr>
    <w:rPr>
      <w:rFonts w:ascii="Arial" w:eastAsia="Times New Roman" w:hAnsi="Arial"/>
      <w:sz w:val="24"/>
      <w:szCs w:val="20"/>
      <w:lang w:val="es-ES_tradnl" w:eastAsia="es-ES"/>
    </w:rPr>
  </w:style>
  <w:style w:type="character" w:customStyle="1" w:styleId="BodyText21Car">
    <w:name w:val="Body Text 21 Car"/>
    <w:link w:val="BodyText21"/>
    <w:rsid w:val="00AD3088"/>
    <w:rPr>
      <w:rFonts w:ascii="Arial" w:eastAsia="Times New Roman" w:hAnsi="Arial"/>
      <w:sz w:val="24"/>
      <w:lang w:val="es-ES_tradnl" w:eastAsia="es-ES"/>
    </w:rPr>
  </w:style>
  <w:style w:type="paragraph" w:styleId="Revisin">
    <w:name w:val="Revision"/>
    <w:hidden/>
    <w:uiPriority w:val="99"/>
    <w:semiHidden/>
    <w:rsid w:val="005F6947"/>
    <w:rPr>
      <w:sz w:val="22"/>
      <w:szCs w:val="22"/>
      <w:lang w:val="es-CO" w:eastAsia="en-US"/>
    </w:rPr>
  </w:style>
  <w:style w:type="character" w:styleId="Mencinsinresolver">
    <w:name w:val="Unresolved Mention"/>
    <w:uiPriority w:val="99"/>
    <w:semiHidden/>
    <w:unhideWhenUsed/>
    <w:rsid w:val="005E0B5E"/>
    <w:rPr>
      <w:color w:val="605E5C"/>
      <w:shd w:val="clear" w:color="auto" w:fill="E1DFDD"/>
    </w:rPr>
  </w:style>
  <w:style w:type="paragraph" w:customStyle="1" w:styleId="Sombreadomedio1-nfasis11">
    <w:name w:val="Sombreado medio 1 - Énfasis 11"/>
    <w:uiPriority w:val="1"/>
    <w:qFormat/>
    <w:rsid w:val="00630A61"/>
    <w:rPr>
      <w:sz w:val="22"/>
      <w:szCs w:val="22"/>
      <w:lang w:val="es-CO" w:eastAsia="en-US"/>
    </w:rPr>
  </w:style>
  <w:style w:type="paragraph" w:customStyle="1" w:styleId="western">
    <w:name w:val="western"/>
    <w:basedOn w:val="Normal"/>
    <w:rsid w:val="00A65AB4"/>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extonavy">
    <w:name w:val="texto_navy"/>
    <w:rsid w:val="00825D8C"/>
  </w:style>
  <w:style w:type="character" w:styleId="Hipervnculovisitado">
    <w:name w:val="FollowedHyperlink"/>
    <w:uiPriority w:val="99"/>
    <w:semiHidden/>
    <w:unhideWhenUsed/>
    <w:rsid w:val="00686E8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5263">
      <w:bodyDiv w:val="1"/>
      <w:marLeft w:val="0"/>
      <w:marRight w:val="0"/>
      <w:marTop w:val="0"/>
      <w:marBottom w:val="0"/>
      <w:divBdr>
        <w:top w:val="none" w:sz="0" w:space="0" w:color="auto"/>
        <w:left w:val="none" w:sz="0" w:space="0" w:color="auto"/>
        <w:bottom w:val="none" w:sz="0" w:space="0" w:color="auto"/>
        <w:right w:val="none" w:sz="0" w:space="0" w:color="auto"/>
      </w:divBdr>
    </w:div>
    <w:div w:id="205144826">
      <w:bodyDiv w:val="1"/>
      <w:marLeft w:val="0"/>
      <w:marRight w:val="0"/>
      <w:marTop w:val="0"/>
      <w:marBottom w:val="0"/>
      <w:divBdr>
        <w:top w:val="none" w:sz="0" w:space="0" w:color="auto"/>
        <w:left w:val="none" w:sz="0" w:space="0" w:color="auto"/>
        <w:bottom w:val="none" w:sz="0" w:space="0" w:color="auto"/>
        <w:right w:val="none" w:sz="0" w:space="0" w:color="auto"/>
      </w:divBdr>
    </w:div>
    <w:div w:id="211426164">
      <w:bodyDiv w:val="1"/>
      <w:marLeft w:val="0"/>
      <w:marRight w:val="0"/>
      <w:marTop w:val="0"/>
      <w:marBottom w:val="0"/>
      <w:divBdr>
        <w:top w:val="none" w:sz="0" w:space="0" w:color="auto"/>
        <w:left w:val="none" w:sz="0" w:space="0" w:color="auto"/>
        <w:bottom w:val="none" w:sz="0" w:space="0" w:color="auto"/>
        <w:right w:val="none" w:sz="0" w:space="0" w:color="auto"/>
      </w:divBdr>
    </w:div>
    <w:div w:id="306936112">
      <w:bodyDiv w:val="1"/>
      <w:marLeft w:val="0"/>
      <w:marRight w:val="0"/>
      <w:marTop w:val="0"/>
      <w:marBottom w:val="0"/>
      <w:divBdr>
        <w:top w:val="none" w:sz="0" w:space="0" w:color="auto"/>
        <w:left w:val="none" w:sz="0" w:space="0" w:color="auto"/>
        <w:bottom w:val="none" w:sz="0" w:space="0" w:color="auto"/>
        <w:right w:val="none" w:sz="0" w:space="0" w:color="auto"/>
      </w:divBdr>
    </w:div>
    <w:div w:id="308284828">
      <w:bodyDiv w:val="1"/>
      <w:marLeft w:val="0"/>
      <w:marRight w:val="0"/>
      <w:marTop w:val="0"/>
      <w:marBottom w:val="0"/>
      <w:divBdr>
        <w:top w:val="none" w:sz="0" w:space="0" w:color="auto"/>
        <w:left w:val="none" w:sz="0" w:space="0" w:color="auto"/>
        <w:bottom w:val="none" w:sz="0" w:space="0" w:color="auto"/>
        <w:right w:val="none" w:sz="0" w:space="0" w:color="auto"/>
      </w:divBdr>
    </w:div>
    <w:div w:id="336617190">
      <w:bodyDiv w:val="1"/>
      <w:marLeft w:val="0"/>
      <w:marRight w:val="0"/>
      <w:marTop w:val="0"/>
      <w:marBottom w:val="0"/>
      <w:divBdr>
        <w:top w:val="none" w:sz="0" w:space="0" w:color="auto"/>
        <w:left w:val="none" w:sz="0" w:space="0" w:color="auto"/>
        <w:bottom w:val="none" w:sz="0" w:space="0" w:color="auto"/>
        <w:right w:val="none" w:sz="0" w:space="0" w:color="auto"/>
      </w:divBdr>
    </w:div>
    <w:div w:id="406656193">
      <w:bodyDiv w:val="1"/>
      <w:marLeft w:val="0"/>
      <w:marRight w:val="0"/>
      <w:marTop w:val="0"/>
      <w:marBottom w:val="0"/>
      <w:divBdr>
        <w:top w:val="none" w:sz="0" w:space="0" w:color="auto"/>
        <w:left w:val="none" w:sz="0" w:space="0" w:color="auto"/>
        <w:bottom w:val="none" w:sz="0" w:space="0" w:color="auto"/>
        <w:right w:val="none" w:sz="0" w:space="0" w:color="auto"/>
      </w:divBdr>
    </w:div>
    <w:div w:id="485753673">
      <w:bodyDiv w:val="1"/>
      <w:marLeft w:val="0"/>
      <w:marRight w:val="0"/>
      <w:marTop w:val="0"/>
      <w:marBottom w:val="0"/>
      <w:divBdr>
        <w:top w:val="none" w:sz="0" w:space="0" w:color="auto"/>
        <w:left w:val="none" w:sz="0" w:space="0" w:color="auto"/>
        <w:bottom w:val="none" w:sz="0" w:space="0" w:color="auto"/>
        <w:right w:val="none" w:sz="0" w:space="0" w:color="auto"/>
      </w:divBdr>
    </w:div>
    <w:div w:id="485903469">
      <w:bodyDiv w:val="1"/>
      <w:marLeft w:val="0"/>
      <w:marRight w:val="0"/>
      <w:marTop w:val="0"/>
      <w:marBottom w:val="0"/>
      <w:divBdr>
        <w:top w:val="none" w:sz="0" w:space="0" w:color="auto"/>
        <w:left w:val="none" w:sz="0" w:space="0" w:color="auto"/>
        <w:bottom w:val="none" w:sz="0" w:space="0" w:color="auto"/>
        <w:right w:val="none" w:sz="0" w:space="0" w:color="auto"/>
      </w:divBdr>
    </w:div>
    <w:div w:id="554858691">
      <w:bodyDiv w:val="1"/>
      <w:marLeft w:val="0"/>
      <w:marRight w:val="0"/>
      <w:marTop w:val="0"/>
      <w:marBottom w:val="0"/>
      <w:divBdr>
        <w:top w:val="none" w:sz="0" w:space="0" w:color="auto"/>
        <w:left w:val="none" w:sz="0" w:space="0" w:color="auto"/>
        <w:bottom w:val="none" w:sz="0" w:space="0" w:color="auto"/>
        <w:right w:val="none" w:sz="0" w:space="0" w:color="auto"/>
      </w:divBdr>
    </w:div>
    <w:div w:id="555632324">
      <w:bodyDiv w:val="1"/>
      <w:marLeft w:val="0"/>
      <w:marRight w:val="0"/>
      <w:marTop w:val="0"/>
      <w:marBottom w:val="0"/>
      <w:divBdr>
        <w:top w:val="none" w:sz="0" w:space="0" w:color="auto"/>
        <w:left w:val="none" w:sz="0" w:space="0" w:color="auto"/>
        <w:bottom w:val="none" w:sz="0" w:space="0" w:color="auto"/>
        <w:right w:val="none" w:sz="0" w:space="0" w:color="auto"/>
      </w:divBdr>
    </w:div>
    <w:div w:id="563106178">
      <w:bodyDiv w:val="1"/>
      <w:marLeft w:val="0"/>
      <w:marRight w:val="0"/>
      <w:marTop w:val="0"/>
      <w:marBottom w:val="0"/>
      <w:divBdr>
        <w:top w:val="none" w:sz="0" w:space="0" w:color="auto"/>
        <w:left w:val="none" w:sz="0" w:space="0" w:color="auto"/>
        <w:bottom w:val="none" w:sz="0" w:space="0" w:color="auto"/>
        <w:right w:val="none" w:sz="0" w:space="0" w:color="auto"/>
      </w:divBdr>
    </w:div>
    <w:div w:id="589395161">
      <w:bodyDiv w:val="1"/>
      <w:marLeft w:val="0"/>
      <w:marRight w:val="0"/>
      <w:marTop w:val="0"/>
      <w:marBottom w:val="0"/>
      <w:divBdr>
        <w:top w:val="none" w:sz="0" w:space="0" w:color="auto"/>
        <w:left w:val="none" w:sz="0" w:space="0" w:color="auto"/>
        <w:bottom w:val="none" w:sz="0" w:space="0" w:color="auto"/>
        <w:right w:val="none" w:sz="0" w:space="0" w:color="auto"/>
      </w:divBdr>
    </w:div>
    <w:div w:id="595796077">
      <w:bodyDiv w:val="1"/>
      <w:marLeft w:val="0"/>
      <w:marRight w:val="0"/>
      <w:marTop w:val="0"/>
      <w:marBottom w:val="0"/>
      <w:divBdr>
        <w:top w:val="none" w:sz="0" w:space="0" w:color="auto"/>
        <w:left w:val="none" w:sz="0" w:space="0" w:color="auto"/>
        <w:bottom w:val="none" w:sz="0" w:space="0" w:color="auto"/>
        <w:right w:val="none" w:sz="0" w:space="0" w:color="auto"/>
      </w:divBdr>
    </w:div>
    <w:div w:id="652566822">
      <w:bodyDiv w:val="1"/>
      <w:marLeft w:val="0"/>
      <w:marRight w:val="0"/>
      <w:marTop w:val="0"/>
      <w:marBottom w:val="0"/>
      <w:divBdr>
        <w:top w:val="none" w:sz="0" w:space="0" w:color="auto"/>
        <w:left w:val="none" w:sz="0" w:space="0" w:color="auto"/>
        <w:bottom w:val="none" w:sz="0" w:space="0" w:color="auto"/>
        <w:right w:val="none" w:sz="0" w:space="0" w:color="auto"/>
      </w:divBdr>
    </w:div>
    <w:div w:id="796795986">
      <w:bodyDiv w:val="1"/>
      <w:marLeft w:val="0"/>
      <w:marRight w:val="0"/>
      <w:marTop w:val="0"/>
      <w:marBottom w:val="0"/>
      <w:divBdr>
        <w:top w:val="none" w:sz="0" w:space="0" w:color="auto"/>
        <w:left w:val="none" w:sz="0" w:space="0" w:color="auto"/>
        <w:bottom w:val="none" w:sz="0" w:space="0" w:color="auto"/>
        <w:right w:val="none" w:sz="0" w:space="0" w:color="auto"/>
      </w:divBdr>
    </w:div>
    <w:div w:id="822815041">
      <w:bodyDiv w:val="1"/>
      <w:marLeft w:val="0"/>
      <w:marRight w:val="0"/>
      <w:marTop w:val="0"/>
      <w:marBottom w:val="0"/>
      <w:divBdr>
        <w:top w:val="none" w:sz="0" w:space="0" w:color="auto"/>
        <w:left w:val="none" w:sz="0" w:space="0" w:color="auto"/>
        <w:bottom w:val="none" w:sz="0" w:space="0" w:color="auto"/>
        <w:right w:val="none" w:sz="0" w:space="0" w:color="auto"/>
      </w:divBdr>
    </w:div>
    <w:div w:id="962732253">
      <w:bodyDiv w:val="1"/>
      <w:marLeft w:val="0"/>
      <w:marRight w:val="0"/>
      <w:marTop w:val="0"/>
      <w:marBottom w:val="0"/>
      <w:divBdr>
        <w:top w:val="none" w:sz="0" w:space="0" w:color="auto"/>
        <w:left w:val="none" w:sz="0" w:space="0" w:color="auto"/>
        <w:bottom w:val="none" w:sz="0" w:space="0" w:color="auto"/>
        <w:right w:val="none" w:sz="0" w:space="0" w:color="auto"/>
      </w:divBdr>
    </w:div>
    <w:div w:id="970017127">
      <w:bodyDiv w:val="1"/>
      <w:marLeft w:val="0"/>
      <w:marRight w:val="0"/>
      <w:marTop w:val="0"/>
      <w:marBottom w:val="0"/>
      <w:divBdr>
        <w:top w:val="none" w:sz="0" w:space="0" w:color="auto"/>
        <w:left w:val="none" w:sz="0" w:space="0" w:color="auto"/>
        <w:bottom w:val="none" w:sz="0" w:space="0" w:color="auto"/>
        <w:right w:val="none" w:sz="0" w:space="0" w:color="auto"/>
      </w:divBdr>
    </w:div>
    <w:div w:id="972712483">
      <w:bodyDiv w:val="1"/>
      <w:marLeft w:val="0"/>
      <w:marRight w:val="0"/>
      <w:marTop w:val="0"/>
      <w:marBottom w:val="0"/>
      <w:divBdr>
        <w:top w:val="none" w:sz="0" w:space="0" w:color="auto"/>
        <w:left w:val="none" w:sz="0" w:space="0" w:color="auto"/>
        <w:bottom w:val="none" w:sz="0" w:space="0" w:color="auto"/>
        <w:right w:val="none" w:sz="0" w:space="0" w:color="auto"/>
      </w:divBdr>
    </w:div>
    <w:div w:id="998801234">
      <w:bodyDiv w:val="1"/>
      <w:marLeft w:val="0"/>
      <w:marRight w:val="0"/>
      <w:marTop w:val="0"/>
      <w:marBottom w:val="0"/>
      <w:divBdr>
        <w:top w:val="none" w:sz="0" w:space="0" w:color="auto"/>
        <w:left w:val="none" w:sz="0" w:space="0" w:color="auto"/>
        <w:bottom w:val="none" w:sz="0" w:space="0" w:color="auto"/>
        <w:right w:val="none" w:sz="0" w:space="0" w:color="auto"/>
      </w:divBdr>
    </w:div>
    <w:div w:id="1020011909">
      <w:bodyDiv w:val="1"/>
      <w:marLeft w:val="0"/>
      <w:marRight w:val="0"/>
      <w:marTop w:val="0"/>
      <w:marBottom w:val="0"/>
      <w:divBdr>
        <w:top w:val="none" w:sz="0" w:space="0" w:color="auto"/>
        <w:left w:val="none" w:sz="0" w:space="0" w:color="auto"/>
        <w:bottom w:val="none" w:sz="0" w:space="0" w:color="auto"/>
        <w:right w:val="none" w:sz="0" w:space="0" w:color="auto"/>
      </w:divBdr>
    </w:div>
    <w:div w:id="1144348042">
      <w:bodyDiv w:val="1"/>
      <w:marLeft w:val="0"/>
      <w:marRight w:val="0"/>
      <w:marTop w:val="0"/>
      <w:marBottom w:val="0"/>
      <w:divBdr>
        <w:top w:val="none" w:sz="0" w:space="0" w:color="auto"/>
        <w:left w:val="none" w:sz="0" w:space="0" w:color="auto"/>
        <w:bottom w:val="none" w:sz="0" w:space="0" w:color="auto"/>
        <w:right w:val="none" w:sz="0" w:space="0" w:color="auto"/>
      </w:divBdr>
    </w:div>
    <w:div w:id="1173183382">
      <w:bodyDiv w:val="1"/>
      <w:marLeft w:val="0"/>
      <w:marRight w:val="0"/>
      <w:marTop w:val="0"/>
      <w:marBottom w:val="0"/>
      <w:divBdr>
        <w:top w:val="none" w:sz="0" w:space="0" w:color="auto"/>
        <w:left w:val="none" w:sz="0" w:space="0" w:color="auto"/>
        <w:bottom w:val="none" w:sz="0" w:space="0" w:color="auto"/>
        <w:right w:val="none" w:sz="0" w:space="0" w:color="auto"/>
      </w:divBdr>
    </w:div>
    <w:div w:id="1217277244">
      <w:bodyDiv w:val="1"/>
      <w:marLeft w:val="0"/>
      <w:marRight w:val="0"/>
      <w:marTop w:val="0"/>
      <w:marBottom w:val="0"/>
      <w:divBdr>
        <w:top w:val="none" w:sz="0" w:space="0" w:color="auto"/>
        <w:left w:val="none" w:sz="0" w:space="0" w:color="auto"/>
        <w:bottom w:val="none" w:sz="0" w:space="0" w:color="auto"/>
        <w:right w:val="none" w:sz="0" w:space="0" w:color="auto"/>
      </w:divBdr>
    </w:div>
    <w:div w:id="1232158255">
      <w:bodyDiv w:val="1"/>
      <w:marLeft w:val="0"/>
      <w:marRight w:val="0"/>
      <w:marTop w:val="0"/>
      <w:marBottom w:val="0"/>
      <w:divBdr>
        <w:top w:val="none" w:sz="0" w:space="0" w:color="auto"/>
        <w:left w:val="none" w:sz="0" w:space="0" w:color="auto"/>
        <w:bottom w:val="none" w:sz="0" w:space="0" w:color="auto"/>
        <w:right w:val="none" w:sz="0" w:space="0" w:color="auto"/>
      </w:divBdr>
    </w:div>
    <w:div w:id="1289118898">
      <w:bodyDiv w:val="1"/>
      <w:marLeft w:val="0"/>
      <w:marRight w:val="0"/>
      <w:marTop w:val="0"/>
      <w:marBottom w:val="0"/>
      <w:divBdr>
        <w:top w:val="none" w:sz="0" w:space="0" w:color="auto"/>
        <w:left w:val="none" w:sz="0" w:space="0" w:color="auto"/>
        <w:bottom w:val="none" w:sz="0" w:space="0" w:color="auto"/>
        <w:right w:val="none" w:sz="0" w:space="0" w:color="auto"/>
      </w:divBdr>
    </w:div>
    <w:div w:id="1316449989">
      <w:bodyDiv w:val="1"/>
      <w:marLeft w:val="0"/>
      <w:marRight w:val="0"/>
      <w:marTop w:val="0"/>
      <w:marBottom w:val="0"/>
      <w:divBdr>
        <w:top w:val="none" w:sz="0" w:space="0" w:color="auto"/>
        <w:left w:val="none" w:sz="0" w:space="0" w:color="auto"/>
        <w:bottom w:val="none" w:sz="0" w:space="0" w:color="auto"/>
        <w:right w:val="none" w:sz="0" w:space="0" w:color="auto"/>
      </w:divBdr>
    </w:div>
    <w:div w:id="1350717878">
      <w:bodyDiv w:val="1"/>
      <w:marLeft w:val="0"/>
      <w:marRight w:val="0"/>
      <w:marTop w:val="0"/>
      <w:marBottom w:val="0"/>
      <w:divBdr>
        <w:top w:val="none" w:sz="0" w:space="0" w:color="auto"/>
        <w:left w:val="none" w:sz="0" w:space="0" w:color="auto"/>
        <w:bottom w:val="none" w:sz="0" w:space="0" w:color="auto"/>
        <w:right w:val="none" w:sz="0" w:space="0" w:color="auto"/>
      </w:divBdr>
    </w:div>
    <w:div w:id="1363240043">
      <w:bodyDiv w:val="1"/>
      <w:marLeft w:val="0"/>
      <w:marRight w:val="0"/>
      <w:marTop w:val="0"/>
      <w:marBottom w:val="0"/>
      <w:divBdr>
        <w:top w:val="none" w:sz="0" w:space="0" w:color="auto"/>
        <w:left w:val="none" w:sz="0" w:space="0" w:color="auto"/>
        <w:bottom w:val="none" w:sz="0" w:space="0" w:color="auto"/>
        <w:right w:val="none" w:sz="0" w:space="0" w:color="auto"/>
      </w:divBdr>
    </w:div>
    <w:div w:id="1504201071">
      <w:bodyDiv w:val="1"/>
      <w:marLeft w:val="0"/>
      <w:marRight w:val="0"/>
      <w:marTop w:val="0"/>
      <w:marBottom w:val="0"/>
      <w:divBdr>
        <w:top w:val="none" w:sz="0" w:space="0" w:color="auto"/>
        <w:left w:val="none" w:sz="0" w:space="0" w:color="auto"/>
        <w:bottom w:val="none" w:sz="0" w:space="0" w:color="auto"/>
        <w:right w:val="none" w:sz="0" w:space="0" w:color="auto"/>
      </w:divBdr>
    </w:div>
    <w:div w:id="1525751451">
      <w:bodyDiv w:val="1"/>
      <w:marLeft w:val="0"/>
      <w:marRight w:val="0"/>
      <w:marTop w:val="0"/>
      <w:marBottom w:val="0"/>
      <w:divBdr>
        <w:top w:val="none" w:sz="0" w:space="0" w:color="auto"/>
        <w:left w:val="none" w:sz="0" w:space="0" w:color="auto"/>
        <w:bottom w:val="none" w:sz="0" w:space="0" w:color="auto"/>
        <w:right w:val="none" w:sz="0" w:space="0" w:color="auto"/>
      </w:divBdr>
    </w:div>
    <w:div w:id="1548224327">
      <w:bodyDiv w:val="1"/>
      <w:marLeft w:val="0"/>
      <w:marRight w:val="0"/>
      <w:marTop w:val="0"/>
      <w:marBottom w:val="0"/>
      <w:divBdr>
        <w:top w:val="none" w:sz="0" w:space="0" w:color="auto"/>
        <w:left w:val="none" w:sz="0" w:space="0" w:color="auto"/>
        <w:bottom w:val="none" w:sz="0" w:space="0" w:color="auto"/>
        <w:right w:val="none" w:sz="0" w:space="0" w:color="auto"/>
      </w:divBdr>
    </w:div>
    <w:div w:id="1673868784">
      <w:bodyDiv w:val="1"/>
      <w:marLeft w:val="0"/>
      <w:marRight w:val="0"/>
      <w:marTop w:val="0"/>
      <w:marBottom w:val="0"/>
      <w:divBdr>
        <w:top w:val="none" w:sz="0" w:space="0" w:color="auto"/>
        <w:left w:val="none" w:sz="0" w:space="0" w:color="auto"/>
        <w:bottom w:val="none" w:sz="0" w:space="0" w:color="auto"/>
        <w:right w:val="none" w:sz="0" w:space="0" w:color="auto"/>
      </w:divBdr>
    </w:div>
    <w:div w:id="1681811800">
      <w:bodyDiv w:val="1"/>
      <w:marLeft w:val="0"/>
      <w:marRight w:val="0"/>
      <w:marTop w:val="0"/>
      <w:marBottom w:val="0"/>
      <w:divBdr>
        <w:top w:val="none" w:sz="0" w:space="0" w:color="auto"/>
        <w:left w:val="none" w:sz="0" w:space="0" w:color="auto"/>
        <w:bottom w:val="none" w:sz="0" w:space="0" w:color="auto"/>
        <w:right w:val="none" w:sz="0" w:space="0" w:color="auto"/>
      </w:divBdr>
    </w:div>
    <w:div w:id="1683508372">
      <w:bodyDiv w:val="1"/>
      <w:marLeft w:val="0"/>
      <w:marRight w:val="0"/>
      <w:marTop w:val="0"/>
      <w:marBottom w:val="0"/>
      <w:divBdr>
        <w:top w:val="none" w:sz="0" w:space="0" w:color="auto"/>
        <w:left w:val="none" w:sz="0" w:space="0" w:color="auto"/>
        <w:bottom w:val="none" w:sz="0" w:space="0" w:color="auto"/>
        <w:right w:val="none" w:sz="0" w:space="0" w:color="auto"/>
      </w:divBdr>
    </w:div>
    <w:div w:id="1783765329">
      <w:bodyDiv w:val="1"/>
      <w:marLeft w:val="0"/>
      <w:marRight w:val="0"/>
      <w:marTop w:val="0"/>
      <w:marBottom w:val="0"/>
      <w:divBdr>
        <w:top w:val="none" w:sz="0" w:space="0" w:color="auto"/>
        <w:left w:val="none" w:sz="0" w:space="0" w:color="auto"/>
        <w:bottom w:val="none" w:sz="0" w:space="0" w:color="auto"/>
        <w:right w:val="none" w:sz="0" w:space="0" w:color="auto"/>
      </w:divBdr>
    </w:div>
    <w:div w:id="1818523871">
      <w:bodyDiv w:val="1"/>
      <w:marLeft w:val="0"/>
      <w:marRight w:val="0"/>
      <w:marTop w:val="0"/>
      <w:marBottom w:val="0"/>
      <w:divBdr>
        <w:top w:val="none" w:sz="0" w:space="0" w:color="auto"/>
        <w:left w:val="none" w:sz="0" w:space="0" w:color="auto"/>
        <w:bottom w:val="none" w:sz="0" w:space="0" w:color="auto"/>
        <w:right w:val="none" w:sz="0" w:space="0" w:color="auto"/>
      </w:divBdr>
    </w:div>
    <w:div w:id="1878160097">
      <w:bodyDiv w:val="1"/>
      <w:marLeft w:val="0"/>
      <w:marRight w:val="0"/>
      <w:marTop w:val="0"/>
      <w:marBottom w:val="0"/>
      <w:divBdr>
        <w:top w:val="none" w:sz="0" w:space="0" w:color="auto"/>
        <w:left w:val="none" w:sz="0" w:space="0" w:color="auto"/>
        <w:bottom w:val="none" w:sz="0" w:space="0" w:color="auto"/>
        <w:right w:val="none" w:sz="0" w:space="0" w:color="auto"/>
      </w:divBdr>
    </w:div>
    <w:div w:id="1898281846">
      <w:bodyDiv w:val="1"/>
      <w:marLeft w:val="0"/>
      <w:marRight w:val="0"/>
      <w:marTop w:val="0"/>
      <w:marBottom w:val="0"/>
      <w:divBdr>
        <w:top w:val="none" w:sz="0" w:space="0" w:color="auto"/>
        <w:left w:val="none" w:sz="0" w:space="0" w:color="auto"/>
        <w:bottom w:val="none" w:sz="0" w:space="0" w:color="auto"/>
        <w:right w:val="none" w:sz="0" w:space="0" w:color="auto"/>
      </w:divBdr>
    </w:div>
    <w:div w:id="1944873187">
      <w:bodyDiv w:val="1"/>
      <w:marLeft w:val="0"/>
      <w:marRight w:val="0"/>
      <w:marTop w:val="0"/>
      <w:marBottom w:val="0"/>
      <w:divBdr>
        <w:top w:val="none" w:sz="0" w:space="0" w:color="auto"/>
        <w:left w:val="none" w:sz="0" w:space="0" w:color="auto"/>
        <w:bottom w:val="none" w:sz="0" w:space="0" w:color="auto"/>
        <w:right w:val="none" w:sz="0" w:space="0" w:color="auto"/>
      </w:divBdr>
    </w:div>
    <w:div w:id="1981036878">
      <w:bodyDiv w:val="1"/>
      <w:marLeft w:val="0"/>
      <w:marRight w:val="0"/>
      <w:marTop w:val="0"/>
      <w:marBottom w:val="0"/>
      <w:divBdr>
        <w:top w:val="none" w:sz="0" w:space="0" w:color="auto"/>
        <w:left w:val="none" w:sz="0" w:space="0" w:color="auto"/>
        <w:bottom w:val="none" w:sz="0" w:space="0" w:color="auto"/>
        <w:right w:val="none" w:sz="0" w:space="0" w:color="auto"/>
      </w:divBdr>
    </w:div>
    <w:div w:id="1984189734">
      <w:bodyDiv w:val="1"/>
      <w:marLeft w:val="0"/>
      <w:marRight w:val="0"/>
      <w:marTop w:val="0"/>
      <w:marBottom w:val="0"/>
      <w:divBdr>
        <w:top w:val="none" w:sz="0" w:space="0" w:color="auto"/>
        <w:left w:val="none" w:sz="0" w:space="0" w:color="auto"/>
        <w:bottom w:val="none" w:sz="0" w:space="0" w:color="auto"/>
        <w:right w:val="none" w:sz="0" w:space="0" w:color="auto"/>
      </w:divBdr>
    </w:div>
    <w:div w:id="2024085514">
      <w:bodyDiv w:val="1"/>
      <w:marLeft w:val="0"/>
      <w:marRight w:val="0"/>
      <w:marTop w:val="0"/>
      <w:marBottom w:val="0"/>
      <w:divBdr>
        <w:top w:val="none" w:sz="0" w:space="0" w:color="auto"/>
        <w:left w:val="none" w:sz="0" w:space="0" w:color="auto"/>
        <w:bottom w:val="none" w:sz="0" w:space="0" w:color="auto"/>
        <w:right w:val="none" w:sz="0" w:space="0" w:color="auto"/>
      </w:divBdr>
    </w:div>
    <w:div w:id="2057268423">
      <w:bodyDiv w:val="1"/>
      <w:marLeft w:val="0"/>
      <w:marRight w:val="0"/>
      <w:marTop w:val="0"/>
      <w:marBottom w:val="0"/>
      <w:divBdr>
        <w:top w:val="none" w:sz="0" w:space="0" w:color="auto"/>
        <w:left w:val="none" w:sz="0" w:space="0" w:color="auto"/>
        <w:bottom w:val="none" w:sz="0" w:space="0" w:color="auto"/>
        <w:right w:val="none" w:sz="0" w:space="0" w:color="auto"/>
      </w:divBdr>
    </w:div>
    <w:div w:id="2120491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d2f3569f73648359b35a1bf7aa604124">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cbe63898402eac64fbdf95f41f1676f2"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A1814-BCE4-48FC-8872-2426AFAE066F}">
  <ds:schemaRefs>
    <ds:schemaRef ds:uri="http://schemas.microsoft.com/sharepoint/v3/contenttype/forms"/>
  </ds:schemaRefs>
</ds:datastoreItem>
</file>

<file path=customXml/itemProps2.xml><?xml version="1.0" encoding="utf-8"?>
<ds:datastoreItem xmlns:ds="http://schemas.openxmlformats.org/officeDocument/2006/customXml" ds:itemID="{57EC95EF-46A4-4D26-8C37-706BC66DD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268C0B-FD80-4AC5-85C5-BE87CE6DC9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0CF4DB-6B45-4846-92E2-822313CB5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3111</Words>
  <Characters>17114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20185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ANDRÉS BEDOYA FLÓREZ</dc:creator>
  <cp:keywords/>
  <cp:lastModifiedBy>NELCY VERENA CÁRDENAS ÁLVAREZ</cp:lastModifiedBy>
  <cp:revision>2</cp:revision>
  <dcterms:created xsi:type="dcterms:W3CDTF">2022-02-28T16:47:00Z</dcterms:created>
  <dcterms:modified xsi:type="dcterms:W3CDTF">2022-02-28T16:47:00Z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