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C8F7F" w14:textId="77777777" w:rsidR="001A40E4" w:rsidRPr="00FD207E" w:rsidRDefault="00DE3F25" w:rsidP="00DE3F25">
      <w:pPr>
        <w:jc w:val="center"/>
        <w:rPr>
          <w:b/>
          <w:sz w:val="24"/>
          <w:szCs w:val="24"/>
        </w:rPr>
      </w:pPr>
      <w:r w:rsidRPr="00FD207E">
        <w:rPr>
          <w:b/>
          <w:sz w:val="24"/>
          <w:szCs w:val="24"/>
        </w:rPr>
        <w:t>Consejero Ponente: NICOLÁS YEPES CORRALES</w:t>
      </w:r>
    </w:p>
    <w:p w14:paraId="48C9E47C" w14:textId="77777777" w:rsidR="00DE3F25" w:rsidRPr="00FD207E" w:rsidRDefault="00DE3F25" w:rsidP="00DE3F25">
      <w:pPr>
        <w:spacing w:line="360" w:lineRule="auto"/>
        <w:rPr>
          <w:b/>
          <w:sz w:val="24"/>
          <w:szCs w:val="24"/>
        </w:rPr>
      </w:pPr>
    </w:p>
    <w:p w14:paraId="044F51E0" w14:textId="579918C6" w:rsidR="00DE3F25" w:rsidRPr="00FD207E" w:rsidRDefault="00DE3F25" w:rsidP="00DE3F25">
      <w:pPr>
        <w:spacing w:line="360" w:lineRule="auto"/>
        <w:rPr>
          <w:sz w:val="24"/>
          <w:szCs w:val="24"/>
        </w:rPr>
      </w:pPr>
      <w:r w:rsidRPr="00FD207E">
        <w:rPr>
          <w:sz w:val="24"/>
          <w:szCs w:val="24"/>
        </w:rPr>
        <w:t xml:space="preserve">Bogotá D.C., </w:t>
      </w:r>
      <w:r w:rsidR="000B10C9">
        <w:rPr>
          <w:sz w:val="24"/>
          <w:szCs w:val="24"/>
        </w:rPr>
        <w:t>treinta</w:t>
      </w:r>
      <w:r w:rsidRPr="00FD207E">
        <w:rPr>
          <w:sz w:val="24"/>
          <w:szCs w:val="24"/>
        </w:rPr>
        <w:t xml:space="preserve"> (</w:t>
      </w:r>
      <w:r w:rsidR="000B10C9">
        <w:rPr>
          <w:sz w:val="24"/>
          <w:szCs w:val="24"/>
        </w:rPr>
        <w:t>30</w:t>
      </w:r>
      <w:r w:rsidRPr="00FD207E">
        <w:rPr>
          <w:sz w:val="24"/>
          <w:szCs w:val="24"/>
        </w:rPr>
        <w:t>) de noviembre de dos mil veinte (2020)</w:t>
      </w:r>
    </w:p>
    <w:p w14:paraId="7204B645" w14:textId="77777777" w:rsidR="00DE3F25" w:rsidRPr="00FD207E" w:rsidRDefault="00DE3F25" w:rsidP="00DE3F25">
      <w:pPr>
        <w:spacing w:line="360" w:lineRule="auto"/>
        <w:rPr>
          <w:sz w:val="24"/>
          <w:szCs w:val="24"/>
        </w:rPr>
      </w:pPr>
    </w:p>
    <w:p w14:paraId="39D1623D" w14:textId="1E5A3FD4" w:rsidR="00DE3F25" w:rsidRPr="00FD207E" w:rsidRDefault="00DE3F25" w:rsidP="00DE3F25">
      <w:pPr>
        <w:spacing w:line="276" w:lineRule="auto"/>
        <w:rPr>
          <w:rFonts w:cs="Arial"/>
          <w:b/>
          <w:sz w:val="24"/>
          <w:szCs w:val="24"/>
        </w:rPr>
      </w:pPr>
      <w:r w:rsidRPr="00FD207E">
        <w:rPr>
          <w:rFonts w:cs="Arial"/>
          <w:b/>
          <w:sz w:val="24"/>
          <w:szCs w:val="24"/>
          <w:lang w:val="es-ES"/>
        </w:rPr>
        <w:t xml:space="preserve">Radicación: </w:t>
      </w:r>
      <w:r w:rsidRPr="00FD207E">
        <w:rPr>
          <w:rFonts w:cs="Arial"/>
          <w:sz w:val="24"/>
          <w:szCs w:val="24"/>
          <w:lang w:val="es-ES"/>
        </w:rPr>
        <w:t>11001031500020200434400</w:t>
      </w:r>
    </w:p>
    <w:p w14:paraId="30B28AAA" w14:textId="77777777" w:rsidR="00DE3F25" w:rsidRPr="00FD207E" w:rsidRDefault="00DE3F25" w:rsidP="00DE3F25">
      <w:pPr>
        <w:spacing w:line="276" w:lineRule="auto"/>
        <w:rPr>
          <w:rFonts w:cs="Arial"/>
          <w:bCs/>
          <w:sz w:val="24"/>
          <w:szCs w:val="24"/>
          <w:lang w:val="es-ES"/>
        </w:rPr>
      </w:pPr>
      <w:r w:rsidRPr="00FD207E">
        <w:rPr>
          <w:rFonts w:cs="Arial"/>
          <w:b/>
          <w:sz w:val="24"/>
          <w:szCs w:val="24"/>
          <w:lang w:val="es-ES"/>
        </w:rPr>
        <w:t xml:space="preserve">Accionante: </w:t>
      </w:r>
      <w:r w:rsidRPr="00FD207E">
        <w:rPr>
          <w:rFonts w:cs="Arial"/>
          <w:bCs/>
          <w:sz w:val="24"/>
          <w:szCs w:val="24"/>
          <w:lang w:val="es-ES"/>
        </w:rPr>
        <w:t xml:space="preserve">Jorge Humberto Rincón Sierra </w:t>
      </w:r>
    </w:p>
    <w:p w14:paraId="4C7E60B1" w14:textId="381265A3" w:rsidR="00DE3F25" w:rsidRPr="00FD207E" w:rsidRDefault="00DE3F25" w:rsidP="00DE3F25">
      <w:pPr>
        <w:spacing w:line="276" w:lineRule="auto"/>
        <w:rPr>
          <w:rFonts w:cs="Arial"/>
          <w:bCs/>
          <w:sz w:val="24"/>
          <w:szCs w:val="24"/>
        </w:rPr>
      </w:pPr>
      <w:r w:rsidRPr="00FD207E">
        <w:rPr>
          <w:rFonts w:cs="Arial"/>
          <w:b/>
          <w:sz w:val="24"/>
          <w:szCs w:val="24"/>
          <w:lang w:val="es-ES"/>
        </w:rPr>
        <w:t xml:space="preserve">Accionado: </w:t>
      </w:r>
      <w:r w:rsidRPr="00FD207E">
        <w:rPr>
          <w:rFonts w:cs="Arial"/>
          <w:bCs/>
          <w:sz w:val="24"/>
          <w:szCs w:val="24"/>
          <w:lang w:val="es-ES"/>
        </w:rPr>
        <w:t>Subsección A de la Sección Segunda del Consejo de Estado</w:t>
      </w:r>
    </w:p>
    <w:p w14:paraId="27504456" w14:textId="77777777" w:rsidR="00DE3F25" w:rsidRPr="00FD207E" w:rsidRDefault="00DE3F25" w:rsidP="00DE3F25">
      <w:pPr>
        <w:spacing w:line="276" w:lineRule="auto"/>
        <w:rPr>
          <w:rFonts w:cs="Arial"/>
          <w:bCs/>
          <w:sz w:val="24"/>
          <w:szCs w:val="24"/>
        </w:rPr>
      </w:pPr>
      <w:r w:rsidRPr="00FD207E">
        <w:rPr>
          <w:rFonts w:cs="Arial"/>
          <w:b/>
          <w:sz w:val="24"/>
          <w:szCs w:val="24"/>
        </w:rPr>
        <w:t xml:space="preserve">Asunto: </w:t>
      </w:r>
      <w:r w:rsidRPr="00FD207E">
        <w:rPr>
          <w:rFonts w:cs="Arial"/>
          <w:bCs/>
          <w:sz w:val="24"/>
          <w:szCs w:val="24"/>
        </w:rPr>
        <w:t xml:space="preserve">Acción de Tutela – Sentencia de primera instancia </w:t>
      </w:r>
    </w:p>
    <w:p w14:paraId="4D5A6F82" w14:textId="77777777" w:rsidR="00DE3F25" w:rsidRPr="00FD207E" w:rsidRDefault="00DE3F25" w:rsidP="00DE3F25">
      <w:pPr>
        <w:spacing w:line="276" w:lineRule="auto"/>
        <w:rPr>
          <w:rFonts w:cs="Arial"/>
          <w:bCs/>
          <w:sz w:val="24"/>
          <w:szCs w:val="24"/>
        </w:rPr>
      </w:pPr>
    </w:p>
    <w:p w14:paraId="2174A705" w14:textId="77777777" w:rsidR="00DE3F25" w:rsidRPr="00FD207E" w:rsidRDefault="00DE3F25" w:rsidP="00DE3F25">
      <w:pPr>
        <w:spacing w:line="276" w:lineRule="auto"/>
        <w:rPr>
          <w:rFonts w:cs="Arial"/>
          <w:bCs/>
          <w:sz w:val="24"/>
          <w:szCs w:val="24"/>
        </w:rPr>
      </w:pPr>
      <w:r w:rsidRPr="00FD207E">
        <w:rPr>
          <w:rFonts w:cs="Arial"/>
          <w:b/>
          <w:bCs/>
          <w:sz w:val="24"/>
          <w:szCs w:val="24"/>
        </w:rPr>
        <w:t xml:space="preserve">Tema: </w:t>
      </w:r>
      <w:r w:rsidRPr="00FD207E">
        <w:rPr>
          <w:rFonts w:cs="Arial"/>
          <w:bCs/>
          <w:sz w:val="24"/>
          <w:szCs w:val="24"/>
        </w:rPr>
        <w:t xml:space="preserve">Acción de tutela en contra de providencia judicial. </w:t>
      </w:r>
      <w:r w:rsidRPr="00FD207E">
        <w:rPr>
          <w:rFonts w:cs="Arial"/>
          <w:b/>
          <w:bCs/>
          <w:sz w:val="24"/>
          <w:szCs w:val="24"/>
        </w:rPr>
        <w:t xml:space="preserve">Subtema 1: </w:t>
      </w:r>
      <w:r w:rsidRPr="00FD207E">
        <w:rPr>
          <w:rFonts w:cs="Arial"/>
          <w:bCs/>
          <w:sz w:val="24"/>
          <w:szCs w:val="24"/>
        </w:rPr>
        <w:t xml:space="preserve">Relevancia constitucional. </w:t>
      </w:r>
      <w:r w:rsidRPr="00FD207E">
        <w:rPr>
          <w:rFonts w:cs="Arial"/>
          <w:b/>
          <w:bCs/>
          <w:sz w:val="24"/>
          <w:szCs w:val="24"/>
        </w:rPr>
        <w:t xml:space="preserve">Decisión: </w:t>
      </w:r>
      <w:r w:rsidRPr="00FD207E">
        <w:rPr>
          <w:rFonts w:cs="Arial"/>
          <w:bCs/>
          <w:sz w:val="24"/>
          <w:szCs w:val="24"/>
        </w:rPr>
        <w:t xml:space="preserve">Se declara improcedente la solicitud de amparo constitucional. </w:t>
      </w:r>
    </w:p>
    <w:p w14:paraId="133827A9" w14:textId="77777777" w:rsidR="00B765E7" w:rsidRPr="00FD207E" w:rsidRDefault="00B765E7" w:rsidP="00DE3F25">
      <w:pPr>
        <w:spacing w:line="276" w:lineRule="auto"/>
        <w:rPr>
          <w:rFonts w:cs="Arial"/>
          <w:bCs/>
          <w:sz w:val="24"/>
          <w:szCs w:val="24"/>
        </w:rPr>
      </w:pPr>
    </w:p>
    <w:p w14:paraId="6C5644C0" w14:textId="0B8BE231" w:rsidR="00B765E7" w:rsidRPr="00FD207E" w:rsidRDefault="00B765E7" w:rsidP="003E258F">
      <w:pPr>
        <w:spacing w:line="360" w:lineRule="auto"/>
        <w:rPr>
          <w:rFonts w:cs="Arial"/>
          <w:sz w:val="24"/>
          <w:szCs w:val="24"/>
        </w:rPr>
      </w:pPr>
      <w:r w:rsidRPr="00FD207E">
        <w:rPr>
          <w:rFonts w:cs="Arial"/>
          <w:bCs/>
          <w:sz w:val="24"/>
          <w:szCs w:val="24"/>
        </w:rPr>
        <w:t>La Sala decide la acción de tutela presentada por</w:t>
      </w:r>
      <w:r w:rsidR="00B151C1">
        <w:rPr>
          <w:rFonts w:cs="Arial"/>
          <w:bCs/>
          <w:sz w:val="24"/>
          <w:szCs w:val="24"/>
        </w:rPr>
        <w:t xml:space="preserve"> el señor</w:t>
      </w:r>
      <w:r w:rsidRPr="00FD207E">
        <w:rPr>
          <w:rFonts w:cs="Arial"/>
          <w:bCs/>
          <w:sz w:val="24"/>
          <w:szCs w:val="24"/>
        </w:rPr>
        <w:t xml:space="preserve"> Jorge Humberto Rincón Sierra en contra de la sentencia proferida el 6 de agosto de 2020 por la Subsección A de la Sección Segunda del Consejo </w:t>
      </w:r>
      <w:r w:rsidR="003E258F" w:rsidRPr="00FD207E">
        <w:rPr>
          <w:rFonts w:cs="Arial"/>
          <w:bCs/>
          <w:sz w:val="24"/>
          <w:szCs w:val="24"/>
        </w:rPr>
        <w:t xml:space="preserve">de Estado, </w:t>
      </w:r>
      <w:r w:rsidR="003E258F" w:rsidRPr="00FD207E">
        <w:rPr>
          <w:sz w:val="24"/>
          <w:szCs w:val="24"/>
        </w:rPr>
        <w:t xml:space="preserve">de acuerdo con el Decreto 1983 </w:t>
      </w:r>
      <w:r w:rsidR="003E258F" w:rsidRPr="00FD207E">
        <w:rPr>
          <w:rFonts w:cs="Arial"/>
          <w:sz w:val="24"/>
          <w:szCs w:val="24"/>
        </w:rPr>
        <w:t>de 2017</w:t>
      </w:r>
      <w:r w:rsidR="003E258F" w:rsidRPr="00FD207E">
        <w:rPr>
          <w:rStyle w:val="Refdenotaalpie"/>
          <w:rFonts w:cs="Arial"/>
          <w:sz w:val="24"/>
          <w:szCs w:val="24"/>
        </w:rPr>
        <w:footnoteReference w:id="1"/>
      </w:r>
      <w:r w:rsidR="003E258F" w:rsidRPr="00FD207E">
        <w:rPr>
          <w:rFonts w:cs="Arial"/>
          <w:sz w:val="24"/>
          <w:szCs w:val="24"/>
        </w:rPr>
        <w:t>.</w:t>
      </w:r>
    </w:p>
    <w:p w14:paraId="44986918" w14:textId="77777777" w:rsidR="003E258F" w:rsidRPr="00FD207E" w:rsidRDefault="003E258F" w:rsidP="003E258F">
      <w:pPr>
        <w:spacing w:line="360" w:lineRule="auto"/>
        <w:rPr>
          <w:rFonts w:cs="Arial"/>
          <w:sz w:val="24"/>
          <w:szCs w:val="24"/>
        </w:rPr>
      </w:pPr>
    </w:p>
    <w:p w14:paraId="26049490" w14:textId="77777777" w:rsidR="003E258F" w:rsidRPr="00FD207E" w:rsidRDefault="003E258F" w:rsidP="004E6147">
      <w:pPr>
        <w:spacing w:line="360" w:lineRule="auto"/>
        <w:jc w:val="center"/>
        <w:rPr>
          <w:b/>
          <w:sz w:val="24"/>
          <w:szCs w:val="24"/>
        </w:rPr>
      </w:pPr>
      <w:r w:rsidRPr="00FD207E">
        <w:rPr>
          <w:b/>
          <w:sz w:val="24"/>
          <w:szCs w:val="24"/>
        </w:rPr>
        <w:t>I. ANTECEDENTES</w:t>
      </w:r>
    </w:p>
    <w:p w14:paraId="18C41FCC" w14:textId="77777777" w:rsidR="003E258F" w:rsidRPr="00FD207E" w:rsidRDefault="003E258F" w:rsidP="004E6147">
      <w:pPr>
        <w:spacing w:line="360" w:lineRule="auto"/>
        <w:rPr>
          <w:b/>
          <w:sz w:val="24"/>
          <w:szCs w:val="24"/>
        </w:rPr>
      </w:pPr>
    </w:p>
    <w:p w14:paraId="37049387" w14:textId="77777777" w:rsidR="003E258F" w:rsidRPr="00FD207E" w:rsidRDefault="003E258F" w:rsidP="004E6147">
      <w:pPr>
        <w:spacing w:line="360" w:lineRule="auto"/>
        <w:rPr>
          <w:b/>
          <w:sz w:val="24"/>
          <w:szCs w:val="24"/>
        </w:rPr>
      </w:pPr>
      <w:r w:rsidRPr="00FD207E">
        <w:rPr>
          <w:b/>
          <w:sz w:val="24"/>
          <w:szCs w:val="24"/>
        </w:rPr>
        <w:t xml:space="preserve">1.- La solicitud de tutela </w:t>
      </w:r>
    </w:p>
    <w:p w14:paraId="459C6148" w14:textId="77777777" w:rsidR="003E258F" w:rsidRPr="00FD207E" w:rsidRDefault="003E258F" w:rsidP="004E6147">
      <w:pPr>
        <w:spacing w:line="360" w:lineRule="auto"/>
        <w:rPr>
          <w:b/>
          <w:sz w:val="24"/>
          <w:szCs w:val="24"/>
        </w:rPr>
      </w:pPr>
    </w:p>
    <w:p w14:paraId="1B4CECB0" w14:textId="5C01C7D3" w:rsidR="003E258F" w:rsidRDefault="003E258F" w:rsidP="004E6147">
      <w:pPr>
        <w:spacing w:line="360" w:lineRule="auto"/>
        <w:rPr>
          <w:rFonts w:cs="Arial"/>
          <w:sz w:val="24"/>
          <w:szCs w:val="24"/>
          <w:lang w:eastAsia="es-ES"/>
        </w:rPr>
      </w:pPr>
      <w:r w:rsidRPr="00FD207E">
        <w:rPr>
          <w:sz w:val="24"/>
          <w:szCs w:val="24"/>
        </w:rPr>
        <w:t>El 7 de octubre de 2020</w:t>
      </w:r>
      <w:r w:rsidR="00603301" w:rsidRPr="00FD207E">
        <w:rPr>
          <w:rStyle w:val="Refdenotaalpie"/>
          <w:sz w:val="24"/>
          <w:szCs w:val="24"/>
        </w:rPr>
        <w:footnoteReference w:id="2"/>
      </w:r>
      <w:r w:rsidRPr="00FD207E">
        <w:rPr>
          <w:sz w:val="24"/>
          <w:szCs w:val="24"/>
        </w:rPr>
        <w:t xml:space="preserve">, </w:t>
      </w:r>
      <w:r w:rsidR="00B151C1">
        <w:rPr>
          <w:sz w:val="24"/>
          <w:szCs w:val="24"/>
        </w:rPr>
        <w:t xml:space="preserve">el señor </w:t>
      </w:r>
      <w:r w:rsidRPr="00FD207E">
        <w:rPr>
          <w:sz w:val="24"/>
          <w:szCs w:val="24"/>
        </w:rPr>
        <w:t>Jorge Humberto Rincón Sierra, actuando mediante apoderado judicial</w:t>
      </w:r>
      <w:r w:rsidR="00603301" w:rsidRPr="00FD207E">
        <w:rPr>
          <w:rStyle w:val="Refdenotaalpie"/>
          <w:sz w:val="24"/>
          <w:szCs w:val="24"/>
        </w:rPr>
        <w:footnoteReference w:id="3"/>
      </w:r>
      <w:r w:rsidRPr="00FD207E">
        <w:rPr>
          <w:sz w:val="24"/>
          <w:szCs w:val="24"/>
        </w:rPr>
        <w:t>, interpuso acción de tutela</w:t>
      </w:r>
      <w:r w:rsidR="008E4EE9" w:rsidRPr="00FD207E">
        <w:rPr>
          <w:rStyle w:val="Refdenotaalpie"/>
          <w:sz w:val="24"/>
          <w:szCs w:val="24"/>
        </w:rPr>
        <w:footnoteReference w:id="4"/>
      </w:r>
      <w:r w:rsidRPr="00FD207E">
        <w:rPr>
          <w:sz w:val="24"/>
          <w:szCs w:val="24"/>
        </w:rPr>
        <w:t xml:space="preserve"> en contra de la Subsección A de la Sección Segunda del Consejo de Estado, en la que solicitó la protección de sus derechos fundamentales a </w:t>
      </w:r>
      <w:r w:rsidRPr="00041465">
        <w:rPr>
          <w:sz w:val="24"/>
          <w:szCs w:val="24"/>
        </w:rPr>
        <w:t xml:space="preserve">la dignidad humana, al mínimo vital, a la seguridad social, de acceso a la administración de justicia, a la igualdad y al </w:t>
      </w:r>
      <w:r w:rsidR="00FD207E" w:rsidRPr="00041465">
        <w:rPr>
          <w:sz w:val="24"/>
          <w:szCs w:val="24"/>
        </w:rPr>
        <w:t>debido proceso;</w:t>
      </w:r>
      <w:r w:rsidR="00FD207E" w:rsidRPr="00FD207E">
        <w:rPr>
          <w:sz w:val="24"/>
          <w:szCs w:val="24"/>
        </w:rPr>
        <w:t xml:space="preserve"> en tanto al interior del proceso de nulidad y restablecimiento del derecho radicado bajo el No. </w:t>
      </w:r>
      <w:r w:rsidR="00FD207E" w:rsidRPr="00FD207E">
        <w:rPr>
          <w:rFonts w:cs="Arial"/>
          <w:sz w:val="24"/>
          <w:szCs w:val="24"/>
          <w:lang w:eastAsia="es-ES"/>
        </w:rPr>
        <w:t>63001-23-33-000-2018-00155-01</w:t>
      </w:r>
      <w:r w:rsidR="00FD207E">
        <w:rPr>
          <w:rFonts w:cs="Arial"/>
          <w:sz w:val="24"/>
          <w:szCs w:val="24"/>
          <w:lang w:eastAsia="es-ES"/>
        </w:rPr>
        <w:t>, adelantado en su contra por la Unidad Administrativa Especial de Gestión Pensional y Contribuciones Parafiscales de la Protección Social – UGPP, la autoridad judicial accionada resolvió</w:t>
      </w:r>
      <w:r w:rsidR="00041465">
        <w:rPr>
          <w:rFonts w:cs="Arial"/>
          <w:sz w:val="24"/>
          <w:szCs w:val="24"/>
          <w:lang w:eastAsia="es-ES"/>
        </w:rPr>
        <w:t>,</w:t>
      </w:r>
      <w:r w:rsidR="00FD207E">
        <w:rPr>
          <w:rFonts w:cs="Arial"/>
          <w:sz w:val="24"/>
          <w:szCs w:val="24"/>
          <w:lang w:eastAsia="es-ES"/>
        </w:rPr>
        <w:t xml:space="preserve"> mediante providencia del 6 de agosto de 2020</w:t>
      </w:r>
      <w:r w:rsidR="00041465">
        <w:rPr>
          <w:rFonts w:cs="Arial"/>
          <w:sz w:val="24"/>
          <w:szCs w:val="24"/>
          <w:lang w:eastAsia="es-ES"/>
        </w:rPr>
        <w:t>,</w:t>
      </w:r>
      <w:r w:rsidR="00FD207E">
        <w:rPr>
          <w:rFonts w:cs="Arial"/>
          <w:sz w:val="24"/>
          <w:szCs w:val="24"/>
          <w:lang w:eastAsia="es-ES"/>
        </w:rPr>
        <w:t xml:space="preserve"> revocar </w:t>
      </w:r>
      <w:r w:rsidR="00172240">
        <w:rPr>
          <w:rFonts w:cs="Arial"/>
          <w:sz w:val="24"/>
          <w:szCs w:val="24"/>
          <w:lang w:eastAsia="es-ES"/>
        </w:rPr>
        <w:t>la sentencia de primera instancia proferida por la Sala Segunda de Decisión del Tribunal Administrativo del Quindío, que negó las pretensiones de la demanda para</w:t>
      </w:r>
      <w:r w:rsidR="00F65387">
        <w:rPr>
          <w:rFonts w:cs="Arial"/>
          <w:sz w:val="24"/>
          <w:szCs w:val="24"/>
          <w:lang w:eastAsia="es-ES"/>
        </w:rPr>
        <w:t>,</w:t>
      </w:r>
      <w:r w:rsidR="00172240">
        <w:rPr>
          <w:rFonts w:cs="Arial"/>
          <w:sz w:val="24"/>
          <w:szCs w:val="24"/>
          <w:lang w:eastAsia="es-ES"/>
        </w:rPr>
        <w:t xml:space="preserve"> en </w:t>
      </w:r>
      <w:r w:rsidR="00172240">
        <w:rPr>
          <w:rFonts w:cs="Arial"/>
          <w:sz w:val="24"/>
          <w:szCs w:val="24"/>
          <w:lang w:eastAsia="es-ES"/>
        </w:rPr>
        <w:lastRenderedPageBreak/>
        <w:t xml:space="preserve">su lugar, declarar la nulidad de los actos administrativos mediante los que se le reconoció y reliquidó su pensión de vejez. </w:t>
      </w:r>
    </w:p>
    <w:p w14:paraId="7120D422" w14:textId="77777777" w:rsidR="000C4094" w:rsidRDefault="000C4094" w:rsidP="004E6147">
      <w:pPr>
        <w:spacing w:line="360" w:lineRule="auto"/>
        <w:rPr>
          <w:rFonts w:cs="Arial"/>
          <w:sz w:val="24"/>
          <w:szCs w:val="24"/>
          <w:lang w:eastAsia="es-ES"/>
        </w:rPr>
      </w:pPr>
    </w:p>
    <w:p w14:paraId="1376FF09" w14:textId="77777777" w:rsidR="000C4094" w:rsidRDefault="000C4094" w:rsidP="004E6147">
      <w:pPr>
        <w:spacing w:line="360" w:lineRule="auto"/>
        <w:rPr>
          <w:rFonts w:cs="Arial"/>
          <w:b/>
          <w:sz w:val="24"/>
          <w:szCs w:val="24"/>
          <w:lang w:eastAsia="es-ES"/>
        </w:rPr>
      </w:pPr>
      <w:r>
        <w:rPr>
          <w:rFonts w:cs="Arial"/>
          <w:b/>
          <w:sz w:val="24"/>
          <w:szCs w:val="24"/>
          <w:lang w:eastAsia="es-ES"/>
        </w:rPr>
        <w:t>1.1.- Hechos</w:t>
      </w:r>
    </w:p>
    <w:p w14:paraId="5722B849" w14:textId="77777777" w:rsidR="00652E80" w:rsidRDefault="00652E80" w:rsidP="004E6147">
      <w:pPr>
        <w:spacing w:line="360" w:lineRule="auto"/>
        <w:rPr>
          <w:rFonts w:cs="Arial"/>
          <w:b/>
          <w:sz w:val="24"/>
          <w:szCs w:val="24"/>
          <w:lang w:eastAsia="es-ES"/>
        </w:rPr>
      </w:pPr>
    </w:p>
    <w:p w14:paraId="6A04B550" w14:textId="77777777" w:rsidR="00652E80" w:rsidRDefault="00652E80" w:rsidP="004E6147">
      <w:pPr>
        <w:spacing w:line="360" w:lineRule="auto"/>
        <w:rPr>
          <w:rFonts w:cs="Arial"/>
          <w:sz w:val="24"/>
          <w:szCs w:val="24"/>
          <w:lang w:eastAsia="es-ES"/>
        </w:rPr>
      </w:pPr>
      <w:r>
        <w:rPr>
          <w:rFonts w:cs="Arial"/>
          <w:sz w:val="24"/>
          <w:szCs w:val="24"/>
          <w:lang w:eastAsia="es-ES"/>
        </w:rPr>
        <w:t xml:space="preserve">1.1.1.- El señor Jorge Humberto Rincón Sierra ingresó al Cuerpo de Custodia y Vigilancia del Instituto Nacional Penitenciario y Carcelario – INPEC el 16 de marzo de 1987. </w:t>
      </w:r>
    </w:p>
    <w:p w14:paraId="51ACB460" w14:textId="77777777" w:rsidR="00652E80" w:rsidRDefault="00652E80" w:rsidP="004E6147">
      <w:pPr>
        <w:spacing w:line="360" w:lineRule="auto"/>
        <w:rPr>
          <w:rFonts w:cs="Arial"/>
          <w:sz w:val="24"/>
          <w:szCs w:val="24"/>
          <w:lang w:eastAsia="es-ES"/>
        </w:rPr>
      </w:pPr>
    </w:p>
    <w:p w14:paraId="31E4B82A" w14:textId="0F30E4C5" w:rsidR="00652E80" w:rsidRDefault="00652E80" w:rsidP="004E6147">
      <w:pPr>
        <w:spacing w:line="360" w:lineRule="auto"/>
        <w:rPr>
          <w:rFonts w:cs="Arial"/>
          <w:sz w:val="24"/>
          <w:szCs w:val="24"/>
          <w:lang w:eastAsia="es-ES"/>
        </w:rPr>
      </w:pPr>
      <w:r>
        <w:rPr>
          <w:rFonts w:cs="Arial"/>
          <w:sz w:val="24"/>
          <w:szCs w:val="24"/>
          <w:lang w:eastAsia="es-ES"/>
        </w:rPr>
        <w:t xml:space="preserve">1.1.2.- Luego de laborar por más de 20 años </w:t>
      </w:r>
      <w:r w:rsidR="00E976A0">
        <w:rPr>
          <w:rFonts w:cs="Arial"/>
          <w:sz w:val="24"/>
          <w:szCs w:val="24"/>
          <w:lang w:eastAsia="es-ES"/>
        </w:rPr>
        <w:t xml:space="preserve">al servicio de la Institución, solicitó a la Caja Nacional de Previsión Social – CAJANAL el reconocimiento de su pensión de jubilación en los términos del artículo 96 de la Ley 32 de 1986, </w:t>
      </w:r>
      <w:r w:rsidR="004800C9">
        <w:rPr>
          <w:rFonts w:cs="Arial"/>
          <w:sz w:val="24"/>
          <w:szCs w:val="24"/>
          <w:lang w:eastAsia="es-ES"/>
        </w:rPr>
        <w:t>siendo esta concedida</w:t>
      </w:r>
      <w:r w:rsidR="00E976A0">
        <w:rPr>
          <w:rFonts w:cs="Arial"/>
          <w:sz w:val="24"/>
          <w:szCs w:val="24"/>
          <w:lang w:eastAsia="es-ES"/>
        </w:rPr>
        <w:t xml:space="preserve"> mediante la Resolución No. PAP 16293 del 6 de octubre de 2010</w:t>
      </w:r>
      <w:r w:rsidR="009961F7">
        <w:rPr>
          <w:rFonts w:cs="Arial"/>
          <w:sz w:val="24"/>
          <w:szCs w:val="24"/>
          <w:lang w:eastAsia="es-ES"/>
        </w:rPr>
        <w:t xml:space="preserve"> por </w:t>
      </w:r>
      <w:r w:rsidR="00041465">
        <w:rPr>
          <w:rFonts w:cs="Arial"/>
          <w:sz w:val="24"/>
          <w:szCs w:val="24"/>
          <w:lang w:eastAsia="es-ES"/>
        </w:rPr>
        <w:t>la suma de</w:t>
      </w:r>
      <w:r w:rsidR="009961F7">
        <w:rPr>
          <w:rFonts w:cs="Arial"/>
          <w:sz w:val="24"/>
          <w:szCs w:val="24"/>
          <w:lang w:eastAsia="es-ES"/>
        </w:rPr>
        <w:t xml:space="preserve"> $884.969, valor correspondiente al promedio de salarios devengados durante los últimos 10 años de servicio</w:t>
      </w:r>
      <w:r w:rsidR="00E976A0">
        <w:rPr>
          <w:rFonts w:cs="Arial"/>
          <w:sz w:val="24"/>
          <w:szCs w:val="24"/>
          <w:lang w:eastAsia="es-ES"/>
        </w:rPr>
        <w:t xml:space="preserve">. </w:t>
      </w:r>
      <w:r w:rsidR="00FD5DAB">
        <w:rPr>
          <w:rFonts w:cs="Arial"/>
          <w:sz w:val="24"/>
          <w:szCs w:val="24"/>
          <w:lang w:eastAsia="es-ES"/>
        </w:rPr>
        <w:t>En c</w:t>
      </w:r>
      <w:r w:rsidR="009961F7">
        <w:rPr>
          <w:rFonts w:cs="Arial"/>
          <w:sz w:val="24"/>
          <w:szCs w:val="24"/>
          <w:lang w:eastAsia="es-ES"/>
        </w:rPr>
        <w:t>ontra de este acto</w:t>
      </w:r>
      <w:r w:rsidR="00FD5DAB">
        <w:rPr>
          <w:rFonts w:cs="Arial"/>
          <w:sz w:val="24"/>
          <w:szCs w:val="24"/>
          <w:lang w:eastAsia="es-ES"/>
        </w:rPr>
        <w:t>, interpuso recurso de reposici</w:t>
      </w:r>
      <w:r w:rsidR="009961F7">
        <w:rPr>
          <w:rFonts w:cs="Arial"/>
          <w:sz w:val="24"/>
          <w:szCs w:val="24"/>
          <w:lang w:eastAsia="es-ES"/>
        </w:rPr>
        <w:t xml:space="preserve">ón, siendo resuelto a través de </w:t>
      </w:r>
      <w:r w:rsidR="00FD5DAB">
        <w:rPr>
          <w:rFonts w:cs="Arial"/>
          <w:sz w:val="24"/>
          <w:szCs w:val="24"/>
          <w:lang w:eastAsia="es-ES"/>
        </w:rPr>
        <w:t xml:space="preserve">la Resolución No. PAP 041050 del 28 de febrero de 2011, confirmando la decisión inicial. </w:t>
      </w:r>
    </w:p>
    <w:p w14:paraId="2E79F382" w14:textId="77777777" w:rsidR="00FD5DAB" w:rsidRDefault="00FD5DAB" w:rsidP="004E6147">
      <w:pPr>
        <w:spacing w:line="360" w:lineRule="auto"/>
        <w:rPr>
          <w:rFonts w:cs="Arial"/>
          <w:sz w:val="24"/>
          <w:szCs w:val="24"/>
          <w:lang w:eastAsia="es-ES"/>
        </w:rPr>
      </w:pPr>
    </w:p>
    <w:p w14:paraId="177F8A4F" w14:textId="3959A1F5" w:rsidR="00FD5DAB" w:rsidRDefault="00FD5DAB" w:rsidP="004E6147">
      <w:pPr>
        <w:spacing w:line="360" w:lineRule="auto"/>
        <w:rPr>
          <w:rFonts w:cs="Arial"/>
          <w:sz w:val="24"/>
          <w:szCs w:val="24"/>
          <w:lang w:eastAsia="es-ES"/>
        </w:rPr>
      </w:pPr>
      <w:r>
        <w:rPr>
          <w:rFonts w:cs="Arial"/>
          <w:sz w:val="24"/>
          <w:szCs w:val="24"/>
          <w:lang w:eastAsia="es-ES"/>
        </w:rPr>
        <w:t xml:space="preserve">1.1.3.- </w:t>
      </w:r>
      <w:r w:rsidR="00EE7056">
        <w:rPr>
          <w:rFonts w:cs="Arial"/>
          <w:sz w:val="24"/>
          <w:szCs w:val="24"/>
          <w:lang w:eastAsia="es-ES"/>
        </w:rPr>
        <w:t>Después</w:t>
      </w:r>
      <w:r>
        <w:rPr>
          <w:rFonts w:cs="Arial"/>
          <w:sz w:val="24"/>
          <w:szCs w:val="24"/>
          <w:lang w:eastAsia="es-ES"/>
        </w:rPr>
        <w:t>, en Resolución No. RDP 043350 del 21 de octubre de 2015</w:t>
      </w:r>
      <w:r w:rsidR="00A40B66">
        <w:rPr>
          <w:rStyle w:val="Refdenotaalpie"/>
          <w:rFonts w:cs="Arial"/>
          <w:sz w:val="24"/>
          <w:szCs w:val="24"/>
          <w:lang w:eastAsia="es-ES"/>
        </w:rPr>
        <w:footnoteReference w:id="5"/>
      </w:r>
      <w:r>
        <w:rPr>
          <w:rFonts w:cs="Arial"/>
          <w:sz w:val="24"/>
          <w:szCs w:val="24"/>
          <w:lang w:eastAsia="es-ES"/>
        </w:rPr>
        <w:t xml:space="preserve">, la UGPP reliquidó su pensión, teniendo como base el 75% del promedio de </w:t>
      </w:r>
      <w:r w:rsidR="00AF311E">
        <w:rPr>
          <w:rFonts w:cs="Arial"/>
          <w:sz w:val="24"/>
          <w:szCs w:val="24"/>
          <w:lang w:eastAsia="es-ES"/>
        </w:rPr>
        <w:t xml:space="preserve">los </w:t>
      </w:r>
      <w:r>
        <w:rPr>
          <w:rFonts w:cs="Arial"/>
          <w:sz w:val="24"/>
          <w:szCs w:val="24"/>
          <w:lang w:eastAsia="es-ES"/>
        </w:rPr>
        <w:t xml:space="preserve">salarios </w:t>
      </w:r>
      <w:r w:rsidR="00AF311E">
        <w:rPr>
          <w:rFonts w:cs="Arial"/>
          <w:sz w:val="24"/>
          <w:szCs w:val="24"/>
          <w:lang w:eastAsia="es-ES"/>
        </w:rPr>
        <w:t xml:space="preserve">que devengó </w:t>
      </w:r>
      <w:r w:rsidR="005C6A0C">
        <w:rPr>
          <w:rFonts w:cs="Arial"/>
          <w:sz w:val="24"/>
          <w:szCs w:val="24"/>
          <w:lang w:eastAsia="es-ES"/>
        </w:rPr>
        <w:t xml:space="preserve">en el último año de servicio, con fundamento en la Ley 32 de 1986, en el Decreto 407 de 1994 y </w:t>
      </w:r>
      <w:r w:rsidR="000B10C9">
        <w:rPr>
          <w:rFonts w:cs="Arial"/>
          <w:sz w:val="24"/>
          <w:szCs w:val="24"/>
          <w:lang w:eastAsia="es-ES"/>
        </w:rPr>
        <w:t xml:space="preserve">en </w:t>
      </w:r>
      <w:r w:rsidR="005C6A0C">
        <w:rPr>
          <w:rFonts w:cs="Arial"/>
          <w:sz w:val="24"/>
          <w:szCs w:val="24"/>
          <w:lang w:eastAsia="es-ES"/>
        </w:rPr>
        <w:t>el Acto Legislativo</w:t>
      </w:r>
      <w:r w:rsidR="00E14E2D">
        <w:rPr>
          <w:rFonts w:cs="Arial"/>
          <w:sz w:val="24"/>
          <w:szCs w:val="24"/>
          <w:lang w:eastAsia="es-ES"/>
        </w:rPr>
        <w:t xml:space="preserve"> 01 de 2005. </w:t>
      </w:r>
    </w:p>
    <w:p w14:paraId="12E9C880" w14:textId="77777777" w:rsidR="00E14E2D" w:rsidRDefault="00E14E2D" w:rsidP="004E6147">
      <w:pPr>
        <w:spacing w:line="360" w:lineRule="auto"/>
        <w:rPr>
          <w:rFonts w:cs="Arial"/>
          <w:sz w:val="24"/>
          <w:szCs w:val="24"/>
          <w:lang w:eastAsia="es-ES"/>
        </w:rPr>
      </w:pPr>
    </w:p>
    <w:p w14:paraId="2DBD9B23" w14:textId="34126909" w:rsidR="00E14E2D" w:rsidRPr="00FD5DAB" w:rsidRDefault="00E14E2D" w:rsidP="004E6147">
      <w:pPr>
        <w:spacing w:line="360" w:lineRule="auto"/>
        <w:rPr>
          <w:rFonts w:cs="Arial"/>
          <w:sz w:val="24"/>
          <w:szCs w:val="24"/>
          <w:lang w:eastAsia="es-ES"/>
        </w:rPr>
      </w:pPr>
      <w:r>
        <w:rPr>
          <w:rFonts w:cs="Arial"/>
          <w:sz w:val="24"/>
          <w:szCs w:val="24"/>
          <w:lang w:eastAsia="es-ES"/>
        </w:rPr>
        <w:t>1.1.4.- En Resolución RDP 014156 del 23 de abril de 2018</w:t>
      </w:r>
      <w:r w:rsidR="00E957E2">
        <w:rPr>
          <w:rStyle w:val="Refdenotaalpie"/>
          <w:rFonts w:cs="Arial"/>
          <w:sz w:val="24"/>
          <w:szCs w:val="24"/>
          <w:lang w:eastAsia="es-ES"/>
        </w:rPr>
        <w:footnoteReference w:id="6"/>
      </w:r>
      <w:r>
        <w:rPr>
          <w:rFonts w:cs="Arial"/>
          <w:sz w:val="24"/>
          <w:szCs w:val="24"/>
          <w:lang w:eastAsia="es-ES"/>
        </w:rPr>
        <w:t>, la UGPP negó una nueva solicitud de reliquidación, argumentando que</w:t>
      </w:r>
      <w:r w:rsidR="009F499D">
        <w:rPr>
          <w:rFonts w:cs="Arial"/>
          <w:sz w:val="24"/>
          <w:szCs w:val="24"/>
          <w:lang w:eastAsia="es-ES"/>
        </w:rPr>
        <w:t xml:space="preserve"> debido a que</w:t>
      </w:r>
      <w:r>
        <w:rPr>
          <w:rFonts w:cs="Arial"/>
          <w:sz w:val="24"/>
          <w:szCs w:val="24"/>
          <w:lang w:eastAsia="es-ES"/>
        </w:rPr>
        <w:t xml:space="preserve"> el accionante adquirió el estatus pensional con posterioridad a la entrada en vigencia del Decreto 2090 de 2003, la entidad encargada del reconocimiento de su pensión era la Administradora Colombiana de Pensiones – COLPENSIONES, determinación confirmada mediante las resoluciones RDP 018464 del 23 de mayo</w:t>
      </w:r>
      <w:r w:rsidR="00A40B66">
        <w:rPr>
          <w:rStyle w:val="Refdenotaalpie"/>
          <w:rFonts w:cs="Arial"/>
          <w:sz w:val="24"/>
          <w:szCs w:val="24"/>
          <w:lang w:eastAsia="es-ES"/>
        </w:rPr>
        <w:footnoteReference w:id="7"/>
      </w:r>
      <w:r>
        <w:rPr>
          <w:rFonts w:cs="Arial"/>
          <w:sz w:val="24"/>
          <w:szCs w:val="24"/>
          <w:lang w:eastAsia="es-ES"/>
        </w:rPr>
        <w:t xml:space="preserve"> </w:t>
      </w:r>
      <w:r w:rsidR="00A922A6">
        <w:rPr>
          <w:rFonts w:cs="Arial"/>
          <w:sz w:val="24"/>
          <w:szCs w:val="24"/>
          <w:lang w:eastAsia="es-ES"/>
        </w:rPr>
        <w:t xml:space="preserve">del 2018 </w:t>
      </w:r>
      <w:r>
        <w:rPr>
          <w:rFonts w:cs="Arial"/>
          <w:sz w:val="24"/>
          <w:szCs w:val="24"/>
          <w:lang w:eastAsia="es-ES"/>
        </w:rPr>
        <w:t xml:space="preserve">y RDP 024228 del 25 de junio </w:t>
      </w:r>
      <w:r w:rsidR="00A922A6">
        <w:rPr>
          <w:rFonts w:cs="Arial"/>
          <w:sz w:val="24"/>
          <w:szCs w:val="24"/>
          <w:lang w:eastAsia="es-ES"/>
        </w:rPr>
        <w:t>del mismo año</w:t>
      </w:r>
      <w:r>
        <w:rPr>
          <w:rFonts w:cs="Arial"/>
          <w:sz w:val="24"/>
          <w:szCs w:val="24"/>
          <w:lang w:eastAsia="es-ES"/>
        </w:rPr>
        <w:t xml:space="preserve">. </w:t>
      </w:r>
    </w:p>
    <w:p w14:paraId="5DF54FE0" w14:textId="77777777" w:rsidR="00E976A0" w:rsidRDefault="00E976A0" w:rsidP="004E6147">
      <w:pPr>
        <w:spacing w:line="360" w:lineRule="auto"/>
        <w:rPr>
          <w:rFonts w:cs="Arial"/>
          <w:sz w:val="24"/>
          <w:szCs w:val="24"/>
          <w:lang w:eastAsia="es-ES"/>
        </w:rPr>
      </w:pPr>
    </w:p>
    <w:p w14:paraId="27062D20" w14:textId="3F6160FB" w:rsidR="00E976A0" w:rsidRDefault="005B3967" w:rsidP="005B3967">
      <w:pPr>
        <w:tabs>
          <w:tab w:val="left" w:pos="1365"/>
        </w:tabs>
        <w:spacing w:line="360" w:lineRule="auto"/>
        <w:rPr>
          <w:rFonts w:cs="Arial"/>
          <w:sz w:val="24"/>
          <w:szCs w:val="24"/>
          <w:lang w:eastAsia="es-ES"/>
        </w:rPr>
      </w:pPr>
      <w:r>
        <w:rPr>
          <w:rFonts w:cs="Arial"/>
          <w:sz w:val="24"/>
          <w:szCs w:val="24"/>
          <w:lang w:eastAsia="es-ES"/>
        </w:rPr>
        <w:lastRenderedPageBreak/>
        <w:t xml:space="preserve">1.1.5.- </w:t>
      </w:r>
      <w:r w:rsidR="00EE7056">
        <w:rPr>
          <w:rFonts w:cs="Arial"/>
          <w:sz w:val="24"/>
          <w:szCs w:val="24"/>
          <w:lang w:eastAsia="es-ES"/>
        </w:rPr>
        <w:t xml:space="preserve">Posteriormente, la UGPP presentó demanda de nulidad y restablecimiento del derecho en contra del aquí accionante, con el fin de obtener la nulidad de los actos administrativos por medio de los que </w:t>
      </w:r>
      <w:r w:rsidR="00F65387">
        <w:rPr>
          <w:rFonts w:cs="Arial"/>
          <w:sz w:val="24"/>
          <w:szCs w:val="24"/>
          <w:lang w:eastAsia="es-ES"/>
        </w:rPr>
        <w:t xml:space="preserve">le </w:t>
      </w:r>
      <w:r w:rsidR="00EE7056">
        <w:rPr>
          <w:rFonts w:cs="Arial"/>
          <w:sz w:val="24"/>
          <w:szCs w:val="24"/>
          <w:lang w:eastAsia="es-ES"/>
        </w:rPr>
        <w:t xml:space="preserve">reconoció </w:t>
      </w:r>
      <w:r w:rsidR="000B34C6">
        <w:rPr>
          <w:rFonts w:cs="Arial"/>
          <w:sz w:val="24"/>
          <w:szCs w:val="24"/>
          <w:lang w:eastAsia="es-ES"/>
        </w:rPr>
        <w:t>la</w:t>
      </w:r>
      <w:r w:rsidR="00EE7056">
        <w:rPr>
          <w:rFonts w:cs="Arial"/>
          <w:sz w:val="24"/>
          <w:szCs w:val="24"/>
          <w:lang w:eastAsia="es-ES"/>
        </w:rPr>
        <w:t xml:space="preserve"> pensión de vejez</w:t>
      </w:r>
      <w:r w:rsidR="000B34C6">
        <w:rPr>
          <w:rStyle w:val="Refdenotaalpie"/>
          <w:rFonts w:cs="Arial"/>
          <w:sz w:val="24"/>
          <w:szCs w:val="24"/>
          <w:lang w:eastAsia="es-ES"/>
        </w:rPr>
        <w:footnoteReference w:id="8"/>
      </w:r>
      <w:r w:rsidR="00EE7056">
        <w:rPr>
          <w:rFonts w:cs="Arial"/>
          <w:sz w:val="24"/>
          <w:szCs w:val="24"/>
          <w:lang w:eastAsia="es-ES"/>
        </w:rPr>
        <w:t xml:space="preserve">; </w:t>
      </w:r>
      <w:r w:rsidR="000B34C6">
        <w:rPr>
          <w:rFonts w:cs="Arial"/>
          <w:sz w:val="24"/>
          <w:szCs w:val="24"/>
          <w:lang w:eastAsia="es-ES"/>
        </w:rPr>
        <w:t>confirmó esta decisión</w:t>
      </w:r>
      <w:r w:rsidR="000B34C6">
        <w:rPr>
          <w:rStyle w:val="Refdenotaalpie"/>
          <w:rFonts w:cs="Arial"/>
          <w:sz w:val="24"/>
          <w:szCs w:val="24"/>
          <w:lang w:eastAsia="es-ES"/>
        </w:rPr>
        <w:footnoteReference w:id="9"/>
      </w:r>
      <w:r w:rsidR="000B34C6">
        <w:rPr>
          <w:rFonts w:cs="Arial"/>
          <w:sz w:val="24"/>
          <w:szCs w:val="24"/>
          <w:lang w:eastAsia="es-ES"/>
        </w:rPr>
        <w:t xml:space="preserve"> y reliquidó la prestación con el 75% del salario </w:t>
      </w:r>
      <w:r w:rsidR="00A410D7">
        <w:rPr>
          <w:rFonts w:cs="Arial"/>
          <w:sz w:val="24"/>
          <w:szCs w:val="24"/>
          <w:lang w:eastAsia="es-ES"/>
        </w:rPr>
        <w:t xml:space="preserve">que devengó </w:t>
      </w:r>
      <w:r w:rsidR="000B34C6">
        <w:rPr>
          <w:rFonts w:cs="Arial"/>
          <w:sz w:val="24"/>
          <w:szCs w:val="24"/>
          <w:lang w:eastAsia="es-ES"/>
        </w:rPr>
        <w:t>en el último año de servicios</w:t>
      </w:r>
      <w:r w:rsidR="000B34C6">
        <w:rPr>
          <w:rStyle w:val="Refdenotaalpie"/>
          <w:rFonts w:cs="Arial"/>
          <w:sz w:val="24"/>
          <w:szCs w:val="24"/>
          <w:lang w:eastAsia="es-ES"/>
        </w:rPr>
        <w:footnoteReference w:id="10"/>
      </w:r>
      <w:r w:rsidR="000B34C6">
        <w:rPr>
          <w:rFonts w:cs="Arial"/>
          <w:sz w:val="24"/>
          <w:szCs w:val="24"/>
          <w:lang w:eastAsia="es-ES"/>
        </w:rPr>
        <w:t xml:space="preserve">, pues </w:t>
      </w:r>
      <w:r w:rsidR="00F65387">
        <w:rPr>
          <w:rFonts w:cs="Arial"/>
          <w:sz w:val="24"/>
          <w:szCs w:val="24"/>
          <w:lang w:eastAsia="es-ES"/>
        </w:rPr>
        <w:t>aquel</w:t>
      </w:r>
      <w:r w:rsidR="009D79F3">
        <w:rPr>
          <w:rFonts w:cs="Arial"/>
          <w:sz w:val="24"/>
          <w:szCs w:val="24"/>
          <w:lang w:eastAsia="es-ES"/>
        </w:rPr>
        <w:t xml:space="preserve"> no </w:t>
      </w:r>
      <w:r w:rsidR="00A922A6">
        <w:rPr>
          <w:rFonts w:cs="Arial"/>
          <w:sz w:val="24"/>
          <w:szCs w:val="24"/>
          <w:lang w:eastAsia="es-ES"/>
        </w:rPr>
        <w:t>cumplía</w:t>
      </w:r>
      <w:r w:rsidR="009D79F3">
        <w:rPr>
          <w:rFonts w:cs="Arial"/>
          <w:sz w:val="24"/>
          <w:szCs w:val="24"/>
          <w:lang w:eastAsia="es-ES"/>
        </w:rPr>
        <w:t xml:space="preserve"> con los requisitos para ser cobijado por el régimen de transi</w:t>
      </w:r>
      <w:r w:rsidR="00A922A6">
        <w:rPr>
          <w:rFonts w:cs="Arial"/>
          <w:sz w:val="24"/>
          <w:szCs w:val="24"/>
          <w:lang w:eastAsia="es-ES"/>
        </w:rPr>
        <w:t>ción de la Ley 100 de 1993</w:t>
      </w:r>
      <w:r w:rsidR="009D79F3">
        <w:rPr>
          <w:rFonts w:cs="Arial"/>
          <w:sz w:val="24"/>
          <w:szCs w:val="24"/>
          <w:lang w:eastAsia="es-ES"/>
        </w:rPr>
        <w:t xml:space="preserve">. </w:t>
      </w:r>
    </w:p>
    <w:p w14:paraId="32FDFBEB" w14:textId="77777777" w:rsidR="009D79F3" w:rsidRDefault="009D79F3" w:rsidP="005B3967">
      <w:pPr>
        <w:tabs>
          <w:tab w:val="left" w:pos="1365"/>
        </w:tabs>
        <w:spacing w:line="360" w:lineRule="auto"/>
        <w:rPr>
          <w:rFonts w:cs="Arial"/>
          <w:sz w:val="24"/>
          <w:szCs w:val="24"/>
          <w:lang w:eastAsia="es-ES"/>
        </w:rPr>
      </w:pPr>
    </w:p>
    <w:p w14:paraId="2847CED4" w14:textId="30A28D3E" w:rsidR="006B7B21" w:rsidRDefault="009D79F3" w:rsidP="005B3967">
      <w:pPr>
        <w:tabs>
          <w:tab w:val="left" w:pos="1365"/>
        </w:tabs>
        <w:spacing w:line="360" w:lineRule="auto"/>
        <w:rPr>
          <w:rFonts w:cs="Arial"/>
          <w:sz w:val="24"/>
          <w:szCs w:val="24"/>
          <w:lang w:eastAsia="es-ES"/>
        </w:rPr>
      </w:pPr>
      <w:r>
        <w:rPr>
          <w:rFonts w:cs="Arial"/>
          <w:sz w:val="24"/>
          <w:szCs w:val="24"/>
          <w:lang w:eastAsia="es-ES"/>
        </w:rPr>
        <w:t xml:space="preserve">1.1.6.- La primera instancia correspondió a la Sala Segunda de Decisión del Tribunal </w:t>
      </w:r>
      <w:r w:rsidRPr="00425C8E">
        <w:rPr>
          <w:rFonts w:cs="Arial"/>
          <w:sz w:val="24"/>
          <w:szCs w:val="24"/>
          <w:lang w:eastAsia="es-ES"/>
        </w:rPr>
        <w:t xml:space="preserve">Administrativo del Quindío, que en sentencia </w:t>
      </w:r>
      <w:r w:rsidR="00E91471" w:rsidRPr="00425C8E">
        <w:rPr>
          <w:rFonts w:cs="Arial"/>
          <w:sz w:val="24"/>
          <w:szCs w:val="24"/>
          <w:lang w:eastAsia="es-ES"/>
        </w:rPr>
        <w:t>d</w:t>
      </w:r>
      <w:r w:rsidRPr="00425C8E">
        <w:rPr>
          <w:rFonts w:cs="Arial"/>
          <w:sz w:val="24"/>
          <w:szCs w:val="24"/>
          <w:lang w:eastAsia="es-ES"/>
        </w:rPr>
        <w:t>el 25 de abril de 2019</w:t>
      </w:r>
      <w:r w:rsidRPr="00425C8E">
        <w:rPr>
          <w:rStyle w:val="Refdenotaalpie"/>
          <w:rFonts w:cs="Arial"/>
          <w:sz w:val="24"/>
          <w:szCs w:val="24"/>
          <w:lang w:eastAsia="es-ES"/>
        </w:rPr>
        <w:footnoteReference w:id="11"/>
      </w:r>
      <w:r w:rsidR="00595F16" w:rsidRPr="00425C8E">
        <w:rPr>
          <w:rFonts w:cs="Arial"/>
          <w:sz w:val="24"/>
          <w:szCs w:val="24"/>
          <w:lang w:eastAsia="es-ES"/>
        </w:rPr>
        <w:t xml:space="preserve"> resolvió negar las pretensiones de la demanda, teniendo en cuenta que </w:t>
      </w:r>
      <w:r w:rsidR="00E91471" w:rsidRPr="00425C8E">
        <w:rPr>
          <w:rFonts w:cs="Arial"/>
          <w:sz w:val="24"/>
          <w:szCs w:val="24"/>
          <w:lang w:eastAsia="es-ES"/>
        </w:rPr>
        <w:t>el reconocimiento</w:t>
      </w:r>
      <w:r w:rsidR="00E91471">
        <w:rPr>
          <w:rFonts w:cs="Arial"/>
          <w:sz w:val="24"/>
          <w:szCs w:val="24"/>
          <w:lang w:eastAsia="es-ES"/>
        </w:rPr>
        <w:t xml:space="preserve"> de </w:t>
      </w:r>
      <w:r w:rsidR="00D5464F">
        <w:rPr>
          <w:rFonts w:cs="Arial"/>
          <w:sz w:val="24"/>
          <w:szCs w:val="24"/>
          <w:lang w:eastAsia="es-ES"/>
        </w:rPr>
        <w:t>la pensión de v</w:t>
      </w:r>
      <w:r w:rsidR="00E91471">
        <w:rPr>
          <w:rFonts w:cs="Arial"/>
          <w:sz w:val="24"/>
          <w:szCs w:val="24"/>
          <w:lang w:eastAsia="es-ES"/>
        </w:rPr>
        <w:t xml:space="preserve">ejez del accionante </w:t>
      </w:r>
      <w:r w:rsidR="002330FE">
        <w:rPr>
          <w:rFonts w:cs="Arial"/>
          <w:sz w:val="24"/>
          <w:szCs w:val="24"/>
          <w:lang w:eastAsia="es-ES"/>
        </w:rPr>
        <w:t>cumplía con el</w:t>
      </w:r>
      <w:r w:rsidR="00D5464F">
        <w:rPr>
          <w:rFonts w:cs="Arial"/>
          <w:sz w:val="24"/>
          <w:szCs w:val="24"/>
          <w:lang w:eastAsia="es-ES"/>
        </w:rPr>
        <w:t xml:space="preserve"> fin del Acto Legislativo 01 de 2005</w:t>
      </w:r>
      <w:r w:rsidR="00AF311E">
        <w:rPr>
          <w:rFonts w:cs="Arial"/>
          <w:sz w:val="24"/>
          <w:szCs w:val="24"/>
          <w:lang w:eastAsia="es-ES"/>
        </w:rPr>
        <w:t>, cual</w:t>
      </w:r>
      <w:r w:rsidR="00D5464F">
        <w:rPr>
          <w:rFonts w:cs="Arial"/>
          <w:sz w:val="24"/>
          <w:szCs w:val="24"/>
          <w:lang w:eastAsia="es-ES"/>
        </w:rPr>
        <w:t xml:space="preserve"> fue preservar el derecho a gozar de una pensión bajo los lineamientos de la Ley 32 de 1986, norma de la que es beneficiario por su vinculación al INPEC con anterioridad a la vigencia del Decreto 2090 de 2003. </w:t>
      </w:r>
    </w:p>
    <w:p w14:paraId="6BB310BE" w14:textId="77777777" w:rsidR="006B7B21" w:rsidRDefault="006B7B21" w:rsidP="005B3967">
      <w:pPr>
        <w:tabs>
          <w:tab w:val="left" w:pos="1365"/>
        </w:tabs>
        <w:spacing w:line="360" w:lineRule="auto"/>
        <w:rPr>
          <w:rFonts w:cs="Arial"/>
          <w:sz w:val="24"/>
          <w:szCs w:val="24"/>
          <w:lang w:eastAsia="es-ES"/>
        </w:rPr>
      </w:pPr>
    </w:p>
    <w:p w14:paraId="54B6314C" w14:textId="1D186E69" w:rsidR="009D79F3" w:rsidRDefault="00D5464F" w:rsidP="005B3967">
      <w:pPr>
        <w:tabs>
          <w:tab w:val="left" w:pos="1365"/>
        </w:tabs>
        <w:spacing w:line="360" w:lineRule="auto"/>
        <w:rPr>
          <w:rFonts w:cs="Arial"/>
          <w:sz w:val="24"/>
          <w:szCs w:val="24"/>
          <w:lang w:eastAsia="es-ES"/>
        </w:rPr>
      </w:pPr>
      <w:r>
        <w:rPr>
          <w:rFonts w:cs="Arial"/>
          <w:sz w:val="24"/>
          <w:szCs w:val="24"/>
          <w:lang w:eastAsia="es-ES"/>
        </w:rPr>
        <w:t>De igual forma, aclaró que a pesar de que el Consejo de Estado ha señalado que para la aplicación de la Ley 32</w:t>
      </w:r>
      <w:r w:rsidR="006B7B21">
        <w:rPr>
          <w:rFonts w:cs="Arial"/>
          <w:sz w:val="24"/>
          <w:szCs w:val="24"/>
          <w:lang w:eastAsia="es-ES"/>
        </w:rPr>
        <w:t xml:space="preserve"> de 1986</w:t>
      </w:r>
      <w:r>
        <w:rPr>
          <w:rFonts w:cs="Arial"/>
          <w:sz w:val="24"/>
          <w:szCs w:val="24"/>
          <w:lang w:eastAsia="es-ES"/>
        </w:rPr>
        <w:t xml:space="preserve"> es necesario el cumplimiento de uno de los dos requisitos contenidos en el artículo 36 de la Ley 100 de 1993, </w:t>
      </w:r>
      <w:r w:rsidR="006B7B21">
        <w:rPr>
          <w:rFonts w:cs="Arial"/>
          <w:sz w:val="24"/>
          <w:szCs w:val="24"/>
          <w:lang w:eastAsia="es-ES"/>
        </w:rPr>
        <w:t>tal</w:t>
      </w:r>
      <w:r>
        <w:rPr>
          <w:rFonts w:cs="Arial"/>
          <w:sz w:val="24"/>
          <w:szCs w:val="24"/>
          <w:lang w:eastAsia="es-ES"/>
        </w:rPr>
        <w:t xml:space="preserve"> interpretación difiere del propósito mismo de </w:t>
      </w:r>
      <w:r w:rsidR="006B7B21">
        <w:rPr>
          <w:rFonts w:cs="Arial"/>
          <w:sz w:val="24"/>
          <w:szCs w:val="24"/>
          <w:lang w:eastAsia="es-ES"/>
        </w:rPr>
        <w:t>la modificación realizada al artículo 48 de la Constitución a través del Acto Legislativo 01 de 2005, por lo que acceder a las pretensiones de la UGPP sería contravenir el orden constitucional y las garantías laborales que materializan el derecho pe</w:t>
      </w:r>
      <w:r w:rsidR="00E91471">
        <w:rPr>
          <w:rFonts w:cs="Arial"/>
          <w:sz w:val="24"/>
          <w:szCs w:val="24"/>
          <w:lang w:eastAsia="es-ES"/>
        </w:rPr>
        <w:t>nsional del señor Rincón Sierra.</w:t>
      </w:r>
      <w:r w:rsidR="006B7B21">
        <w:rPr>
          <w:rFonts w:cs="Arial"/>
          <w:sz w:val="24"/>
          <w:szCs w:val="24"/>
          <w:lang w:eastAsia="es-ES"/>
        </w:rPr>
        <w:t xml:space="preserve"> </w:t>
      </w:r>
    </w:p>
    <w:p w14:paraId="6C8E2306" w14:textId="77777777" w:rsidR="00246D4F" w:rsidRDefault="00246D4F" w:rsidP="005B3967">
      <w:pPr>
        <w:tabs>
          <w:tab w:val="left" w:pos="1365"/>
        </w:tabs>
        <w:spacing w:line="360" w:lineRule="auto"/>
        <w:rPr>
          <w:rFonts w:cs="Arial"/>
          <w:sz w:val="24"/>
          <w:szCs w:val="24"/>
          <w:lang w:eastAsia="es-ES"/>
        </w:rPr>
      </w:pPr>
    </w:p>
    <w:p w14:paraId="33952CFD" w14:textId="3172E6E5" w:rsidR="00061CD3" w:rsidRDefault="00246D4F" w:rsidP="00FD4E16">
      <w:pPr>
        <w:tabs>
          <w:tab w:val="left" w:pos="1365"/>
        </w:tabs>
        <w:spacing w:line="360" w:lineRule="auto"/>
        <w:rPr>
          <w:rFonts w:cs="Arial"/>
          <w:sz w:val="24"/>
          <w:szCs w:val="24"/>
          <w:lang w:eastAsia="es-ES"/>
        </w:rPr>
      </w:pPr>
      <w:r>
        <w:rPr>
          <w:rFonts w:cs="Arial"/>
          <w:sz w:val="24"/>
          <w:szCs w:val="24"/>
          <w:lang w:eastAsia="es-ES"/>
        </w:rPr>
        <w:t xml:space="preserve">1.1.7.- En segunda instancia, el asunto lo conoció la Subsección A de la Sección Segunda del Consejo de Estado, que en </w:t>
      </w:r>
      <w:r w:rsidRPr="005005DF">
        <w:rPr>
          <w:rFonts w:cs="Arial"/>
          <w:sz w:val="24"/>
          <w:szCs w:val="24"/>
          <w:lang w:eastAsia="es-ES"/>
        </w:rPr>
        <w:t>sentencia del 6 de agosto de 2020</w:t>
      </w:r>
      <w:r w:rsidRPr="005005DF">
        <w:rPr>
          <w:rStyle w:val="Refdenotaalpie"/>
          <w:rFonts w:cs="Arial"/>
          <w:sz w:val="24"/>
          <w:szCs w:val="24"/>
          <w:lang w:eastAsia="es-ES"/>
        </w:rPr>
        <w:footnoteReference w:id="12"/>
      </w:r>
      <w:r w:rsidR="002B712F" w:rsidRPr="005005DF">
        <w:rPr>
          <w:rFonts w:cs="Arial"/>
          <w:sz w:val="24"/>
          <w:szCs w:val="24"/>
          <w:lang w:eastAsia="es-ES"/>
        </w:rPr>
        <w:t xml:space="preserve"> revocó la anterior decisión, y en su lugar, accedió a las </w:t>
      </w:r>
      <w:r w:rsidR="00FD4E16" w:rsidRPr="005005DF">
        <w:rPr>
          <w:rFonts w:cs="Arial"/>
          <w:sz w:val="24"/>
          <w:szCs w:val="24"/>
          <w:lang w:eastAsia="es-ES"/>
        </w:rPr>
        <w:t xml:space="preserve">pretensiones. Sostuvo que no se probó que </w:t>
      </w:r>
      <w:r w:rsidR="00061CD3">
        <w:rPr>
          <w:rFonts w:cs="Arial"/>
          <w:sz w:val="24"/>
          <w:szCs w:val="24"/>
          <w:lang w:eastAsia="es-ES"/>
        </w:rPr>
        <w:t xml:space="preserve">el </w:t>
      </w:r>
      <w:r w:rsidR="0068564A" w:rsidRPr="005005DF">
        <w:rPr>
          <w:rFonts w:cs="Arial"/>
          <w:sz w:val="24"/>
          <w:szCs w:val="24"/>
          <w:lang w:eastAsia="es-ES"/>
        </w:rPr>
        <w:t xml:space="preserve">actor, </w:t>
      </w:r>
      <w:r w:rsidR="00FD4E16" w:rsidRPr="005005DF">
        <w:rPr>
          <w:rFonts w:cs="Arial"/>
          <w:sz w:val="24"/>
          <w:szCs w:val="24"/>
          <w:lang w:eastAsia="es-ES"/>
        </w:rPr>
        <w:t>de acuerdo con lo dispuesto en el parágrafo del artículo 6 del Decreto 2090 de 2003, cumpliera con algunos de los requisitos del artículo 36 de la Ley 100 de 1993 para ser beneficiario del régimen de transición, esto por cu</w:t>
      </w:r>
      <w:r w:rsidR="0068564A" w:rsidRPr="005005DF">
        <w:rPr>
          <w:rFonts w:cs="Arial"/>
          <w:sz w:val="24"/>
          <w:szCs w:val="24"/>
          <w:lang w:eastAsia="es-ES"/>
        </w:rPr>
        <w:t>anto para el 1 de abril de 1994</w:t>
      </w:r>
      <w:r w:rsidR="00FD4E16" w:rsidRPr="005005DF">
        <w:rPr>
          <w:rFonts w:cs="Arial"/>
          <w:sz w:val="24"/>
          <w:szCs w:val="24"/>
          <w:lang w:eastAsia="es-ES"/>
        </w:rPr>
        <w:t xml:space="preserve"> tenía 31 </w:t>
      </w:r>
      <w:r w:rsidR="00FD4E16" w:rsidRPr="005005DF">
        <w:rPr>
          <w:rFonts w:cs="Arial"/>
          <w:sz w:val="24"/>
          <w:szCs w:val="24"/>
          <w:lang w:eastAsia="es-ES"/>
        </w:rPr>
        <w:lastRenderedPageBreak/>
        <w:t>años de edad, menos de los 40 exigidos, y contaba con 8 años de servicio, razón por la que los actos administrativos demandados debían ser declarados nulos</w:t>
      </w:r>
      <w:r w:rsidR="00061CD3">
        <w:rPr>
          <w:rFonts w:cs="Arial"/>
          <w:sz w:val="24"/>
          <w:szCs w:val="24"/>
          <w:lang w:eastAsia="es-ES"/>
        </w:rPr>
        <w:t>.</w:t>
      </w:r>
    </w:p>
    <w:p w14:paraId="67E44274" w14:textId="4F8C14C3" w:rsidR="00FD4E16" w:rsidRDefault="00FD4E16" w:rsidP="00FD4E16">
      <w:pPr>
        <w:tabs>
          <w:tab w:val="left" w:pos="1365"/>
        </w:tabs>
        <w:spacing w:line="360" w:lineRule="auto"/>
        <w:rPr>
          <w:rFonts w:cs="Arial"/>
          <w:sz w:val="24"/>
          <w:szCs w:val="24"/>
          <w:lang w:eastAsia="es-ES"/>
        </w:rPr>
      </w:pPr>
      <w:r>
        <w:rPr>
          <w:rFonts w:cs="Arial"/>
          <w:sz w:val="24"/>
          <w:szCs w:val="24"/>
          <w:lang w:eastAsia="es-ES"/>
        </w:rPr>
        <w:t xml:space="preserve"> </w:t>
      </w:r>
    </w:p>
    <w:p w14:paraId="27B2CA19" w14:textId="77777777" w:rsidR="000C4094" w:rsidRDefault="00930B17" w:rsidP="004E6147">
      <w:pPr>
        <w:spacing w:line="360" w:lineRule="auto"/>
        <w:rPr>
          <w:b/>
          <w:sz w:val="24"/>
          <w:szCs w:val="24"/>
        </w:rPr>
      </w:pPr>
      <w:r w:rsidRPr="00425C8E">
        <w:rPr>
          <w:b/>
          <w:sz w:val="24"/>
          <w:szCs w:val="24"/>
        </w:rPr>
        <w:t>1.2.- Fundamento de la solicitud de amparo</w:t>
      </w:r>
      <w:r>
        <w:rPr>
          <w:b/>
          <w:sz w:val="24"/>
          <w:szCs w:val="24"/>
        </w:rPr>
        <w:t xml:space="preserve"> </w:t>
      </w:r>
    </w:p>
    <w:p w14:paraId="10FFE066" w14:textId="77777777" w:rsidR="00C56546" w:rsidRDefault="00C56546" w:rsidP="004E6147">
      <w:pPr>
        <w:spacing w:line="360" w:lineRule="auto"/>
        <w:rPr>
          <w:b/>
          <w:sz w:val="24"/>
          <w:szCs w:val="24"/>
        </w:rPr>
      </w:pPr>
    </w:p>
    <w:p w14:paraId="43506F30" w14:textId="77777777" w:rsidR="00C56546" w:rsidRDefault="00C56546" w:rsidP="004E6147">
      <w:pPr>
        <w:spacing w:line="360" w:lineRule="auto"/>
        <w:rPr>
          <w:sz w:val="24"/>
          <w:szCs w:val="24"/>
        </w:rPr>
      </w:pPr>
      <w:r>
        <w:rPr>
          <w:sz w:val="24"/>
          <w:szCs w:val="24"/>
        </w:rPr>
        <w:t xml:space="preserve">El solicitante adujo que la providencia reprochada vulneró sus derechos fundamentales por cuanto incurrió en: </w:t>
      </w:r>
    </w:p>
    <w:p w14:paraId="7FC65EDF" w14:textId="77777777" w:rsidR="00000B64" w:rsidRDefault="00000B64" w:rsidP="004E6147">
      <w:pPr>
        <w:spacing w:line="360" w:lineRule="auto"/>
        <w:rPr>
          <w:sz w:val="24"/>
          <w:szCs w:val="24"/>
        </w:rPr>
      </w:pPr>
    </w:p>
    <w:p w14:paraId="78329A6D" w14:textId="7CEBB33C" w:rsidR="00000B64" w:rsidRDefault="00000B64" w:rsidP="004E6147">
      <w:pPr>
        <w:spacing w:line="360" w:lineRule="auto"/>
        <w:rPr>
          <w:i/>
          <w:sz w:val="24"/>
          <w:szCs w:val="24"/>
        </w:rPr>
      </w:pPr>
      <w:r>
        <w:rPr>
          <w:sz w:val="24"/>
          <w:szCs w:val="24"/>
        </w:rPr>
        <w:t xml:space="preserve">1.2.1.- </w:t>
      </w:r>
      <w:r w:rsidRPr="006E0B93">
        <w:rPr>
          <w:b/>
          <w:i/>
          <w:sz w:val="24"/>
          <w:szCs w:val="24"/>
        </w:rPr>
        <w:t>Defecto sustantivo</w:t>
      </w:r>
      <w:r>
        <w:rPr>
          <w:sz w:val="24"/>
          <w:szCs w:val="24"/>
        </w:rPr>
        <w:t xml:space="preserve"> por aplicación indebida y error grave en la interpretación de normas, </w:t>
      </w:r>
      <w:r w:rsidR="00951321">
        <w:rPr>
          <w:sz w:val="24"/>
          <w:szCs w:val="24"/>
        </w:rPr>
        <w:t>ya que</w:t>
      </w:r>
      <w:r>
        <w:rPr>
          <w:sz w:val="24"/>
          <w:szCs w:val="24"/>
        </w:rPr>
        <w:t xml:space="preserve"> </w:t>
      </w:r>
      <w:r w:rsidR="00E06234">
        <w:rPr>
          <w:sz w:val="24"/>
          <w:szCs w:val="24"/>
        </w:rPr>
        <w:t xml:space="preserve">los funcionarios del INPEC están excluidos del régimen de transición previsto en el artículo 36 de la Ley 100 de 1993 y del consagrado en el artículo 6 del Decreto 2090 de 2003, razón por la que </w:t>
      </w:r>
      <w:r w:rsidR="00BE63DE">
        <w:rPr>
          <w:sz w:val="24"/>
          <w:szCs w:val="24"/>
        </w:rPr>
        <w:t>no le era exigible acreditar los requisitos allí contenidos para acceder a la pensi</w:t>
      </w:r>
      <w:r w:rsidR="003244C5">
        <w:rPr>
          <w:sz w:val="24"/>
          <w:szCs w:val="24"/>
        </w:rPr>
        <w:t xml:space="preserve">ón de vejez, pues le resultaba aplicable el artículo 168 del Decreto 407 de 1994 que estableció que </w:t>
      </w:r>
      <w:r w:rsidR="003244C5" w:rsidRPr="001C7315">
        <w:rPr>
          <w:i/>
          <w:sz w:val="24"/>
          <w:szCs w:val="24"/>
        </w:rPr>
        <w:t>“los miembros del Cuerpo de Custodia y Vigilancia Penitenciaria y Carcelaria Nacional, que a la fecha de la vigencia del [mencionado] decreto (…) se enc[ontraran] prestando sus servicios al Instituto Nacional Penitenciario y Carcelario INPEC, tendrán derecho a gozar de la pensión de jubilación [en] los términos establecidos en e</w:t>
      </w:r>
      <w:r w:rsidR="00951321">
        <w:rPr>
          <w:i/>
          <w:sz w:val="24"/>
          <w:szCs w:val="24"/>
        </w:rPr>
        <w:t>l artículo 96 de la L</w:t>
      </w:r>
      <w:r w:rsidR="003244C5" w:rsidRPr="001C7315">
        <w:rPr>
          <w:i/>
          <w:sz w:val="24"/>
          <w:szCs w:val="24"/>
        </w:rPr>
        <w:t>ey 32 de 1986.”</w:t>
      </w:r>
      <w:r w:rsidR="00463ED2" w:rsidRPr="001872B0">
        <w:rPr>
          <w:rStyle w:val="Refdenotaalpie"/>
          <w:sz w:val="24"/>
          <w:szCs w:val="24"/>
        </w:rPr>
        <w:footnoteReference w:id="13"/>
      </w:r>
      <w:r w:rsidR="001872B0">
        <w:rPr>
          <w:i/>
          <w:sz w:val="24"/>
          <w:szCs w:val="24"/>
        </w:rPr>
        <w:t>.</w:t>
      </w:r>
    </w:p>
    <w:p w14:paraId="485B4CE5" w14:textId="77777777" w:rsidR="0029429E" w:rsidRDefault="0029429E" w:rsidP="004E6147">
      <w:pPr>
        <w:spacing w:line="360" w:lineRule="auto"/>
        <w:rPr>
          <w:i/>
          <w:sz w:val="24"/>
          <w:szCs w:val="24"/>
        </w:rPr>
      </w:pPr>
    </w:p>
    <w:p w14:paraId="71A1CC6C" w14:textId="67B4C4A3" w:rsidR="0029429E" w:rsidRDefault="0029429E" w:rsidP="004E6147">
      <w:pPr>
        <w:spacing w:line="360" w:lineRule="auto"/>
        <w:rPr>
          <w:sz w:val="24"/>
          <w:szCs w:val="24"/>
        </w:rPr>
      </w:pPr>
      <w:r>
        <w:rPr>
          <w:sz w:val="24"/>
          <w:szCs w:val="24"/>
        </w:rPr>
        <w:t>De igual forma, asegur</w:t>
      </w:r>
      <w:r w:rsidR="008037F4">
        <w:rPr>
          <w:sz w:val="24"/>
          <w:szCs w:val="24"/>
        </w:rPr>
        <w:t>ó</w:t>
      </w:r>
      <w:r>
        <w:rPr>
          <w:sz w:val="24"/>
          <w:szCs w:val="24"/>
        </w:rPr>
        <w:t xml:space="preserve"> que desconoció </w:t>
      </w:r>
      <w:r w:rsidR="00FC4B11" w:rsidRPr="00FC4B11">
        <w:rPr>
          <w:i/>
          <w:sz w:val="24"/>
          <w:szCs w:val="24"/>
        </w:rPr>
        <w:t>“</w:t>
      </w:r>
      <w:r w:rsidRPr="00FC4B11">
        <w:rPr>
          <w:i/>
          <w:sz w:val="24"/>
          <w:szCs w:val="24"/>
        </w:rPr>
        <w:t>el principio integral y sistemático del orden legal</w:t>
      </w:r>
      <w:r w:rsidR="00FC4B11" w:rsidRPr="00FC4B11">
        <w:rPr>
          <w:i/>
          <w:sz w:val="24"/>
          <w:szCs w:val="24"/>
        </w:rPr>
        <w:t>”</w:t>
      </w:r>
      <w:r w:rsidR="00FC4B11" w:rsidRPr="001872B0">
        <w:rPr>
          <w:rStyle w:val="Refdenotaalpie"/>
          <w:sz w:val="24"/>
          <w:szCs w:val="24"/>
        </w:rPr>
        <w:footnoteReference w:id="14"/>
      </w:r>
      <w:r>
        <w:rPr>
          <w:sz w:val="24"/>
          <w:szCs w:val="24"/>
        </w:rPr>
        <w:t>, pues dejó de lado la interpretación de los artículos 172 y 173 de la Ley 65 de 1993</w:t>
      </w:r>
      <w:r w:rsidR="00220D31">
        <w:rPr>
          <w:rStyle w:val="Refdenotaalpie"/>
          <w:sz w:val="24"/>
          <w:szCs w:val="24"/>
        </w:rPr>
        <w:footnoteReference w:id="15"/>
      </w:r>
      <w:r w:rsidR="006D65ED">
        <w:rPr>
          <w:sz w:val="24"/>
          <w:szCs w:val="24"/>
        </w:rPr>
        <w:t xml:space="preserve"> y del Decreto 1950 de 2005</w:t>
      </w:r>
      <w:r w:rsidR="006D65ED">
        <w:rPr>
          <w:rStyle w:val="Refdenotaalpie"/>
          <w:sz w:val="24"/>
          <w:szCs w:val="24"/>
        </w:rPr>
        <w:footnoteReference w:id="16"/>
      </w:r>
      <w:r w:rsidR="00C5060C">
        <w:rPr>
          <w:sz w:val="24"/>
          <w:szCs w:val="24"/>
        </w:rPr>
        <w:t xml:space="preserve">, que establecían la aplicación del régimen de la Ley 32 de 1986. </w:t>
      </w:r>
    </w:p>
    <w:p w14:paraId="672C4644" w14:textId="77777777" w:rsidR="007801CA" w:rsidRDefault="007801CA" w:rsidP="004E6147">
      <w:pPr>
        <w:spacing w:line="360" w:lineRule="auto"/>
        <w:rPr>
          <w:sz w:val="24"/>
          <w:szCs w:val="24"/>
        </w:rPr>
      </w:pPr>
    </w:p>
    <w:p w14:paraId="2890826F" w14:textId="410582DE" w:rsidR="00AE5AED" w:rsidRDefault="007801CA" w:rsidP="004E6147">
      <w:pPr>
        <w:spacing w:line="360" w:lineRule="auto"/>
        <w:rPr>
          <w:sz w:val="24"/>
          <w:szCs w:val="24"/>
        </w:rPr>
      </w:pPr>
      <w:r>
        <w:rPr>
          <w:sz w:val="24"/>
          <w:szCs w:val="24"/>
        </w:rPr>
        <w:t xml:space="preserve">1.2.2.- </w:t>
      </w:r>
      <w:r w:rsidRPr="00AE5AED">
        <w:rPr>
          <w:b/>
          <w:i/>
          <w:sz w:val="24"/>
          <w:szCs w:val="24"/>
        </w:rPr>
        <w:t>Violación directa de la Constitución</w:t>
      </w:r>
      <w:r w:rsidR="00A629F0">
        <w:rPr>
          <w:sz w:val="24"/>
          <w:szCs w:val="24"/>
        </w:rPr>
        <w:t>, en tanto</w:t>
      </w:r>
      <w:r>
        <w:rPr>
          <w:sz w:val="24"/>
          <w:szCs w:val="24"/>
        </w:rPr>
        <w:t xml:space="preserve"> obvió que la pensión reconocida tuvo como fundamento lo </w:t>
      </w:r>
      <w:r w:rsidR="00347156">
        <w:rPr>
          <w:sz w:val="24"/>
          <w:szCs w:val="24"/>
        </w:rPr>
        <w:t>preceptuado</w:t>
      </w:r>
      <w:r>
        <w:rPr>
          <w:sz w:val="24"/>
          <w:szCs w:val="24"/>
        </w:rPr>
        <w:t xml:space="preserve"> en el parágrafo transitorio 5 </w:t>
      </w:r>
      <w:r w:rsidR="008063D4">
        <w:rPr>
          <w:sz w:val="24"/>
          <w:szCs w:val="24"/>
        </w:rPr>
        <w:t xml:space="preserve">del Acto Legislativo 01 de 2005, el cual estableció que a </w:t>
      </w:r>
      <w:r w:rsidR="00A629F0">
        <w:rPr>
          <w:sz w:val="24"/>
          <w:szCs w:val="24"/>
        </w:rPr>
        <w:t>los miembros del Cuerpo de Custodia y V</w:t>
      </w:r>
      <w:r w:rsidR="00AE5AED">
        <w:rPr>
          <w:sz w:val="24"/>
          <w:szCs w:val="24"/>
        </w:rPr>
        <w:t>igilancia Penitenciaria y Carcelaria Nacional</w:t>
      </w:r>
      <w:r w:rsidR="00061CD3">
        <w:rPr>
          <w:sz w:val="24"/>
          <w:szCs w:val="24"/>
        </w:rPr>
        <w:t>,</w:t>
      </w:r>
      <w:r w:rsidR="00AE5AED">
        <w:rPr>
          <w:sz w:val="24"/>
          <w:szCs w:val="24"/>
        </w:rPr>
        <w:t xml:space="preserve"> que ingresaron con anterioridad a la entrada en </w:t>
      </w:r>
      <w:r w:rsidR="00AE5AED">
        <w:rPr>
          <w:sz w:val="24"/>
          <w:szCs w:val="24"/>
        </w:rPr>
        <w:lastRenderedPageBreak/>
        <w:t xml:space="preserve">vigencia del Decreto 2090 de 2003, se les aplicaría el régimen dispuesto en la Ley 32 de 1986. </w:t>
      </w:r>
    </w:p>
    <w:p w14:paraId="4AE8AD19" w14:textId="77777777" w:rsidR="00AE5AED" w:rsidRDefault="00AE5AED" w:rsidP="004E6147">
      <w:pPr>
        <w:spacing w:line="360" w:lineRule="auto"/>
        <w:rPr>
          <w:sz w:val="24"/>
          <w:szCs w:val="24"/>
        </w:rPr>
      </w:pPr>
    </w:p>
    <w:p w14:paraId="5B456A94" w14:textId="49D099F0" w:rsidR="0041062D" w:rsidRPr="0041062D" w:rsidRDefault="00AA071D" w:rsidP="004E6147">
      <w:pPr>
        <w:spacing w:line="360" w:lineRule="auto"/>
        <w:rPr>
          <w:sz w:val="24"/>
          <w:szCs w:val="24"/>
        </w:rPr>
      </w:pPr>
      <w:r>
        <w:rPr>
          <w:sz w:val="24"/>
          <w:szCs w:val="24"/>
        </w:rPr>
        <w:t xml:space="preserve">1.2.3.- Desconoció lo dispuesto </w:t>
      </w:r>
      <w:r w:rsidR="000F7E0E">
        <w:rPr>
          <w:sz w:val="24"/>
          <w:szCs w:val="24"/>
        </w:rPr>
        <w:t xml:space="preserve">en las decisiones del 11 de diciembre de 2018 bajo el radicado No. </w:t>
      </w:r>
      <w:r w:rsidR="000F7E0E" w:rsidRPr="000F7E0E">
        <w:rPr>
          <w:sz w:val="24"/>
          <w:szCs w:val="24"/>
        </w:rPr>
        <w:t>11001</w:t>
      </w:r>
      <w:r w:rsidR="000F7E0E">
        <w:rPr>
          <w:sz w:val="24"/>
          <w:szCs w:val="24"/>
        </w:rPr>
        <w:t>-</w:t>
      </w:r>
      <w:r w:rsidR="000F7E0E" w:rsidRPr="000F7E0E">
        <w:rPr>
          <w:sz w:val="24"/>
          <w:szCs w:val="24"/>
        </w:rPr>
        <w:t>03</w:t>
      </w:r>
      <w:r w:rsidR="000F7E0E">
        <w:rPr>
          <w:sz w:val="24"/>
          <w:szCs w:val="24"/>
        </w:rPr>
        <w:t>-</w:t>
      </w:r>
      <w:r w:rsidR="000F7E0E" w:rsidRPr="000F7E0E">
        <w:rPr>
          <w:sz w:val="24"/>
          <w:szCs w:val="24"/>
        </w:rPr>
        <w:t>06</w:t>
      </w:r>
      <w:r w:rsidR="000F7E0E">
        <w:rPr>
          <w:sz w:val="24"/>
          <w:szCs w:val="24"/>
        </w:rPr>
        <w:t>-</w:t>
      </w:r>
      <w:r w:rsidR="000F7E0E" w:rsidRPr="000F7E0E">
        <w:rPr>
          <w:sz w:val="24"/>
          <w:szCs w:val="24"/>
        </w:rPr>
        <w:t>000</w:t>
      </w:r>
      <w:r w:rsidR="000F7E0E">
        <w:rPr>
          <w:sz w:val="24"/>
          <w:szCs w:val="24"/>
        </w:rPr>
        <w:t>-</w:t>
      </w:r>
      <w:r w:rsidR="000F7E0E" w:rsidRPr="000F7E0E">
        <w:rPr>
          <w:sz w:val="24"/>
          <w:szCs w:val="24"/>
        </w:rPr>
        <w:t>2018</w:t>
      </w:r>
      <w:r w:rsidR="000F7E0E">
        <w:rPr>
          <w:sz w:val="24"/>
          <w:szCs w:val="24"/>
        </w:rPr>
        <w:t>-</w:t>
      </w:r>
      <w:r w:rsidR="000F7E0E" w:rsidRPr="000F7E0E">
        <w:rPr>
          <w:sz w:val="24"/>
          <w:szCs w:val="24"/>
        </w:rPr>
        <w:t>00148</w:t>
      </w:r>
      <w:r w:rsidR="000F7E0E">
        <w:rPr>
          <w:sz w:val="24"/>
          <w:szCs w:val="24"/>
        </w:rPr>
        <w:t>-</w:t>
      </w:r>
      <w:r w:rsidR="000F7E0E" w:rsidRPr="000F7E0E">
        <w:rPr>
          <w:sz w:val="24"/>
          <w:szCs w:val="24"/>
        </w:rPr>
        <w:t>00</w:t>
      </w:r>
      <w:r w:rsidR="00A629F0">
        <w:rPr>
          <w:sz w:val="24"/>
          <w:szCs w:val="24"/>
        </w:rPr>
        <w:t>; del 23 de mayo de 2018</w:t>
      </w:r>
      <w:r w:rsidR="000F7E0E">
        <w:rPr>
          <w:sz w:val="24"/>
          <w:szCs w:val="24"/>
        </w:rPr>
        <w:t xml:space="preserve"> de radicado </w:t>
      </w:r>
      <w:r w:rsidR="000F7E0E" w:rsidRPr="000F7E0E">
        <w:rPr>
          <w:sz w:val="24"/>
          <w:szCs w:val="24"/>
        </w:rPr>
        <w:t xml:space="preserve">No. </w:t>
      </w:r>
      <w:r w:rsidR="000F7E0E" w:rsidRPr="000F7E0E">
        <w:rPr>
          <w:bCs/>
          <w:sz w:val="24"/>
          <w:szCs w:val="24"/>
        </w:rPr>
        <w:t>11001</w:t>
      </w:r>
      <w:r w:rsidR="000F7E0E">
        <w:rPr>
          <w:bCs/>
          <w:sz w:val="24"/>
          <w:szCs w:val="24"/>
        </w:rPr>
        <w:t>-</w:t>
      </w:r>
      <w:r w:rsidR="000F7E0E" w:rsidRPr="000F7E0E">
        <w:rPr>
          <w:bCs/>
          <w:sz w:val="24"/>
          <w:szCs w:val="24"/>
        </w:rPr>
        <w:t>03</w:t>
      </w:r>
      <w:r w:rsidR="000F7E0E">
        <w:rPr>
          <w:bCs/>
          <w:sz w:val="24"/>
          <w:szCs w:val="24"/>
        </w:rPr>
        <w:t>-</w:t>
      </w:r>
      <w:r w:rsidR="000F7E0E" w:rsidRPr="000F7E0E">
        <w:rPr>
          <w:bCs/>
          <w:sz w:val="24"/>
          <w:szCs w:val="24"/>
        </w:rPr>
        <w:t>06</w:t>
      </w:r>
      <w:r w:rsidR="000F7E0E">
        <w:rPr>
          <w:bCs/>
          <w:sz w:val="24"/>
          <w:szCs w:val="24"/>
        </w:rPr>
        <w:t>-</w:t>
      </w:r>
      <w:r w:rsidR="000F7E0E" w:rsidRPr="000F7E0E">
        <w:rPr>
          <w:bCs/>
          <w:sz w:val="24"/>
          <w:szCs w:val="24"/>
        </w:rPr>
        <w:t>000</w:t>
      </w:r>
      <w:r w:rsidR="000F7E0E">
        <w:rPr>
          <w:bCs/>
          <w:sz w:val="24"/>
          <w:szCs w:val="24"/>
        </w:rPr>
        <w:t>-</w:t>
      </w:r>
      <w:r w:rsidR="000F7E0E" w:rsidRPr="000F7E0E">
        <w:rPr>
          <w:bCs/>
          <w:sz w:val="24"/>
          <w:szCs w:val="24"/>
        </w:rPr>
        <w:t>2018</w:t>
      </w:r>
      <w:r w:rsidR="000F7E0E">
        <w:rPr>
          <w:bCs/>
          <w:sz w:val="24"/>
          <w:szCs w:val="24"/>
        </w:rPr>
        <w:t>-</w:t>
      </w:r>
      <w:r w:rsidR="000F7E0E" w:rsidRPr="000F7E0E">
        <w:rPr>
          <w:bCs/>
          <w:sz w:val="24"/>
          <w:szCs w:val="24"/>
        </w:rPr>
        <w:t>00050</w:t>
      </w:r>
      <w:r w:rsidR="000F7E0E">
        <w:rPr>
          <w:bCs/>
          <w:sz w:val="24"/>
          <w:szCs w:val="24"/>
        </w:rPr>
        <w:t>-</w:t>
      </w:r>
      <w:r w:rsidR="00A629F0">
        <w:rPr>
          <w:bCs/>
          <w:sz w:val="24"/>
          <w:szCs w:val="24"/>
        </w:rPr>
        <w:t>00; del 12 de diciembre de 2017</w:t>
      </w:r>
      <w:r w:rsidR="000F7E0E" w:rsidRPr="000F7E0E">
        <w:rPr>
          <w:bCs/>
          <w:sz w:val="24"/>
          <w:szCs w:val="24"/>
        </w:rPr>
        <w:t xml:space="preserve"> bajo el radicado No. 11001</w:t>
      </w:r>
      <w:r w:rsidR="000F7E0E">
        <w:rPr>
          <w:bCs/>
          <w:sz w:val="24"/>
          <w:szCs w:val="24"/>
        </w:rPr>
        <w:t>-</w:t>
      </w:r>
      <w:r w:rsidR="000F7E0E" w:rsidRPr="000F7E0E">
        <w:rPr>
          <w:bCs/>
          <w:sz w:val="24"/>
          <w:szCs w:val="24"/>
        </w:rPr>
        <w:t>03</w:t>
      </w:r>
      <w:r w:rsidR="000F7E0E">
        <w:rPr>
          <w:bCs/>
          <w:sz w:val="24"/>
          <w:szCs w:val="24"/>
        </w:rPr>
        <w:t>-</w:t>
      </w:r>
      <w:r w:rsidR="000F7E0E" w:rsidRPr="000F7E0E">
        <w:rPr>
          <w:bCs/>
          <w:sz w:val="24"/>
          <w:szCs w:val="24"/>
        </w:rPr>
        <w:t>06</w:t>
      </w:r>
      <w:r w:rsidR="000F7E0E">
        <w:rPr>
          <w:bCs/>
          <w:sz w:val="24"/>
          <w:szCs w:val="24"/>
        </w:rPr>
        <w:t>-</w:t>
      </w:r>
      <w:r w:rsidR="000F7E0E" w:rsidRPr="000F7E0E">
        <w:rPr>
          <w:bCs/>
          <w:sz w:val="24"/>
          <w:szCs w:val="24"/>
        </w:rPr>
        <w:t>000</w:t>
      </w:r>
      <w:r w:rsidR="000F7E0E">
        <w:rPr>
          <w:bCs/>
          <w:sz w:val="24"/>
          <w:szCs w:val="24"/>
        </w:rPr>
        <w:t>-</w:t>
      </w:r>
      <w:r w:rsidR="000F7E0E" w:rsidRPr="000F7E0E">
        <w:rPr>
          <w:bCs/>
          <w:sz w:val="24"/>
          <w:szCs w:val="24"/>
        </w:rPr>
        <w:t>2017</w:t>
      </w:r>
      <w:r w:rsidR="000F7E0E">
        <w:rPr>
          <w:bCs/>
          <w:sz w:val="24"/>
          <w:szCs w:val="24"/>
        </w:rPr>
        <w:t>-</w:t>
      </w:r>
      <w:r w:rsidR="000F7E0E" w:rsidRPr="000F7E0E">
        <w:rPr>
          <w:bCs/>
          <w:sz w:val="24"/>
          <w:szCs w:val="24"/>
        </w:rPr>
        <w:t>00145</w:t>
      </w:r>
      <w:r w:rsidR="000F7E0E">
        <w:rPr>
          <w:bCs/>
          <w:sz w:val="24"/>
          <w:szCs w:val="24"/>
        </w:rPr>
        <w:t>-</w:t>
      </w:r>
      <w:r w:rsidR="000F7E0E" w:rsidRPr="000F7E0E">
        <w:rPr>
          <w:bCs/>
          <w:sz w:val="24"/>
          <w:szCs w:val="24"/>
        </w:rPr>
        <w:t>00</w:t>
      </w:r>
      <w:r w:rsidR="000F7E0E">
        <w:rPr>
          <w:bCs/>
          <w:sz w:val="24"/>
          <w:szCs w:val="24"/>
        </w:rPr>
        <w:t xml:space="preserve">; </w:t>
      </w:r>
      <w:r w:rsidR="00A629F0">
        <w:rPr>
          <w:bCs/>
          <w:sz w:val="24"/>
          <w:szCs w:val="24"/>
        </w:rPr>
        <w:t>del 8 de junio de 2016</w:t>
      </w:r>
      <w:r w:rsidR="000F7E0E" w:rsidRPr="000F7E0E">
        <w:rPr>
          <w:bCs/>
          <w:sz w:val="24"/>
          <w:szCs w:val="24"/>
        </w:rPr>
        <w:t xml:space="preserve"> de radicado No. 11001</w:t>
      </w:r>
      <w:r w:rsidR="000F7E0E">
        <w:rPr>
          <w:bCs/>
          <w:sz w:val="24"/>
          <w:szCs w:val="24"/>
        </w:rPr>
        <w:t>-</w:t>
      </w:r>
      <w:r w:rsidR="000F7E0E" w:rsidRPr="000F7E0E">
        <w:rPr>
          <w:bCs/>
          <w:sz w:val="24"/>
          <w:szCs w:val="24"/>
        </w:rPr>
        <w:t>03</w:t>
      </w:r>
      <w:r w:rsidR="000F7E0E">
        <w:rPr>
          <w:bCs/>
          <w:sz w:val="24"/>
          <w:szCs w:val="24"/>
        </w:rPr>
        <w:t>-</w:t>
      </w:r>
      <w:r w:rsidR="000F7E0E" w:rsidRPr="000F7E0E">
        <w:rPr>
          <w:bCs/>
          <w:sz w:val="24"/>
          <w:szCs w:val="24"/>
        </w:rPr>
        <w:t>06</w:t>
      </w:r>
      <w:r w:rsidR="000F7E0E">
        <w:rPr>
          <w:bCs/>
          <w:sz w:val="24"/>
          <w:szCs w:val="24"/>
        </w:rPr>
        <w:t>-</w:t>
      </w:r>
      <w:r w:rsidR="000F7E0E" w:rsidRPr="000F7E0E">
        <w:rPr>
          <w:bCs/>
          <w:sz w:val="24"/>
          <w:szCs w:val="24"/>
        </w:rPr>
        <w:t>000</w:t>
      </w:r>
      <w:r w:rsidR="000F7E0E">
        <w:rPr>
          <w:bCs/>
          <w:sz w:val="24"/>
          <w:szCs w:val="24"/>
        </w:rPr>
        <w:t>-</w:t>
      </w:r>
      <w:r w:rsidR="000F7E0E" w:rsidRPr="000F7E0E">
        <w:rPr>
          <w:bCs/>
          <w:sz w:val="24"/>
          <w:szCs w:val="24"/>
        </w:rPr>
        <w:t>2016</w:t>
      </w:r>
      <w:r w:rsidR="000F7E0E">
        <w:rPr>
          <w:bCs/>
          <w:sz w:val="24"/>
          <w:szCs w:val="24"/>
        </w:rPr>
        <w:t>-</w:t>
      </w:r>
      <w:r w:rsidR="000F7E0E" w:rsidRPr="000F7E0E">
        <w:rPr>
          <w:bCs/>
          <w:sz w:val="24"/>
          <w:szCs w:val="24"/>
        </w:rPr>
        <w:t>00048</w:t>
      </w:r>
      <w:r w:rsidR="000F7E0E">
        <w:rPr>
          <w:bCs/>
          <w:sz w:val="24"/>
          <w:szCs w:val="24"/>
        </w:rPr>
        <w:t>-</w:t>
      </w:r>
      <w:r w:rsidR="000F7E0E" w:rsidRPr="000F7E0E">
        <w:rPr>
          <w:bCs/>
          <w:sz w:val="24"/>
          <w:szCs w:val="24"/>
        </w:rPr>
        <w:t>00</w:t>
      </w:r>
      <w:r w:rsidR="002503FD">
        <w:rPr>
          <w:bCs/>
          <w:sz w:val="24"/>
          <w:szCs w:val="24"/>
        </w:rPr>
        <w:t>,</w:t>
      </w:r>
      <w:r w:rsidR="000F7E0E">
        <w:rPr>
          <w:bCs/>
          <w:sz w:val="24"/>
          <w:szCs w:val="24"/>
        </w:rPr>
        <w:t xml:space="preserve"> dictadas por la Sala de Consulta y Servicio Civil del Consejo de Estado, </w:t>
      </w:r>
      <w:r>
        <w:rPr>
          <w:bCs/>
          <w:sz w:val="24"/>
          <w:szCs w:val="24"/>
        </w:rPr>
        <w:t xml:space="preserve">que </w:t>
      </w:r>
      <w:r w:rsidR="000F7E0E">
        <w:rPr>
          <w:bCs/>
          <w:sz w:val="24"/>
          <w:szCs w:val="24"/>
        </w:rPr>
        <w:t>al referirse al régimen de pensión especial de los miembros del Cuerpo de Custodia y Vigilancia Peni</w:t>
      </w:r>
      <w:r w:rsidR="00BE5E48">
        <w:rPr>
          <w:bCs/>
          <w:sz w:val="24"/>
          <w:szCs w:val="24"/>
        </w:rPr>
        <w:t xml:space="preserve">tenciaria y Carcelaria Nacional, </w:t>
      </w:r>
      <w:r w:rsidR="00061CD3">
        <w:rPr>
          <w:bCs/>
          <w:sz w:val="24"/>
          <w:szCs w:val="24"/>
        </w:rPr>
        <w:t xml:space="preserve">fijó que en </w:t>
      </w:r>
      <w:r w:rsidR="00BE5E48">
        <w:rPr>
          <w:bCs/>
          <w:sz w:val="24"/>
          <w:szCs w:val="24"/>
        </w:rPr>
        <w:t>casos como el</w:t>
      </w:r>
      <w:r w:rsidR="00061CD3">
        <w:rPr>
          <w:bCs/>
          <w:sz w:val="24"/>
          <w:szCs w:val="24"/>
        </w:rPr>
        <w:t xml:space="preserve"> suyo </w:t>
      </w:r>
      <w:r w:rsidR="00BE5E48">
        <w:rPr>
          <w:bCs/>
          <w:sz w:val="24"/>
          <w:szCs w:val="24"/>
        </w:rPr>
        <w:t xml:space="preserve">resulta aplicable el régimen de la Ley 32 de 1986. </w:t>
      </w:r>
    </w:p>
    <w:p w14:paraId="11168915" w14:textId="77777777" w:rsidR="00930B17" w:rsidRDefault="00930B17" w:rsidP="004E6147">
      <w:pPr>
        <w:spacing w:line="360" w:lineRule="auto"/>
        <w:rPr>
          <w:b/>
          <w:sz w:val="24"/>
          <w:szCs w:val="24"/>
        </w:rPr>
      </w:pPr>
    </w:p>
    <w:p w14:paraId="2895B1E3" w14:textId="77777777" w:rsidR="00D526CD" w:rsidRDefault="00930B17" w:rsidP="004E6147">
      <w:pPr>
        <w:spacing w:line="360" w:lineRule="auto"/>
        <w:rPr>
          <w:b/>
          <w:sz w:val="24"/>
          <w:szCs w:val="24"/>
        </w:rPr>
      </w:pPr>
      <w:r w:rsidRPr="002F4DD7">
        <w:rPr>
          <w:b/>
          <w:sz w:val="24"/>
          <w:szCs w:val="24"/>
        </w:rPr>
        <w:t>1.3.- Pretensiones</w:t>
      </w:r>
    </w:p>
    <w:p w14:paraId="11D62157" w14:textId="77777777" w:rsidR="007D1D64" w:rsidRDefault="007D1D64" w:rsidP="004E6147">
      <w:pPr>
        <w:spacing w:line="360" w:lineRule="auto"/>
        <w:rPr>
          <w:b/>
          <w:sz w:val="24"/>
          <w:szCs w:val="24"/>
        </w:rPr>
      </w:pPr>
    </w:p>
    <w:p w14:paraId="5EC9D235" w14:textId="2684C8DE" w:rsidR="007D1D64" w:rsidRPr="007D1D64" w:rsidRDefault="00CF5D07" w:rsidP="004E6147">
      <w:pPr>
        <w:spacing w:line="360" w:lineRule="auto"/>
        <w:rPr>
          <w:sz w:val="24"/>
          <w:szCs w:val="24"/>
        </w:rPr>
      </w:pPr>
      <w:r>
        <w:rPr>
          <w:sz w:val="24"/>
          <w:szCs w:val="24"/>
        </w:rPr>
        <w:t xml:space="preserve">A pesar de que el accionante omitió manifestar expresamente sus </w:t>
      </w:r>
      <w:r w:rsidR="00975A8B">
        <w:rPr>
          <w:sz w:val="24"/>
          <w:szCs w:val="24"/>
        </w:rPr>
        <w:t>pedimentos,</w:t>
      </w:r>
      <w:r>
        <w:rPr>
          <w:sz w:val="24"/>
          <w:szCs w:val="24"/>
        </w:rPr>
        <w:t xml:space="preserve"> de la lectura del escrito se extrae que s</w:t>
      </w:r>
      <w:r w:rsidR="00E4489F">
        <w:rPr>
          <w:sz w:val="24"/>
          <w:szCs w:val="24"/>
        </w:rPr>
        <w:t>olicita</w:t>
      </w:r>
      <w:r w:rsidR="007D1D64" w:rsidRPr="00181B1E">
        <w:rPr>
          <w:sz w:val="24"/>
          <w:szCs w:val="24"/>
        </w:rPr>
        <w:t xml:space="preserve"> el amparo de sus derechos fundamentales y</w:t>
      </w:r>
      <w:r w:rsidR="00975A8B">
        <w:rPr>
          <w:sz w:val="24"/>
          <w:szCs w:val="24"/>
        </w:rPr>
        <w:t>,</w:t>
      </w:r>
      <w:r w:rsidR="007D1D64" w:rsidRPr="00181B1E">
        <w:rPr>
          <w:sz w:val="24"/>
          <w:szCs w:val="24"/>
        </w:rPr>
        <w:t xml:space="preserve"> en consecuencia, que se </w:t>
      </w:r>
      <w:r w:rsidR="002F4DD7" w:rsidRPr="00181B1E">
        <w:rPr>
          <w:sz w:val="24"/>
          <w:szCs w:val="24"/>
        </w:rPr>
        <w:t xml:space="preserve">profiera una nueva decisión </w:t>
      </w:r>
      <w:r w:rsidR="00E4489F">
        <w:rPr>
          <w:sz w:val="24"/>
          <w:szCs w:val="24"/>
        </w:rPr>
        <w:t xml:space="preserve">en la que se nieguen las súplicas de la demanda propuesta por la UGPP al interior del proceso de nulidad y restablecimiento del derecho de radicado No. </w:t>
      </w:r>
      <w:r w:rsidR="00E4489F" w:rsidRPr="00FD207E">
        <w:rPr>
          <w:rFonts w:cs="Arial"/>
          <w:sz w:val="24"/>
          <w:szCs w:val="24"/>
          <w:lang w:eastAsia="es-ES"/>
        </w:rPr>
        <w:t>63001-23-33-000-2018-00155-01</w:t>
      </w:r>
      <w:r w:rsidR="00E4489F">
        <w:rPr>
          <w:rFonts w:cs="Arial"/>
          <w:sz w:val="24"/>
          <w:szCs w:val="24"/>
          <w:lang w:eastAsia="es-ES"/>
        </w:rPr>
        <w:t xml:space="preserve">. </w:t>
      </w:r>
    </w:p>
    <w:p w14:paraId="23D55928" w14:textId="77777777" w:rsidR="00930B17" w:rsidRDefault="00930B17" w:rsidP="004E6147">
      <w:pPr>
        <w:spacing w:line="360" w:lineRule="auto"/>
        <w:rPr>
          <w:b/>
          <w:sz w:val="24"/>
          <w:szCs w:val="24"/>
        </w:rPr>
      </w:pPr>
    </w:p>
    <w:p w14:paraId="4ACA2760" w14:textId="77777777" w:rsidR="00930B17" w:rsidRDefault="00930B17" w:rsidP="004E6147">
      <w:pPr>
        <w:spacing w:line="360" w:lineRule="auto"/>
        <w:rPr>
          <w:b/>
          <w:sz w:val="24"/>
          <w:szCs w:val="24"/>
        </w:rPr>
      </w:pPr>
      <w:r>
        <w:rPr>
          <w:b/>
          <w:sz w:val="24"/>
          <w:szCs w:val="24"/>
        </w:rPr>
        <w:t xml:space="preserve">2.- Trámite de la acción de tutela y fundamento de la oposición </w:t>
      </w:r>
    </w:p>
    <w:p w14:paraId="48557188" w14:textId="77777777" w:rsidR="00C56546" w:rsidRDefault="00C56546" w:rsidP="004E6147">
      <w:pPr>
        <w:spacing w:line="360" w:lineRule="auto"/>
        <w:rPr>
          <w:b/>
          <w:sz w:val="24"/>
          <w:szCs w:val="24"/>
        </w:rPr>
      </w:pPr>
    </w:p>
    <w:p w14:paraId="10F13837" w14:textId="77777777" w:rsidR="00C56546" w:rsidRDefault="00C56546" w:rsidP="004E6147">
      <w:pPr>
        <w:spacing w:line="360" w:lineRule="auto"/>
        <w:rPr>
          <w:sz w:val="24"/>
          <w:szCs w:val="24"/>
        </w:rPr>
      </w:pPr>
      <w:r>
        <w:rPr>
          <w:sz w:val="24"/>
          <w:szCs w:val="24"/>
        </w:rPr>
        <w:t xml:space="preserve">2.1.- Mediante auto del </w:t>
      </w:r>
      <w:r w:rsidR="00861901">
        <w:rPr>
          <w:sz w:val="24"/>
          <w:szCs w:val="24"/>
        </w:rPr>
        <w:t>19 de octubre de 2020, el Ponente admitió la acción de tutela</w:t>
      </w:r>
      <w:r w:rsidR="00861901">
        <w:rPr>
          <w:rStyle w:val="Refdenotaalpie"/>
          <w:sz w:val="24"/>
          <w:szCs w:val="24"/>
        </w:rPr>
        <w:footnoteReference w:id="17"/>
      </w:r>
      <w:r w:rsidR="00861901">
        <w:rPr>
          <w:sz w:val="24"/>
          <w:szCs w:val="24"/>
        </w:rPr>
        <w:t xml:space="preserve"> y ordenó su notificación</w:t>
      </w:r>
      <w:r w:rsidR="00861901">
        <w:rPr>
          <w:rStyle w:val="Refdenotaalpie"/>
          <w:sz w:val="24"/>
          <w:szCs w:val="24"/>
        </w:rPr>
        <w:footnoteReference w:id="18"/>
      </w:r>
      <w:r w:rsidR="00861901">
        <w:rPr>
          <w:sz w:val="24"/>
          <w:szCs w:val="24"/>
        </w:rPr>
        <w:t xml:space="preserve">. </w:t>
      </w:r>
    </w:p>
    <w:p w14:paraId="1106463D" w14:textId="77777777" w:rsidR="00E1448B" w:rsidRDefault="00E1448B" w:rsidP="004E6147">
      <w:pPr>
        <w:spacing w:line="360" w:lineRule="auto"/>
        <w:rPr>
          <w:sz w:val="24"/>
          <w:szCs w:val="24"/>
        </w:rPr>
      </w:pPr>
    </w:p>
    <w:p w14:paraId="38C144BD" w14:textId="00F3D721" w:rsidR="0074331F" w:rsidRDefault="00E1448B" w:rsidP="004E6147">
      <w:pPr>
        <w:spacing w:line="360" w:lineRule="auto"/>
        <w:rPr>
          <w:sz w:val="24"/>
          <w:szCs w:val="24"/>
        </w:rPr>
      </w:pPr>
      <w:r w:rsidRPr="00D6052C">
        <w:rPr>
          <w:sz w:val="24"/>
          <w:szCs w:val="24"/>
        </w:rPr>
        <w:t xml:space="preserve">2.2.- </w:t>
      </w:r>
      <w:r w:rsidR="00497D0E" w:rsidRPr="00D6052C">
        <w:rPr>
          <w:sz w:val="24"/>
          <w:szCs w:val="24"/>
        </w:rPr>
        <w:t>E</w:t>
      </w:r>
      <w:r w:rsidR="0074331F" w:rsidRPr="00D6052C">
        <w:rPr>
          <w:sz w:val="24"/>
          <w:szCs w:val="24"/>
        </w:rPr>
        <w:t>l Tribunal Administrativo del Quindío</w:t>
      </w:r>
      <w:r w:rsidR="00F1256A" w:rsidRPr="00D6052C">
        <w:rPr>
          <w:rStyle w:val="Refdenotaalpie"/>
          <w:sz w:val="24"/>
          <w:szCs w:val="24"/>
        </w:rPr>
        <w:footnoteReference w:id="19"/>
      </w:r>
      <w:r w:rsidR="00497D0E" w:rsidRPr="00D6052C">
        <w:rPr>
          <w:sz w:val="24"/>
          <w:szCs w:val="24"/>
        </w:rPr>
        <w:t xml:space="preserve"> reseñó los argumentos </w:t>
      </w:r>
      <w:r w:rsidR="008037F4">
        <w:rPr>
          <w:sz w:val="24"/>
          <w:szCs w:val="24"/>
        </w:rPr>
        <w:t>que tuvo</w:t>
      </w:r>
      <w:r w:rsidR="00497D0E" w:rsidRPr="00D6052C">
        <w:rPr>
          <w:sz w:val="24"/>
          <w:szCs w:val="24"/>
        </w:rPr>
        <w:t xml:space="preserve"> en cuenta para proferir la sentencia de primera instancia</w:t>
      </w:r>
      <w:r w:rsidR="002503FD">
        <w:rPr>
          <w:sz w:val="24"/>
          <w:szCs w:val="24"/>
        </w:rPr>
        <w:t xml:space="preserve">. Luego, señaló </w:t>
      </w:r>
      <w:r w:rsidR="00497D0E" w:rsidRPr="00D6052C">
        <w:rPr>
          <w:sz w:val="24"/>
          <w:szCs w:val="24"/>
        </w:rPr>
        <w:t xml:space="preserve">que la posición adoptada a través de la providencia recurrida </w:t>
      </w:r>
      <w:r w:rsidR="00497D0E" w:rsidRPr="00D6052C">
        <w:rPr>
          <w:i/>
          <w:sz w:val="24"/>
          <w:szCs w:val="24"/>
        </w:rPr>
        <w:t xml:space="preserve">“obedece a una errada interpretación normativa que </w:t>
      </w:r>
      <w:r w:rsidR="00497D0E" w:rsidRPr="00D6052C">
        <w:rPr>
          <w:i/>
          <w:sz w:val="24"/>
          <w:szCs w:val="24"/>
        </w:rPr>
        <w:lastRenderedPageBreak/>
        <w:t>repercute en los derecho</w:t>
      </w:r>
      <w:r w:rsidR="00D6052C" w:rsidRPr="00D6052C">
        <w:rPr>
          <w:i/>
          <w:sz w:val="24"/>
          <w:szCs w:val="24"/>
        </w:rPr>
        <w:t>s</w:t>
      </w:r>
      <w:r w:rsidR="00497D0E" w:rsidRPr="00D6052C">
        <w:rPr>
          <w:i/>
          <w:sz w:val="24"/>
          <w:szCs w:val="24"/>
        </w:rPr>
        <w:t xml:space="preserve"> constitucionales fundamentales del señor Jorge Humberto Rincón Sierra”</w:t>
      </w:r>
      <w:r w:rsidR="00497D0E" w:rsidRPr="00D6052C">
        <w:rPr>
          <w:rStyle w:val="Refdenotaalpie"/>
          <w:sz w:val="24"/>
          <w:szCs w:val="24"/>
        </w:rPr>
        <w:footnoteReference w:id="20"/>
      </w:r>
      <w:r w:rsidR="00497D0E" w:rsidRPr="00D6052C">
        <w:rPr>
          <w:i/>
          <w:sz w:val="24"/>
          <w:szCs w:val="24"/>
        </w:rPr>
        <w:t xml:space="preserve">, </w:t>
      </w:r>
      <w:r w:rsidR="00497D0E" w:rsidRPr="00D6052C">
        <w:rPr>
          <w:sz w:val="24"/>
          <w:szCs w:val="24"/>
        </w:rPr>
        <w:t xml:space="preserve">razón por la que manifiesta su </w:t>
      </w:r>
      <w:r w:rsidR="00497D0E" w:rsidRPr="00626C6B">
        <w:rPr>
          <w:i/>
          <w:iCs/>
          <w:sz w:val="24"/>
          <w:szCs w:val="24"/>
        </w:rPr>
        <w:t>“aquiescencia</w:t>
      </w:r>
      <w:r w:rsidR="00497D0E" w:rsidRPr="00D6052C">
        <w:rPr>
          <w:i/>
          <w:sz w:val="24"/>
          <w:szCs w:val="24"/>
        </w:rPr>
        <w:t xml:space="preserve"> con el amparo invocado”</w:t>
      </w:r>
      <w:r w:rsidR="00497D0E" w:rsidRPr="00D6052C">
        <w:rPr>
          <w:rStyle w:val="Refdenotaalpie"/>
          <w:sz w:val="24"/>
          <w:szCs w:val="24"/>
        </w:rPr>
        <w:footnoteReference w:id="21"/>
      </w:r>
      <w:r w:rsidR="00A325B4" w:rsidRPr="00D6052C">
        <w:rPr>
          <w:i/>
          <w:sz w:val="24"/>
          <w:szCs w:val="24"/>
        </w:rPr>
        <w:t>.</w:t>
      </w:r>
    </w:p>
    <w:p w14:paraId="6976D170" w14:textId="77777777" w:rsidR="0074331F" w:rsidRDefault="0074331F" w:rsidP="004E6147">
      <w:pPr>
        <w:spacing w:line="360" w:lineRule="auto"/>
        <w:rPr>
          <w:sz w:val="24"/>
          <w:szCs w:val="24"/>
        </w:rPr>
      </w:pPr>
    </w:p>
    <w:p w14:paraId="0E4D9A2B" w14:textId="6D29CAD2" w:rsidR="0074331F" w:rsidRDefault="0074331F" w:rsidP="004E6147">
      <w:pPr>
        <w:spacing w:line="360" w:lineRule="auto"/>
        <w:rPr>
          <w:sz w:val="24"/>
          <w:szCs w:val="24"/>
        </w:rPr>
      </w:pPr>
      <w:r w:rsidRPr="00284095">
        <w:rPr>
          <w:sz w:val="24"/>
          <w:szCs w:val="24"/>
        </w:rPr>
        <w:t>2.3.- La Subsección A de la Sección Segunda del Consejo de Estado</w:t>
      </w:r>
      <w:r w:rsidR="00F1256A" w:rsidRPr="00284095">
        <w:rPr>
          <w:rStyle w:val="Refdenotaalpie"/>
          <w:sz w:val="24"/>
          <w:szCs w:val="24"/>
        </w:rPr>
        <w:footnoteReference w:id="22"/>
      </w:r>
      <w:r w:rsidRPr="00284095">
        <w:rPr>
          <w:sz w:val="24"/>
          <w:szCs w:val="24"/>
        </w:rPr>
        <w:t xml:space="preserve"> </w:t>
      </w:r>
      <w:r w:rsidR="00EA7AE1" w:rsidRPr="00284095">
        <w:rPr>
          <w:sz w:val="24"/>
          <w:szCs w:val="24"/>
        </w:rPr>
        <w:t>solicitó declarar la improcedencia del amparo, pues no se vulneraron los derechos fundamentales del accionante, por cuanto al interior del proceso ordinario se acreditó que este no cumplió con los requisitos para ser acreedor de la pensión de vejez que le fue reconocida</w:t>
      </w:r>
      <w:r w:rsidR="00155174" w:rsidRPr="00284095">
        <w:rPr>
          <w:sz w:val="24"/>
          <w:szCs w:val="24"/>
        </w:rPr>
        <w:t>. Agreg</w:t>
      </w:r>
      <w:r w:rsidR="002503FD">
        <w:rPr>
          <w:sz w:val="24"/>
          <w:szCs w:val="24"/>
        </w:rPr>
        <w:t>ó</w:t>
      </w:r>
      <w:r w:rsidR="00155174" w:rsidRPr="00284095">
        <w:rPr>
          <w:sz w:val="24"/>
          <w:szCs w:val="24"/>
        </w:rPr>
        <w:t xml:space="preserve"> que con el propósito de no desproteger su derecho a la seguridad social, ordenó a la UGPP </w:t>
      </w:r>
      <w:r w:rsidR="00C16B6E">
        <w:rPr>
          <w:sz w:val="24"/>
          <w:szCs w:val="24"/>
        </w:rPr>
        <w:t>realizar</w:t>
      </w:r>
      <w:r w:rsidR="00155174" w:rsidRPr="00284095">
        <w:rPr>
          <w:sz w:val="24"/>
          <w:szCs w:val="24"/>
        </w:rPr>
        <w:t xml:space="preserve"> un estudio pensional bajo el marco normativo del artículo 4 del Decreto 2090 de 2003, para que se </w:t>
      </w:r>
      <w:r w:rsidR="00C16B6E">
        <w:rPr>
          <w:sz w:val="24"/>
          <w:szCs w:val="24"/>
        </w:rPr>
        <w:t>emitiera un pronunciamiento</w:t>
      </w:r>
      <w:r w:rsidR="00155174" w:rsidRPr="00284095">
        <w:rPr>
          <w:sz w:val="24"/>
          <w:szCs w:val="24"/>
        </w:rPr>
        <w:t xml:space="preserve"> sobre el reconocimiento de la prestación del señor Rincón Sierra bajo el régimen que le es aplicable.</w:t>
      </w:r>
      <w:r w:rsidR="00155174">
        <w:rPr>
          <w:sz w:val="24"/>
          <w:szCs w:val="24"/>
        </w:rPr>
        <w:t xml:space="preserve"> </w:t>
      </w:r>
    </w:p>
    <w:p w14:paraId="52202D5A" w14:textId="77777777" w:rsidR="00B0337E" w:rsidRPr="00821EAE" w:rsidRDefault="00B0337E" w:rsidP="00821EAE">
      <w:pPr>
        <w:spacing w:line="360" w:lineRule="auto"/>
        <w:rPr>
          <w:rFonts w:cs="Arial"/>
          <w:sz w:val="24"/>
          <w:szCs w:val="24"/>
        </w:rPr>
      </w:pPr>
    </w:p>
    <w:p w14:paraId="3778A558" w14:textId="5002A1F4" w:rsidR="00B0337E" w:rsidRPr="002503FD" w:rsidRDefault="00B0337E" w:rsidP="00821EAE">
      <w:pPr>
        <w:autoSpaceDE w:val="0"/>
        <w:autoSpaceDN w:val="0"/>
        <w:adjustRightInd w:val="0"/>
        <w:spacing w:line="360" w:lineRule="auto"/>
        <w:rPr>
          <w:rFonts w:cs="Arial"/>
          <w:iCs/>
          <w:sz w:val="24"/>
          <w:szCs w:val="24"/>
        </w:rPr>
      </w:pPr>
      <w:r w:rsidRPr="00000B64">
        <w:rPr>
          <w:rFonts w:cs="Arial"/>
          <w:sz w:val="24"/>
          <w:szCs w:val="24"/>
        </w:rPr>
        <w:t>2.4.- La UGPP</w:t>
      </w:r>
      <w:r w:rsidR="00D526CD" w:rsidRPr="00000B64">
        <w:rPr>
          <w:rStyle w:val="Refdenotaalpie"/>
          <w:rFonts w:cs="Arial"/>
          <w:sz w:val="24"/>
          <w:szCs w:val="24"/>
        </w:rPr>
        <w:footnoteReference w:id="23"/>
      </w:r>
      <w:r w:rsidR="00530557" w:rsidRPr="00000B64">
        <w:rPr>
          <w:rFonts w:cs="Arial"/>
          <w:sz w:val="24"/>
          <w:szCs w:val="24"/>
        </w:rPr>
        <w:t xml:space="preserve"> asegur</w:t>
      </w:r>
      <w:r w:rsidR="002503FD">
        <w:rPr>
          <w:rFonts w:cs="Arial"/>
          <w:sz w:val="24"/>
          <w:szCs w:val="24"/>
        </w:rPr>
        <w:t>ó</w:t>
      </w:r>
      <w:r w:rsidR="00530557" w:rsidRPr="00000B64">
        <w:rPr>
          <w:rFonts w:cs="Arial"/>
          <w:sz w:val="24"/>
          <w:szCs w:val="24"/>
        </w:rPr>
        <w:t xml:space="preserve"> que la acción es improcedente, pues el tutelante pretende sustituir la sentencia proferida</w:t>
      </w:r>
      <w:r w:rsidR="00530557" w:rsidRPr="00821EAE">
        <w:rPr>
          <w:rFonts w:cs="Arial"/>
          <w:sz w:val="24"/>
          <w:szCs w:val="24"/>
        </w:rPr>
        <w:t xml:space="preserve"> por el juez natural del asunto</w:t>
      </w:r>
      <w:r w:rsidR="00EB2674" w:rsidRPr="00821EAE">
        <w:rPr>
          <w:rFonts w:cs="Arial"/>
          <w:sz w:val="24"/>
          <w:szCs w:val="24"/>
        </w:rPr>
        <w:t>. Adicionalmente, inform</w:t>
      </w:r>
      <w:r w:rsidR="002503FD">
        <w:rPr>
          <w:rFonts w:cs="Arial"/>
          <w:sz w:val="24"/>
          <w:szCs w:val="24"/>
        </w:rPr>
        <w:t xml:space="preserve">ó </w:t>
      </w:r>
      <w:r w:rsidR="00EB2674" w:rsidRPr="00821EAE">
        <w:rPr>
          <w:rFonts w:cs="Arial"/>
          <w:sz w:val="24"/>
          <w:szCs w:val="24"/>
        </w:rPr>
        <w:t>que la entidad, mediante la Resolución RDP 022660 del 5 de octubre de 2020</w:t>
      </w:r>
      <w:r w:rsidR="00EB2674" w:rsidRPr="00821EAE">
        <w:rPr>
          <w:rStyle w:val="Refdenotaalpie"/>
          <w:rFonts w:cs="Arial"/>
          <w:sz w:val="24"/>
          <w:szCs w:val="24"/>
        </w:rPr>
        <w:footnoteReference w:id="24"/>
      </w:r>
      <w:r w:rsidR="00445757">
        <w:rPr>
          <w:rFonts w:cs="Arial"/>
          <w:sz w:val="24"/>
          <w:szCs w:val="24"/>
        </w:rPr>
        <w:t>,</w:t>
      </w:r>
      <w:r w:rsidR="00EB2674" w:rsidRPr="00821EAE">
        <w:rPr>
          <w:rFonts w:cs="Arial"/>
          <w:sz w:val="24"/>
          <w:szCs w:val="24"/>
        </w:rPr>
        <w:t xml:space="preserve"> </w:t>
      </w:r>
      <w:r w:rsidR="00124DD4">
        <w:rPr>
          <w:rFonts w:cs="Arial"/>
          <w:sz w:val="24"/>
          <w:szCs w:val="24"/>
        </w:rPr>
        <w:t>dejó</w:t>
      </w:r>
      <w:r w:rsidR="00821EAE" w:rsidRPr="00821EAE">
        <w:rPr>
          <w:rFonts w:cs="Arial"/>
          <w:sz w:val="24"/>
          <w:szCs w:val="24"/>
        </w:rPr>
        <w:t xml:space="preserve"> sin efectos las Resoluciones </w:t>
      </w:r>
      <w:r w:rsidR="00821EAE" w:rsidRPr="00821EAE">
        <w:rPr>
          <w:rFonts w:cs="Arial"/>
          <w:iCs/>
          <w:sz w:val="24"/>
          <w:szCs w:val="24"/>
        </w:rPr>
        <w:t>PAP 16293 del 6 de octubre de 2010, PAP 41050 del 28 de febrero de 2011 y No. RDP 043350 del 21 de octubre de 2015, de conformidad con el fallo</w:t>
      </w:r>
      <w:r w:rsidR="00D71D78">
        <w:rPr>
          <w:rFonts w:cs="Arial"/>
          <w:iCs/>
          <w:sz w:val="24"/>
          <w:szCs w:val="24"/>
        </w:rPr>
        <w:t xml:space="preserve"> </w:t>
      </w:r>
      <w:r w:rsidR="003C03AF">
        <w:rPr>
          <w:rFonts w:cs="Arial"/>
          <w:iCs/>
          <w:sz w:val="24"/>
          <w:szCs w:val="24"/>
        </w:rPr>
        <w:t>del 6 de marzo de 2020</w:t>
      </w:r>
      <w:r w:rsidR="00D71D78">
        <w:rPr>
          <w:rFonts w:cs="Arial"/>
          <w:iCs/>
          <w:sz w:val="24"/>
          <w:szCs w:val="24"/>
        </w:rPr>
        <w:t xml:space="preserve">, y en consecuencia, ordenó </w:t>
      </w:r>
      <w:r w:rsidR="002503FD">
        <w:rPr>
          <w:rFonts w:cs="Arial"/>
          <w:iCs/>
          <w:sz w:val="24"/>
          <w:szCs w:val="24"/>
        </w:rPr>
        <w:t>excluir</w:t>
      </w:r>
      <w:r w:rsidR="00D71D78">
        <w:rPr>
          <w:rFonts w:cs="Arial"/>
          <w:iCs/>
          <w:sz w:val="24"/>
          <w:szCs w:val="24"/>
        </w:rPr>
        <w:t xml:space="preserve"> de manera definitiva de la nómina de pensionados </w:t>
      </w:r>
      <w:r w:rsidR="002503FD">
        <w:rPr>
          <w:rFonts w:cs="Arial"/>
          <w:iCs/>
          <w:sz w:val="24"/>
          <w:szCs w:val="24"/>
        </w:rPr>
        <w:t>al</w:t>
      </w:r>
      <w:r w:rsidR="00A019D5">
        <w:rPr>
          <w:rFonts w:cs="Arial"/>
          <w:iCs/>
          <w:sz w:val="24"/>
          <w:szCs w:val="24"/>
        </w:rPr>
        <w:t xml:space="preserve"> señor Rinc</w:t>
      </w:r>
      <w:r w:rsidR="00445757">
        <w:rPr>
          <w:rFonts w:cs="Arial"/>
          <w:iCs/>
          <w:sz w:val="24"/>
          <w:szCs w:val="24"/>
        </w:rPr>
        <w:t xml:space="preserve">ón Sierra. </w:t>
      </w:r>
      <w:r w:rsidR="00445757" w:rsidRPr="00124DD4">
        <w:rPr>
          <w:rFonts w:cs="Arial"/>
          <w:iCs/>
          <w:sz w:val="24"/>
          <w:szCs w:val="24"/>
        </w:rPr>
        <w:t>De igual forma, agreg</w:t>
      </w:r>
      <w:r w:rsidR="002503FD">
        <w:rPr>
          <w:rFonts w:cs="Arial"/>
          <w:iCs/>
          <w:sz w:val="24"/>
          <w:szCs w:val="24"/>
        </w:rPr>
        <w:t>ó</w:t>
      </w:r>
      <w:r w:rsidR="00445757" w:rsidRPr="00124DD4">
        <w:rPr>
          <w:rFonts w:cs="Arial"/>
          <w:iCs/>
          <w:sz w:val="24"/>
          <w:szCs w:val="24"/>
        </w:rPr>
        <w:t xml:space="preserve"> </w:t>
      </w:r>
      <w:r w:rsidR="003C03AF" w:rsidRPr="00124DD4">
        <w:rPr>
          <w:rFonts w:cs="Arial"/>
          <w:iCs/>
          <w:sz w:val="24"/>
          <w:szCs w:val="24"/>
        </w:rPr>
        <w:t>que para dar cumplimiento a la sentencia en lo referente a la realización del nuevo estudio pensional, envió el asunto a la Administradora Colombiana de Pensiones – Colpensiones, como entidad administradora exclusiva del régimen de prima media con prestación definida.</w:t>
      </w:r>
      <w:r w:rsidR="003C03AF">
        <w:rPr>
          <w:rFonts w:cs="Arial"/>
          <w:iCs/>
          <w:sz w:val="24"/>
          <w:szCs w:val="24"/>
        </w:rPr>
        <w:t xml:space="preserve"> </w:t>
      </w:r>
    </w:p>
    <w:p w14:paraId="2A6BFE08" w14:textId="4C056D88" w:rsidR="00930B17" w:rsidRDefault="00930B17" w:rsidP="004E6147">
      <w:pPr>
        <w:spacing w:line="360" w:lineRule="auto"/>
        <w:rPr>
          <w:b/>
          <w:sz w:val="24"/>
          <w:szCs w:val="24"/>
        </w:rPr>
      </w:pPr>
    </w:p>
    <w:p w14:paraId="0747DB71" w14:textId="6ABA3A24" w:rsidR="00F43EE0" w:rsidRDefault="00F43EE0" w:rsidP="004E6147">
      <w:pPr>
        <w:spacing w:line="360" w:lineRule="auto"/>
        <w:rPr>
          <w:b/>
          <w:sz w:val="24"/>
          <w:szCs w:val="24"/>
        </w:rPr>
      </w:pPr>
    </w:p>
    <w:p w14:paraId="05556AD9" w14:textId="38F0AC4C" w:rsidR="00F43EE0" w:rsidRDefault="00F43EE0" w:rsidP="004E6147">
      <w:pPr>
        <w:spacing w:line="360" w:lineRule="auto"/>
        <w:rPr>
          <w:b/>
          <w:sz w:val="24"/>
          <w:szCs w:val="24"/>
        </w:rPr>
      </w:pPr>
    </w:p>
    <w:p w14:paraId="040EB28F" w14:textId="42E4CE59" w:rsidR="00F43EE0" w:rsidRDefault="00F43EE0" w:rsidP="004E6147">
      <w:pPr>
        <w:spacing w:line="360" w:lineRule="auto"/>
        <w:rPr>
          <w:b/>
          <w:sz w:val="24"/>
          <w:szCs w:val="24"/>
        </w:rPr>
      </w:pPr>
    </w:p>
    <w:p w14:paraId="5ECD0139" w14:textId="79B4E030" w:rsidR="00F43EE0" w:rsidRDefault="00F43EE0" w:rsidP="004E6147">
      <w:pPr>
        <w:spacing w:line="360" w:lineRule="auto"/>
        <w:rPr>
          <w:b/>
          <w:sz w:val="24"/>
          <w:szCs w:val="24"/>
        </w:rPr>
      </w:pPr>
    </w:p>
    <w:p w14:paraId="2B0994A3" w14:textId="29980D27" w:rsidR="00F43EE0" w:rsidRDefault="00F43EE0" w:rsidP="004E6147">
      <w:pPr>
        <w:spacing w:line="360" w:lineRule="auto"/>
        <w:rPr>
          <w:b/>
          <w:sz w:val="24"/>
          <w:szCs w:val="24"/>
        </w:rPr>
      </w:pPr>
    </w:p>
    <w:p w14:paraId="0BFD4350" w14:textId="77777777" w:rsidR="00930B17" w:rsidRDefault="00930B17" w:rsidP="004E6147">
      <w:pPr>
        <w:spacing w:line="360" w:lineRule="auto"/>
        <w:jc w:val="center"/>
        <w:rPr>
          <w:b/>
          <w:sz w:val="24"/>
          <w:szCs w:val="24"/>
        </w:rPr>
      </w:pPr>
      <w:r>
        <w:rPr>
          <w:b/>
          <w:sz w:val="24"/>
          <w:szCs w:val="24"/>
        </w:rPr>
        <w:lastRenderedPageBreak/>
        <w:t>II. CONSIDERACIONES</w:t>
      </w:r>
    </w:p>
    <w:p w14:paraId="0E0C15B4" w14:textId="77777777" w:rsidR="00FE68E1" w:rsidRDefault="00FE68E1" w:rsidP="00FE68E1">
      <w:pPr>
        <w:spacing w:line="360" w:lineRule="auto"/>
        <w:rPr>
          <w:b/>
          <w:sz w:val="24"/>
          <w:szCs w:val="24"/>
        </w:rPr>
      </w:pPr>
    </w:p>
    <w:p w14:paraId="00A9525E" w14:textId="77777777" w:rsidR="00FE68E1" w:rsidRDefault="00FE68E1" w:rsidP="00FE68E1">
      <w:pPr>
        <w:spacing w:line="360" w:lineRule="auto"/>
        <w:rPr>
          <w:b/>
          <w:sz w:val="24"/>
          <w:szCs w:val="24"/>
        </w:rPr>
      </w:pPr>
      <w:r>
        <w:rPr>
          <w:b/>
          <w:sz w:val="24"/>
          <w:szCs w:val="24"/>
        </w:rPr>
        <w:t>I. Cuestión previa</w:t>
      </w:r>
    </w:p>
    <w:p w14:paraId="7AC9878F" w14:textId="77777777" w:rsidR="00FE68E1" w:rsidRDefault="00FE68E1" w:rsidP="00FE68E1">
      <w:pPr>
        <w:spacing w:line="360" w:lineRule="auto"/>
        <w:rPr>
          <w:b/>
          <w:sz w:val="24"/>
          <w:szCs w:val="24"/>
        </w:rPr>
      </w:pPr>
    </w:p>
    <w:p w14:paraId="2062679F" w14:textId="51E76D3A" w:rsidR="00FE68E1" w:rsidRDefault="000D1F2E" w:rsidP="00FE68E1">
      <w:pPr>
        <w:spacing w:line="360" w:lineRule="auto"/>
        <w:rPr>
          <w:b/>
          <w:sz w:val="24"/>
          <w:szCs w:val="24"/>
        </w:rPr>
      </w:pPr>
      <w:r w:rsidRPr="00425C8E">
        <w:rPr>
          <w:b/>
          <w:sz w:val="24"/>
          <w:szCs w:val="24"/>
        </w:rPr>
        <w:t>La s</w:t>
      </w:r>
      <w:r w:rsidR="00FE68E1" w:rsidRPr="00425C8E">
        <w:rPr>
          <w:b/>
          <w:sz w:val="24"/>
          <w:szCs w:val="24"/>
        </w:rPr>
        <w:t xml:space="preserve">olicitud de vinculación </w:t>
      </w:r>
    </w:p>
    <w:p w14:paraId="7A2E08B6" w14:textId="77777777" w:rsidR="00FE68E1" w:rsidRDefault="00FE68E1" w:rsidP="00FE68E1">
      <w:pPr>
        <w:spacing w:line="360" w:lineRule="auto"/>
        <w:rPr>
          <w:b/>
          <w:sz w:val="24"/>
          <w:szCs w:val="24"/>
        </w:rPr>
      </w:pPr>
    </w:p>
    <w:p w14:paraId="53113909" w14:textId="1D6ECA4E" w:rsidR="00FE68E1" w:rsidRPr="002864D0" w:rsidRDefault="00FE68E1" w:rsidP="00FE68E1">
      <w:pPr>
        <w:spacing w:line="360" w:lineRule="auto"/>
        <w:rPr>
          <w:sz w:val="24"/>
          <w:szCs w:val="24"/>
        </w:rPr>
      </w:pPr>
      <w:r>
        <w:rPr>
          <w:sz w:val="24"/>
          <w:szCs w:val="24"/>
        </w:rPr>
        <w:t>a.- En escrito del 29 de octubre de 2020</w:t>
      </w:r>
      <w:r>
        <w:rPr>
          <w:rStyle w:val="Refdenotaalpie"/>
          <w:sz w:val="24"/>
          <w:szCs w:val="24"/>
        </w:rPr>
        <w:footnoteReference w:id="25"/>
      </w:r>
      <w:r>
        <w:rPr>
          <w:sz w:val="24"/>
          <w:szCs w:val="24"/>
        </w:rPr>
        <w:t xml:space="preserve">, Rubén Darío Triana Sarmiento, apoderado judicial del tutelante, solicitó que, en vista de que la decisión de la acción de tutela </w:t>
      </w:r>
      <w:r w:rsidRPr="00F14233">
        <w:rPr>
          <w:i/>
          <w:sz w:val="24"/>
          <w:szCs w:val="24"/>
        </w:rPr>
        <w:t>“afectará a un sinnúmero de pensionados a quienes la UGPP hizo creer que su pensión sería reconocida (y fue reconocida) en ciertas condiciones y posteriormente cambió su posición jurídica”</w:t>
      </w:r>
      <w:r>
        <w:rPr>
          <w:i/>
          <w:sz w:val="24"/>
          <w:szCs w:val="24"/>
        </w:rPr>
        <w:t xml:space="preserve">, </w:t>
      </w:r>
      <w:r>
        <w:rPr>
          <w:sz w:val="24"/>
          <w:szCs w:val="24"/>
        </w:rPr>
        <w:t xml:space="preserve">se vincule a la acción tuitiva a </w:t>
      </w:r>
      <w:r w:rsidRPr="00570A5D">
        <w:rPr>
          <w:i/>
          <w:sz w:val="24"/>
          <w:szCs w:val="24"/>
        </w:rPr>
        <w:t>“las organizaciones sindicales que agrupan a los integrantes del Cuerpo de Custodia (activos y pensionados), para que en su condición de servidores públicos que podrían verse afectados por la decisión de fondo, se pronuncien sobre los hechos y pretensiones de la demanda de tutela y sus puntos de vista sean considerados y tenidos en cuenta para la decisión final.</w:t>
      </w:r>
      <w:r w:rsidR="00570A5D" w:rsidRPr="00570A5D">
        <w:rPr>
          <w:i/>
          <w:sz w:val="24"/>
          <w:szCs w:val="24"/>
        </w:rPr>
        <w:t>”</w:t>
      </w:r>
      <w:r w:rsidR="00570A5D" w:rsidRPr="002864D0">
        <w:rPr>
          <w:rStyle w:val="Refdenotaalpie"/>
          <w:sz w:val="24"/>
          <w:szCs w:val="24"/>
        </w:rPr>
        <w:footnoteReference w:id="26"/>
      </w:r>
      <w:r w:rsidR="002864D0">
        <w:rPr>
          <w:sz w:val="24"/>
          <w:szCs w:val="24"/>
        </w:rPr>
        <w:t xml:space="preserve">. </w:t>
      </w:r>
    </w:p>
    <w:p w14:paraId="56C5DF1E" w14:textId="77777777" w:rsidR="00FE68E1" w:rsidRDefault="00FE68E1" w:rsidP="00FE68E1">
      <w:pPr>
        <w:spacing w:line="360" w:lineRule="auto"/>
        <w:rPr>
          <w:sz w:val="24"/>
          <w:szCs w:val="24"/>
        </w:rPr>
      </w:pPr>
    </w:p>
    <w:p w14:paraId="000D5B5E" w14:textId="77777777" w:rsidR="00FE68E1" w:rsidRPr="00F379AE" w:rsidRDefault="00FE68E1" w:rsidP="00FE68E1">
      <w:pPr>
        <w:spacing w:line="360" w:lineRule="auto"/>
        <w:rPr>
          <w:sz w:val="24"/>
          <w:szCs w:val="24"/>
        </w:rPr>
      </w:pPr>
      <w:r>
        <w:rPr>
          <w:sz w:val="24"/>
          <w:szCs w:val="24"/>
        </w:rPr>
        <w:t xml:space="preserve">b.- </w:t>
      </w:r>
      <w:r w:rsidR="00445CF6">
        <w:rPr>
          <w:sz w:val="24"/>
          <w:szCs w:val="24"/>
        </w:rPr>
        <w:t>L</w:t>
      </w:r>
      <w:r>
        <w:rPr>
          <w:sz w:val="24"/>
          <w:szCs w:val="24"/>
        </w:rPr>
        <w:t xml:space="preserve">a Subsección negará la petición, pues, contrario a lo que considera el abogado, la decisión de las acciones de tutela tiene efectos </w:t>
      </w:r>
      <w:r>
        <w:rPr>
          <w:i/>
          <w:sz w:val="24"/>
          <w:szCs w:val="24"/>
        </w:rPr>
        <w:t>inter partes,</w:t>
      </w:r>
      <w:r>
        <w:rPr>
          <w:sz w:val="24"/>
          <w:szCs w:val="24"/>
        </w:rPr>
        <w:t xml:space="preserve"> esto de conformidad con distintos pronunciamientos de la Corte Constitucional</w:t>
      </w:r>
      <w:r>
        <w:rPr>
          <w:rStyle w:val="Refdenotaalpie"/>
          <w:sz w:val="24"/>
          <w:szCs w:val="24"/>
        </w:rPr>
        <w:footnoteReference w:id="27"/>
      </w:r>
      <w:r>
        <w:rPr>
          <w:sz w:val="24"/>
          <w:szCs w:val="24"/>
        </w:rPr>
        <w:t xml:space="preserve">. Aunado a lo anterior, no se evidencia que las organizaciones sindicales conformadas por integrantes del Cuerpo de Custodia tengan un interés directo en la decisión que se profiera en este asunto, pues, reitera la Sala, esta solo afectará al señor </w:t>
      </w:r>
      <w:r w:rsidRPr="00FD207E">
        <w:rPr>
          <w:rFonts w:cs="Arial"/>
          <w:bCs/>
          <w:sz w:val="24"/>
          <w:szCs w:val="24"/>
          <w:lang w:val="es-ES"/>
        </w:rPr>
        <w:t>Jorge Humberto Rincón Sierra</w:t>
      </w:r>
      <w:r>
        <w:rPr>
          <w:rFonts w:cs="Arial"/>
          <w:bCs/>
          <w:sz w:val="24"/>
          <w:szCs w:val="24"/>
          <w:lang w:val="es-ES"/>
        </w:rPr>
        <w:t xml:space="preserve">, titular de los derechos que alega fueron vulnerados por la Subsección A de la Sección Segunda del Consejo de Estado, al dictar la sentencia del 6 de agosto de 2020. </w:t>
      </w:r>
    </w:p>
    <w:p w14:paraId="38AF0BD1" w14:textId="77777777" w:rsidR="00F379AE" w:rsidRDefault="00F379AE" w:rsidP="004E6147">
      <w:pPr>
        <w:spacing w:line="360" w:lineRule="auto"/>
        <w:rPr>
          <w:b/>
          <w:sz w:val="24"/>
          <w:szCs w:val="24"/>
        </w:rPr>
      </w:pPr>
    </w:p>
    <w:p w14:paraId="2E652AEB" w14:textId="77777777" w:rsidR="00930B17" w:rsidRDefault="00930B17" w:rsidP="004E6147">
      <w:pPr>
        <w:spacing w:line="360" w:lineRule="auto"/>
        <w:rPr>
          <w:b/>
          <w:sz w:val="24"/>
          <w:szCs w:val="24"/>
        </w:rPr>
      </w:pPr>
      <w:r>
        <w:rPr>
          <w:b/>
          <w:sz w:val="24"/>
          <w:szCs w:val="24"/>
        </w:rPr>
        <w:t xml:space="preserve">1.- Competencia </w:t>
      </w:r>
    </w:p>
    <w:p w14:paraId="7A2C329D" w14:textId="77777777" w:rsidR="008F2AB1" w:rsidRDefault="008F2AB1" w:rsidP="004E6147">
      <w:pPr>
        <w:spacing w:line="360" w:lineRule="auto"/>
        <w:rPr>
          <w:b/>
          <w:sz w:val="24"/>
          <w:szCs w:val="24"/>
        </w:rPr>
      </w:pPr>
    </w:p>
    <w:p w14:paraId="0C9EA88D" w14:textId="3C65D081" w:rsidR="008F2AB1" w:rsidRDefault="008F2AB1" w:rsidP="004E6147">
      <w:pPr>
        <w:spacing w:line="360" w:lineRule="auto"/>
        <w:rPr>
          <w:rFonts w:eastAsia="Arial" w:cs="Arial"/>
          <w:sz w:val="24"/>
          <w:szCs w:val="24"/>
        </w:rPr>
      </w:pPr>
      <w:r>
        <w:rPr>
          <w:sz w:val="24"/>
          <w:szCs w:val="24"/>
        </w:rPr>
        <w:t xml:space="preserve">Esta Sala es competente para conocer de la acción de tutela interpuesta por </w:t>
      </w:r>
      <w:r w:rsidR="00F27135">
        <w:rPr>
          <w:sz w:val="24"/>
          <w:szCs w:val="24"/>
        </w:rPr>
        <w:t xml:space="preserve">el señor </w:t>
      </w:r>
      <w:r w:rsidRPr="00FD207E">
        <w:rPr>
          <w:rFonts w:cs="Arial"/>
          <w:bCs/>
          <w:sz w:val="24"/>
          <w:szCs w:val="24"/>
        </w:rPr>
        <w:t>Jorge Humberto Rincón Sierra</w:t>
      </w:r>
      <w:r>
        <w:rPr>
          <w:rFonts w:cs="Arial"/>
          <w:bCs/>
          <w:sz w:val="24"/>
          <w:szCs w:val="24"/>
        </w:rPr>
        <w:t xml:space="preserve"> en contra de la Subsección A de la Sección Segunda del Consejo de Estado, </w:t>
      </w:r>
      <w:r w:rsidRPr="00CF2F00">
        <w:rPr>
          <w:rFonts w:cs="Arial"/>
          <w:sz w:val="24"/>
          <w:szCs w:val="24"/>
        </w:rPr>
        <w:t xml:space="preserve">de conformidad </w:t>
      </w:r>
      <w:r w:rsidRPr="00CF2F00">
        <w:rPr>
          <w:rFonts w:eastAsia="Arial" w:cs="Arial"/>
          <w:sz w:val="24"/>
          <w:szCs w:val="24"/>
        </w:rPr>
        <w:t xml:space="preserve">con lo establecido en los artículos 86 de la </w:t>
      </w:r>
      <w:r w:rsidRPr="00CF2F00">
        <w:rPr>
          <w:rFonts w:eastAsia="Arial" w:cs="Arial"/>
          <w:sz w:val="24"/>
          <w:szCs w:val="24"/>
        </w:rPr>
        <w:lastRenderedPageBreak/>
        <w:t>Constitución, 37 del Decreto 2591 de 1991 y 13 del Acuerdo 080 de 2019 de la Sala Plena del Consejo de Estado.</w:t>
      </w:r>
    </w:p>
    <w:p w14:paraId="28FCB56A" w14:textId="77777777" w:rsidR="00B16DDE" w:rsidRPr="008F2AB1" w:rsidRDefault="00B16DDE" w:rsidP="004E6147">
      <w:pPr>
        <w:spacing w:line="360" w:lineRule="auto"/>
        <w:rPr>
          <w:rFonts w:eastAsia="Arial" w:cs="Arial"/>
          <w:sz w:val="24"/>
          <w:szCs w:val="24"/>
        </w:rPr>
      </w:pPr>
    </w:p>
    <w:p w14:paraId="5CE5A352" w14:textId="77777777" w:rsidR="00930B17" w:rsidRDefault="00930B17" w:rsidP="004E6147">
      <w:pPr>
        <w:spacing w:line="360" w:lineRule="auto"/>
        <w:rPr>
          <w:b/>
          <w:sz w:val="24"/>
          <w:szCs w:val="24"/>
        </w:rPr>
      </w:pPr>
      <w:r>
        <w:rPr>
          <w:b/>
          <w:sz w:val="24"/>
          <w:szCs w:val="24"/>
        </w:rPr>
        <w:t>2.- Problema jurídico</w:t>
      </w:r>
    </w:p>
    <w:p w14:paraId="70B76C29" w14:textId="77777777" w:rsidR="00864458" w:rsidRDefault="00864458" w:rsidP="004E6147">
      <w:pPr>
        <w:spacing w:line="360" w:lineRule="auto"/>
        <w:rPr>
          <w:b/>
          <w:sz w:val="24"/>
          <w:szCs w:val="24"/>
        </w:rPr>
      </w:pPr>
    </w:p>
    <w:p w14:paraId="482838F7" w14:textId="11A7C814" w:rsidR="00C02294" w:rsidRPr="00426D18" w:rsidRDefault="00864458" w:rsidP="004E6147">
      <w:pPr>
        <w:spacing w:line="360" w:lineRule="auto"/>
        <w:rPr>
          <w:rFonts w:cs="Arial"/>
          <w:sz w:val="24"/>
          <w:szCs w:val="24"/>
        </w:rPr>
      </w:pPr>
      <w:r w:rsidRPr="0044045F">
        <w:rPr>
          <w:rFonts w:cs="Arial"/>
          <w:sz w:val="24"/>
          <w:szCs w:val="24"/>
        </w:rPr>
        <w:t>La Sala verificará si la solicitud de amparo cumple con los requisitos generales de procedibilidad en contra de providencias judiciales, específicamente con el de relevancia constitucional y, en caso afirmativo, abordará el es</w:t>
      </w:r>
      <w:r>
        <w:rPr>
          <w:rFonts w:cs="Arial"/>
          <w:sz w:val="24"/>
          <w:szCs w:val="24"/>
        </w:rPr>
        <w:t xml:space="preserve">tudio de los reproches alegados. </w:t>
      </w:r>
    </w:p>
    <w:p w14:paraId="06051C2D" w14:textId="77777777" w:rsidR="00C02294" w:rsidRDefault="00C02294" w:rsidP="004E6147">
      <w:pPr>
        <w:spacing w:line="360" w:lineRule="auto"/>
        <w:rPr>
          <w:b/>
          <w:sz w:val="24"/>
          <w:szCs w:val="24"/>
        </w:rPr>
      </w:pPr>
    </w:p>
    <w:p w14:paraId="0B041832" w14:textId="77777777" w:rsidR="00930B17" w:rsidRDefault="00930B17" w:rsidP="004E6147">
      <w:pPr>
        <w:spacing w:line="360" w:lineRule="auto"/>
        <w:rPr>
          <w:b/>
          <w:sz w:val="24"/>
          <w:szCs w:val="24"/>
        </w:rPr>
      </w:pPr>
      <w:r>
        <w:rPr>
          <w:b/>
          <w:sz w:val="24"/>
          <w:szCs w:val="24"/>
        </w:rPr>
        <w:t xml:space="preserve">3.- La acción de tutela en contra de providencias judiciales </w:t>
      </w:r>
    </w:p>
    <w:p w14:paraId="3720EF7C" w14:textId="77777777" w:rsidR="00930B17" w:rsidRDefault="00930B17" w:rsidP="004E6147">
      <w:pPr>
        <w:spacing w:line="360" w:lineRule="auto"/>
        <w:rPr>
          <w:rFonts w:cs="Arial"/>
          <w:sz w:val="24"/>
          <w:szCs w:val="24"/>
        </w:rPr>
      </w:pPr>
    </w:p>
    <w:p w14:paraId="0590402B" w14:textId="77777777" w:rsidR="00930B17" w:rsidRPr="00CF2F00" w:rsidRDefault="00930B17" w:rsidP="004E6147">
      <w:pPr>
        <w:spacing w:line="360" w:lineRule="auto"/>
        <w:rPr>
          <w:rFonts w:cs="Arial"/>
          <w:sz w:val="24"/>
          <w:szCs w:val="24"/>
        </w:rPr>
      </w:pPr>
      <w:r w:rsidRPr="00CF2F00">
        <w:rPr>
          <w:rFonts w:cs="Arial"/>
          <w:sz w:val="24"/>
          <w:szCs w:val="24"/>
        </w:rPr>
        <w:t>La Corte Constitucional en sentencia C-590 de 2005</w:t>
      </w:r>
      <w:r w:rsidRPr="00CF2F00">
        <w:rPr>
          <w:rStyle w:val="Refdenotaalpie"/>
          <w:rFonts w:cs="Arial"/>
          <w:sz w:val="24"/>
          <w:szCs w:val="24"/>
        </w:rPr>
        <w:footnoteReference w:id="28"/>
      </w:r>
      <w:r w:rsidRPr="00CF2F00">
        <w:rPr>
          <w:rFonts w:cs="Arial"/>
          <w:sz w:val="24"/>
          <w:szCs w:val="24"/>
        </w:rPr>
        <w:t xml:space="preserve"> reconoció que la acción de tutela en contra de providencias judiciales está sujeta al cumplimiento de rigurosos requisitos de procedibilidad</w:t>
      </w:r>
      <w:r w:rsidRPr="00CF2F00">
        <w:rPr>
          <w:rStyle w:val="Refdenotaalpie"/>
          <w:rFonts w:cs="Arial"/>
          <w:sz w:val="24"/>
          <w:szCs w:val="24"/>
        </w:rPr>
        <w:footnoteReference w:id="29"/>
      </w:r>
      <w:r w:rsidRPr="00CF2F00">
        <w:rPr>
          <w:rFonts w:cs="Arial"/>
          <w:sz w:val="24"/>
          <w:szCs w:val="24"/>
        </w:rPr>
        <w:t xml:space="preserve"> y de procedencia</w:t>
      </w:r>
      <w:r w:rsidRPr="00CF2F00">
        <w:rPr>
          <w:rStyle w:val="Refdenotaalpie"/>
          <w:rFonts w:cs="Arial"/>
          <w:sz w:val="24"/>
          <w:szCs w:val="24"/>
        </w:rPr>
        <w:footnoteReference w:id="30"/>
      </w:r>
      <w:r w:rsidRPr="00CF2F00">
        <w:rPr>
          <w:rFonts w:cs="Arial"/>
          <w:sz w:val="24"/>
          <w:szCs w:val="24"/>
        </w:rPr>
        <w:t>, con el fin de determinar si se vulneraron o no los derechos de orden superior.</w:t>
      </w:r>
    </w:p>
    <w:p w14:paraId="09FA561D" w14:textId="77777777" w:rsidR="00930B17" w:rsidRDefault="00930B17" w:rsidP="004E6147">
      <w:pPr>
        <w:spacing w:line="360" w:lineRule="auto"/>
        <w:rPr>
          <w:b/>
          <w:sz w:val="24"/>
          <w:szCs w:val="24"/>
        </w:rPr>
      </w:pPr>
    </w:p>
    <w:p w14:paraId="63C65B9E" w14:textId="77777777" w:rsidR="00930B17" w:rsidRDefault="00930B17" w:rsidP="004E6147">
      <w:pPr>
        <w:spacing w:line="360" w:lineRule="auto"/>
        <w:rPr>
          <w:rFonts w:cs="Arial"/>
          <w:b/>
          <w:sz w:val="24"/>
          <w:szCs w:val="24"/>
        </w:rPr>
      </w:pPr>
      <w:r>
        <w:rPr>
          <w:rFonts w:cs="Arial"/>
          <w:b/>
          <w:sz w:val="24"/>
          <w:szCs w:val="24"/>
        </w:rPr>
        <w:t xml:space="preserve">4.- Verificación del cumplimiento del requisito general de relevancia constitucional en el caso concreto </w:t>
      </w:r>
    </w:p>
    <w:p w14:paraId="4BB5A85F" w14:textId="77777777" w:rsidR="00930B17" w:rsidRDefault="00930B17" w:rsidP="004E6147">
      <w:pPr>
        <w:pStyle w:val="Sinespaciado"/>
        <w:spacing w:line="360" w:lineRule="auto"/>
        <w:jc w:val="both"/>
        <w:rPr>
          <w:rFonts w:ascii="Arial" w:hAnsi="Arial" w:cs="Arial"/>
          <w:sz w:val="24"/>
          <w:szCs w:val="24"/>
        </w:rPr>
      </w:pPr>
    </w:p>
    <w:p w14:paraId="1309148A" w14:textId="77777777" w:rsidR="00930B17" w:rsidRPr="00CF2F00" w:rsidRDefault="00930B17" w:rsidP="004E6147">
      <w:pPr>
        <w:pStyle w:val="Sinespaciado"/>
        <w:spacing w:line="360" w:lineRule="auto"/>
        <w:jc w:val="both"/>
        <w:rPr>
          <w:rFonts w:ascii="Arial" w:eastAsia="Verdana" w:hAnsi="Arial" w:cs="Arial"/>
          <w:sz w:val="24"/>
          <w:szCs w:val="24"/>
        </w:rPr>
      </w:pPr>
      <w:r w:rsidRPr="00CF2F00">
        <w:rPr>
          <w:rFonts w:ascii="Arial" w:hAnsi="Arial" w:cs="Arial"/>
          <w:sz w:val="24"/>
          <w:szCs w:val="24"/>
        </w:rPr>
        <w:t>4.1.-</w:t>
      </w:r>
      <w:r w:rsidRPr="00CF2F00">
        <w:rPr>
          <w:rFonts w:ascii="Arial" w:hAnsi="Arial" w:cs="Arial"/>
          <w:b/>
          <w:sz w:val="24"/>
          <w:szCs w:val="24"/>
        </w:rPr>
        <w:t xml:space="preserve"> </w:t>
      </w:r>
      <w:r w:rsidRPr="00CF2F00">
        <w:rPr>
          <w:rFonts w:ascii="Arial" w:hAnsi="Arial" w:cs="Arial"/>
          <w:sz w:val="24"/>
          <w:szCs w:val="24"/>
        </w:rPr>
        <w:t xml:space="preserve">Sobre este requisito la Corte Constitucional ha señalado que el juez de tutela </w:t>
      </w:r>
      <w:r w:rsidRPr="00CF2F00">
        <w:rPr>
          <w:rFonts w:ascii="Arial" w:hAnsi="Arial" w:cs="Arial"/>
          <w:i/>
          <w:sz w:val="24"/>
          <w:szCs w:val="24"/>
        </w:rPr>
        <w:t>“</w:t>
      </w:r>
      <w:r w:rsidRPr="00CF2F00">
        <w:rPr>
          <w:rFonts w:ascii="Arial" w:hAnsi="Arial" w:cs="Arial"/>
          <w:i/>
          <w:sz w:val="24"/>
          <w:szCs w:val="24"/>
          <w:shd w:val="clear" w:color="auto" w:fill="FFFFFF"/>
        </w:rPr>
        <w:t>no puede entrar a estudiar cuestiones que no tienen una clara y marcada importancia constitucional so pena de involucrarse en asuntos que corresponde definir a otras jurisdicciones”</w:t>
      </w:r>
      <w:r w:rsidRPr="00CF2F00">
        <w:rPr>
          <w:rFonts w:ascii="Arial" w:hAnsi="Arial" w:cs="Arial"/>
          <w:sz w:val="24"/>
          <w:szCs w:val="24"/>
          <w:shd w:val="clear" w:color="auto" w:fill="FFFFFF"/>
          <w:vertAlign w:val="superscript"/>
        </w:rPr>
        <w:footnoteReference w:id="31"/>
      </w:r>
      <w:r w:rsidRPr="00CF2F00">
        <w:rPr>
          <w:rFonts w:ascii="Arial" w:eastAsia="Verdana" w:hAnsi="Arial" w:cs="Arial"/>
          <w:sz w:val="24"/>
          <w:szCs w:val="24"/>
        </w:rPr>
        <w:t>.</w:t>
      </w:r>
    </w:p>
    <w:p w14:paraId="5E65A54F" w14:textId="77777777" w:rsidR="00930B17" w:rsidRPr="00CF2F00" w:rsidRDefault="00930B17" w:rsidP="004E6147">
      <w:pPr>
        <w:pStyle w:val="Sinespaciado"/>
        <w:spacing w:line="360" w:lineRule="auto"/>
        <w:rPr>
          <w:rFonts w:ascii="Arial" w:hAnsi="Arial" w:cs="Arial"/>
          <w:sz w:val="24"/>
          <w:szCs w:val="24"/>
        </w:rPr>
      </w:pPr>
    </w:p>
    <w:p w14:paraId="7C83A3DC" w14:textId="77777777" w:rsidR="00930B17" w:rsidRPr="00CF2F00" w:rsidRDefault="00930B17" w:rsidP="004E6147">
      <w:pPr>
        <w:pStyle w:val="Sinespaciado"/>
        <w:spacing w:line="360" w:lineRule="auto"/>
        <w:jc w:val="both"/>
        <w:rPr>
          <w:rFonts w:ascii="Arial" w:hAnsi="Arial" w:cs="Arial"/>
          <w:sz w:val="24"/>
          <w:szCs w:val="24"/>
        </w:rPr>
      </w:pPr>
      <w:r w:rsidRPr="00CF2F00">
        <w:rPr>
          <w:rFonts w:ascii="Arial" w:hAnsi="Arial" w:cs="Arial"/>
          <w:sz w:val="24"/>
          <w:szCs w:val="24"/>
        </w:rPr>
        <w:lastRenderedPageBreak/>
        <w:t>En ese sentido, para determinar si una solicitud de amparo tiene o no relevancia constitucional, la Sala Plena de lo Contencioso Administrativo del Consejo de Estado ha considerado necesario examinar dos elementos, a saber</w:t>
      </w:r>
      <w:r w:rsidRPr="00CF2F00">
        <w:rPr>
          <w:rFonts w:ascii="Arial" w:hAnsi="Arial" w:cs="Arial"/>
          <w:sz w:val="24"/>
          <w:szCs w:val="24"/>
          <w:vertAlign w:val="superscript"/>
        </w:rPr>
        <w:footnoteReference w:id="32"/>
      </w:r>
      <w:r w:rsidRPr="00CF2F00">
        <w:rPr>
          <w:rFonts w:ascii="Arial" w:hAnsi="Arial" w:cs="Arial"/>
          <w:sz w:val="24"/>
          <w:szCs w:val="24"/>
        </w:rPr>
        <w:t>: (i)</w:t>
      </w:r>
      <w:r w:rsidRPr="00CF2F00">
        <w:rPr>
          <w:rFonts w:ascii="Arial" w:hAnsi="Arial" w:cs="Arial"/>
          <w:b/>
          <w:sz w:val="24"/>
          <w:szCs w:val="24"/>
        </w:rPr>
        <w:t xml:space="preserve"> </w:t>
      </w:r>
      <w:r w:rsidRPr="00CF2F00">
        <w:rPr>
          <w:rFonts w:ascii="Arial" w:hAnsi="Arial" w:cs="Arial"/>
          <w:sz w:val="24"/>
          <w:szCs w:val="24"/>
        </w:rPr>
        <w:t>que el actor cumpla su carga argumentativa, en donde justifique suficientemente la relevancia constitucional por vulneración de derechos fundamentales, ya que no basta que se aduzca la vulneración de aquellos y (ii)</w:t>
      </w:r>
      <w:r w:rsidRPr="00CF2F00">
        <w:rPr>
          <w:rFonts w:ascii="Arial" w:hAnsi="Arial" w:cs="Arial"/>
          <w:b/>
          <w:sz w:val="24"/>
          <w:szCs w:val="24"/>
        </w:rPr>
        <w:t xml:space="preserve"> </w:t>
      </w:r>
      <w:r w:rsidRPr="00CF2F00">
        <w:rPr>
          <w:rFonts w:ascii="Arial" w:hAnsi="Arial" w:cs="Arial"/>
          <w:sz w:val="24"/>
          <w:szCs w:val="24"/>
        </w:rPr>
        <w:t>que la acción de tutela no se erija en una instancia adicional al proceso ordinario en el cual fue proferida la providencia acusada, puesto que este mecanismo especial constitucional está constituido para proteger derechos fundamentales mas no para discutir la discrepancia que el actor tenga frente a la decisión judicial.</w:t>
      </w:r>
    </w:p>
    <w:p w14:paraId="613218CB" w14:textId="77777777" w:rsidR="00930B17" w:rsidRDefault="00930B17" w:rsidP="004E6147">
      <w:pPr>
        <w:spacing w:line="360" w:lineRule="auto"/>
        <w:rPr>
          <w:rFonts w:cs="Arial"/>
          <w:b/>
          <w:sz w:val="24"/>
          <w:szCs w:val="24"/>
        </w:rPr>
      </w:pPr>
    </w:p>
    <w:p w14:paraId="59EE16E9" w14:textId="0DF71A44" w:rsidR="00864458" w:rsidRDefault="00864458" w:rsidP="00864458">
      <w:pPr>
        <w:spacing w:line="360" w:lineRule="auto"/>
        <w:rPr>
          <w:rFonts w:cs="Arial"/>
          <w:sz w:val="24"/>
          <w:szCs w:val="24"/>
        </w:rPr>
      </w:pPr>
      <w:r>
        <w:rPr>
          <w:rFonts w:cs="Arial"/>
          <w:sz w:val="24"/>
          <w:szCs w:val="24"/>
        </w:rPr>
        <w:t xml:space="preserve">4.2.- La Sala advierte que el amparo impetrado no satisface el requisito de relevancia constitucional, pues no contiene la carga mínima requerida que se le debe imprimir a una acción tuitiva cuando confuta una providencia judicial y, además, tampoco esgrime cargos de índole </w:t>
      </w:r>
      <w:r>
        <w:rPr>
          <w:rFonts w:cs="Arial"/>
          <w:i/>
          <w:sz w:val="24"/>
          <w:szCs w:val="24"/>
        </w:rPr>
        <w:t xml:space="preserve">ius </w:t>
      </w:r>
      <w:r>
        <w:rPr>
          <w:rFonts w:cs="Arial"/>
          <w:sz w:val="24"/>
          <w:szCs w:val="24"/>
        </w:rPr>
        <w:t xml:space="preserve">fundamental sino de mera legalidad, como si este mecanismo fuera una instancia adicional al proceso ordinario. </w:t>
      </w:r>
    </w:p>
    <w:p w14:paraId="1DF1C974" w14:textId="77777777" w:rsidR="00447AFE" w:rsidRDefault="00447AFE" w:rsidP="00864458">
      <w:pPr>
        <w:spacing w:line="360" w:lineRule="auto"/>
        <w:rPr>
          <w:rFonts w:cs="Arial"/>
          <w:sz w:val="24"/>
          <w:szCs w:val="24"/>
        </w:rPr>
      </w:pPr>
    </w:p>
    <w:p w14:paraId="5FCA34B1" w14:textId="78756243" w:rsidR="00447AFE" w:rsidRDefault="00447AFE" w:rsidP="00864458">
      <w:pPr>
        <w:spacing w:line="360" w:lineRule="auto"/>
        <w:rPr>
          <w:rFonts w:cs="Arial"/>
          <w:sz w:val="24"/>
          <w:szCs w:val="24"/>
        </w:rPr>
      </w:pPr>
      <w:r>
        <w:rPr>
          <w:rFonts w:cs="Arial"/>
          <w:sz w:val="24"/>
          <w:szCs w:val="24"/>
        </w:rPr>
        <w:t>4.3.- Al efecto, la Sala observa que la UGPP adelantó demanda de nulidad y restableci</w:t>
      </w:r>
      <w:r w:rsidR="001731D1">
        <w:rPr>
          <w:rFonts w:cs="Arial"/>
          <w:sz w:val="24"/>
          <w:szCs w:val="24"/>
        </w:rPr>
        <w:t>miento del derecho en contra de</w:t>
      </w:r>
      <w:r w:rsidR="00426D18">
        <w:rPr>
          <w:rFonts w:cs="Arial"/>
          <w:sz w:val="24"/>
          <w:szCs w:val="24"/>
        </w:rPr>
        <w:t>l</w:t>
      </w:r>
      <w:r w:rsidR="001731D1">
        <w:rPr>
          <w:rFonts w:cs="Arial"/>
          <w:sz w:val="24"/>
          <w:szCs w:val="24"/>
        </w:rPr>
        <w:t xml:space="preserve"> acto del </w:t>
      </w:r>
      <w:r w:rsidR="001731D1" w:rsidRPr="00425C8E">
        <w:rPr>
          <w:rFonts w:cs="Arial"/>
          <w:sz w:val="24"/>
          <w:szCs w:val="24"/>
        </w:rPr>
        <w:t>6 de octubre de 2010</w:t>
      </w:r>
      <w:r w:rsidR="001731D1">
        <w:rPr>
          <w:rFonts w:cs="Arial"/>
          <w:sz w:val="24"/>
          <w:szCs w:val="24"/>
        </w:rPr>
        <w:t xml:space="preserve">, mediante el cual se reconoció y ordenó el pago de la pensión de vejez al señor Rincón Sierra; del 28 de febrero de 2011 que confirmó la anterior decisión; y del 21 de octubre de 2015, que reliquidó la prestación con el 75% del salario devengado en el último año de servicios. </w:t>
      </w:r>
    </w:p>
    <w:p w14:paraId="6B544410" w14:textId="77777777" w:rsidR="001731D1" w:rsidRDefault="001731D1" w:rsidP="00864458">
      <w:pPr>
        <w:spacing w:line="360" w:lineRule="auto"/>
        <w:rPr>
          <w:rFonts w:cs="Arial"/>
          <w:sz w:val="24"/>
          <w:szCs w:val="24"/>
        </w:rPr>
      </w:pPr>
    </w:p>
    <w:p w14:paraId="1AC40AE2" w14:textId="77777777" w:rsidR="00864458" w:rsidRDefault="00024B42" w:rsidP="00864458">
      <w:pPr>
        <w:spacing w:line="360" w:lineRule="auto"/>
        <w:rPr>
          <w:rFonts w:cs="Arial"/>
          <w:sz w:val="24"/>
          <w:szCs w:val="24"/>
          <w:lang w:eastAsia="es-ES"/>
        </w:rPr>
      </w:pPr>
      <w:r>
        <w:rPr>
          <w:rFonts w:cs="Arial"/>
          <w:sz w:val="24"/>
          <w:szCs w:val="24"/>
        </w:rPr>
        <w:t>Sin embargo, la Sala Segunda de Decisión del Tribunal Administrativo del Quindío, en providencia proferida el</w:t>
      </w:r>
      <w:r>
        <w:rPr>
          <w:rFonts w:cs="Arial"/>
          <w:sz w:val="24"/>
          <w:szCs w:val="24"/>
          <w:lang w:eastAsia="es-ES"/>
        </w:rPr>
        <w:t xml:space="preserve"> 25 de abril de 2019</w:t>
      </w:r>
      <w:r>
        <w:rPr>
          <w:rStyle w:val="Refdenotaalpie"/>
          <w:rFonts w:cs="Arial"/>
          <w:sz w:val="24"/>
          <w:szCs w:val="24"/>
          <w:lang w:eastAsia="es-ES"/>
        </w:rPr>
        <w:footnoteReference w:id="33"/>
      </w:r>
      <w:r>
        <w:rPr>
          <w:rFonts w:cs="Arial"/>
          <w:sz w:val="24"/>
          <w:szCs w:val="24"/>
          <w:lang w:eastAsia="es-ES"/>
        </w:rPr>
        <w:t xml:space="preserve">, negó las pretensiones. Al efecto, señaló: </w:t>
      </w:r>
    </w:p>
    <w:p w14:paraId="6DE23752" w14:textId="77777777" w:rsidR="00024B42" w:rsidRDefault="00024B42" w:rsidP="00864458">
      <w:pPr>
        <w:spacing w:line="360" w:lineRule="auto"/>
        <w:rPr>
          <w:rFonts w:cs="Arial"/>
          <w:sz w:val="24"/>
          <w:szCs w:val="24"/>
          <w:lang w:eastAsia="es-ES"/>
        </w:rPr>
      </w:pPr>
    </w:p>
    <w:p w14:paraId="1599BAD6" w14:textId="17D91EC5" w:rsidR="00BC4DDB" w:rsidRPr="00E6690A" w:rsidRDefault="00121ED3" w:rsidP="00901796">
      <w:pPr>
        <w:spacing w:line="276" w:lineRule="auto"/>
        <w:ind w:left="567" w:right="567"/>
        <w:rPr>
          <w:rFonts w:cs="Arial"/>
          <w:i/>
          <w:sz w:val="22"/>
          <w:szCs w:val="22"/>
          <w:lang w:eastAsia="es-ES"/>
        </w:rPr>
      </w:pPr>
      <w:r w:rsidRPr="00E6690A">
        <w:rPr>
          <w:rFonts w:cs="Arial"/>
          <w:i/>
          <w:sz w:val="22"/>
          <w:szCs w:val="22"/>
          <w:lang w:eastAsia="es-ES"/>
        </w:rPr>
        <w:t>“[D]</w:t>
      </w:r>
      <w:r w:rsidR="00BC4DDB" w:rsidRPr="00E6690A">
        <w:rPr>
          <w:rFonts w:cs="Arial"/>
          <w:i/>
          <w:sz w:val="22"/>
          <w:szCs w:val="22"/>
          <w:lang w:eastAsia="es-ES"/>
        </w:rPr>
        <w:t xml:space="preserve">e conformidad con </w:t>
      </w:r>
      <w:r w:rsidR="00BC4DDB" w:rsidRPr="00D823FF">
        <w:rPr>
          <w:rFonts w:cs="Arial"/>
          <w:i/>
          <w:sz w:val="22"/>
          <w:szCs w:val="22"/>
          <w:lang w:eastAsia="es-ES"/>
        </w:rPr>
        <w:t xml:space="preserve">los antecedentes normativos, jurisprudenciales y probatorios antes citados, se verifica que en el caso del señor Jorge Humberto ingresó al Instituto Nacional Penitenciario y Carcelario </w:t>
      </w:r>
      <w:r w:rsidR="00CD6C75" w:rsidRPr="00D823FF">
        <w:rPr>
          <w:rFonts w:cs="Arial"/>
          <w:i/>
          <w:sz w:val="22"/>
          <w:szCs w:val="22"/>
          <w:lang w:eastAsia="es-ES"/>
        </w:rPr>
        <w:t>[-]</w:t>
      </w:r>
      <w:r w:rsidR="00BC4DDB" w:rsidRPr="00D823FF">
        <w:rPr>
          <w:rFonts w:cs="Arial"/>
          <w:i/>
          <w:sz w:val="22"/>
          <w:szCs w:val="22"/>
          <w:lang w:eastAsia="es-ES"/>
        </w:rPr>
        <w:t>INPEC- el 16 de marzo de 1987, es decir, en vigencia de la Ley 32 de 1986, que estableció como</w:t>
      </w:r>
      <w:r w:rsidR="00BC4DDB" w:rsidRPr="00E6690A">
        <w:rPr>
          <w:rFonts w:cs="Arial"/>
          <w:i/>
          <w:sz w:val="22"/>
          <w:szCs w:val="22"/>
          <w:lang w:eastAsia="es-ES"/>
        </w:rPr>
        <w:t xml:space="preserve"> único requisito para la obtención del derecho pensional la acreditación de 20 años de servicio continuo o discontinuo (Art 96). </w:t>
      </w:r>
    </w:p>
    <w:p w14:paraId="603F056E" w14:textId="1DF2DC30" w:rsidR="001453B7" w:rsidRDefault="001453B7" w:rsidP="00901796">
      <w:pPr>
        <w:spacing w:line="276" w:lineRule="auto"/>
        <w:ind w:left="567" w:right="567"/>
        <w:rPr>
          <w:rFonts w:cs="Arial"/>
          <w:i/>
          <w:sz w:val="22"/>
          <w:szCs w:val="22"/>
          <w:lang w:eastAsia="es-ES"/>
        </w:rPr>
      </w:pPr>
    </w:p>
    <w:p w14:paraId="08F5E30D" w14:textId="2B8591FC" w:rsidR="00D823FF" w:rsidRDefault="00D823FF" w:rsidP="00901796">
      <w:pPr>
        <w:spacing w:line="276" w:lineRule="auto"/>
        <w:ind w:left="567" w:right="567"/>
        <w:rPr>
          <w:rFonts w:cs="Arial"/>
          <w:i/>
          <w:sz w:val="22"/>
          <w:szCs w:val="22"/>
          <w:lang w:eastAsia="es-ES"/>
        </w:rPr>
      </w:pPr>
      <w:r>
        <w:rPr>
          <w:rFonts w:cs="Arial"/>
          <w:i/>
          <w:sz w:val="22"/>
          <w:szCs w:val="22"/>
          <w:lang w:eastAsia="es-ES"/>
        </w:rPr>
        <w:t>(…)</w:t>
      </w:r>
    </w:p>
    <w:p w14:paraId="09387025" w14:textId="77777777" w:rsidR="00D823FF" w:rsidRPr="00E6690A" w:rsidRDefault="00D823FF" w:rsidP="00901796">
      <w:pPr>
        <w:spacing w:line="276" w:lineRule="auto"/>
        <w:ind w:left="567" w:right="567"/>
        <w:rPr>
          <w:rFonts w:cs="Arial"/>
          <w:i/>
          <w:sz w:val="22"/>
          <w:szCs w:val="22"/>
          <w:lang w:eastAsia="es-ES"/>
        </w:rPr>
      </w:pPr>
    </w:p>
    <w:p w14:paraId="63421291" w14:textId="3F10217D" w:rsidR="005B2293" w:rsidRPr="00E6690A" w:rsidRDefault="001453B7" w:rsidP="00901796">
      <w:pPr>
        <w:spacing w:line="276" w:lineRule="auto"/>
        <w:ind w:left="567" w:right="567"/>
        <w:rPr>
          <w:rFonts w:cs="Arial"/>
          <w:i/>
          <w:sz w:val="22"/>
          <w:szCs w:val="22"/>
          <w:lang w:eastAsia="es-ES"/>
        </w:rPr>
      </w:pPr>
      <w:r w:rsidRPr="00E6690A">
        <w:rPr>
          <w:rFonts w:cs="Arial"/>
          <w:i/>
          <w:sz w:val="22"/>
          <w:szCs w:val="22"/>
          <w:lang w:eastAsia="es-ES"/>
        </w:rPr>
        <w:lastRenderedPageBreak/>
        <w:t xml:space="preserve">Partiendo de los antecedentes del Acto Legislativo No. 01 de 2005 y de lo estimado por la Corte Constitucional en la sentencia [SU-068 DE 2018], para esta Sala es claro que lo que se buscó con la modificación constitucional fue preservar para los miembros del Cuerpo de Custodia y Vigilancia Penitenciaria y Carcelaria Nacional (INPEC) que venían prestando sus servicios con anterioridad al Decreto 2090 de 2003, las reglas pensionales </w:t>
      </w:r>
      <w:r w:rsidRPr="00D823FF">
        <w:rPr>
          <w:rFonts w:cs="Arial"/>
          <w:i/>
          <w:sz w:val="22"/>
          <w:szCs w:val="22"/>
          <w:lang w:eastAsia="es-ES"/>
        </w:rPr>
        <w:t>especiales de la Ley 32 de 1986, es decir, acreditar 20 años de servicio continuo o discontinuo, m</w:t>
      </w:r>
      <w:r w:rsidR="00D823FF" w:rsidRPr="00D823FF">
        <w:rPr>
          <w:rFonts w:cs="Arial"/>
          <w:i/>
          <w:sz w:val="22"/>
          <w:szCs w:val="22"/>
          <w:lang w:eastAsia="es-ES"/>
        </w:rPr>
        <w:t>[a]</w:t>
      </w:r>
      <w:r w:rsidRPr="00D823FF">
        <w:rPr>
          <w:rFonts w:cs="Arial"/>
          <w:i/>
          <w:sz w:val="22"/>
          <w:szCs w:val="22"/>
          <w:lang w:eastAsia="es-ES"/>
        </w:rPr>
        <w:t>s no gravar su derecho pensional con exigencias adicionales.</w:t>
      </w:r>
      <w:r w:rsidR="005B2293" w:rsidRPr="00D823FF">
        <w:rPr>
          <w:rFonts w:cs="Arial"/>
          <w:i/>
          <w:sz w:val="22"/>
          <w:szCs w:val="22"/>
          <w:lang w:eastAsia="es-ES"/>
        </w:rPr>
        <w:t xml:space="preserve"> Siendo ese el propósito del</w:t>
      </w:r>
      <w:r w:rsidR="005B2293" w:rsidRPr="00E6690A">
        <w:rPr>
          <w:rFonts w:cs="Arial"/>
          <w:i/>
          <w:sz w:val="22"/>
          <w:szCs w:val="22"/>
          <w:lang w:eastAsia="es-ES"/>
        </w:rPr>
        <w:t xml:space="preserve"> parágrafo 5° del Acto Legislativo resulta a todas luces contradictorio exigir a dicho personal cumplir con las previsiones de la Ley 100 de 1993 para ser beneficiario del régimen anterior, pues se entiende que la razón misma de haber realizado tal salvedad fue no dejar en el limbo jurídico a quienes ya venían prestando el servicio y como lo sostuvo la Corte Constitucional, no habría sido necesario haber incorporado el precitado parágrafo transitorio No. 5</w:t>
      </w:r>
      <w:r w:rsidR="00425C8E">
        <w:rPr>
          <w:rFonts w:cs="Arial"/>
          <w:i/>
          <w:sz w:val="22"/>
          <w:szCs w:val="22"/>
          <w:lang w:eastAsia="es-ES"/>
        </w:rPr>
        <w:t>.</w:t>
      </w:r>
    </w:p>
    <w:p w14:paraId="3CE0DEFB" w14:textId="77777777" w:rsidR="005B2293" w:rsidRPr="00E6690A" w:rsidRDefault="005B2293" w:rsidP="00901796">
      <w:pPr>
        <w:spacing w:line="276" w:lineRule="auto"/>
        <w:ind w:left="567" w:right="567"/>
        <w:rPr>
          <w:rFonts w:cs="Arial"/>
          <w:i/>
          <w:sz w:val="22"/>
          <w:szCs w:val="22"/>
          <w:lang w:eastAsia="es-ES"/>
        </w:rPr>
      </w:pPr>
    </w:p>
    <w:p w14:paraId="3974DB47" w14:textId="77777777" w:rsidR="005B2293" w:rsidRPr="00E6690A" w:rsidRDefault="005B2293" w:rsidP="00901796">
      <w:pPr>
        <w:spacing w:line="276" w:lineRule="auto"/>
        <w:ind w:left="567" w:right="567"/>
        <w:rPr>
          <w:rFonts w:cs="Arial"/>
          <w:i/>
          <w:sz w:val="22"/>
          <w:szCs w:val="22"/>
          <w:lang w:eastAsia="es-ES"/>
        </w:rPr>
      </w:pPr>
      <w:r w:rsidRPr="00E6690A">
        <w:rPr>
          <w:rFonts w:cs="Arial"/>
          <w:i/>
          <w:sz w:val="22"/>
          <w:szCs w:val="22"/>
          <w:lang w:eastAsia="es-ES"/>
        </w:rPr>
        <w:t>(…)</w:t>
      </w:r>
    </w:p>
    <w:p w14:paraId="36D87274" w14:textId="77777777" w:rsidR="005B2293" w:rsidRPr="00E6690A" w:rsidRDefault="005B2293" w:rsidP="00901796">
      <w:pPr>
        <w:spacing w:line="276" w:lineRule="auto"/>
        <w:ind w:left="567" w:right="567"/>
        <w:rPr>
          <w:rFonts w:cs="Arial"/>
          <w:i/>
          <w:sz w:val="22"/>
          <w:szCs w:val="22"/>
          <w:lang w:eastAsia="es-ES"/>
        </w:rPr>
      </w:pPr>
    </w:p>
    <w:p w14:paraId="2C3F52CF" w14:textId="77777777" w:rsidR="00E6690A" w:rsidRPr="00E6690A" w:rsidRDefault="005B2293" w:rsidP="00901796">
      <w:pPr>
        <w:spacing w:line="276" w:lineRule="auto"/>
        <w:ind w:left="567" w:right="567"/>
        <w:rPr>
          <w:rFonts w:cs="Arial"/>
          <w:i/>
          <w:sz w:val="22"/>
          <w:szCs w:val="22"/>
          <w:lang w:eastAsia="es-ES"/>
        </w:rPr>
      </w:pPr>
      <w:r w:rsidRPr="00E6690A">
        <w:rPr>
          <w:rFonts w:cs="Arial"/>
          <w:i/>
          <w:sz w:val="22"/>
          <w:szCs w:val="22"/>
          <w:lang w:eastAsia="es-ES"/>
        </w:rPr>
        <w:t>Así entonces, para la Sala de Decisión conforme a las pruebas aportadas al proceso por la entidad, es claro que la pensión de vejez reconocida al señor Rincón Sierra se encuentra ajus</w:t>
      </w:r>
      <w:r w:rsidR="00E6690A" w:rsidRPr="00E6690A">
        <w:rPr>
          <w:rFonts w:cs="Arial"/>
          <w:i/>
          <w:sz w:val="22"/>
          <w:szCs w:val="22"/>
          <w:lang w:eastAsia="es-ES"/>
        </w:rPr>
        <w:t>tada a derecho pues</w:t>
      </w:r>
      <w:r w:rsidRPr="00E6690A">
        <w:rPr>
          <w:rFonts w:cs="Arial"/>
          <w:i/>
          <w:sz w:val="22"/>
          <w:szCs w:val="22"/>
          <w:lang w:eastAsia="es-ES"/>
        </w:rPr>
        <w:t xml:space="preserve"> se reitera que el fin de la previsión</w:t>
      </w:r>
      <w:r w:rsidR="00E6690A" w:rsidRPr="00E6690A">
        <w:rPr>
          <w:rFonts w:cs="Arial"/>
          <w:i/>
          <w:sz w:val="22"/>
          <w:szCs w:val="22"/>
          <w:lang w:eastAsia="es-ES"/>
        </w:rPr>
        <w:t xml:space="preserve"> adoptada en el Acto Legislativo No. 01 de 2005 fue preservar el derecho a gozar de una pensión bajo los lineamientos de la Ley 32 de 1986 por estar vinculado con anterioridad a la entrada en vigencia del Decreto 2090 de 2003.</w:t>
      </w:r>
    </w:p>
    <w:p w14:paraId="25519939" w14:textId="77777777" w:rsidR="00E6690A" w:rsidRPr="00E6690A" w:rsidRDefault="00E6690A" w:rsidP="00901796">
      <w:pPr>
        <w:spacing w:line="276" w:lineRule="auto"/>
        <w:ind w:left="567" w:right="567"/>
        <w:rPr>
          <w:rFonts w:cs="Arial"/>
          <w:i/>
          <w:sz w:val="22"/>
          <w:szCs w:val="22"/>
          <w:lang w:eastAsia="es-ES"/>
        </w:rPr>
      </w:pPr>
    </w:p>
    <w:p w14:paraId="2C230085" w14:textId="77777777" w:rsidR="00E6690A" w:rsidRPr="00E6690A" w:rsidRDefault="00E6690A" w:rsidP="00901796">
      <w:pPr>
        <w:spacing w:line="276" w:lineRule="auto"/>
        <w:ind w:left="567" w:right="567"/>
        <w:rPr>
          <w:rFonts w:cs="Arial"/>
          <w:i/>
          <w:sz w:val="22"/>
          <w:szCs w:val="22"/>
          <w:lang w:eastAsia="es-ES"/>
        </w:rPr>
      </w:pPr>
      <w:r w:rsidRPr="00E6690A">
        <w:rPr>
          <w:rFonts w:cs="Arial"/>
          <w:i/>
          <w:sz w:val="22"/>
          <w:szCs w:val="22"/>
          <w:lang w:eastAsia="es-ES"/>
        </w:rPr>
        <w:t>(…)</w:t>
      </w:r>
    </w:p>
    <w:p w14:paraId="52A4F283" w14:textId="77777777" w:rsidR="00E6690A" w:rsidRPr="00E6690A" w:rsidRDefault="00E6690A" w:rsidP="00901796">
      <w:pPr>
        <w:spacing w:line="276" w:lineRule="auto"/>
        <w:ind w:left="567" w:right="567"/>
        <w:rPr>
          <w:rFonts w:cs="Arial"/>
          <w:i/>
          <w:sz w:val="22"/>
          <w:szCs w:val="22"/>
          <w:lang w:eastAsia="es-ES"/>
        </w:rPr>
      </w:pPr>
    </w:p>
    <w:p w14:paraId="05AFFE9D" w14:textId="33B80515" w:rsidR="00864458" w:rsidRPr="00A77E40" w:rsidRDefault="00E6690A" w:rsidP="00901796">
      <w:pPr>
        <w:spacing w:line="276" w:lineRule="auto"/>
        <w:ind w:left="567" w:right="567"/>
        <w:rPr>
          <w:rFonts w:cs="Arial"/>
          <w:iCs/>
          <w:sz w:val="22"/>
          <w:szCs w:val="22"/>
          <w:lang w:eastAsia="es-ES"/>
        </w:rPr>
      </w:pPr>
      <w:r w:rsidRPr="00E6690A">
        <w:rPr>
          <w:rFonts w:cs="Arial"/>
          <w:i/>
          <w:sz w:val="22"/>
          <w:szCs w:val="22"/>
          <w:lang w:eastAsia="es-ES"/>
        </w:rPr>
        <w:t>Por lo expuesto, se advierte que las pretensiones de la demanda no están llamadas a prosperar pues los argumentos allí invocados no lograron desvirtuar la presunción de legalidad que cobija a los actos administrativos acusados y en razón de ello, se declarará probada la excepción denominada “estricto cumplimiento a los mandatos legales” propuesta por el demandado.</w:t>
      </w:r>
      <w:r w:rsidR="00121ED3" w:rsidRPr="00E6690A">
        <w:rPr>
          <w:rFonts w:cs="Arial"/>
          <w:i/>
          <w:sz w:val="22"/>
          <w:szCs w:val="22"/>
          <w:lang w:eastAsia="es-ES"/>
        </w:rPr>
        <w:t>”</w:t>
      </w:r>
      <w:r w:rsidR="00121ED3" w:rsidRPr="00E6690A">
        <w:rPr>
          <w:rStyle w:val="Refdenotaalpie"/>
          <w:rFonts w:cs="Arial"/>
          <w:sz w:val="22"/>
          <w:szCs w:val="22"/>
          <w:lang w:eastAsia="es-ES"/>
        </w:rPr>
        <w:footnoteReference w:id="34"/>
      </w:r>
      <w:r w:rsidR="00A77E40">
        <w:rPr>
          <w:rFonts w:cs="Arial"/>
          <w:iCs/>
          <w:sz w:val="22"/>
          <w:szCs w:val="22"/>
          <w:lang w:eastAsia="es-ES"/>
        </w:rPr>
        <w:t>.</w:t>
      </w:r>
    </w:p>
    <w:p w14:paraId="4AC64F5E" w14:textId="77777777" w:rsidR="00121ED3" w:rsidRPr="00864458" w:rsidRDefault="00121ED3" w:rsidP="004E6147">
      <w:pPr>
        <w:spacing w:line="360" w:lineRule="auto"/>
        <w:rPr>
          <w:rFonts w:cs="Arial"/>
          <w:sz w:val="24"/>
          <w:szCs w:val="24"/>
        </w:rPr>
      </w:pPr>
    </w:p>
    <w:p w14:paraId="4BC787A1" w14:textId="549F4045" w:rsidR="00864458" w:rsidRPr="001453B7" w:rsidRDefault="00024B42" w:rsidP="004E6147">
      <w:pPr>
        <w:spacing w:line="360" w:lineRule="auto"/>
        <w:rPr>
          <w:rFonts w:cs="Arial"/>
          <w:sz w:val="24"/>
          <w:szCs w:val="24"/>
          <w:lang w:eastAsia="es-ES"/>
        </w:rPr>
      </w:pPr>
      <w:r w:rsidRPr="001453B7">
        <w:rPr>
          <w:rFonts w:cs="Arial"/>
          <w:sz w:val="24"/>
          <w:szCs w:val="24"/>
        </w:rPr>
        <w:t xml:space="preserve">Por su parte, la Subsección A de la Sección Segunda del Consejo de Estado, en sentencia del </w:t>
      </w:r>
      <w:r w:rsidRPr="001453B7">
        <w:rPr>
          <w:rFonts w:cs="Arial"/>
          <w:sz w:val="24"/>
          <w:szCs w:val="24"/>
          <w:lang w:eastAsia="es-ES"/>
        </w:rPr>
        <w:t>6 de agosto de 2020</w:t>
      </w:r>
      <w:r w:rsidRPr="001453B7">
        <w:rPr>
          <w:rStyle w:val="Refdenotaalpie"/>
          <w:rFonts w:cs="Arial"/>
          <w:sz w:val="24"/>
          <w:szCs w:val="24"/>
          <w:lang w:eastAsia="es-ES"/>
        </w:rPr>
        <w:footnoteReference w:id="35"/>
      </w:r>
      <w:r w:rsidRPr="001453B7">
        <w:rPr>
          <w:rFonts w:cs="Arial"/>
          <w:sz w:val="24"/>
          <w:szCs w:val="24"/>
          <w:lang w:eastAsia="es-ES"/>
        </w:rPr>
        <w:t xml:space="preserve">, resolvió revocar el anterior proveído, y en su lugar, acceder a las pretensiones de la demanda, pues en su sentir: </w:t>
      </w:r>
    </w:p>
    <w:p w14:paraId="40AB06FA" w14:textId="77777777" w:rsidR="00024B42" w:rsidRPr="00463760" w:rsidRDefault="00024B42" w:rsidP="004E6147">
      <w:pPr>
        <w:spacing w:line="360" w:lineRule="auto"/>
        <w:rPr>
          <w:rFonts w:cs="Arial"/>
          <w:i/>
          <w:sz w:val="24"/>
          <w:szCs w:val="24"/>
          <w:lang w:eastAsia="es-ES"/>
        </w:rPr>
      </w:pPr>
    </w:p>
    <w:p w14:paraId="1B597742" w14:textId="61217B13" w:rsidR="00463760" w:rsidRPr="00463760" w:rsidRDefault="00DF5B1F" w:rsidP="00463760">
      <w:pPr>
        <w:spacing w:line="276" w:lineRule="auto"/>
        <w:ind w:left="567" w:right="567"/>
        <w:rPr>
          <w:rFonts w:cs="Arial"/>
          <w:i/>
          <w:sz w:val="22"/>
          <w:szCs w:val="22"/>
          <w:lang w:eastAsia="es-ES"/>
        </w:rPr>
      </w:pPr>
      <w:r>
        <w:rPr>
          <w:rFonts w:cs="Arial"/>
          <w:i/>
          <w:sz w:val="22"/>
          <w:szCs w:val="22"/>
          <w:lang w:eastAsia="es-ES"/>
        </w:rPr>
        <w:t>“</w:t>
      </w:r>
      <w:r w:rsidR="00463760" w:rsidRPr="00463760">
        <w:rPr>
          <w:rFonts w:cs="Arial"/>
          <w:i/>
          <w:sz w:val="22"/>
          <w:szCs w:val="22"/>
          <w:lang w:eastAsia="es-ES"/>
        </w:rPr>
        <w:t>[E]stá acreditado en el proceso que el señor JORGE HUMBERTO RINCÓN SIERRA se vinculó al INPEC el 16 de marzo de 1987, es decir, ingresó con anterioridad a la entrada en vigencia del Decreto 2090 de 2003.</w:t>
      </w:r>
    </w:p>
    <w:p w14:paraId="60DA9F5A" w14:textId="77777777" w:rsidR="00463760" w:rsidRPr="00463760" w:rsidRDefault="00463760" w:rsidP="00463760">
      <w:pPr>
        <w:spacing w:line="276" w:lineRule="auto"/>
        <w:ind w:left="567" w:right="567"/>
        <w:rPr>
          <w:rFonts w:cs="Arial"/>
          <w:i/>
          <w:sz w:val="22"/>
          <w:szCs w:val="22"/>
          <w:lang w:eastAsia="es-ES"/>
        </w:rPr>
      </w:pPr>
    </w:p>
    <w:p w14:paraId="5240E7F5" w14:textId="20589991"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lastRenderedPageBreak/>
        <w:t>De igual forma, quedó demostrado que para la entrada en vigencia del Decreto 2090 de 2003, el 28 de julio de 2003, el demandado cumplía con las 500 semanas de cotización exigidas por el artículo 6 de dicha norma (…).</w:t>
      </w:r>
    </w:p>
    <w:p w14:paraId="020817FC" w14:textId="77777777" w:rsidR="00463760" w:rsidRPr="00463760" w:rsidRDefault="00463760" w:rsidP="00463760">
      <w:pPr>
        <w:spacing w:line="276" w:lineRule="auto"/>
        <w:ind w:left="567" w:right="567"/>
        <w:rPr>
          <w:rFonts w:cs="Arial"/>
          <w:i/>
          <w:sz w:val="22"/>
          <w:szCs w:val="22"/>
          <w:lang w:eastAsia="es-ES"/>
        </w:rPr>
      </w:pPr>
    </w:p>
    <w:p w14:paraId="1F0F78B3" w14:textId="35E211AC"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t>No obstante lo anterior, no se probó que el señor JORGE HUMBERTO RINCÓN SIERRA, de acuerdo con lo dispuesto en el parágrafo del artíc</w:t>
      </w:r>
      <w:r w:rsidR="00506F88">
        <w:rPr>
          <w:rFonts w:cs="Arial"/>
          <w:i/>
          <w:sz w:val="22"/>
          <w:szCs w:val="22"/>
          <w:lang w:eastAsia="es-ES"/>
        </w:rPr>
        <w:t>ulo 6 del Decreto 2090 de 2003</w:t>
      </w:r>
      <w:r w:rsidRPr="00463760">
        <w:rPr>
          <w:rFonts w:cs="Arial"/>
          <w:i/>
          <w:sz w:val="22"/>
          <w:szCs w:val="22"/>
          <w:lang w:eastAsia="es-ES"/>
        </w:rPr>
        <w:t>, cumpliera con algunos de los requisitos del artículo 36 de la Ley 100 de 1993 para ser beneficiario del régimen de transición.</w:t>
      </w:r>
    </w:p>
    <w:p w14:paraId="3CCCBA11" w14:textId="77777777" w:rsidR="00506F88" w:rsidRDefault="00506F88" w:rsidP="00463760">
      <w:pPr>
        <w:spacing w:line="276" w:lineRule="auto"/>
        <w:ind w:left="567" w:right="567"/>
        <w:rPr>
          <w:rFonts w:cs="Arial"/>
          <w:i/>
          <w:sz w:val="22"/>
          <w:szCs w:val="22"/>
          <w:lang w:eastAsia="es-ES"/>
        </w:rPr>
      </w:pPr>
    </w:p>
    <w:p w14:paraId="2F962493" w14:textId="454D16A4"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t>Lo expuesto teniendo en cuenta que nació el 8 de marzo de 1963 (…), de modo que para el 1 de abril de 1994, tenía 31 años de edad, menos de los 40 exigidos, y contaba con 8 años de servicio de acuerdo con los certificados de tiempos laborados (…).</w:t>
      </w:r>
    </w:p>
    <w:p w14:paraId="396A6520" w14:textId="77777777" w:rsidR="00463760" w:rsidRPr="00463760" w:rsidRDefault="00463760" w:rsidP="00463760">
      <w:pPr>
        <w:spacing w:line="276" w:lineRule="auto"/>
        <w:ind w:left="567" w:right="567"/>
        <w:rPr>
          <w:rFonts w:cs="Arial"/>
          <w:i/>
          <w:sz w:val="22"/>
          <w:szCs w:val="22"/>
          <w:lang w:eastAsia="es-ES"/>
        </w:rPr>
      </w:pPr>
    </w:p>
    <w:p w14:paraId="3B3A9596" w14:textId="77777777"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t>Como se dejó expuesto en el marco normativo, para que a un empleado del Cuerpo de Custodia y Vigilancia Penitenciaria del Instituto Nacional Penitenciario y Carcelario INPEC, a partir de la entrada en vigencia de la Ley 100 de 1993, le fuera reconocida una pensión de jubilación con aplicación del régimen especial previsto en los artículos 96 de la Ley 32 de 1986 y 168 del Decreto 407 de 1994, debía acreditar una de las condiciones descritas en el inciso 2° del artículo 36 del Sistema General de Seguridad Social, cuales son: edad o tiempo de servicios.</w:t>
      </w:r>
    </w:p>
    <w:p w14:paraId="2255A4D2" w14:textId="77777777" w:rsidR="00463760" w:rsidRPr="00463760" w:rsidRDefault="00463760" w:rsidP="00463760">
      <w:pPr>
        <w:spacing w:line="276" w:lineRule="auto"/>
        <w:ind w:left="567" w:right="567"/>
        <w:rPr>
          <w:rFonts w:cs="Arial"/>
          <w:i/>
          <w:sz w:val="22"/>
          <w:szCs w:val="22"/>
          <w:lang w:eastAsia="es-ES"/>
        </w:rPr>
      </w:pPr>
    </w:p>
    <w:p w14:paraId="3C0F27E0" w14:textId="77777777"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t>En consecuencia, el señor JORGE HUMBERTO RINCÓN SIERRA no cumplió las exigencias para ser acreedor de la pensión de vejez que le fue reconocida porque no era beneficiario del régimen de transición del Decreto 2090 de 2003, por lo que su pensión debía liquidarse con las disposiciones de la Ley 100 de 1993.</w:t>
      </w:r>
    </w:p>
    <w:p w14:paraId="50538457" w14:textId="77777777" w:rsidR="00463760" w:rsidRPr="00463760" w:rsidRDefault="00463760" w:rsidP="00463760">
      <w:pPr>
        <w:spacing w:line="276" w:lineRule="auto"/>
        <w:ind w:left="567" w:right="567"/>
        <w:rPr>
          <w:rFonts w:cs="Arial"/>
          <w:i/>
          <w:sz w:val="22"/>
          <w:szCs w:val="22"/>
          <w:lang w:eastAsia="es-ES"/>
        </w:rPr>
      </w:pPr>
    </w:p>
    <w:p w14:paraId="4A2885BE" w14:textId="77777777" w:rsidR="00463760" w:rsidRPr="00463760" w:rsidRDefault="00463760" w:rsidP="00463760">
      <w:pPr>
        <w:spacing w:line="276" w:lineRule="auto"/>
        <w:ind w:left="567" w:right="567"/>
        <w:rPr>
          <w:rFonts w:cs="Arial"/>
          <w:i/>
          <w:sz w:val="22"/>
          <w:szCs w:val="22"/>
          <w:lang w:eastAsia="es-ES"/>
        </w:rPr>
      </w:pPr>
      <w:r w:rsidRPr="00463760">
        <w:rPr>
          <w:rFonts w:cs="Arial"/>
          <w:i/>
          <w:sz w:val="22"/>
          <w:szCs w:val="22"/>
          <w:lang w:eastAsia="es-ES"/>
        </w:rPr>
        <w:t>(…)</w:t>
      </w:r>
    </w:p>
    <w:p w14:paraId="77F142E3" w14:textId="77777777" w:rsidR="00463760" w:rsidRPr="00463760" w:rsidRDefault="00463760" w:rsidP="00463760">
      <w:pPr>
        <w:spacing w:line="276" w:lineRule="auto"/>
        <w:ind w:left="567" w:right="567"/>
        <w:rPr>
          <w:rFonts w:cs="Arial"/>
          <w:i/>
          <w:sz w:val="22"/>
          <w:szCs w:val="22"/>
          <w:lang w:eastAsia="es-ES"/>
        </w:rPr>
      </w:pPr>
    </w:p>
    <w:p w14:paraId="76C3D96B" w14:textId="538425CE" w:rsidR="00024B42" w:rsidRDefault="00463760" w:rsidP="00463760">
      <w:pPr>
        <w:spacing w:line="276" w:lineRule="auto"/>
        <w:ind w:left="567" w:right="567"/>
        <w:rPr>
          <w:rFonts w:cs="Arial"/>
          <w:i/>
          <w:sz w:val="22"/>
          <w:szCs w:val="22"/>
          <w:lang w:eastAsia="es-ES"/>
        </w:rPr>
      </w:pPr>
      <w:r w:rsidRPr="00463760">
        <w:rPr>
          <w:i/>
          <w:sz w:val="22"/>
          <w:szCs w:val="22"/>
        </w:rPr>
        <w:t>En ese orden de ideas, los actos administrativos demandados deben ser declarados nulos en cuanto reconocieron la prestación social al demandado sin cumplir con los requisitos para acceder a ella</w:t>
      </w:r>
      <w:r w:rsidRPr="00463760">
        <w:rPr>
          <w:rFonts w:cs="Arial"/>
          <w:i/>
          <w:sz w:val="22"/>
          <w:szCs w:val="22"/>
          <w:lang w:eastAsia="es-ES"/>
        </w:rPr>
        <w:t>”</w:t>
      </w:r>
      <w:r w:rsidR="00021FE9" w:rsidRPr="005D5F42">
        <w:rPr>
          <w:rStyle w:val="Refdenotaalpie"/>
          <w:rFonts w:cs="Arial"/>
          <w:sz w:val="22"/>
          <w:szCs w:val="22"/>
          <w:lang w:eastAsia="es-ES"/>
        </w:rPr>
        <w:footnoteReference w:id="36"/>
      </w:r>
      <w:r w:rsidR="005D5F42">
        <w:rPr>
          <w:rFonts w:cs="Arial"/>
          <w:i/>
          <w:sz w:val="22"/>
          <w:szCs w:val="22"/>
          <w:lang w:eastAsia="es-ES"/>
        </w:rPr>
        <w:t xml:space="preserve">. </w:t>
      </w:r>
    </w:p>
    <w:p w14:paraId="0FAB288E" w14:textId="77777777" w:rsidR="00F43EE0" w:rsidRPr="00463760" w:rsidRDefault="00F43EE0" w:rsidP="00463760">
      <w:pPr>
        <w:spacing w:line="276" w:lineRule="auto"/>
        <w:ind w:left="567" w:right="567"/>
        <w:rPr>
          <w:rFonts w:cs="Arial"/>
          <w:i/>
          <w:sz w:val="22"/>
          <w:szCs w:val="22"/>
          <w:lang w:eastAsia="es-ES"/>
        </w:rPr>
      </w:pPr>
    </w:p>
    <w:p w14:paraId="5278DAC7" w14:textId="7836B672" w:rsidR="00024B42" w:rsidRPr="004A5BE6" w:rsidRDefault="005D5F42" w:rsidP="004E6147">
      <w:pPr>
        <w:spacing w:line="360" w:lineRule="auto"/>
        <w:rPr>
          <w:rFonts w:cs="Arial"/>
          <w:sz w:val="24"/>
          <w:szCs w:val="24"/>
        </w:rPr>
      </w:pPr>
      <w:r>
        <w:rPr>
          <w:rFonts w:cs="Arial"/>
          <w:sz w:val="24"/>
          <w:szCs w:val="24"/>
        </w:rPr>
        <w:t>4.4.- A pesar de lo reseñado</w:t>
      </w:r>
      <w:r w:rsidR="00024B42">
        <w:rPr>
          <w:rFonts w:cs="Arial"/>
          <w:sz w:val="24"/>
          <w:szCs w:val="24"/>
        </w:rPr>
        <w:t xml:space="preserve">, en la </w:t>
      </w:r>
      <w:r w:rsidR="00EA226D">
        <w:rPr>
          <w:rFonts w:cs="Arial"/>
          <w:sz w:val="24"/>
          <w:szCs w:val="24"/>
        </w:rPr>
        <w:t>actual</w:t>
      </w:r>
      <w:r w:rsidR="00024B42">
        <w:rPr>
          <w:rFonts w:cs="Arial"/>
          <w:sz w:val="24"/>
          <w:szCs w:val="24"/>
        </w:rPr>
        <w:t xml:space="preserve"> acción, el actor no expuso los motivos por los </w:t>
      </w:r>
      <w:r w:rsidR="00024B42" w:rsidRPr="004A5BE6">
        <w:rPr>
          <w:rFonts w:cs="Arial"/>
          <w:sz w:val="24"/>
          <w:szCs w:val="24"/>
        </w:rPr>
        <w:t>que la autoridad judicia</w:t>
      </w:r>
      <w:r w:rsidR="004A5BE6" w:rsidRPr="004A5BE6">
        <w:rPr>
          <w:rFonts w:cs="Arial"/>
          <w:sz w:val="24"/>
          <w:szCs w:val="24"/>
        </w:rPr>
        <w:t>l</w:t>
      </w:r>
      <w:r w:rsidR="00024B42">
        <w:rPr>
          <w:rFonts w:cs="Arial"/>
          <w:sz w:val="24"/>
          <w:szCs w:val="24"/>
        </w:rPr>
        <w:t xml:space="preserve"> incurri</w:t>
      </w:r>
      <w:r w:rsidR="004A5BE6">
        <w:rPr>
          <w:rFonts w:cs="Arial"/>
          <w:sz w:val="24"/>
          <w:szCs w:val="24"/>
        </w:rPr>
        <w:t>ó</w:t>
      </w:r>
      <w:r w:rsidR="00024B42">
        <w:rPr>
          <w:rFonts w:cs="Arial"/>
          <w:sz w:val="24"/>
          <w:szCs w:val="24"/>
        </w:rPr>
        <w:t xml:space="preserve"> en algún defecto, para ligar de manera inescindible los fundamentos d</w:t>
      </w:r>
      <w:r w:rsidR="001014E1">
        <w:rPr>
          <w:rFonts w:cs="Arial"/>
          <w:sz w:val="24"/>
          <w:szCs w:val="24"/>
        </w:rPr>
        <w:t>e hecho con una situación que pu</w:t>
      </w:r>
      <w:r w:rsidR="00024B42">
        <w:rPr>
          <w:rFonts w:cs="Arial"/>
          <w:sz w:val="24"/>
          <w:szCs w:val="24"/>
        </w:rPr>
        <w:t>diera transgredir los derechos fundamentales de los que es titular. Así pues, las fal</w:t>
      </w:r>
      <w:r w:rsidR="00391366">
        <w:rPr>
          <w:rFonts w:cs="Arial"/>
          <w:sz w:val="24"/>
          <w:szCs w:val="24"/>
        </w:rPr>
        <w:t>encias argumentativas, impiden,</w:t>
      </w:r>
      <w:r w:rsidR="00024B42">
        <w:rPr>
          <w:rFonts w:cs="Arial"/>
          <w:i/>
          <w:sz w:val="24"/>
          <w:szCs w:val="24"/>
        </w:rPr>
        <w:t xml:space="preserve"> prima facie, </w:t>
      </w:r>
      <w:r w:rsidR="00024B42">
        <w:rPr>
          <w:rFonts w:cs="Arial"/>
          <w:sz w:val="24"/>
          <w:szCs w:val="24"/>
        </w:rPr>
        <w:t xml:space="preserve">determinar </w:t>
      </w:r>
      <w:r w:rsidR="00391366">
        <w:rPr>
          <w:rFonts w:cs="Arial"/>
          <w:sz w:val="24"/>
          <w:szCs w:val="24"/>
        </w:rPr>
        <w:t>de manera inteligible la presunta amenaza.</w:t>
      </w:r>
    </w:p>
    <w:p w14:paraId="016DD658" w14:textId="77777777" w:rsidR="00391366" w:rsidRDefault="00391366" w:rsidP="004E6147">
      <w:pPr>
        <w:spacing w:line="360" w:lineRule="auto"/>
        <w:rPr>
          <w:rFonts w:cs="Arial"/>
          <w:sz w:val="24"/>
          <w:szCs w:val="24"/>
        </w:rPr>
      </w:pPr>
    </w:p>
    <w:p w14:paraId="6DC49D79" w14:textId="35636068" w:rsidR="00391366" w:rsidRPr="005D5F42" w:rsidRDefault="00391366" w:rsidP="004E6147">
      <w:pPr>
        <w:spacing w:line="360" w:lineRule="auto"/>
        <w:rPr>
          <w:rFonts w:cs="Arial"/>
          <w:sz w:val="24"/>
          <w:szCs w:val="24"/>
        </w:rPr>
      </w:pPr>
      <w:r w:rsidRPr="005D5F42">
        <w:rPr>
          <w:rFonts w:cs="Arial"/>
          <w:sz w:val="24"/>
          <w:szCs w:val="24"/>
        </w:rPr>
        <w:t>Además, la petición tuitiva</w:t>
      </w:r>
      <w:r w:rsidR="0007021A" w:rsidRPr="005D5F42">
        <w:rPr>
          <w:rFonts w:cs="Arial"/>
          <w:sz w:val="24"/>
          <w:szCs w:val="24"/>
        </w:rPr>
        <w:t xml:space="preserve"> se limita a reiterar que al accionante le era aplicable el régimen consagrado en la Ley 32 de 1986</w:t>
      </w:r>
      <w:r w:rsidRPr="005D5F42">
        <w:rPr>
          <w:rFonts w:cs="Arial"/>
          <w:sz w:val="24"/>
          <w:szCs w:val="24"/>
        </w:rPr>
        <w:t>, por lo que</w:t>
      </w:r>
      <w:r w:rsidR="005D5F42" w:rsidRPr="005D5F42">
        <w:rPr>
          <w:rFonts w:cs="Arial"/>
          <w:sz w:val="24"/>
          <w:szCs w:val="24"/>
        </w:rPr>
        <w:t xml:space="preserve"> la acción constitucional</w:t>
      </w:r>
      <w:r w:rsidRPr="005D5F42">
        <w:rPr>
          <w:rFonts w:cs="Arial"/>
          <w:sz w:val="24"/>
          <w:szCs w:val="24"/>
        </w:rPr>
        <w:t xml:space="preserve"> se apercibe como un medio dirigido a revivir el análisis jurídico y probatorio efectuado por la autoridad </w:t>
      </w:r>
      <w:r w:rsidRPr="005D5F42">
        <w:rPr>
          <w:rFonts w:cs="Arial"/>
          <w:sz w:val="24"/>
          <w:szCs w:val="24"/>
        </w:rPr>
        <w:lastRenderedPageBreak/>
        <w:t xml:space="preserve">judicial accionada dentro del proceso iniciado en ejercicio de la acción de nulidad y restablecimiento del derecho bajo radicado No. </w:t>
      </w:r>
      <w:r w:rsidRPr="005D5F42">
        <w:rPr>
          <w:rFonts w:cs="Arial"/>
          <w:sz w:val="24"/>
          <w:szCs w:val="24"/>
          <w:lang w:eastAsia="es-ES"/>
        </w:rPr>
        <w:t>63001-23-33-000-2018-00155-01, con el fin de o</w:t>
      </w:r>
      <w:r w:rsidR="005D5F42">
        <w:rPr>
          <w:rFonts w:cs="Arial"/>
          <w:sz w:val="24"/>
          <w:szCs w:val="24"/>
          <w:lang w:eastAsia="es-ES"/>
        </w:rPr>
        <w:t>btener la negativa frente a la</w:t>
      </w:r>
      <w:r w:rsidRPr="005D5F42">
        <w:rPr>
          <w:rFonts w:cs="Arial"/>
          <w:sz w:val="24"/>
          <w:szCs w:val="24"/>
          <w:lang w:eastAsia="es-ES"/>
        </w:rPr>
        <w:t xml:space="preserve"> nulidad de los actos a través de los que se le reconoció su pensión de vejez. </w:t>
      </w:r>
    </w:p>
    <w:p w14:paraId="2ADA0AF1" w14:textId="77777777" w:rsidR="00810B2F" w:rsidRDefault="00810B2F" w:rsidP="004E6147">
      <w:pPr>
        <w:spacing w:line="360" w:lineRule="auto"/>
        <w:rPr>
          <w:rFonts w:cs="Arial"/>
          <w:sz w:val="24"/>
          <w:szCs w:val="24"/>
          <w:lang w:eastAsia="es-ES"/>
        </w:rPr>
      </w:pPr>
    </w:p>
    <w:p w14:paraId="09E298CB" w14:textId="77777777" w:rsidR="00810B2F" w:rsidRDefault="00810B2F" w:rsidP="00810B2F">
      <w:pPr>
        <w:spacing w:line="360" w:lineRule="auto"/>
        <w:rPr>
          <w:rFonts w:eastAsia="Verdana" w:cs="Arial"/>
          <w:sz w:val="24"/>
          <w:szCs w:val="24"/>
        </w:rPr>
      </w:pPr>
      <w:r>
        <w:rPr>
          <w:rFonts w:eastAsia="Verdana" w:cs="Arial"/>
          <w:sz w:val="24"/>
          <w:szCs w:val="24"/>
        </w:rPr>
        <w:t xml:space="preserve">4.5.- </w:t>
      </w:r>
      <w:r w:rsidRPr="00E36187">
        <w:rPr>
          <w:rFonts w:eastAsia="Verdana" w:cs="Arial"/>
          <w:sz w:val="24"/>
          <w:szCs w:val="24"/>
        </w:rPr>
        <w:t xml:space="preserve">Al respecto, debe recordarse que la procedencia de la acción de tutela </w:t>
      </w:r>
      <w:r>
        <w:rPr>
          <w:rFonts w:eastAsia="Verdana" w:cs="Arial"/>
          <w:sz w:val="24"/>
          <w:szCs w:val="24"/>
        </w:rPr>
        <w:t xml:space="preserve">en </w:t>
      </w:r>
      <w:r w:rsidRPr="00E36187">
        <w:rPr>
          <w:rFonts w:eastAsia="Verdana" w:cs="Arial"/>
          <w:sz w:val="24"/>
          <w:szCs w:val="24"/>
        </w:rPr>
        <w:t xml:space="preserve">contra </w:t>
      </w:r>
      <w:r>
        <w:rPr>
          <w:rFonts w:eastAsia="Verdana" w:cs="Arial"/>
          <w:sz w:val="24"/>
          <w:szCs w:val="24"/>
        </w:rPr>
        <w:t xml:space="preserve">de </w:t>
      </w:r>
      <w:r w:rsidRPr="00E36187">
        <w:rPr>
          <w:rFonts w:eastAsia="Verdana" w:cs="Arial"/>
          <w:sz w:val="24"/>
          <w:szCs w:val="24"/>
        </w:rPr>
        <w:t>providencias judiciales es de carácter excepcional y no pretende desconocer la vigencia de la autonomía e independencia judicial, ni el principio de la cosa juzgada y la seguridad jurídica, en razón a lo cual es concebida como un “</w:t>
      </w:r>
      <w:r w:rsidRPr="00E36187">
        <w:rPr>
          <w:rFonts w:eastAsia="Verdana" w:cs="Arial"/>
          <w:i/>
          <w:sz w:val="24"/>
          <w:szCs w:val="24"/>
        </w:rPr>
        <w:t>juicio de validez”</w:t>
      </w:r>
      <w:r w:rsidRPr="00E36187">
        <w:rPr>
          <w:rFonts w:eastAsia="Verdana" w:cs="Arial"/>
          <w:sz w:val="24"/>
          <w:szCs w:val="24"/>
        </w:rPr>
        <w:t xml:space="preserve"> y no como un </w:t>
      </w:r>
      <w:r w:rsidRPr="00E36187">
        <w:rPr>
          <w:rFonts w:eastAsia="Verdana" w:cs="Arial"/>
          <w:i/>
          <w:sz w:val="24"/>
          <w:szCs w:val="24"/>
        </w:rPr>
        <w:t xml:space="preserve">“juicio de corrección” </w:t>
      </w:r>
      <w:r w:rsidRPr="00E36187">
        <w:rPr>
          <w:rFonts w:eastAsia="Verdana" w:cs="Arial"/>
          <w:sz w:val="24"/>
          <w:szCs w:val="24"/>
        </w:rPr>
        <w:t>de la decisión cuestionad</w:t>
      </w:r>
      <w:bookmarkStart w:id="0" w:name="_ftnref30"/>
      <w:r w:rsidRPr="00E36187">
        <w:rPr>
          <w:rFonts w:eastAsia="Verdana" w:cs="Arial"/>
          <w:sz w:val="24"/>
          <w:szCs w:val="24"/>
        </w:rPr>
        <w:t>a</w:t>
      </w:r>
      <w:r w:rsidRPr="00E36187">
        <w:rPr>
          <w:rFonts w:eastAsia="Verdana" w:cs="Arial"/>
          <w:sz w:val="24"/>
          <w:szCs w:val="24"/>
          <w:vertAlign w:val="superscript"/>
        </w:rPr>
        <w:footnoteReference w:id="37"/>
      </w:r>
      <w:bookmarkEnd w:id="0"/>
      <w:r w:rsidRPr="00E36187">
        <w:rPr>
          <w:rFonts w:eastAsia="Verdana" w:cs="Arial"/>
          <w:sz w:val="24"/>
          <w:szCs w:val="24"/>
        </w:rPr>
        <w:t>, lo que se opone a que se use indebidamente como una nueva instancia para la discusión de los asuntos de índole probatoria o de interpretación del derecho, que dieron origen a la controversia</w:t>
      </w:r>
      <w:r w:rsidRPr="00E36187">
        <w:rPr>
          <w:rStyle w:val="Refdenotaalpie"/>
          <w:rFonts w:eastAsia="Verdana" w:cs="Arial"/>
          <w:sz w:val="24"/>
          <w:szCs w:val="24"/>
        </w:rPr>
        <w:footnoteReference w:id="38"/>
      </w:r>
      <w:r>
        <w:rPr>
          <w:rFonts w:eastAsia="Verdana" w:cs="Arial"/>
          <w:sz w:val="24"/>
          <w:szCs w:val="24"/>
        </w:rPr>
        <w:t>.</w:t>
      </w:r>
    </w:p>
    <w:p w14:paraId="550C6409" w14:textId="77777777" w:rsidR="00810B2F" w:rsidRDefault="00810B2F" w:rsidP="004E6147">
      <w:pPr>
        <w:spacing w:line="360" w:lineRule="auto"/>
        <w:rPr>
          <w:rFonts w:cs="Arial"/>
          <w:sz w:val="24"/>
          <w:szCs w:val="24"/>
        </w:rPr>
      </w:pPr>
    </w:p>
    <w:p w14:paraId="57668143" w14:textId="3B855422" w:rsidR="00644081" w:rsidRPr="00024B42" w:rsidRDefault="00810B2F" w:rsidP="004E6147">
      <w:pPr>
        <w:spacing w:line="360" w:lineRule="auto"/>
        <w:rPr>
          <w:rFonts w:cs="Arial"/>
          <w:sz w:val="24"/>
          <w:szCs w:val="24"/>
        </w:rPr>
      </w:pPr>
      <w:r>
        <w:rPr>
          <w:rFonts w:cs="Arial"/>
          <w:sz w:val="24"/>
          <w:szCs w:val="24"/>
        </w:rPr>
        <w:t xml:space="preserve">5.- </w:t>
      </w:r>
      <w:r w:rsidRPr="00E36187">
        <w:rPr>
          <w:rFonts w:cs="Arial"/>
          <w:sz w:val="24"/>
          <w:szCs w:val="24"/>
        </w:rPr>
        <w:t>Con fundamento en las consideraciones expuestas, la Sala declarará la improcedencia de la acción de tutela presentada por</w:t>
      </w:r>
      <w:r>
        <w:rPr>
          <w:rFonts w:cs="Arial"/>
          <w:sz w:val="24"/>
          <w:szCs w:val="24"/>
        </w:rPr>
        <w:t xml:space="preserve"> </w:t>
      </w:r>
      <w:r w:rsidR="00B151C1">
        <w:rPr>
          <w:rFonts w:cs="Arial"/>
          <w:sz w:val="24"/>
          <w:szCs w:val="24"/>
        </w:rPr>
        <w:t xml:space="preserve">el señor </w:t>
      </w:r>
      <w:r>
        <w:rPr>
          <w:rFonts w:cs="Arial"/>
          <w:sz w:val="24"/>
          <w:szCs w:val="24"/>
        </w:rPr>
        <w:t xml:space="preserve">Jorge Humberto Rincón Sierra en contra de la Subsección A de la Sección Segunda del Tribunal Administrativo del Consejo de Estado, por falta de relevancia constitucional. </w:t>
      </w:r>
    </w:p>
    <w:p w14:paraId="1279D8EF" w14:textId="77777777" w:rsidR="00864458" w:rsidRDefault="00864458" w:rsidP="004E6147">
      <w:pPr>
        <w:spacing w:line="360" w:lineRule="auto"/>
        <w:rPr>
          <w:rFonts w:cs="Arial"/>
          <w:b/>
          <w:sz w:val="24"/>
          <w:szCs w:val="24"/>
        </w:rPr>
      </w:pPr>
    </w:p>
    <w:p w14:paraId="67840A62" w14:textId="77777777" w:rsidR="00930B17" w:rsidRPr="00CF2F00" w:rsidRDefault="00930B17" w:rsidP="004E6147">
      <w:pPr>
        <w:pStyle w:val="Sinespaciado"/>
        <w:spacing w:line="360" w:lineRule="auto"/>
        <w:jc w:val="both"/>
        <w:rPr>
          <w:rFonts w:ascii="Arial" w:hAnsi="Arial" w:cs="Arial"/>
          <w:sz w:val="24"/>
          <w:szCs w:val="24"/>
        </w:rPr>
      </w:pPr>
      <w:r w:rsidRPr="00CF2F00">
        <w:rPr>
          <w:rFonts w:ascii="Arial" w:hAnsi="Arial" w:cs="Arial"/>
          <w:sz w:val="24"/>
          <w:szCs w:val="24"/>
        </w:rPr>
        <w:t>En mérito de lo expuesto, la Subsección C de la Sección Tercera de la Sala de lo Contencioso Administrativo del Consejo de Estado, administrando justicia en nombre de la República y por autoridad de la ley,</w:t>
      </w:r>
    </w:p>
    <w:p w14:paraId="4F8F4F55" w14:textId="77777777" w:rsidR="00930B17" w:rsidRDefault="00930B17" w:rsidP="004E6147">
      <w:pPr>
        <w:spacing w:line="360" w:lineRule="auto"/>
        <w:rPr>
          <w:rFonts w:cs="Arial"/>
          <w:b/>
          <w:sz w:val="24"/>
          <w:szCs w:val="24"/>
        </w:rPr>
      </w:pPr>
    </w:p>
    <w:p w14:paraId="47E341C6" w14:textId="77777777" w:rsidR="00930B17" w:rsidRDefault="00930B17" w:rsidP="004E6147">
      <w:pPr>
        <w:spacing w:line="360" w:lineRule="auto"/>
        <w:jc w:val="center"/>
        <w:rPr>
          <w:rFonts w:cs="Arial"/>
          <w:b/>
          <w:sz w:val="24"/>
          <w:szCs w:val="24"/>
        </w:rPr>
      </w:pPr>
      <w:r>
        <w:rPr>
          <w:rFonts w:cs="Arial"/>
          <w:b/>
          <w:sz w:val="24"/>
          <w:szCs w:val="24"/>
        </w:rPr>
        <w:t>III. RESUELVE</w:t>
      </w:r>
    </w:p>
    <w:p w14:paraId="745F3739" w14:textId="77777777" w:rsidR="00930B17" w:rsidRDefault="00930B17" w:rsidP="004E6147">
      <w:pPr>
        <w:spacing w:line="360" w:lineRule="auto"/>
        <w:jc w:val="center"/>
        <w:rPr>
          <w:rFonts w:cs="Arial"/>
          <w:b/>
          <w:sz w:val="24"/>
          <w:szCs w:val="24"/>
        </w:rPr>
      </w:pPr>
    </w:p>
    <w:p w14:paraId="03D66DF0" w14:textId="1C4FA0A9" w:rsidR="00930B17" w:rsidRPr="00CF2F00" w:rsidRDefault="00930B17" w:rsidP="004E6147">
      <w:pPr>
        <w:pStyle w:val="Sinespaciado"/>
        <w:spacing w:line="360" w:lineRule="auto"/>
        <w:jc w:val="both"/>
        <w:rPr>
          <w:rFonts w:ascii="Arial" w:hAnsi="Arial" w:cs="Arial"/>
          <w:sz w:val="24"/>
          <w:szCs w:val="24"/>
        </w:rPr>
      </w:pPr>
      <w:r w:rsidRPr="00CF2F00">
        <w:rPr>
          <w:rFonts w:ascii="Arial" w:hAnsi="Arial" w:cs="Arial"/>
          <w:b/>
          <w:sz w:val="24"/>
          <w:szCs w:val="24"/>
        </w:rPr>
        <w:t xml:space="preserve">PRIMERO: </w:t>
      </w:r>
      <w:r w:rsidRPr="00CF2F00">
        <w:rPr>
          <w:rFonts w:ascii="Arial" w:hAnsi="Arial" w:cs="Arial"/>
          <w:sz w:val="24"/>
          <w:szCs w:val="24"/>
        </w:rPr>
        <w:t xml:space="preserve">Declarar la </w:t>
      </w:r>
      <w:r w:rsidRPr="00CF2F00">
        <w:rPr>
          <w:rFonts w:ascii="Arial" w:hAnsi="Arial" w:cs="Arial"/>
          <w:b/>
          <w:sz w:val="24"/>
          <w:szCs w:val="24"/>
        </w:rPr>
        <w:t xml:space="preserve">IMPROCEDENCIA </w:t>
      </w:r>
      <w:r w:rsidRPr="00CF2F00">
        <w:rPr>
          <w:rFonts w:ascii="Arial" w:hAnsi="Arial" w:cs="Arial"/>
          <w:sz w:val="24"/>
          <w:szCs w:val="24"/>
        </w:rPr>
        <w:t xml:space="preserve">de la acción de tutela presentada por </w:t>
      </w:r>
      <w:r w:rsidR="00B151C1">
        <w:rPr>
          <w:rFonts w:ascii="Arial" w:hAnsi="Arial" w:cs="Arial"/>
          <w:sz w:val="24"/>
          <w:szCs w:val="24"/>
        </w:rPr>
        <w:t xml:space="preserve">el señor </w:t>
      </w:r>
      <w:r w:rsidRPr="00FD207E">
        <w:rPr>
          <w:rFonts w:ascii="Arial" w:hAnsi="Arial" w:cs="Arial"/>
          <w:bCs/>
          <w:sz w:val="24"/>
          <w:szCs w:val="24"/>
          <w:lang w:val="es-ES"/>
        </w:rPr>
        <w:t>Jorge Humberto Rincón Sierra</w:t>
      </w:r>
      <w:r w:rsidRPr="00CF2F00">
        <w:rPr>
          <w:rFonts w:ascii="Arial" w:hAnsi="Arial" w:cs="Arial"/>
          <w:sz w:val="24"/>
          <w:szCs w:val="24"/>
        </w:rPr>
        <w:t xml:space="preserve">, con fundamento en las razones expuestas en la parte motiva de esta providencia. </w:t>
      </w:r>
    </w:p>
    <w:p w14:paraId="544436C6" w14:textId="77777777" w:rsidR="00930B17" w:rsidRPr="00C31E58" w:rsidRDefault="00930B17" w:rsidP="004E6147">
      <w:pPr>
        <w:pStyle w:val="Sinespaciado"/>
        <w:spacing w:line="360" w:lineRule="auto"/>
        <w:jc w:val="both"/>
        <w:rPr>
          <w:rFonts w:ascii="Arial" w:hAnsi="Arial" w:cs="Arial"/>
          <w:sz w:val="24"/>
          <w:szCs w:val="24"/>
        </w:rPr>
      </w:pPr>
    </w:p>
    <w:p w14:paraId="57F638AC" w14:textId="3A256F76" w:rsidR="00C31E58" w:rsidRDefault="00930B17" w:rsidP="004E6147">
      <w:pPr>
        <w:pStyle w:val="Sinespaciado"/>
        <w:spacing w:line="360" w:lineRule="auto"/>
        <w:jc w:val="both"/>
        <w:rPr>
          <w:rFonts w:ascii="Arial" w:hAnsi="Arial" w:cs="Arial"/>
          <w:sz w:val="24"/>
          <w:szCs w:val="24"/>
        </w:rPr>
      </w:pPr>
      <w:r w:rsidRPr="00C31E58">
        <w:rPr>
          <w:rFonts w:ascii="Arial" w:hAnsi="Arial" w:cs="Arial"/>
          <w:b/>
          <w:sz w:val="24"/>
          <w:szCs w:val="24"/>
        </w:rPr>
        <w:t xml:space="preserve">SEGUNDO: </w:t>
      </w:r>
      <w:r w:rsidR="00C31E58" w:rsidRPr="00C31E58">
        <w:rPr>
          <w:rFonts w:ascii="Arial" w:hAnsi="Arial" w:cs="Arial"/>
          <w:b/>
          <w:sz w:val="24"/>
          <w:szCs w:val="24"/>
        </w:rPr>
        <w:t xml:space="preserve">NEGAR </w:t>
      </w:r>
      <w:r w:rsidR="00C31E58" w:rsidRPr="00C31E58">
        <w:rPr>
          <w:rFonts w:ascii="Arial" w:hAnsi="Arial" w:cs="Arial"/>
          <w:sz w:val="24"/>
          <w:szCs w:val="24"/>
        </w:rPr>
        <w:t xml:space="preserve">la solicitud de vinculación presentada por </w:t>
      </w:r>
      <w:r w:rsidR="00FC6FA3">
        <w:rPr>
          <w:rFonts w:ascii="Arial" w:hAnsi="Arial" w:cs="Arial"/>
          <w:sz w:val="24"/>
          <w:szCs w:val="24"/>
        </w:rPr>
        <w:t>la parte accionante</w:t>
      </w:r>
      <w:r w:rsidR="00C31E58" w:rsidRPr="00C31E58">
        <w:rPr>
          <w:rFonts w:ascii="Arial" w:hAnsi="Arial" w:cs="Arial"/>
          <w:sz w:val="24"/>
          <w:szCs w:val="24"/>
        </w:rPr>
        <w:t xml:space="preserve">, por las razones expuestas. </w:t>
      </w:r>
    </w:p>
    <w:p w14:paraId="1BE90A29" w14:textId="77777777" w:rsidR="00511F97" w:rsidRPr="00C31E58" w:rsidRDefault="00511F97" w:rsidP="004E6147">
      <w:pPr>
        <w:pStyle w:val="Sinespaciado"/>
        <w:spacing w:line="360" w:lineRule="auto"/>
        <w:jc w:val="both"/>
        <w:rPr>
          <w:rFonts w:ascii="Arial" w:hAnsi="Arial" w:cs="Arial"/>
          <w:sz w:val="24"/>
          <w:szCs w:val="24"/>
        </w:rPr>
      </w:pPr>
    </w:p>
    <w:p w14:paraId="56377B0B" w14:textId="77777777" w:rsidR="00930B17" w:rsidRPr="00CF2F00" w:rsidRDefault="00C31E58" w:rsidP="004E6147">
      <w:pPr>
        <w:pStyle w:val="Sinespaciado"/>
        <w:spacing w:line="360" w:lineRule="auto"/>
        <w:jc w:val="both"/>
        <w:rPr>
          <w:rFonts w:ascii="Arial" w:hAnsi="Arial" w:cs="Arial"/>
          <w:sz w:val="24"/>
          <w:szCs w:val="24"/>
        </w:rPr>
      </w:pPr>
      <w:r>
        <w:rPr>
          <w:rFonts w:ascii="Arial" w:hAnsi="Arial" w:cs="Arial"/>
          <w:b/>
          <w:sz w:val="24"/>
          <w:szCs w:val="24"/>
        </w:rPr>
        <w:lastRenderedPageBreak/>
        <w:t xml:space="preserve">TERCERO: </w:t>
      </w:r>
      <w:r w:rsidR="00930B17" w:rsidRPr="00CF2F00">
        <w:rPr>
          <w:rFonts w:ascii="Arial" w:hAnsi="Arial" w:cs="Arial"/>
          <w:b/>
          <w:sz w:val="24"/>
          <w:szCs w:val="24"/>
        </w:rPr>
        <w:t xml:space="preserve">NOTIFICAR </w:t>
      </w:r>
      <w:r w:rsidR="00930B17" w:rsidRPr="00CF2F00">
        <w:rPr>
          <w:rFonts w:ascii="Arial" w:hAnsi="Arial" w:cs="Arial"/>
          <w:sz w:val="24"/>
          <w:szCs w:val="24"/>
        </w:rPr>
        <w:t xml:space="preserve">la presente decisión a los interesados por el medio más expedito. </w:t>
      </w:r>
    </w:p>
    <w:p w14:paraId="29783F05" w14:textId="77777777" w:rsidR="00930B17" w:rsidRPr="00CF2F00" w:rsidRDefault="00930B17" w:rsidP="004E6147">
      <w:pPr>
        <w:pStyle w:val="Sinespaciado"/>
        <w:spacing w:line="360" w:lineRule="auto"/>
        <w:jc w:val="both"/>
        <w:rPr>
          <w:rFonts w:ascii="Arial" w:hAnsi="Arial" w:cs="Arial"/>
          <w:sz w:val="24"/>
          <w:szCs w:val="24"/>
        </w:rPr>
      </w:pPr>
    </w:p>
    <w:p w14:paraId="74E30193" w14:textId="2536BF5D" w:rsidR="00930B17" w:rsidRPr="00CF2F00" w:rsidRDefault="00C31E58" w:rsidP="000B10C9">
      <w:pPr>
        <w:spacing w:line="360" w:lineRule="auto"/>
        <w:contextualSpacing/>
        <w:rPr>
          <w:rFonts w:eastAsia="Arial" w:cs="Arial"/>
          <w:sz w:val="24"/>
          <w:szCs w:val="24"/>
          <w:lang w:eastAsia="es-ES_tradnl"/>
        </w:rPr>
      </w:pPr>
      <w:r>
        <w:rPr>
          <w:rFonts w:cs="Arial"/>
          <w:b/>
          <w:sz w:val="24"/>
          <w:szCs w:val="24"/>
        </w:rPr>
        <w:t>CUARTO</w:t>
      </w:r>
      <w:r w:rsidR="00930B17" w:rsidRPr="00CF2F00">
        <w:rPr>
          <w:rFonts w:cs="Arial"/>
          <w:b/>
          <w:sz w:val="24"/>
          <w:szCs w:val="24"/>
        </w:rPr>
        <w:t xml:space="preserve">: </w:t>
      </w:r>
      <w:r w:rsidR="00930B17" w:rsidRPr="00CF2F00">
        <w:rPr>
          <w:rFonts w:eastAsia="Arial" w:cs="Arial"/>
          <w:b/>
          <w:sz w:val="24"/>
          <w:szCs w:val="24"/>
          <w:lang w:eastAsia="es-ES_tradnl"/>
        </w:rPr>
        <w:t xml:space="preserve">ENVIAR </w:t>
      </w:r>
      <w:r w:rsidR="00930B17" w:rsidRPr="00CF2F00">
        <w:rPr>
          <w:rFonts w:eastAsia="Arial" w:cs="Arial"/>
          <w:sz w:val="24"/>
          <w:szCs w:val="24"/>
          <w:lang w:eastAsia="es-ES_tradnl"/>
        </w:rPr>
        <w:t xml:space="preserve">a la Corte Constitucional para su eventual revisión, en caso de no ser impugnada en el término.  </w:t>
      </w:r>
    </w:p>
    <w:p w14:paraId="43C05D1D" w14:textId="77777777" w:rsidR="00930B17" w:rsidRPr="00CF2F00" w:rsidRDefault="00930B17" w:rsidP="00930B17">
      <w:pPr>
        <w:tabs>
          <w:tab w:val="left" w:pos="709"/>
          <w:tab w:val="left" w:pos="1701"/>
        </w:tabs>
        <w:rPr>
          <w:rFonts w:eastAsia="Arial" w:cs="Arial"/>
          <w:b/>
          <w:sz w:val="24"/>
          <w:szCs w:val="24"/>
          <w:lang w:eastAsia="es-ES_tradnl"/>
        </w:rPr>
      </w:pPr>
    </w:p>
    <w:p w14:paraId="45C0ECFD"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15507C61" w14:textId="77777777" w:rsidR="00930B17" w:rsidRPr="00CF2F00" w:rsidRDefault="00930B17" w:rsidP="00930B17">
      <w:pPr>
        <w:tabs>
          <w:tab w:val="left" w:pos="709"/>
          <w:tab w:val="left" w:pos="1701"/>
        </w:tabs>
        <w:jc w:val="center"/>
        <w:rPr>
          <w:rFonts w:eastAsia="Arial" w:cs="Arial"/>
          <w:b/>
          <w:sz w:val="24"/>
          <w:szCs w:val="24"/>
          <w:lang w:eastAsia="es-ES_tradnl"/>
        </w:rPr>
      </w:pPr>
      <w:r w:rsidRPr="00CF2F00">
        <w:rPr>
          <w:rFonts w:eastAsia="Arial" w:cs="Arial"/>
          <w:b/>
          <w:sz w:val="24"/>
          <w:szCs w:val="24"/>
          <w:lang w:eastAsia="es-ES_tradnl"/>
        </w:rPr>
        <w:t>CÓPIESE, NOTIFÍQUESE Y CÚMPLASE</w:t>
      </w:r>
    </w:p>
    <w:p w14:paraId="4BC0603E"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2E38FD8C" w14:textId="06479B91" w:rsidR="00930B17" w:rsidRDefault="00930B17" w:rsidP="00930B17">
      <w:pPr>
        <w:tabs>
          <w:tab w:val="left" w:pos="709"/>
          <w:tab w:val="left" w:pos="1701"/>
        </w:tabs>
        <w:jc w:val="center"/>
        <w:rPr>
          <w:rFonts w:eastAsia="Arial" w:cs="Arial"/>
          <w:b/>
          <w:sz w:val="24"/>
          <w:szCs w:val="24"/>
          <w:lang w:eastAsia="es-ES_tradnl"/>
        </w:rPr>
      </w:pPr>
    </w:p>
    <w:p w14:paraId="0427BFEE" w14:textId="77777777" w:rsidR="002430BC" w:rsidRPr="00CF2F00" w:rsidRDefault="002430BC" w:rsidP="00930B17">
      <w:pPr>
        <w:tabs>
          <w:tab w:val="left" w:pos="709"/>
          <w:tab w:val="left" w:pos="1701"/>
        </w:tabs>
        <w:jc w:val="center"/>
        <w:rPr>
          <w:rFonts w:eastAsia="Arial" w:cs="Arial"/>
          <w:b/>
          <w:sz w:val="24"/>
          <w:szCs w:val="24"/>
          <w:lang w:eastAsia="es-ES_tradnl"/>
        </w:rPr>
      </w:pPr>
    </w:p>
    <w:p w14:paraId="5B63A139"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182CFED9" w14:textId="6D4C58EE" w:rsidR="00930B17" w:rsidRPr="00CF2F00" w:rsidRDefault="00930B17" w:rsidP="002430BC">
      <w:pPr>
        <w:tabs>
          <w:tab w:val="left" w:pos="709"/>
          <w:tab w:val="left" w:pos="1701"/>
        </w:tabs>
        <w:jc w:val="center"/>
        <w:rPr>
          <w:rFonts w:eastAsia="Arial" w:cs="Arial"/>
          <w:b/>
          <w:sz w:val="24"/>
          <w:szCs w:val="24"/>
          <w:lang w:eastAsia="es-ES_tradnl"/>
        </w:rPr>
      </w:pPr>
      <w:r w:rsidRPr="00CF2F00">
        <w:rPr>
          <w:rFonts w:eastAsia="Arial" w:cs="Arial"/>
          <w:b/>
          <w:sz w:val="24"/>
          <w:szCs w:val="24"/>
          <w:lang w:eastAsia="es-ES_tradnl"/>
        </w:rPr>
        <w:t>GUILLERMO SÁNCHEZ LUQUE</w:t>
      </w:r>
    </w:p>
    <w:p w14:paraId="113976F8" w14:textId="24FC8358" w:rsidR="00930B17" w:rsidRDefault="00930B17" w:rsidP="002430BC">
      <w:pPr>
        <w:tabs>
          <w:tab w:val="left" w:pos="709"/>
          <w:tab w:val="left" w:pos="1701"/>
        </w:tabs>
        <w:jc w:val="center"/>
        <w:rPr>
          <w:rFonts w:eastAsia="Arial" w:cs="Arial"/>
          <w:b/>
          <w:sz w:val="24"/>
          <w:szCs w:val="24"/>
          <w:lang w:eastAsia="es-ES_tradnl"/>
        </w:rPr>
      </w:pPr>
      <w:r w:rsidRPr="00CF2F00">
        <w:rPr>
          <w:rFonts w:eastAsia="Arial" w:cs="Arial"/>
          <w:b/>
          <w:sz w:val="24"/>
          <w:szCs w:val="24"/>
          <w:lang w:eastAsia="es-ES_tradnl"/>
        </w:rPr>
        <w:t>Presidente de Sala</w:t>
      </w:r>
    </w:p>
    <w:p w14:paraId="3314E4C7" w14:textId="77777777" w:rsidR="002430BC" w:rsidRPr="00392B9C" w:rsidRDefault="002430BC" w:rsidP="002430BC">
      <w:pPr>
        <w:spacing w:line="259" w:lineRule="auto"/>
        <w:ind w:left="360"/>
        <w:jc w:val="center"/>
        <w:rPr>
          <w:rFonts w:cs="Arial"/>
          <w:sz w:val="24"/>
          <w:szCs w:val="24"/>
        </w:rPr>
      </w:pPr>
      <w:r w:rsidRPr="005A5378">
        <w:rPr>
          <w:rFonts w:cs="Arial"/>
          <w:b/>
          <w:bCs/>
          <w:sz w:val="24"/>
          <w:szCs w:val="24"/>
        </w:rPr>
        <w:t xml:space="preserve">Aclaración de Voto </w:t>
      </w:r>
      <w:r w:rsidRPr="005A5378">
        <w:rPr>
          <w:rFonts w:eastAsia="BatangChe" w:cs="Arial"/>
          <w:b/>
          <w:bCs/>
          <w:sz w:val="24"/>
          <w:szCs w:val="24"/>
        </w:rPr>
        <w:t>Cfr. Rad.</w:t>
      </w:r>
      <w:r>
        <w:rPr>
          <w:rFonts w:eastAsia="BatangChe" w:cs="Arial"/>
          <w:b/>
          <w:bCs/>
          <w:sz w:val="24"/>
          <w:szCs w:val="24"/>
        </w:rPr>
        <w:t xml:space="preserve"> </w:t>
      </w:r>
      <w:r w:rsidRPr="00392B9C">
        <w:rPr>
          <w:rFonts w:eastAsia="BatangChe" w:cs="Arial"/>
          <w:b/>
          <w:bCs/>
          <w:sz w:val="24"/>
          <w:szCs w:val="24"/>
        </w:rPr>
        <w:t>11001-03-15-000-2019-01299-00</w:t>
      </w:r>
    </w:p>
    <w:p w14:paraId="6495BB0B"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5F35829D" w14:textId="03FAAE0F" w:rsidR="00930B17" w:rsidRDefault="00930B17" w:rsidP="00930B17">
      <w:pPr>
        <w:tabs>
          <w:tab w:val="left" w:pos="709"/>
          <w:tab w:val="left" w:pos="1701"/>
        </w:tabs>
        <w:jc w:val="center"/>
        <w:rPr>
          <w:rFonts w:eastAsia="Arial" w:cs="Arial"/>
          <w:b/>
          <w:sz w:val="24"/>
          <w:szCs w:val="24"/>
          <w:lang w:eastAsia="es-ES_tradnl"/>
        </w:rPr>
      </w:pPr>
    </w:p>
    <w:p w14:paraId="42F42973" w14:textId="77777777" w:rsidR="002430BC" w:rsidRPr="00CF2F00" w:rsidRDefault="002430BC" w:rsidP="00930B17">
      <w:pPr>
        <w:tabs>
          <w:tab w:val="left" w:pos="709"/>
          <w:tab w:val="left" w:pos="1701"/>
        </w:tabs>
        <w:jc w:val="center"/>
        <w:rPr>
          <w:rFonts w:eastAsia="Arial" w:cs="Arial"/>
          <w:b/>
          <w:sz w:val="24"/>
          <w:szCs w:val="24"/>
          <w:lang w:eastAsia="es-ES_tradnl"/>
        </w:rPr>
      </w:pPr>
    </w:p>
    <w:p w14:paraId="22E0B746"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21E3C409" w14:textId="77777777" w:rsidR="00930B17" w:rsidRPr="00CF2F00" w:rsidRDefault="00930B17" w:rsidP="00930B17">
      <w:pPr>
        <w:tabs>
          <w:tab w:val="left" w:pos="709"/>
          <w:tab w:val="left" w:pos="1701"/>
        </w:tabs>
        <w:jc w:val="center"/>
        <w:rPr>
          <w:rFonts w:eastAsia="Arial" w:cs="Arial"/>
          <w:b/>
          <w:sz w:val="24"/>
          <w:szCs w:val="24"/>
          <w:lang w:eastAsia="es-ES_tradnl"/>
        </w:rPr>
      </w:pPr>
      <w:r w:rsidRPr="00CF2F00">
        <w:rPr>
          <w:rFonts w:eastAsia="Arial" w:cs="Arial"/>
          <w:b/>
          <w:sz w:val="24"/>
          <w:szCs w:val="24"/>
          <w:lang w:eastAsia="es-ES_tradnl"/>
        </w:rPr>
        <w:t xml:space="preserve">JAIME ENRIQUE RODRÍGUEZ NAVAS </w:t>
      </w:r>
    </w:p>
    <w:p w14:paraId="39E44B50" w14:textId="77777777" w:rsidR="00930B17" w:rsidRPr="00CF2F00" w:rsidRDefault="00930B17" w:rsidP="00930B17">
      <w:pPr>
        <w:jc w:val="center"/>
        <w:rPr>
          <w:rFonts w:eastAsia="Arial" w:cs="Arial"/>
          <w:b/>
          <w:sz w:val="24"/>
          <w:szCs w:val="24"/>
          <w:lang w:eastAsia="es-ES_tradnl"/>
        </w:rPr>
      </w:pPr>
      <w:r w:rsidRPr="00CF2F00">
        <w:rPr>
          <w:rFonts w:eastAsia="Arial" w:cs="Arial"/>
          <w:b/>
          <w:sz w:val="24"/>
          <w:szCs w:val="24"/>
          <w:lang w:eastAsia="es-ES_tradnl"/>
        </w:rPr>
        <w:t>Consejero de Estado</w:t>
      </w:r>
    </w:p>
    <w:p w14:paraId="0629FED4" w14:textId="2BE6FCDE" w:rsidR="00930B17" w:rsidRDefault="00930B17" w:rsidP="00930B17">
      <w:pPr>
        <w:tabs>
          <w:tab w:val="left" w:pos="709"/>
          <w:tab w:val="left" w:pos="1701"/>
        </w:tabs>
        <w:jc w:val="center"/>
        <w:rPr>
          <w:rFonts w:eastAsia="Arial" w:cs="Arial"/>
          <w:b/>
          <w:sz w:val="24"/>
          <w:szCs w:val="24"/>
          <w:lang w:eastAsia="es-ES_tradnl"/>
        </w:rPr>
      </w:pPr>
    </w:p>
    <w:p w14:paraId="577F8D30" w14:textId="77777777" w:rsidR="002430BC" w:rsidRPr="00CF2F00" w:rsidRDefault="002430BC" w:rsidP="00930B17">
      <w:pPr>
        <w:tabs>
          <w:tab w:val="left" w:pos="709"/>
          <w:tab w:val="left" w:pos="1701"/>
        </w:tabs>
        <w:jc w:val="center"/>
        <w:rPr>
          <w:rFonts w:eastAsia="Arial" w:cs="Arial"/>
          <w:b/>
          <w:sz w:val="24"/>
          <w:szCs w:val="24"/>
          <w:lang w:eastAsia="es-ES_tradnl"/>
        </w:rPr>
      </w:pPr>
    </w:p>
    <w:p w14:paraId="1421B86D" w14:textId="77777777" w:rsidR="00930B17" w:rsidRPr="00CF2F00" w:rsidRDefault="00930B17" w:rsidP="00930B17">
      <w:pPr>
        <w:tabs>
          <w:tab w:val="left" w:pos="709"/>
          <w:tab w:val="left" w:pos="1701"/>
        </w:tabs>
        <w:jc w:val="center"/>
        <w:rPr>
          <w:rFonts w:eastAsia="Arial" w:cs="Arial"/>
          <w:b/>
          <w:sz w:val="24"/>
          <w:szCs w:val="24"/>
          <w:lang w:eastAsia="es-ES_tradnl"/>
        </w:rPr>
      </w:pPr>
    </w:p>
    <w:p w14:paraId="6CACE3EB" w14:textId="77777777" w:rsidR="00930B17" w:rsidRPr="003039BF" w:rsidRDefault="00930B17" w:rsidP="00930B17">
      <w:pPr>
        <w:tabs>
          <w:tab w:val="left" w:pos="709"/>
          <w:tab w:val="left" w:pos="1701"/>
        </w:tabs>
        <w:jc w:val="center"/>
        <w:rPr>
          <w:rFonts w:eastAsia="Arial" w:cs="Arial"/>
          <w:b/>
          <w:sz w:val="24"/>
          <w:szCs w:val="24"/>
          <w:lang w:eastAsia="es-ES_tradnl"/>
        </w:rPr>
      </w:pPr>
    </w:p>
    <w:p w14:paraId="3FB0A2A9" w14:textId="77777777" w:rsidR="00930B17" w:rsidRPr="00CF2F00" w:rsidRDefault="00930B17" w:rsidP="00930B17">
      <w:pPr>
        <w:tabs>
          <w:tab w:val="left" w:pos="709"/>
          <w:tab w:val="left" w:pos="1701"/>
        </w:tabs>
        <w:jc w:val="center"/>
        <w:rPr>
          <w:rFonts w:eastAsia="Arial" w:cs="Arial"/>
          <w:b/>
          <w:sz w:val="24"/>
          <w:szCs w:val="24"/>
          <w:lang w:eastAsia="es-ES_tradnl"/>
        </w:rPr>
      </w:pPr>
      <w:r w:rsidRPr="00CF2F00">
        <w:rPr>
          <w:rFonts w:eastAsia="Arial" w:cs="Arial"/>
          <w:b/>
          <w:sz w:val="24"/>
          <w:szCs w:val="24"/>
          <w:lang w:eastAsia="es-ES_tradnl"/>
        </w:rPr>
        <w:t xml:space="preserve">NICOLÁS YEPES CORRALES </w:t>
      </w:r>
    </w:p>
    <w:p w14:paraId="765D03A2" w14:textId="77777777" w:rsidR="00930B17" w:rsidRPr="00B86FAC" w:rsidRDefault="00930B17" w:rsidP="00930B17">
      <w:pPr>
        <w:jc w:val="center"/>
        <w:rPr>
          <w:rFonts w:eastAsia="Times New Roman" w:cs="Arial"/>
          <w:sz w:val="24"/>
          <w:szCs w:val="24"/>
          <w:lang w:eastAsia="es-ES_tradnl"/>
        </w:rPr>
      </w:pPr>
      <w:r w:rsidRPr="00CF2F00">
        <w:rPr>
          <w:rFonts w:eastAsia="Arial" w:cs="Arial"/>
          <w:b/>
          <w:sz w:val="24"/>
          <w:szCs w:val="24"/>
          <w:lang w:eastAsia="es-ES_tradnl"/>
        </w:rPr>
        <w:t>Consejero Ponente</w:t>
      </w:r>
    </w:p>
    <w:p w14:paraId="696160AD" w14:textId="77777777" w:rsidR="00930B17" w:rsidRPr="00817195" w:rsidRDefault="00930B17" w:rsidP="00930B17">
      <w:pPr>
        <w:spacing w:line="360" w:lineRule="auto"/>
        <w:rPr>
          <w:b/>
          <w:sz w:val="24"/>
          <w:szCs w:val="24"/>
        </w:rPr>
      </w:pPr>
    </w:p>
    <w:p w14:paraId="57C6AC61" w14:textId="77777777" w:rsidR="00930B17" w:rsidRPr="00930B17" w:rsidRDefault="00930B17" w:rsidP="00930B17">
      <w:pPr>
        <w:spacing w:line="360" w:lineRule="auto"/>
        <w:rPr>
          <w:b/>
          <w:sz w:val="24"/>
          <w:szCs w:val="24"/>
        </w:rPr>
      </w:pPr>
    </w:p>
    <w:sectPr w:rsidR="00930B17" w:rsidRPr="00930B17"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06985" w14:textId="77777777" w:rsidR="00CC3E1B" w:rsidRDefault="00CC3E1B" w:rsidP="00DE3F25">
      <w:r>
        <w:separator/>
      </w:r>
    </w:p>
  </w:endnote>
  <w:endnote w:type="continuationSeparator" w:id="0">
    <w:p w14:paraId="1CFC8193" w14:textId="77777777" w:rsidR="00CC3E1B" w:rsidRDefault="00CC3E1B" w:rsidP="00DE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0801" w14:textId="77777777" w:rsidR="00CC3E1B" w:rsidRDefault="00CC3E1B" w:rsidP="00DE3F25">
      <w:r>
        <w:separator/>
      </w:r>
    </w:p>
  </w:footnote>
  <w:footnote w:type="continuationSeparator" w:id="0">
    <w:p w14:paraId="74C3B5E4" w14:textId="77777777" w:rsidR="00CC3E1B" w:rsidRDefault="00CC3E1B" w:rsidP="00DE3F25">
      <w:r>
        <w:continuationSeparator/>
      </w:r>
    </w:p>
  </w:footnote>
  <w:footnote w:id="1">
    <w:p w14:paraId="7948F0CA" w14:textId="77777777" w:rsidR="0029429E" w:rsidRPr="002C1F8A" w:rsidRDefault="0029429E" w:rsidP="00FC4B11">
      <w:pPr>
        <w:pStyle w:val="Textonotapie"/>
        <w:contextualSpacing/>
        <w:jc w:val="both"/>
        <w:rPr>
          <w:rFonts w:ascii="Arial" w:hAnsi="Arial" w:cs="Arial"/>
          <w:color w:val="000000" w:themeColor="text1"/>
          <w:lang w:val="es-CO"/>
        </w:rPr>
      </w:pPr>
      <w:r w:rsidRPr="002C1F8A">
        <w:rPr>
          <w:rStyle w:val="Refdenotaalpie"/>
          <w:rFonts w:ascii="Arial" w:hAnsi="Arial" w:cs="Arial"/>
          <w:color w:val="000000" w:themeColor="text1"/>
          <w:lang w:val="es-CO"/>
        </w:rPr>
        <w:footnoteRef/>
      </w:r>
      <w:r w:rsidRPr="002C1F8A">
        <w:rPr>
          <w:rFonts w:ascii="Arial" w:hAnsi="Arial" w:cs="Arial"/>
          <w:color w:val="000000" w:themeColor="text1"/>
          <w:lang w:val="es-CO"/>
        </w:rPr>
        <w:t xml:space="preserve"> </w:t>
      </w:r>
      <w:r w:rsidRPr="002C1F8A">
        <w:rPr>
          <w:rFonts w:ascii="Arial" w:hAnsi="Arial" w:cs="Arial"/>
          <w:bCs/>
          <w:iCs/>
          <w:color w:val="000000" w:themeColor="text1"/>
          <w:shd w:val="clear" w:color="auto" w:fill="FFFFFF"/>
          <w:lang w:val="es-CO"/>
        </w:rPr>
        <w:t>Por el cual se modifican los artículos 2.2.3.1.2.1, 2.2.3.1.2.4 y 2.2.3.1.2.5 del Decreto 1069 de 2015, Único Reglamentario del sector Justicia y del Derecho, referente a las reglas de reparto de la acción de tutela.</w:t>
      </w:r>
    </w:p>
  </w:footnote>
  <w:footnote w:id="2">
    <w:p w14:paraId="7E4A69BE"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Según el correo electrónico que obra en el documento de certificado 418AC36726ED6F8F 53CC720C7FEEAE0E FAB794684B89AF63 B3913A508F6FFD46, en el expediente de tutela digital. </w:t>
      </w:r>
    </w:p>
  </w:footnote>
  <w:footnote w:id="3">
    <w:p w14:paraId="07C7A1AD"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El poder obra a folios 1-2 del documento de certificado 30FDEFD16A85AFEB 0F93FDAC1C30030C 15394E281177C4B7 110E91C2595879E5, en el expediente de tutela digital. </w:t>
      </w:r>
    </w:p>
  </w:footnote>
  <w:footnote w:id="4">
    <w:p w14:paraId="109222DF"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El escrito de tutela obra a folios 3-28 del documento de certificado 30FDEFD16A85AFEB 0F93FDAC1C30030C 15394E281177C4B7 110E91C2595879E5, en el expediente de tutela digital.</w:t>
      </w:r>
    </w:p>
  </w:footnote>
  <w:footnote w:id="5">
    <w:p w14:paraId="51508141"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resolución obra en el documento de certificado 925AC98D96030991 5D4F5C2699165BBD AD8FFEF314613A6B 20351C136AF2E250, en el expediente de tutela digital. </w:t>
      </w:r>
    </w:p>
  </w:footnote>
  <w:footnote w:id="6">
    <w:p w14:paraId="187B75F4"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resolución obra en el documento de certificado BDECCE5E7CBE3F72 DDA33FFA316F4044 EE68A1D3051ED9E1 5820588E0D0BD893, en el expediente de tutela digital. </w:t>
      </w:r>
    </w:p>
  </w:footnote>
  <w:footnote w:id="7">
    <w:p w14:paraId="5368D53A"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resolución obra en el documento de certificado 3D15970B814DD8EC 51C81D1FCAC33811 AFB7DFD234EF15E2 3E2B01D987B043C4, en el expediente de tutela digital. </w:t>
      </w:r>
    </w:p>
  </w:footnote>
  <w:footnote w:id="8">
    <w:p w14:paraId="77C8E5C3" w14:textId="7ADB226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Resolución</w:t>
      </w:r>
      <w:r w:rsidR="00620385" w:rsidRPr="002C1F8A">
        <w:rPr>
          <w:rFonts w:ascii="Arial" w:hAnsi="Arial" w:cs="Arial"/>
          <w:color w:val="000000" w:themeColor="text1"/>
          <w:lang w:val="es-CO"/>
        </w:rPr>
        <w:t xml:space="preserve"> No.</w:t>
      </w:r>
      <w:r w:rsidRPr="002C1F8A">
        <w:rPr>
          <w:rFonts w:ascii="Arial" w:hAnsi="Arial" w:cs="Arial"/>
          <w:color w:val="000000" w:themeColor="text1"/>
          <w:lang w:val="es-CO"/>
        </w:rPr>
        <w:t xml:space="preserve"> PAP 16293 del 6 de octubre de 2010. </w:t>
      </w:r>
    </w:p>
  </w:footnote>
  <w:footnote w:id="9">
    <w:p w14:paraId="712365EB"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Resolución No. PAP 041050 del 28 de febrero de 2011</w:t>
      </w:r>
    </w:p>
  </w:footnote>
  <w:footnote w:id="10">
    <w:p w14:paraId="7609E0C7"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Resolución No. RDP 043350 del 21 de octubre de 2015. </w:t>
      </w:r>
    </w:p>
  </w:footnote>
  <w:footnote w:id="11">
    <w:p w14:paraId="74012E99"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sentencia obra a folios 29-59 del documento de certificado 30FDEFD16A85AFEB 0F93FDAC1C30030C 15394E281177C4B7 110E91C2595879E5, en el expediente de tutela digital. </w:t>
      </w:r>
    </w:p>
  </w:footnote>
  <w:footnote w:id="12">
    <w:p w14:paraId="6C658A9B"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sentencia obra a folios 61-83 del documento de certificado 30FDEFD16A85AFEB 0F93FDAC1C30030C 15394E281177C4B7 110E91C2595879E5, en el expediente de tutela digital. </w:t>
      </w:r>
    </w:p>
  </w:footnote>
  <w:footnote w:id="13">
    <w:p w14:paraId="0E835339" w14:textId="77777777" w:rsidR="0029429E" w:rsidRPr="002C1F8A" w:rsidRDefault="0029429E" w:rsidP="00FC4B11">
      <w:pPr>
        <w:pStyle w:val="Textonotapie"/>
        <w:tabs>
          <w:tab w:val="center" w:pos="4703"/>
        </w:tabs>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Folio 21 del documento de certificado 30FDEFD16A85AFEB 0F93FDAC1C30030C 15394E281177C4B7 110E91C2595879E5, en el expediente de tutela digital. </w:t>
      </w:r>
    </w:p>
  </w:footnote>
  <w:footnote w:id="14">
    <w:p w14:paraId="5F1C6F5F" w14:textId="77777777" w:rsidR="00FC4B11" w:rsidRPr="002C1F8A" w:rsidRDefault="00FC4B11"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Folio 27 del documento de certificado 30FDEFD16A85AFEB 0F93FDAC1C30030C 15394E281177C4B7 110E91C2595879E5, en el expediente de tutela digital.</w:t>
      </w:r>
    </w:p>
  </w:footnote>
  <w:footnote w:id="15">
    <w:p w14:paraId="60E97C28" w14:textId="4637EBD2" w:rsidR="00220D31" w:rsidRPr="002C1F8A" w:rsidRDefault="00220D31"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Relacionados con la facultad extraordinaria de la que fue revestida el Presidente de la República para dictar norma con fuerza de ley sobre, entre otras materias, el régimen salarial, prestacional y pensional “que no podrá desmejorar los derechos y garantías vigen</w:t>
      </w:r>
      <w:r w:rsidR="006D65ED" w:rsidRPr="002C1F8A">
        <w:rPr>
          <w:rFonts w:ascii="Arial" w:hAnsi="Arial" w:cs="Arial"/>
          <w:color w:val="000000" w:themeColor="text1"/>
          <w:lang w:val="es-CO"/>
        </w:rPr>
        <w:t>tes de los actuales servidores</w:t>
      </w:r>
      <w:r w:rsidRPr="002C1F8A">
        <w:rPr>
          <w:rFonts w:ascii="Arial" w:hAnsi="Arial" w:cs="Arial"/>
          <w:color w:val="000000" w:themeColor="text1"/>
          <w:lang w:val="es-CO"/>
        </w:rPr>
        <w:t>”</w:t>
      </w:r>
      <w:r w:rsidR="00620385" w:rsidRPr="002C1F8A">
        <w:rPr>
          <w:rFonts w:ascii="Arial" w:hAnsi="Arial" w:cs="Arial"/>
          <w:color w:val="000000" w:themeColor="text1"/>
          <w:lang w:val="es-CO"/>
        </w:rPr>
        <w:t>.</w:t>
      </w:r>
    </w:p>
  </w:footnote>
  <w:footnote w:id="16">
    <w:p w14:paraId="784CF2E7" w14:textId="77777777" w:rsidR="006D65ED" w:rsidRPr="002C1F8A" w:rsidRDefault="006D65ED"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Que reglamentó el artículo 140 de la Ley 100 de 1993,</w:t>
      </w:r>
      <w:r w:rsidR="00FC4B11" w:rsidRPr="002C1F8A">
        <w:rPr>
          <w:rFonts w:ascii="Arial" w:hAnsi="Arial" w:cs="Arial"/>
          <w:color w:val="000000" w:themeColor="text1"/>
          <w:lang w:val="es-CO"/>
        </w:rPr>
        <w:t xml:space="preserve"> </w:t>
      </w:r>
      <w:r w:rsidRPr="002C1F8A">
        <w:rPr>
          <w:rFonts w:ascii="Arial" w:hAnsi="Arial" w:cs="Arial"/>
          <w:color w:val="000000" w:themeColor="text1"/>
          <w:lang w:val="es-CO"/>
        </w:rPr>
        <w:t xml:space="preserve">relacionado con las actividades de alto riesgo de los servidores públicos. </w:t>
      </w:r>
    </w:p>
  </w:footnote>
  <w:footnote w:id="17">
    <w:p w14:paraId="3B0F8918"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providencia obra en el documento de certificado EF8E4C6698D509FF EFE7269774333C6B 67708D343FB7C3BC A54A951D646A9D80, en el expediente de tutela digital. </w:t>
      </w:r>
    </w:p>
  </w:footnote>
  <w:footnote w:id="18">
    <w:p w14:paraId="5E0B3D40"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Las notificaciones obran en el documento de certificado 2FBF53759D490E89 FE153E217A10DCC0 5AE3CA72B4A39226 106A565ECE66943E, en el expediente de tutela digital. </w:t>
      </w:r>
    </w:p>
  </w:footnote>
  <w:footnote w:id="19">
    <w:p w14:paraId="7039B0CA"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contestación obra en el documento de certificado 862648DB01B673E7 E5267A3209A00549 F41FF64C9BF33A34 E17E417C0DBED3C5, en el expediente de tutela digital. </w:t>
      </w:r>
    </w:p>
  </w:footnote>
  <w:footnote w:id="20">
    <w:p w14:paraId="70402ED7" w14:textId="6A5EAF8D"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Folio 6 del documento de </w:t>
      </w:r>
      <w:r w:rsidRPr="002C1F8A">
        <w:rPr>
          <w:rFonts w:ascii="Arial" w:hAnsi="Arial" w:cs="Arial"/>
          <w:color w:val="000000" w:themeColor="text1"/>
          <w:lang w:val="es-CO"/>
        </w:rPr>
        <w:t>certificado 862648DB01B673E7 E5267A3209A00549 F41FF64C9BF33A34 E17E417C0DBED3C5, en el expediente de tutela digital.</w:t>
      </w:r>
    </w:p>
  </w:footnote>
  <w:footnote w:id="21">
    <w:p w14:paraId="6951D8E0"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Ibídem. </w:t>
      </w:r>
    </w:p>
  </w:footnote>
  <w:footnote w:id="22">
    <w:p w14:paraId="03FA0370"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contestación obra en el documento de certificado C8E78EBA2734E375 752A9DA36F8F2843 006AF68ACE3820C6 352AE8A763ED316F, en el expediente de tutela digital. </w:t>
      </w:r>
    </w:p>
  </w:footnote>
  <w:footnote w:id="23">
    <w:p w14:paraId="29628F0B"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La contestación obra en el documento de certificado 53C93A2DBF810F18 D3214B8776791EAF DA708EF6FE16C1BB 1BFD90B8DB68EDB7, en el expediente de tutela digital. </w:t>
      </w:r>
    </w:p>
  </w:footnote>
  <w:footnote w:id="24">
    <w:p w14:paraId="45166B0B"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resolución obra en el documento de certificado F3B25A149B451FD0 5F16D7F27543A72F 1AAD123622B5DC2E 3F9616C54ECF73DB, en el expediente de tutela digital. </w:t>
      </w:r>
    </w:p>
  </w:footnote>
  <w:footnote w:id="25">
    <w:p w14:paraId="08155ADE"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El escrito obra en el documento de certificado 415568E85F699009 BDE092789647926C 66BEB893F7941796 02EAE6AAE52A48A2, en el expediente de tutela digital. </w:t>
      </w:r>
    </w:p>
  </w:footnote>
  <w:footnote w:id="26">
    <w:p w14:paraId="3A8D3FEF" w14:textId="50DB13C4" w:rsidR="00570A5D" w:rsidRPr="002C1F8A" w:rsidRDefault="00570A5D">
      <w:pPr>
        <w:pStyle w:val="Textonotapie"/>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Ibídem. </w:t>
      </w:r>
    </w:p>
  </w:footnote>
  <w:footnote w:id="27">
    <w:p w14:paraId="364BB045" w14:textId="035098C9"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Sobre el asunto, ver la sentencia </w:t>
      </w:r>
      <w:r w:rsidR="00425C8E" w:rsidRPr="002C1F8A">
        <w:rPr>
          <w:rFonts w:ascii="Arial" w:hAnsi="Arial" w:cs="Arial"/>
          <w:color w:val="000000" w:themeColor="text1"/>
          <w:shd w:val="clear" w:color="auto" w:fill="FFFFFF"/>
        </w:rPr>
        <w:t xml:space="preserve">T-843 de 2009 y el auto 273 del 2013. </w:t>
      </w:r>
    </w:p>
  </w:footnote>
  <w:footnote w:id="28">
    <w:p w14:paraId="10B614B2" w14:textId="77777777" w:rsidR="0029429E" w:rsidRPr="002C1F8A" w:rsidRDefault="0029429E" w:rsidP="00FC4B11">
      <w:pPr>
        <w:pStyle w:val="Textonotapie"/>
        <w:contextualSpacing/>
        <w:jc w:val="both"/>
        <w:rPr>
          <w:rFonts w:ascii="Arial" w:hAnsi="Arial" w:cs="Arial"/>
          <w:color w:val="000000" w:themeColor="text1"/>
          <w:lang w:val="es-CO"/>
        </w:rPr>
      </w:pPr>
      <w:r w:rsidRPr="002C1F8A">
        <w:rPr>
          <w:rStyle w:val="Refdenotaalpie"/>
          <w:rFonts w:ascii="Arial" w:hAnsi="Arial" w:cs="Arial"/>
          <w:color w:val="000000" w:themeColor="text1"/>
          <w:lang w:val="es-CO"/>
        </w:rPr>
        <w:footnoteRef/>
      </w:r>
      <w:r w:rsidRPr="002C1F8A">
        <w:rPr>
          <w:rFonts w:ascii="Arial" w:hAnsi="Arial" w:cs="Arial"/>
          <w:color w:val="000000" w:themeColor="text1"/>
          <w:lang w:val="es-CO"/>
        </w:rPr>
        <w:t xml:space="preserve"> Corte Constitucional. Sentencia C-590 de 2005. </w:t>
      </w:r>
    </w:p>
  </w:footnote>
  <w:footnote w:id="29">
    <w:p w14:paraId="3444AB09" w14:textId="77777777" w:rsidR="0029429E" w:rsidRPr="002C1F8A" w:rsidRDefault="0029429E" w:rsidP="00FC4B11">
      <w:pPr>
        <w:contextualSpacing/>
        <w:rPr>
          <w:rFonts w:cs="Arial"/>
          <w:color w:val="000000" w:themeColor="text1"/>
        </w:rPr>
      </w:pPr>
      <w:r w:rsidRPr="002C1F8A">
        <w:rPr>
          <w:rStyle w:val="Refdenotaalpie"/>
          <w:rFonts w:cs="Arial"/>
          <w:color w:val="000000" w:themeColor="text1"/>
        </w:rPr>
        <w:footnoteRef/>
      </w:r>
      <w:r w:rsidRPr="002C1F8A">
        <w:rPr>
          <w:rFonts w:cs="Arial"/>
          <w:color w:val="000000" w:themeColor="text1"/>
        </w:rPr>
        <w:t xml:space="preserve"> De acuerdo con la sentencia C-590 de 2005, la tutela en contra de providencia judicial está sujeta al cumplimiento de los siguientes requisitos generales de procedibilidad: que </w:t>
      </w:r>
      <w:r w:rsidRPr="002C1F8A">
        <w:rPr>
          <w:rFonts w:eastAsia="SimSun" w:cs="Arial"/>
          <w:color w:val="000000" w:themeColor="text1"/>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2C1F8A">
        <w:rPr>
          <w:rFonts w:eastAsia="MS Mincho" w:cs="Arial"/>
          <w:color w:val="000000" w:themeColor="text1"/>
          <w:lang w:eastAsia="es-CO"/>
        </w:rPr>
        <w:t xml:space="preserve">; </w:t>
      </w:r>
      <w:r w:rsidRPr="002C1F8A">
        <w:rPr>
          <w:rFonts w:eastAsia="SimSun" w:cs="Arial"/>
          <w:color w:val="000000" w:themeColor="text1"/>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30">
    <w:p w14:paraId="49623EDA" w14:textId="77777777" w:rsidR="0029429E" w:rsidRPr="002C1F8A" w:rsidRDefault="0029429E" w:rsidP="00FC4B11">
      <w:pPr>
        <w:contextualSpacing/>
        <w:rPr>
          <w:rFonts w:eastAsia="Verdana" w:cs="Arial"/>
          <w:color w:val="000000" w:themeColor="text1"/>
        </w:rPr>
      </w:pPr>
      <w:r w:rsidRPr="002C1F8A">
        <w:rPr>
          <w:rStyle w:val="Refdenotaalpie"/>
          <w:rFonts w:cs="Arial"/>
          <w:color w:val="000000" w:themeColor="text1"/>
        </w:rPr>
        <w:footnoteRef/>
      </w:r>
      <w:r w:rsidRPr="002C1F8A">
        <w:rPr>
          <w:rFonts w:cs="Arial"/>
          <w:color w:val="000000" w:themeColor="text1"/>
        </w:rPr>
        <w:t xml:space="preserve"> Los requisitos específicos, también conocidos como defectos, son: d</w:t>
      </w:r>
      <w:r w:rsidRPr="002C1F8A">
        <w:rPr>
          <w:rFonts w:eastAsia="Verdana" w:cs="Arial"/>
          <w:color w:val="000000" w:themeColor="text1"/>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31">
    <w:p w14:paraId="59120F14" w14:textId="77777777" w:rsidR="0029429E" w:rsidRPr="002C1F8A" w:rsidRDefault="0029429E" w:rsidP="00FC4B11">
      <w:pPr>
        <w:pStyle w:val="Sinespaciado"/>
        <w:jc w:val="both"/>
        <w:rPr>
          <w:rFonts w:ascii="Arial" w:hAnsi="Arial" w:cs="Arial"/>
          <w:color w:val="000000" w:themeColor="text1"/>
          <w:sz w:val="20"/>
          <w:szCs w:val="20"/>
        </w:rPr>
      </w:pPr>
      <w:r w:rsidRPr="002C1F8A">
        <w:rPr>
          <w:rStyle w:val="Refdenotaalpie"/>
          <w:rFonts w:ascii="Arial" w:hAnsi="Arial" w:cs="Arial"/>
          <w:color w:val="000000" w:themeColor="text1"/>
          <w:sz w:val="20"/>
          <w:szCs w:val="20"/>
        </w:rPr>
        <w:footnoteRef/>
      </w:r>
      <w:r w:rsidRPr="002C1F8A">
        <w:rPr>
          <w:rFonts w:ascii="Arial" w:hAnsi="Arial" w:cs="Arial"/>
          <w:color w:val="000000" w:themeColor="text1"/>
          <w:sz w:val="20"/>
          <w:szCs w:val="20"/>
        </w:rPr>
        <w:t xml:space="preserve"> Corte Constitucional, sentencia C–590 de 08 de junio de 2005.</w:t>
      </w:r>
    </w:p>
  </w:footnote>
  <w:footnote w:id="32">
    <w:p w14:paraId="24D962F6" w14:textId="77777777" w:rsidR="0029429E" w:rsidRPr="002C1F8A" w:rsidRDefault="0029429E" w:rsidP="00FC4B11">
      <w:pPr>
        <w:pStyle w:val="Sinespaciado"/>
        <w:jc w:val="both"/>
        <w:rPr>
          <w:rFonts w:ascii="Arial" w:hAnsi="Arial" w:cs="Arial"/>
          <w:color w:val="000000" w:themeColor="text1"/>
          <w:sz w:val="20"/>
          <w:szCs w:val="20"/>
        </w:rPr>
      </w:pPr>
      <w:r w:rsidRPr="002C1F8A">
        <w:rPr>
          <w:rFonts w:ascii="Arial" w:hAnsi="Arial" w:cs="Arial"/>
          <w:color w:val="000000" w:themeColor="text1"/>
          <w:sz w:val="20"/>
          <w:szCs w:val="20"/>
          <w:vertAlign w:val="superscript"/>
        </w:rPr>
        <w:footnoteRef/>
      </w:r>
      <w:r w:rsidRPr="002C1F8A">
        <w:rPr>
          <w:rFonts w:ascii="Arial" w:hAnsi="Arial" w:cs="Arial"/>
          <w:color w:val="000000" w:themeColor="text1"/>
          <w:sz w:val="20"/>
          <w:szCs w:val="20"/>
        </w:rPr>
        <w:t xml:space="preserve"> Consejo de Estado, sentencia del 05 de agosto de 2014. Rad. 11001-03-15-000-2012-02201-01.</w:t>
      </w:r>
    </w:p>
  </w:footnote>
  <w:footnote w:id="33">
    <w:p w14:paraId="42B63209"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sentencia obra a folios 29-59 del documento de certificado 30FDEFD16A85AFEB 0F93FDAC1C30030C 15394E281177C4B7 110E91C2595879E5, en el expediente de tutela digital. </w:t>
      </w:r>
    </w:p>
  </w:footnote>
  <w:footnote w:id="34">
    <w:p w14:paraId="0671CE7E" w14:textId="4D81B360" w:rsidR="00121ED3" w:rsidRPr="002C1F8A" w:rsidRDefault="00121ED3" w:rsidP="00121ED3">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00620385" w:rsidRPr="002C1F8A">
        <w:rPr>
          <w:rFonts w:ascii="Arial" w:hAnsi="Arial" w:cs="Arial"/>
          <w:color w:val="000000" w:themeColor="text1"/>
        </w:rPr>
        <w:t xml:space="preserve"> </w:t>
      </w:r>
      <w:r w:rsidRPr="002C1F8A">
        <w:rPr>
          <w:rFonts w:ascii="Arial" w:hAnsi="Arial" w:cs="Arial"/>
          <w:color w:val="000000" w:themeColor="text1"/>
        </w:rPr>
        <w:t xml:space="preserve">Folios 49-57 del documento de certificado </w:t>
      </w:r>
      <w:r w:rsidRPr="002C1F8A">
        <w:rPr>
          <w:rFonts w:ascii="Arial" w:hAnsi="Arial" w:cs="Arial"/>
          <w:color w:val="000000" w:themeColor="text1"/>
          <w:lang w:val="es-CO"/>
        </w:rPr>
        <w:t>30FDEFD16A85AFEB 0F93FDAC1C30030C 15394E281177C4B7 110E91C2595879E5, en el expediente de tutela digital.</w:t>
      </w:r>
    </w:p>
  </w:footnote>
  <w:footnote w:id="35">
    <w:p w14:paraId="62AA65B9"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 xml:space="preserve">La sentencia obra a folios 61-83 del documento de certificado 30FDEFD16A85AFEB 0F93FDAC1C30030C 15394E281177C4B7 110E91C2595879E5, en el expediente de tutela digital. </w:t>
      </w:r>
    </w:p>
  </w:footnote>
  <w:footnote w:id="36">
    <w:p w14:paraId="3E806DD2" w14:textId="1848B20D" w:rsidR="00021FE9" w:rsidRPr="002C1F8A" w:rsidRDefault="00021FE9" w:rsidP="00021FE9">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w:t>
      </w:r>
      <w:r w:rsidRPr="002C1F8A">
        <w:rPr>
          <w:rFonts w:ascii="Arial" w:hAnsi="Arial" w:cs="Arial"/>
          <w:color w:val="000000" w:themeColor="text1"/>
          <w:lang w:val="es-CO"/>
        </w:rPr>
        <w:t>Folios 79-81 del documento de certificado 30FDEFD16A85AFEB 0F93FDAC1C30030C 15394E281177C4B7 110E91C2595879E5, en el expediente de tutela digital.</w:t>
      </w:r>
    </w:p>
  </w:footnote>
  <w:footnote w:id="37">
    <w:p w14:paraId="3E0D5DF9"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Corte Constitucional, sentencia T- 310 del 30 de abril de 2009.</w:t>
      </w:r>
    </w:p>
  </w:footnote>
  <w:footnote w:id="38">
    <w:p w14:paraId="21DAE549" w14:textId="77777777" w:rsidR="0029429E" w:rsidRPr="002C1F8A" w:rsidRDefault="0029429E" w:rsidP="00FC4B11">
      <w:pPr>
        <w:pStyle w:val="Textonotapie"/>
        <w:jc w:val="both"/>
        <w:rPr>
          <w:rFonts w:ascii="Arial" w:hAnsi="Arial" w:cs="Arial"/>
          <w:color w:val="000000" w:themeColor="text1"/>
          <w:lang w:val="es-CO"/>
        </w:rPr>
      </w:pPr>
      <w:r w:rsidRPr="002C1F8A">
        <w:rPr>
          <w:rStyle w:val="Refdenotaalpie"/>
          <w:rFonts w:ascii="Arial" w:hAnsi="Arial" w:cs="Arial"/>
          <w:color w:val="000000" w:themeColor="text1"/>
        </w:rPr>
        <w:footnoteRef/>
      </w:r>
      <w:r w:rsidRPr="002C1F8A">
        <w:rPr>
          <w:rFonts w:ascii="Arial" w:hAnsi="Arial" w:cs="Arial"/>
          <w:color w:val="000000" w:themeColor="text1"/>
        </w:rPr>
        <w:t xml:space="preserve"> Corte Constitucional, sentencia </w:t>
      </w:r>
      <w:r w:rsidRPr="002C1F8A">
        <w:rPr>
          <w:rFonts w:ascii="Arial" w:hAnsi="Arial" w:cs="Arial"/>
          <w:color w:val="000000" w:themeColor="text1"/>
          <w:lang w:val="es-CO"/>
        </w:rPr>
        <w:t>T- 384 del 20 de septiembre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263721"/>
      <w:docPartObj>
        <w:docPartGallery w:val="Page Numbers (Top of Page)"/>
        <w:docPartUnique/>
      </w:docPartObj>
    </w:sdtPr>
    <w:sdtEndPr/>
    <w:sdtContent>
      <w:p w14:paraId="1A2D2155" w14:textId="77777777" w:rsidR="0029429E" w:rsidRDefault="0029429E">
        <w:pPr>
          <w:pStyle w:val="Encabezado"/>
          <w:jc w:val="center"/>
        </w:pPr>
        <w:r>
          <w:fldChar w:fldCharType="begin"/>
        </w:r>
        <w:r>
          <w:instrText>PAGE   \* MERGEFORMAT</w:instrText>
        </w:r>
        <w:r>
          <w:fldChar w:fldCharType="separate"/>
        </w:r>
        <w:r w:rsidR="00CD68C1" w:rsidRPr="00CD68C1">
          <w:rPr>
            <w:noProof/>
            <w:lang w:val="es-ES"/>
          </w:rPr>
          <w:t>13</w:t>
        </w:r>
        <w:r>
          <w:fldChar w:fldCharType="end"/>
        </w:r>
      </w:p>
    </w:sdtContent>
  </w:sdt>
  <w:p w14:paraId="111195D5" w14:textId="6C2FB4CB" w:rsidR="004275C4" w:rsidRDefault="004275C4" w:rsidP="00172240">
    <w:pPr>
      <w:spacing w:line="276" w:lineRule="auto"/>
      <w:jc w:val="right"/>
      <w:rPr>
        <w:rFonts w:cs="Arial"/>
        <w:i/>
        <w:sz w:val="18"/>
        <w:szCs w:val="18"/>
        <w:lang w:val="es-ES"/>
      </w:rPr>
    </w:pPr>
  </w:p>
  <w:p w14:paraId="7D37BCD7" w14:textId="4C19C70B" w:rsidR="00F43EE0" w:rsidRDefault="00F43EE0" w:rsidP="00172240">
    <w:pPr>
      <w:spacing w:line="276" w:lineRule="auto"/>
      <w:jc w:val="right"/>
      <w:rPr>
        <w:rFonts w:cs="Arial"/>
        <w:i/>
        <w:sz w:val="18"/>
        <w:szCs w:val="18"/>
        <w:lang w:val="es-ES"/>
      </w:rPr>
    </w:pPr>
  </w:p>
  <w:p w14:paraId="13F5D2A1" w14:textId="77777777" w:rsidR="00F43EE0" w:rsidRDefault="00F43EE0" w:rsidP="00172240">
    <w:pPr>
      <w:spacing w:line="276" w:lineRule="auto"/>
      <w:jc w:val="right"/>
      <w:rPr>
        <w:rFonts w:cs="Arial"/>
        <w:i/>
        <w:sz w:val="18"/>
        <w:szCs w:val="18"/>
        <w:lang w:val="es-ES"/>
      </w:rPr>
    </w:pPr>
  </w:p>
  <w:p w14:paraId="50647AD7" w14:textId="17A431A7" w:rsidR="0029429E" w:rsidRPr="00172240" w:rsidRDefault="0029429E" w:rsidP="00172240">
    <w:pPr>
      <w:spacing w:line="276" w:lineRule="auto"/>
      <w:jc w:val="right"/>
      <w:rPr>
        <w:rFonts w:cs="Arial"/>
        <w:i/>
        <w:sz w:val="18"/>
        <w:szCs w:val="18"/>
        <w:lang w:val="es-ES"/>
      </w:rPr>
    </w:pPr>
    <w:r w:rsidRPr="00172240">
      <w:rPr>
        <w:rFonts w:cs="Arial"/>
        <w:i/>
        <w:sz w:val="18"/>
        <w:szCs w:val="18"/>
        <w:lang w:val="es-ES"/>
      </w:rPr>
      <w:t xml:space="preserve">Acción de tutela – Sentencia de primera instancia </w:t>
    </w:r>
  </w:p>
  <w:p w14:paraId="39C97674" w14:textId="77777777" w:rsidR="0029429E" w:rsidRPr="00172240" w:rsidRDefault="0029429E" w:rsidP="00172240">
    <w:pPr>
      <w:spacing w:line="276" w:lineRule="auto"/>
      <w:jc w:val="right"/>
      <w:rPr>
        <w:rFonts w:cs="Arial"/>
        <w:i/>
        <w:sz w:val="18"/>
        <w:szCs w:val="18"/>
      </w:rPr>
    </w:pPr>
    <w:r w:rsidRPr="00172240">
      <w:rPr>
        <w:rFonts w:cs="Arial"/>
        <w:i/>
        <w:sz w:val="18"/>
        <w:szCs w:val="18"/>
        <w:lang w:val="es-ES"/>
      </w:rPr>
      <w:t>Radicación: 11001-03-15-000-2020-04344-00</w:t>
    </w:r>
  </w:p>
  <w:p w14:paraId="00D20CA6" w14:textId="77777777" w:rsidR="0029429E" w:rsidRPr="00172240" w:rsidRDefault="0029429E" w:rsidP="00172240">
    <w:pPr>
      <w:spacing w:line="276" w:lineRule="auto"/>
      <w:jc w:val="right"/>
      <w:rPr>
        <w:rFonts w:cs="Arial"/>
        <w:bCs/>
        <w:i/>
        <w:sz w:val="18"/>
        <w:szCs w:val="18"/>
        <w:lang w:val="es-ES"/>
      </w:rPr>
    </w:pPr>
    <w:r w:rsidRPr="00172240">
      <w:rPr>
        <w:rFonts w:cs="Arial"/>
        <w:i/>
        <w:sz w:val="18"/>
        <w:szCs w:val="18"/>
        <w:lang w:val="es-ES"/>
      </w:rPr>
      <w:t xml:space="preserve">Accionante: </w:t>
    </w:r>
    <w:r w:rsidRPr="00172240">
      <w:rPr>
        <w:rFonts w:cs="Arial"/>
        <w:bCs/>
        <w:i/>
        <w:sz w:val="18"/>
        <w:szCs w:val="18"/>
        <w:lang w:val="es-ES"/>
      </w:rPr>
      <w:t xml:space="preserve">Jorge Humberto Rincón Sierra </w:t>
    </w:r>
  </w:p>
  <w:p w14:paraId="153BDAE1" w14:textId="6AADCEC3" w:rsidR="0029429E" w:rsidRDefault="0029429E" w:rsidP="00172240">
    <w:pPr>
      <w:spacing w:line="276" w:lineRule="auto"/>
      <w:jc w:val="right"/>
      <w:rPr>
        <w:rFonts w:cs="Arial"/>
        <w:bCs/>
        <w:i/>
        <w:sz w:val="18"/>
        <w:szCs w:val="18"/>
        <w:lang w:val="es-ES"/>
      </w:rPr>
    </w:pPr>
    <w:r w:rsidRPr="00172240">
      <w:rPr>
        <w:rFonts w:cs="Arial"/>
        <w:i/>
        <w:sz w:val="18"/>
        <w:szCs w:val="18"/>
        <w:lang w:val="es-ES"/>
      </w:rPr>
      <w:t xml:space="preserve">Accionado: </w:t>
    </w:r>
    <w:r w:rsidRPr="00172240">
      <w:rPr>
        <w:rFonts w:cs="Arial"/>
        <w:bCs/>
        <w:i/>
        <w:sz w:val="18"/>
        <w:szCs w:val="18"/>
        <w:lang w:val="es-ES"/>
      </w:rPr>
      <w:t>Subsección A de la Sección Segunda del Consejo de Estado</w:t>
    </w:r>
  </w:p>
  <w:p w14:paraId="28E20C7F" w14:textId="77777777" w:rsidR="004275C4" w:rsidRPr="00172240" w:rsidRDefault="004275C4" w:rsidP="00172240">
    <w:pPr>
      <w:spacing w:line="276" w:lineRule="auto"/>
      <w:jc w:val="right"/>
      <w:rPr>
        <w:rFonts w:cs="Arial"/>
        <w:bCs/>
        <w:i/>
        <w:sz w:val="18"/>
        <w:szCs w:val="18"/>
      </w:rPr>
    </w:pPr>
  </w:p>
  <w:p w14:paraId="3448A16A" w14:textId="77777777" w:rsidR="0029429E" w:rsidRDefault="002942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FE14" w14:textId="77777777" w:rsidR="0029429E" w:rsidRPr="00E44FE5" w:rsidRDefault="0029429E" w:rsidP="00DE3F25">
    <w:pPr>
      <w:pStyle w:val="Encabezado"/>
      <w:rPr>
        <w:sz w:val="24"/>
        <w:szCs w:val="24"/>
      </w:rPr>
    </w:pPr>
    <w:r w:rsidRPr="00E44FE5">
      <w:rPr>
        <w:noProof/>
        <w:sz w:val="24"/>
        <w:szCs w:val="24"/>
        <w:lang w:eastAsia="es-CO"/>
      </w:rPr>
      <w:drawing>
        <wp:anchor distT="0" distB="0" distL="114300" distR="114300" simplePos="0" relativeHeight="251659264" behindDoc="1" locked="0" layoutInCell="1" allowOverlap="1" wp14:anchorId="17D335B1" wp14:editId="1CBF7DC7">
          <wp:simplePos x="0" y="0"/>
          <wp:positionH relativeFrom="column">
            <wp:posOffset>-61491</wp:posOffset>
          </wp:positionH>
          <wp:positionV relativeFrom="paragraph">
            <wp:posOffset>-211616</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A4F49" w14:textId="77777777" w:rsidR="0029429E" w:rsidRPr="00E44FE5" w:rsidRDefault="0029429E" w:rsidP="00DE3F25">
    <w:pPr>
      <w:jc w:val="center"/>
      <w:rPr>
        <w:rFonts w:cs="Arial"/>
        <w:b/>
        <w:bCs/>
        <w:sz w:val="24"/>
        <w:szCs w:val="24"/>
        <w:lang w:eastAsia="es-ES"/>
      </w:rPr>
    </w:pPr>
    <w:r w:rsidRPr="00E44FE5">
      <w:rPr>
        <w:rFonts w:cs="Arial"/>
        <w:b/>
        <w:bCs/>
        <w:sz w:val="24"/>
        <w:szCs w:val="24"/>
        <w:lang w:eastAsia="es-ES"/>
      </w:rPr>
      <w:t>CONSEJO DE ESTADO</w:t>
    </w:r>
  </w:p>
  <w:p w14:paraId="1EB06D7A" w14:textId="77777777" w:rsidR="0029429E" w:rsidRPr="00E44FE5" w:rsidRDefault="0029429E" w:rsidP="00DE3F25">
    <w:pPr>
      <w:jc w:val="center"/>
      <w:rPr>
        <w:rFonts w:cs="Arial"/>
        <w:b/>
        <w:bCs/>
        <w:color w:val="000000"/>
        <w:sz w:val="24"/>
        <w:szCs w:val="24"/>
        <w:lang w:eastAsia="es-ES"/>
      </w:rPr>
    </w:pPr>
    <w:r w:rsidRPr="00E44FE5">
      <w:rPr>
        <w:rFonts w:cs="Arial"/>
        <w:b/>
        <w:bCs/>
        <w:color w:val="000000"/>
        <w:sz w:val="24"/>
        <w:szCs w:val="24"/>
        <w:lang w:eastAsia="es-ES"/>
      </w:rPr>
      <w:t>SALA DE LO CONTENCIOSO ADMINISTRATIVO</w:t>
    </w:r>
  </w:p>
  <w:p w14:paraId="71649F82" w14:textId="77777777" w:rsidR="0029429E" w:rsidRPr="00E44FE5" w:rsidRDefault="0029429E" w:rsidP="00DE3F25">
    <w:pPr>
      <w:jc w:val="center"/>
      <w:rPr>
        <w:rFonts w:cs="Arial"/>
        <w:b/>
        <w:bCs/>
        <w:color w:val="000000"/>
        <w:sz w:val="24"/>
        <w:szCs w:val="24"/>
        <w:lang w:eastAsia="es-ES"/>
      </w:rPr>
    </w:pPr>
    <w:r w:rsidRPr="00E44FE5">
      <w:rPr>
        <w:rFonts w:cs="Arial"/>
        <w:b/>
        <w:bCs/>
        <w:color w:val="000000"/>
        <w:sz w:val="24"/>
        <w:szCs w:val="24"/>
        <w:lang w:eastAsia="es-ES"/>
      </w:rPr>
      <w:t>SECCIÓN TERCERA</w:t>
    </w:r>
  </w:p>
  <w:p w14:paraId="3C48354A" w14:textId="77777777" w:rsidR="0029429E" w:rsidRPr="00E44FE5" w:rsidRDefault="0029429E" w:rsidP="00DE3F25">
    <w:pPr>
      <w:jc w:val="center"/>
      <w:rPr>
        <w:rFonts w:cs="Arial"/>
        <w:b/>
        <w:bCs/>
        <w:color w:val="000000"/>
        <w:sz w:val="24"/>
        <w:szCs w:val="24"/>
        <w:lang w:eastAsia="es-ES"/>
      </w:rPr>
    </w:pPr>
    <w:r w:rsidRPr="00E44FE5">
      <w:rPr>
        <w:rFonts w:cs="Arial"/>
        <w:b/>
        <w:bCs/>
        <w:color w:val="000000"/>
        <w:sz w:val="24"/>
        <w:szCs w:val="24"/>
        <w:lang w:eastAsia="es-ES"/>
      </w:rPr>
      <w:t>SUBSECCIÓN C</w:t>
    </w:r>
  </w:p>
  <w:p w14:paraId="3931237C" w14:textId="77777777" w:rsidR="0029429E" w:rsidRDefault="002942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687F1334"/>
    <w:multiLevelType w:val="hybridMultilevel"/>
    <w:tmpl w:val="9AAC5B14"/>
    <w:lvl w:ilvl="0" w:tplc="CE0ADD7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25"/>
    <w:rsid w:val="00000B64"/>
    <w:rsid w:val="00021FE9"/>
    <w:rsid w:val="00024B42"/>
    <w:rsid w:val="00041465"/>
    <w:rsid w:val="00061CD3"/>
    <w:rsid w:val="0007021A"/>
    <w:rsid w:val="000A108C"/>
    <w:rsid w:val="000B10C9"/>
    <w:rsid w:val="000B34C6"/>
    <w:rsid w:val="000C26DE"/>
    <w:rsid w:val="000C4094"/>
    <w:rsid w:val="000D1F2E"/>
    <w:rsid w:val="000E78A5"/>
    <w:rsid w:val="000F7E0E"/>
    <w:rsid w:val="001014E1"/>
    <w:rsid w:val="00121ED3"/>
    <w:rsid w:val="00124DD4"/>
    <w:rsid w:val="001453B7"/>
    <w:rsid w:val="00155174"/>
    <w:rsid w:val="00172240"/>
    <w:rsid w:val="001731D1"/>
    <w:rsid w:val="00181B1E"/>
    <w:rsid w:val="001872B0"/>
    <w:rsid w:val="001902C0"/>
    <w:rsid w:val="001A20EF"/>
    <w:rsid w:val="001A40E4"/>
    <w:rsid w:val="001C7315"/>
    <w:rsid w:val="00220D31"/>
    <w:rsid w:val="002330FE"/>
    <w:rsid w:val="002430BC"/>
    <w:rsid w:val="00246D4F"/>
    <w:rsid w:val="002503FD"/>
    <w:rsid w:val="002555DE"/>
    <w:rsid w:val="00284095"/>
    <w:rsid w:val="002864D0"/>
    <w:rsid w:val="0029429E"/>
    <w:rsid w:val="002A7073"/>
    <w:rsid w:val="002B712F"/>
    <w:rsid w:val="002C1F8A"/>
    <w:rsid w:val="002F0140"/>
    <w:rsid w:val="002F4DD7"/>
    <w:rsid w:val="003244C5"/>
    <w:rsid w:val="00347156"/>
    <w:rsid w:val="003721A8"/>
    <w:rsid w:val="00391366"/>
    <w:rsid w:val="003C03AF"/>
    <w:rsid w:val="003E258F"/>
    <w:rsid w:val="0041062D"/>
    <w:rsid w:val="00425C8E"/>
    <w:rsid w:val="00426D18"/>
    <w:rsid w:val="004275C4"/>
    <w:rsid w:val="00445757"/>
    <w:rsid w:val="00445CF6"/>
    <w:rsid w:val="00447AFE"/>
    <w:rsid w:val="00463760"/>
    <w:rsid w:val="00463ED2"/>
    <w:rsid w:val="004800C9"/>
    <w:rsid w:val="00491A8C"/>
    <w:rsid w:val="00497D0E"/>
    <w:rsid w:val="004A4D25"/>
    <w:rsid w:val="004A5BE6"/>
    <w:rsid w:val="004C2436"/>
    <w:rsid w:val="004D75F3"/>
    <w:rsid w:val="004E6147"/>
    <w:rsid w:val="005005DF"/>
    <w:rsid w:val="00506F88"/>
    <w:rsid w:val="00511F97"/>
    <w:rsid w:val="00530557"/>
    <w:rsid w:val="00570A5D"/>
    <w:rsid w:val="005724FF"/>
    <w:rsid w:val="00574CC5"/>
    <w:rsid w:val="00595F16"/>
    <w:rsid w:val="005B2293"/>
    <w:rsid w:val="005B3967"/>
    <w:rsid w:val="005C6984"/>
    <w:rsid w:val="005C6A0C"/>
    <w:rsid w:val="005C6F73"/>
    <w:rsid w:val="005D5F42"/>
    <w:rsid w:val="005D6672"/>
    <w:rsid w:val="005D6817"/>
    <w:rsid w:val="005E76B7"/>
    <w:rsid w:val="00603301"/>
    <w:rsid w:val="0060711F"/>
    <w:rsid w:val="00620385"/>
    <w:rsid w:val="00625A86"/>
    <w:rsid w:val="00626C6B"/>
    <w:rsid w:val="00642B26"/>
    <w:rsid w:val="00644081"/>
    <w:rsid w:val="00652E80"/>
    <w:rsid w:val="00662A2A"/>
    <w:rsid w:val="00663E78"/>
    <w:rsid w:val="0068053F"/>
    <w:rsid w:val="0068564A"/>
    <w:rsid w:val="006911A7"/>
    <w:rsid w:val="00697BB7"/>
    <w:rsid w:val="006B7B21"/>
    <w:rsid w:val="006C2CBC"/>
    <w:rsid w:val="006D65ED"/>
    <w:rsid w:val="006E0B93"/>
    <w:rsid w:val="006F5A1E"/>
    <w:rsid w:val="00732193"/>
    <w:rsid w:val="0074331F"/>
    <w:rsid w:val="00762ABA"/>
    <w:rsid w:val="00763532"/>
    <w:rsid w:val="007801CA"/>
    <w:rsid w:val="007A5439"/>
    <w:rsid w:val="007D1D64"/>
    <w:rsid w:val="007E7D20"/>
    <w:rsid w:val="008037F4"/>
    <w:rsid w:val="008063D4"/>
    <w:rsid w:val="00810B28"/>
    <w:rsid w:val="00810B2F"/>
    <w:rsid w:val="00821EAE"/>
    <w:rsid w:val="00861901"/>
    <w:rsid w:val="008625C8"/>
    <w:rsid w:val="00864458"/>
    <w:rsid w:val="008A5ACD"/>
    <w:rsid w:val="008E4EE9"/>
    <w:rsid w:val="008F2AB1"/>
    <w:rsid w:val="00901796"/>
    <w:rsid w:val="00930B17"/>
    <w:rsid w:val="00951321"/>
    <w:rsid w:val="00967E75"/>
    <w:rsid w:val="00975A8B"/>
    <w:rsid w:val="00992767"/>
    <w:rsid w:val="009961F7"/>
    <w:rsid w:val="009D79F3"/>
    <w:rsid w:val="009F37E0"/>
    <w:rsid w:val="009F499D"/>
    <w:rsid w:val="00A019D5"/>
    <w:rsid w:val="00A14BCE"/>
    <w:rsid w:val="00A325B4"/>
    <w:rsid w:val="00A40B66"/>
    <w:rsid w:val="00A410D7"/>
    <w:rsid w:val="00A57AA8"/>
    <w:rsid w:val="00A629F0"/>
    <w:rsid w:val="00A6525C"/>
    <w:rsid w:val="00A77E40"/>
    <w:rsid w:val="00A919A2"/>
    <w:rsid w:val="00A922A6"/>
    <w:rsid w:val="00AA071D"/>
    <w:rsid w:val="00AE5AED"/>
    <w:rsid w:val="00AE64F3"/>
    <w:rsid w:val="00AE7C49"/>
    <w:rsid w:val="00AF311E"/>
    <w:rsid w:val="00AF71C1"/>
    <w:rsid w:val="00B0337E"/>
    <w:rsid w:val="00B151C1"/>
    <w:rsid w:val="00B16DDE"/>
    <w:rsid w:val="00B32D4F"/>
    <w:rsid w:val="00B70B3E"/>
    <w:rsid w:val="00B765E7"/>
    <w:rsid w:val="00BB3FBE"/>
    <w:rsid w:val="00BC4DDB"/>
    <w:rsid w:val="00BE5E48"/>
    <w:rsid w:val="00BE63DE"/>
    <w:rsid w:val="00C02294"/>
    <w:rsid w:val="00C16B6E"/>
    <w:rsid w:val="00C31E58"/>
    <w:rsid w:val="00C5060C"/>
    <w:rsid w:val="00C56546"/>
    <w:rsid w:val="00C62D09"/>
    <w:rsid w:val="00CC3E1B"/>
    <w:rsid w:val="00CD68C1"/>
    <w:rsid w:val="00CD6C75"/>
    <w:rsid w:val="00CF5D07"/>
    <w:rsid w:val="00D40358"/>
    <w:rsid w:val="00D45A34"/>
    <w:rsid w:val="00D526CD"/>
    <w:rsid w:val="00D5464F"/>
    <w:rsid w:val="00D6052C"/>
    <w:rsid w:val="00D71D78"/>
    <w:rsid w:val="00D81275"/>
    <w:rsid w:val="00D823FF"/>
    <w:rsid w:val="00DE3F25"/>
    <w:rsid w:val="00DF5B1F"/>
    <w:rsid w:val="00E06234"/>
    <w:rsid w:val="00E1448B"/>
    <w:rsid w:val="00E14E2D"/>
    <w:rsid w:val="00E4489F"/>
    <w:rsid w:val="00E44DDA"/>
    <w:rsid w:val="00E6690A"/>
    <w:rsid w:val="00E70CB9"/>
    <w:rsid w:val="00E80394"/>
    <w:rsid w:val="00E91471"/>
    <w:rsid w:val="00E957E2"/>
    <w:rsid w:val="00E976A0"/>
    <w:rsid w:val="00EA226D"/>
    <w:rsid w:val="00EA6977"/>
    <w:rsid w:val="00EA7AE1"/>
    <w:rsid w:val="00EB2674"/>
    <w:rsid w:val="00EE67F7"/>
    <w:rsid w:val="00EE7056"/>
    <w:rsid w:val="00F1256A"/>
    <w:rsid w:val="00F14233"/>
    <w:rsid w:val="00F27135"/>
    <w:rsid w:val="00F379AE"/>
    <w:rsid w:val="00F43EE0"/>
    <w:rsid w:val="00F65387"/>
    <w:rsid w:val="00F67E3F"/>
    <w:rsid w:val="00FC4B11"/>
    <w:rsid w:val="00FC6FA3"/>
    <w:rsid w:val="00FD207E"/>
    <w:rsid w:val="00FD4E16"/>
    <w:rsid w:val="00FD5DAB"/>
    <w:rsid w:val="00FE68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3ACC"/>
  <w15:chartTrackingRefBased/>
  <w15:docId w15:val="{166572EF-C169-42DF-A1F5-54BBD0DC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F25"/>
    <w:pPr>
      <w:tabs>
        <w:tab w:val="center" w:pos="4419"/>
        <w:tab w:val="right" w:pos="8838"/>
      </w:tabs>
    </w:pPr>
  </w:style>
  <w:style w:type="character" w:customStyle="1" w:styleId="EncabezadoCar">
    <w:name w:val="Encabezado Car"/>
    <w:basedOn w:val="Fuentedeprrafopredeter"/>
    <w:link w:val="Encabezado"/>
    <w:uiPriority w:val="99"/>
    <w:rsid w:val="00DE3F25"/>
  </w:style>
  <w:style w:type="paragraph" w:styleId="Piedepgina">
    <w:name w:val="footer"/>
    <w:basedOn w:val="Normal"/>
    <w:link w:val="PiedepginaCar"/>
    <w:uiPriority w:val="99"/>
    <w:unhideWhenUsed/>
    <w:rsid w:val="00DE3F25"/>
    <w:pPr>
      <w:tabs>
        <w:tab w:val="center" w:pos="4419"/>
        <w:tab w:val="right" w:pos="8838"/>
      </w:tabs>
    </w:pPr>
  </w:style>
  <w:style w:type="character" w:customStyle="1" w:styleId="PiedepginaCar">
    <w:name w:val="Pie de página Car"/>
    <w:basedOn w:val="Fuentedeprrafopredeter"/>
    <w:link w:val="Piedepgina"/>
    <w:uiPriority w:val="99"/>
    <w:rsid w:val="00DE3F25"/>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3E258F"/>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3E258F"/>
    <w:pPr>
      <w:overflowPunct w:val="0"/>
      <w:autoSpaceDE w:val="0"/>
      <w:autoSpaceDN w:val="0"/>
      <w:adjustRightInd w:val="0"/>
      <w:jc w:val="left"/>
      <w:textAlignment w:val="baseline"/>
    </w:pPr>
    <w:rPr>
      <w:rFonts w:ascii="Times New Roman" w:eastAsia="Times New Roman" w:hAnsi="Times New Roman" w:cs="Times New Roman"/>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3E258F"/>
    <w:rPr>
      <w:rFonts w:ascii="Times New Roman" w:eastAsia="Times New Roman" w:hAnsi="Times New Roman" w:cs="Times New Roman"/>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3E258F"/>
    <w:rPr>
      <w:vertAlign w:val="superscript"/>
    </w:rPr>
  </w:style>
  <w:style w:type="paragraph" w:styleId="Prrafodelista">
    <w:name w:val="List Paragraph"/>
    <w:basedOn w:val="Normal"/>
    <w:uiPriority w:val="34"/>
    <w:qFormat/>
    <w:rsid w:val="003E258F"/>
    <w:pPr>
      <w:ind w:left="720"/>
      <w:contextualSpacing/>
    </w:pPr>
  </w:style>
  <w:style w:type="paragraph" w:styleId="Sinespaciado">
    <w:name w:val="No Spacing"/>
    <w:link w:val="SinespaciadoCar"/>
    <w:uiPriority w:val="1"/>
    <w:qFormat/>
    <w:rsid w:val="00930B17"/>
    <w:pPr>
      <w:jc w:val="left"/>
    </w:pPr>
    <w:rPr>
      <w:rFonts w:ascii="Calibri" w:eastAsia="Calibri" w:hAnsi="Calibri" w:cs="Times New Roman"/>
      <w:sz w:val="22"/>
      <w:szCs w:val="22"/>
    </w:rPr>
  </w:style>
  <w:style w:type="character" w:customStyle="1" w:styleId="SinespaciadoCar">
    <w:name w:val="Sin espaciado Car"/>
    <w:link w:val="Sinespaciado"/>
    <w:uiPriority w:val="1"/>
    <w:locked/>
    <w:rsid w:val="00930B17"/>
    <w:rPr>
      <w:rFonts w:ascii="Calibri" w:eastAsia="Calibri" w:hAnsi="Calibri" w:cs="Times New Roman"/>
      <w:sz w:val="22"/>
      <w:szCs w:val="22"/>
    </w:rPr>
  </w:style>
  <w:style w:type="character" w:styleId="Refdecomentario">
    <w:name w:val="annotation reference"/>
    <w:basedOn w:val="Fuentedeprrafopredeter"/>
    <w:uiPriority w:val="99"/>
    <w:semiHidden/>
    <w:unhideWhenUsed/>
    <w:rsid w:val="002F4DD7"/>
    <w:rPr>
      <w:sz w:val="16"/>
      <w:szCs w:val="16"/>
    </w:rPr>
  </w:style>
  <w:style w:type="paragraph" w:styleId="Textocomentario">
    <w:name w:val="annotation text"/>
    <w:basedOn w:val="Normal"/>
    <w:link w:val="TextocomentarioCar"/>
    <w:uiPriority w:val="99"/>
    <w:semiHidden/>
    <w:unhideWhenUsed/>
    <w:rsid w:val="002F4DD7"/>
  </w:style>
  <w:style w:type="character" w:customStyle="1" w:styleId="TextocomentarioCar">
    <w:name w:val="Texto comentario Car"/>
    <w:basedOn w:val="Fuentedeprrafopredeter"/>
    <w:link w:val="Textocomentario"/>
    <w:uiPriority w:val="99"/>
    <w:semiHidden/>
    <w:rsid w:val="002F4DD7"/>
  </w:style>
  <w:style w:type="paragraph" w:styleId="Asuntodelcomentario">
    <w:name w:val="annotation subject"/>
    <w:basedOn w:val="Textocomentario"/>
    <w:next w:val="Textocomentario"/>
    <w:link w:val="AsuntodelcomentarioCar"/>
    <w:uiPriority w:val="99"/>
    <w:semiHidden/>
    <w:unhideWhenUsed/>
    <w:rsid w:val="002F4DD7"/>
    <w:rPr>
      <w:b/>
      <w:bCs/>
    </w:rPr>
  </w:style>
  <w:style w:type="character" w:customStyle="1" w:styleId="AsuntodelcomentarioCar">
    <w:name w:val="Asunto del comentario Car"/>
    <w:basedOn w:val="TextocomentarioCar"/>
    <w:link w:val="Asuntodelcomentario"/>
    <w:uiPriority w:val="99"/>
    <w:semiHidden/>
    <w:rsid w:val="002F4DD7"/>
    <w:rPr>
      <w:b/>
      <w:bCs/>
    </w:rPr>
  </w:style>
  <w:style w:type="paragraph" w:styleId="Textodeglobo">
    <w:name w:val="Balloon Text"/>
    <w:basedOn w:val="Normal"/>
    <w:link w:val="TextodegloboCar"/>
    <w:uiPriority w:val="99"/>
    <w:semiHidden/>
    <w:unhideWhenUsed/>
    <w:rsid w:val="002F4D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35F87-EBE7-41EA-9F31-E40A8EC5D085}">
  <ds:schemaRefs>
    <ds:schemaRef ds:uri="http://schemas.microsoft.com/sharepoint/v3/contenttype/forms"/>
  </ds:schemaRefs>
</ds:datastoreItem>
</file>

<file path=customXml/itemProps2.xml><?xml version="1.0" encoding="utf-8"?>
<ds:datastoreItem xmlns:ds="http://schemas.openxmlformats.org/officeDocument/2006/customXml" ds:itemID="{AAB9ED3F-C131-4519-9EE6-67629936B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7047-4399-4DB5-B5ED-2CD1B995B05A}">
  <ds:schemaRefs>
    <ds:schemaRef ds:uri="http://schemas.openxmlformats.org/officeDocument/2006/bibliography"/>
  </ds:schemaRefs>
</ds:datastoreItem>
</file>

<file path=customXml/itemProps4.xml><?xml version="1.0" encoding="utf-8"?>
<ds:datastoreItem xmlns:ds="http://schemas.openxmlformats.org/officeDocument/2006/customXml" ds:itemID="{F010B7B2-5BD5-499E-A7C4-546369A4B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3513</Words>
  <Characters>19324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2021-01-15T14:54:00Z</dcterms:created>
  <dcterms:modified xsi:type="dcterms:W3CDTF">2021-01-15T14:54:00Z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