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6E6FF9" w:rsidRDefault="009E3ECE" w:rsidP="00F5606B">
      <w:pPr>
        <w:pStyle w:val="Sinespaciado"/>
        <w:spacing w:line="276" w:lineRule="auto"/>
        <w:rPr>
          <w:color w:val="000000" w:themeColor="text1"/>
          <w:szCs w:val="24"/>
        </w:rPr>
      </w:pPr>
      <w:r w:rsidRPr="006E6FF9">
        <w:rPr>
          <w:color w:val="000000" w:themeColor="text1"/>
          <w:szCs w:val="24"/>
        </w:rPr>
        <w:t>CONSEJERO PONENTE: JAIME ENRIQUE RODRÍGUEZ NAVAS</w:t>
      </w:r>
    </w:p>
    <w:p w14:paraId="66003472" w14:textId="77777777" w:rsidR="009E3ECE" w:rsidRPr="006E6FF9" w:rsidRDefault="009E3ECE" w:rsidP="00F5606B">
      <w:pPr>
        <w:spacing w:line="276" w:lineRule="auto"/>
        <w:contextualSpacing/>
        <w:rPr>
          <w:b/>
          <w:bCs/>
          <w:color w:val="000000" w:themeColor="text1"/>
          <w:sz w:val="24"/>
          <w:szCs w:val="24"/>
        </w:rPr>
      </w:pPr>
    </w:p>
    <w:p w14:paraId="30E8F38C" w14:textId="5AAAF02F" w:rsidR="009E3ECE" w:rsidRPr="006E6FF9" w:rsidRDefault="00BE70DA" w:rsidP="00F5606B">
      <w:pPr>
        <w:spacing w:line="276" w:lineRule="auto"/>
        <w:contextualSpacing/>
        <w:rPr>
          <w:bCs/>
          <w:color w:val="000000" w:themeColor="text1"/>
          <w:sz w:val="24"/>
          <w:szCs w:val="24"/>
        </w:rPr>
      </w:pPr>
      <w:r w:rsidRPr="006E6FF9">
        <w:rPr>
          <w:bCs/>
          <w:color w:val="000000" w:themeColor="text1"/>
          <w:sz w:val="24"/>
          <w:szCs w:val="24"/>
        </w:rPr>
        <w:t xml:space="preserve">Bogotá D.C., </w:t>
      </w:r>
      <w:r w:rsidR="00F5606B" w:rsidRPr="006E6FF9">
        <w:rPr>
          <w:bCs/>
          <w:color w:val="000000" w:themeColor="text1"/>
          <w:sz w:val="24"/>
          <w:szCs w:val="24"/>
        </w:rPr>
        <w:t>veintitrés</w:t>
      </w:r>
      <w:r w:rsidRPr="006E6FF9">
        <w:rPr>
          <w:bCs/>
          <w:color w:val="000000" w:themeColor="text1"/>
          <w:sz w:val="24"/>
          <w:szCs w:val="24"/>
        </w:rPr>
        <w:t xml:space="preserve"> </w:t>
      </w:r>
      <w:r w:rsidR="00F67C50" w:rsidRPr="006E6FF9">
        <w:rPr>
          <w:bCs/>
          <w:color w:val="000000" w:themeColor="text1"/>
          <w:sz w:val="24"/>
          <w:szCs w:val="24"/>
        </w:rPr>
        <w:t>(</w:t>
      </w:r>
      <w:r w:rsidR="00F5606B" w:rsidRPr="006E6FF9">
        <w:rPr>
          <w:bCs/>
          <w:color w:val="000000" w:themeColor="text1"/>
          <w:sz w:val="24"/>
          <w:szCs w:val="24"/>
        </w:rPr>
        <w:t>23</w:t>
      </w:r>
      <w:r w:rsidR="009E3ECE" w:rsidRPr="006E6FF9">
        <w:rPr>
          <w:bCs/>
          <w:color w:val="000000" w:themeColor="text1"/>
          <w:sz w:val="24"/>
          <w:szCs w:val="24"/>
        </w:rPr>
        <w:t>) de</w:t>
      </w:r>
      <w:r w:rsidR="00FA03FF" w:rsidRPr="006E6FF9">
        <w:rPr>
          <w:bCs/>
          <w:color w:val="000000" w:themeColor="text1"/>
          <w:sz w:val="24"/>
          <w:szCs w:val="24"/>
        </w:rPr>
        <w:t xml:space="preserve"> noviem</w:t>
      </w:r>
      <w:r w:rsidR="00566F5D" w:rsidRPr="006E6FF9">
        <w:rPr>
          <w:bCs/>
          <w:color w:val="000000" w:themeColor="text1"/>
          <w:sz w:val="24"/>
          <w:szCs w:val="24"/>
        </w:rPr>
        <w:t>bre</w:t>
      </w:r>
      <w:r w:rsidR="00F5606B" w:rsidRPr="006E6FF9">
        <w:rPr>
          <w:bCs/>
          <w:color w:val="000000" w:themeColor="text1"/>
          <w:sz w:val="24"/>
          <w:szCs w:val="24"/>
        </w:rPr>
        <w:t xml:space="preserve"> dos mil veinte (2020)</w:t>
      </w:r>
    </w:p>
    <w:p w14:paraId="73D41E8B" w14:textId="77777777" w:rsidR="009E3ECE" w:rsidRPr="006E6FF9" w:rsidRDefault="009E3ECE" w:rsidP="00F5606B">
      <w:pPr>
        <w:spacing w:line="276" w:lineRule="auto"/>
        <w:contextualSpacing/>
        <w:rPr>
          <w:b/>
          <w:color w:val="000000" w:themeColor="text1"/>
          <w:sz w:val="24"/>
          <w:szCs w:val="24"/>
        </w:rPr>
      </w:pPr>
    </w:p>
    <w:p w14:paraId="2BA4AEC9" w14:textId="7357C5B4" w:rsidR="009E3ECE" w:rsidRPr="006E6FF9" w:rsidRDefault="009E3ECE" w:rsidP="00F5606B">
      <w:pPr>
        <w:spacing w:line="276" w:lineRule="auto"/>
        <w:ind w:left="1985" w:hanging="1985"/>
        <w:contextualSpacing/>
        <w:rPr>
          <w:b/>
          <w:color w:val="000000" w:themeColor="text1"/>
          <w:sz w:val="24"/>
          <w:szCs w:val="24"/>
        </w:rPr>
      </w:pPr>
      <w:r w:rsidRPr="006E6FF9">
        <w:rPr>
          <w:b/>
          <w:color w:val="000000" w:themeColor="text1"/>
          <w:sz w:val="24"/>
          <w:szCs w:val="24"/>
        </w:rPr>
        <w:t xml:space="preserve">Referencia: </w:t>
      </w:r>
      <w:r w:rsidRPr="006E6FF9">
        <w:rPr>
          <w:b/>
          <w:color w:val="000000" w:themeColor="text1"/>
          <w:sz w:val="24"/>
          <w:szCs w:val="24"/>
        </w:rPr>
        <w:tab/>
      </w:r>
      <w:r w:rsidRPr="006E6FF9">
        <w:rPr>
          <w:color w:val="000000" w:themeColor="text1"/>
          <w:sz w:val="24"/>
          <w:szCs w:val="24"/>
        </w:rPr>
        <w:t>Acción de tutela</w:t>
      </w:r>
    </w:p>
    <w:p w14:paraId="67D22B43" w14:textId="0D0FC800" w:rsidR="009E3ECE" w:rsidRPr="006E6FF9" w:rsidRDefault="009E3ECE" w:rsidP="00F5606B">
      <w:pPr>
        <w:tabs>
          <w:tab w:val="left" w:pos="1985"/>
        </w:tabs>
        <w:spacing w:line="276" w:lineRule="auto"/>
        <w:contextualSpacing/>
        <w:rPr>
          <w:color w:val="000000" w:themeColor="text1"/>
          <w:sz w:val="24"/>
          <w:szCs w:val="24"/>
        </w:rPr>
      </w:pPr>
      <w:r w:rsidRPr="006E6FF9">
        <w:rPr>
          <w:b/>
          <w:color w:val="000000" w:themeColor="text1"/>
          <w:sz w:val="24"/>
          <w:szCs w:val="24"/>
        </w:rPr>
        <w:t>Radicación:</w:t>
      </w:r>
      <w:r w:rsidRPr="006E6FF9">
        <w:rPr>
          <w:b/>
          <w:color w:val="000000" w:themeColor="text1"/>
          <w:sz w:val="24"/>
          <w:szCs w:val="24"/>
        </w:rPr>
        <w:tab/>
      </w:r>
      <w:r w:rsidR="00F5606B" w:rsidRPr="006E6FF9">
        <w:rPr>
          <w:color w:val="000000" w:themeColor="text1"/>
          <w:sz w:val="24"/>
          <w:szCs w:val="24"/>
        </w:rPr>
        <w:t>11001-03-15-000-2020-04428-00</w:t>
      </w:r>
    </w:p>
    <w:p w14:paraId="04D285CE" w14:textId="6ABE5674" w:rsidR="009E3ECE" w:rsidRPr="006E6FF9" w:rsidRDefault="009E3ECE" w:rsidP="00F5606B">
      <w:pPr>
        <w:tabs>
          <w:tab w:val="left" w:pos="1985"/>
        </w:tabs>
        <w:spacing w:line="276" w:lineRule="auto"/>
        <w:contextualSpacing/>
        <w:rPr>
          <w:color w:val="000000" w:themeColor="text1"/>
          <w:sz w:val="24"/>
          <w:szCs w:val="24"/>
        </w:rPr>
      </w:pPr>
      <w:r w:rsidRPr="006E6FF9">
        <w:rPr>
          <w:b/>
          <w:color w:val="000000" w:themeColor="text1"/>
          <w:sz w:val="24"/>
          <w:szCs w:val="24"/>
        </w:rPr>
        <w:t>Accionante:</w:t>
      </w:r>
      <w:r w:rsidRPr="006E6FF9">
        <w:rPr>
          <w:b/>
          <w:color w:val="000000" w:themeColor="text1"/>
          <w:sz w:val="24"/>
          <w:szCs w:val="24"/>
        </w:rPr>
        <w:tab/>
      </w:r>
      <w:r w:rsidR="00F5606B" w:rsidRPr="006E6FF9">
        <w:rPr>
          <w:color w:val="000000" w:themeColor="text1"/>
          <w:sz w:val="24"/>
          <w:szCs w:val="24"/>
        </w:rPr>
        <w:t xml:space="preserve">Víctor Rafael Díaz Arroyo </w:t>
      </w:r>
    </w:p>
    <w:p w14:paraId="1B63E8DC" w14:textId="3282E0B7" w:rsidR="009E3ECE" w:rsidRPr="006E6FF9" w:rsidRDefault="009E3ECE" w:rsidP="00F5606B">
      <w:pPr>
        <w:tabs>
          <w:tab w:val="left" w:pos="1985"/>
        </w:tabs>
        <w:spacing w:line="276" w:lineRule="auto"/>
        <w:ind w:left="1985" w:right="51" w:hanging="1985"/>
        <w:contextualSpacing/>
        <w:rPr>
          <w:bCs/>
          <w:color w:val="000000" w:themeColor="text1"/>
          <w:sz w:val="24"/>
          <w:szCs w:val="24"/>
        </w:rPr>
      </w:pPr>
      <w:r w:rsidRPr="006E6FF9">
        <w:rPr>
          <w:b/>
          <w:color w:val="000000" w:themeColor="text1"/>
          <w:sz w:val="24"/>
          <w:szCs w:val="24"/>
        </w:rPr>
        <w:t>Accionado:</w:t>
      </w:r>
      <w:r w:rsidRPr="006E6FF9">
        <w:rPr>
          <w:b/>
          <w:color w:val="000000" w:themeColor="text1"/>
          <w:sz w:val="24"/>
          <w:szCs w:val="24"/>
        </w:rPr>
        <w:tab/>
      </w:r>
      <w:r w:rsidR="00F5606B" w:rsidRPr="006E6FF9">
        <w:rPr>
          <w:bCs/>
          <w:color w:val="000000" w:themeColor="text1"/>
          <w:sz w:val="24"/>
          <w:szCs w:val="24"/>
        </w:rPr>
        <w:t>Tribunal Administrativo del Atlántico</w:t>
      </w:r>
    </w:p>
    <w:p w14:paraId="62E8FC2A" w14:textId="77777777" w:rsidR="009E3ECE" w:rsidRPr="006E6FF9" w:rsidRDefault="009E3ECE" w:rsidP="00F5606B">
      <w:pPr>
        <w:tabs>
          <w:tab w:val="left" w:pos="8222"/>
        </w:tabs>
        <w:spacing w:line="276" w:lineRule="auto"/>
        <w:ind w:right="51"/>
        <w:contextualSpacing/>
        <w:rPr>
          <w:b/>
          <w:color w:val="000000" w:themeColor="text1"/>
          <w:sz w:val="24"/>
          <w:szCs w:val="24"/>
        </w:rPr>
      </w:pPr>
    </w:p>
    <w:p w14:paraId="1F1EB299" w14:textId="77777777" w:rsidR="009E3ECE" w:rsidRPr="006E6FF9" w:rsidRDefault="009E3ECE" w:rsidP="00F5606B">
      <w:pPr>
        <w:pBdr>
          <w:bottom w:val="single" w:sz="12" w:space="0" w:color="auto"/>
        </w:pBdr>
        <w:spacing w:line="276" w:lineRule="auto"/>
        <w:ind w:left="2832" w:hanging="2832"/>
        <w:contextualSpacing/>
        <w:rPr>
          <w:b/>
          <w:color w:val="000000" w:themeColor="text1"/>
          <w:sz w:val="24"/>
          <w:szCs w:val="24"/>
        </w:rPr>
      </w:pPr>
      <w:r w:rsidRPr="006E6FF9">
        <w:rPr>
          <w:b/>
          <w:color w:val="000000" w:themeColor="text1"/>
          <w:sz w:val="24"/>
          <w:szCs w:val="24"/>
        </w:rPr>
        <w:t>SENTENCIA DE PRIMERA INSTANCIA</w:t>
      </w:r>
    </w:p>
    <w:p w14:paraId="77B65B2A" w14:textId="77777777" w:rsidR="009E3ECE" w:rsidRPr="006E6FF9" w:rsidRDefault="009E3ECE" w:rsidP="00F5606B">
      <w:pPr>
        <w:spacing w:line="276" w:lineRule="auto"/>
        <w:contextualSpacing/>
        <w:jc w:val="center"/>
        <w:rPr>
          <w:b/>
          <w:color w:val="000000" w:themeColor="text1"/>
          <w:sz w:val="24"/>
          <w:szCs w:val="24"/>
        </w:rPr>
      </w:pPr>
    </w:p>
    <w:p w14:paraId="29D45451" w14:textId="08758AEE" w:rsidR="009E3ECE" w:rsidRPr="006E6FF9" w:rsidRDefault="009E3ECE" w:rsidP="00F5606B">
      <w:pPr>
        <w:pStyle w:val="Textoindependiente21"/>
        <w:spacing w:after="0" w:line="276" w:lineRule="auto"/>
        <w:ind w:left="0"/>
        <w:jc w:val="both"/>
        <w:rPr>
          <w:rFonts w:cs="Arial"/>
          <w:bCs/>
          <w:color w:val="000000" w:themeColor="text1"/>
          <w:sz w:val="24"/>
          <w:szCs w:val="24"/>
          <w:lang w:val="es-CO"/>
        </w:rPr>
      </w:pPr>
      <w:r w:rsidRPr="006E6FF9">
        <w:rPr>
          <w:rFonts w:cs="Arial"/>
          <w:color w:val="000000" w:themeColor="text1"/>
          <w:sz w:val="24"/>
          <w:szCs w:val="24"/>
        </w:rPr>
        <w:t>La Sala decide la acción de tutela incoada por</w:t>
      </w:r>
      <w:r w:rsidR="00BE70DA" w:rsidRPr="006E6FF9">
        <w:rPr>
          <w:rFonts w:cs="Arial"/>
          <w:color w:val="000000" w:themeColor="text1"/>
          <w:sz w:val="24"/>
          <w:szCs w:val="24"/>
        </w:rPr>
        <w:t xml:space="preserve"> </w:t>
      </w:r>
      <w:r w:rsidR="00F5606B" w:rsidRPr="006E6FF9">
        <w:rPr>
          <w:rFonts w:cs="Arial"/>
          <w:color w:val="000000" w:themeColor="text1"/>
          <w:sz w:val="24"/>
          <w:szCs w:val="24"/>
        </w:rPr>
        <w:t xml:space="preserve">Víctor Rafael Díaz Arroyo </w:t>
      </w:r>
      <w:r w:rsidRPr="006E6FF9">
        <w:rPr>
          <w:rFonts w:cs="Arial"/>
          <w:color w:val="000000" w:themeColor="text1"/>
          <w:sz w:val="24"/>
          <w:szCs w:val="24"/>
          <w:lang w:val="es-CO"/>
        </w:rPr>
        <w:t xml:space="preserve">en contra </w:t>
      </w:r>
      <w:bookmarkStart w:id="0" w:name="_Hlk49761891"/>
      <w:r w:rsidR="00BE70DA" w:rsidRPr="006E6FF9">
        <w:rPr>
          <w:rFonts w:cs="Arial"/>
          <w:bCs/>
          <w:color w:val="000000" w:themeColor="text1"/>
          <w:sz w:val="24"/>
          <w:szCs w:val="24"/>
        </w:rPr>
        <w:t xml:space="preserve">del </w:t>
      </w:r>
      <w:r w:rsidR="00C8500D" w:rsidRPr="006E6FF9">
        <w:rPr>
          <w:rFonts w:cs="Arial"/>
          <w:bCs/>
          <w:color w:val="000000" w:themeColor="text1"/>
          <w:sz w:val="24"/>
          <w:szCs w:val="24"/>
        </w:rPr>
        <w:t>Tribunal Administrativo del Atlántico</w:t>
      </w:r>
      <w:r w:rsidRPr="006E6FF9">
        <w:rPr>
          <w:rFonts w:cs="Arial"/>
          <w:bCs/>
          <w:color w:val="000000" w:themeColor="text1"/>
          <w:sz w:val="24"/>
          <w:szCs w:val="24"/>
          <w:lang w:val="es-CO"/>
        </w:rPr>
        <w:t>.</w:t>
      </w:r>
    </w:p>
    <w:p w14:paraId="51B37D38" w14:textId="77777777" w:rsidR="009E3ECE" w:rsidRPr="006E6FF9" w:rsidRDefault="009E3ECE" w:rsidP="00F5606B">
      <w:pPr>
        <w:pStyle w:val="Textoindependiente21"/>
        <w:spacing w:after="0" w:line="276" w:lineRule="auto"/>
        <w:ind w:left="0"/>
        <w:jc w:val="both"/>
        <w:rPr>
          <w:rFonts w:cs="Arial"/>
          <w:bCs/>
          <w:color w:val="000000" w:themeColor="text1"/>
          <w:sz w:val="24"/>
          <w:szCs w:val="24"/>
          <w:lang w:val="es-CO"/>
        </w:rPr>
      </w:pPr>
    </w:p>
    <w:bookmarkEnd w:id="0"/>
    <w:p w14:paraId="6DD7A65B" w14:textId="77777777" w:rsidR="009E3ECE" w:rsidRPr="006E6FF9" w:rsidRDefault="009E3ECE" w:rsidP="00F5606B">
      <w:pPr>
        <w:pStyle w:val="Ttulo1"/>
        <w:spacing w:before="0" w:after="0"/>
        <w:rPr>
          <w:rFonts w:cs="Arial"/>
          <w:color w:val="000000" w:themeColor="text1"/>
          <w:szCs w:val="24"/>
        </w:rPr>
      </w:pPr>
      <w:r w:rsidRPr="006E6FF9">
        <w:rPr>
          <w:rFonts w:cs="Arial"/>
          <w:color w:val="000000" w:themeColor="text1"/>
          <w:szCs w:val="24"/>
        </w:rPr>
        <w:t>ANTECEDENTES</w:t>
      </w:r>
    </w:p>
    <w:p w14:paraId="0515E92C" w14:textId="77777777" w:rsidR="009E3ECE" w:rsidRPr="006E6FF9" w:rsidRDefault="009E3ECE" w:rsidP="00F5606B">
      <w:pPr>
        <w:spacing w:line="276" w:lineRule="auto"/>
        <w:rPr>
          <w:color w:val="000000" w:themeColor="text1"/>
          <w:sz w:val="24"/>
          <w:szCs w:val="24"/>
        </w:rPr>
      </w:pPr>
    </w:p>
    <w:p w14:paraId="349EF70E" w14:textId="77777777" w:rsidR="009E3ECE" w:rsidRPr="006E6FF9" w:rsidRDefault="009E3ECE" w:rsidP="00F5606B">
      <w:pPr>
        <w:pStyle w:val="Ttulo2"/>
        <w:spacing w:before="0" w:after="0" w:line="276" w:lineRule="auto"/>
        <w:rPr>
          <w:rFonts w:cs="Arial"/>
          <w:color w:val="000000" w:themeColor="text1"/>
          <w:szCs w:val="24"/>
          <w:lang w:eastAsia="es-ES"/>
        </w:rPr>
      </w:pPr>
      <w:r w:rsidRPr="006E6FF9">
        <w:rPr>
          <w:rFonts w:cs="Arial"/>
          <w:color w:val="000000" w:themeColor="text1"/>
          <w:szCs w:val="24"/>
          <w:lang w:eastAsia="es-ES"/>
        </w:rPr>
        <w:t>Solicitud de tutela</w:t>
      </w:r>
    </w:p>
    <w:p w14:paraId="5178A528" w14:textId="77777777" w:rsidR="009E3ECE" w:rsidRPr="006E6FF9" w:rsidRDefault="009E3ECE" w:rsidP="00F5606B">
      <w:pPr>
        <w:overflowPunct w:val="0"/>
        <w:autoSpaceDE w:val="0"/>
        <w:autoSpaceDN w:val="0"/>
        <w:adjustRightInd w:val="0"/>
        <w:spacing w:line="276" w:lineRule="auto"/>
        <w:contextualSpacing/>
        <w:textAlignment w:val="baseline"/>
        <w:rPr>
          <w:color w:val="000000" w:themeColor="text1"/>
          <w:sz w:val="24"/>
          <w:szCs w:val="24"/>
        </w:rPr>
      </w:pPr>
    </w:p>
    <w:p w14:paraId="6C28D998" w14:textId="47A74C88" w:rsidR="00C8500D" w:rsidRPr="006E6FF9" w:rsidRDefault="00C8500D" w:rsidP="00C8500D">
      <w:pPr>
        <w:tabs>
          <w:tab w:val="left" w:pos="1985"/>
        </w:tabs>
        <w:spacing w:line="276" w:lineRule="auto"/>
        <w:rPr>
          <w:color w:val="000000" w:themeColor="text1"/>
          <w:sz w:val="24"/>
          <w:szCs w:val="24"/>
        </w:rPr>
      </w:pPr>
      <w:r w:rsidRPr="006E6FF9">
        <w:rPr>
          <w:color w:val="000000" w:themeColor="text1"/>
          <w:sz w:val="24"/>
          <w:szCs w:val="24"/>
        </w:rPr>
        <w:t>Víctor Rafael Díaz Arroyo, a través de apoderada judicial, solicitó el amparo</w:t>
      </w:r>
      <w:r w:rsidR="008471AD" w:rsidRPr="006E6FF9">
        <w:rPr>
          <w:rStyle w:val="Refdenotaalpie"/>
          <w:color w:val="000000" w:themeColor="text1"/>
          <w:sz w:val="24"/>
          <w:szCs w:val="24"/>
        </w:rPr>
        <w:footnoteReference w:id="1"/>
      </w:r>
      <w:r w:rsidRPr="006E6FF9">
        <w:rPr>
          <w:color w:val="000000" w:themeColor="text1"/>
          <w:sz w:val="24"/>
          <w:szCs w:val="24"/>
        </w:rPr>
        <w:t xml:space="preserve"> de sus derechos a la igualdad, a la tutela judicial efectiva y al debido proceso, además de la garantía del principio de confianza legítima, que consideró vulnerados por el Tribunal Administrativo del Atlántico, con ocasión de la sentencia del 15 de noviembre de 2019 proferida dentro del proceso de nulidad y restablecimiento del derecho, identificado con número de radicación </w:t>
      </w:r>
      <w:r w:rsidRPr="006E6FF9">
        <w:rPr>
          <w:color w:val="000000" w:themeColor="text1"/>
          <w:sz w:val="24"/>
          <w:szCs w:val="24"/>
          <w:lang w:val="es-ES_tradnl"/>
        </w:rPr>
        <w:t xml:space="preserve">08001-33-33-001-2018-00288-01, </w:t>
      </w:r>
      <w:r w:rsidRPr="006E6FF9">
        <w:rPr>
          <w:color w:val="000000" w:themeColor="text1"/>
          <w:sz w:val="24"/>
          <w:szCs w:val="24"/>
        </w:rPr>
        <w:t xml:space="preserve">que inició en contra de la Caja de Sueldos de Retiro de la Policía Nacional </w:t>
      </w:r>
      <w:r w:rsidRPr="006E6FF9">
        <w:rPr>
          <w:color w:val="000000" w:themeColor="text1"/>
          <w:sz w:val="24"/>
          <w:szCs w:val="24"/>
        </w:rPr>
        <w:softHyphen/>
      </w:r>
      <w:r w:rsidR="000A0486" w:rsidRPr="006E6FF9">
        <w:rPr>
          <w:color w:val="000000" w:themeColor="text1"/>
          <w:sz w:val="24"/>
          <w:szCs w:val="24"/>
        </w:rPr>
        <w:t>–</w:t>
      </w:r>
      <w:r w:rsidRPr="006E6FF9">
        <w:rPr>
          <w:color w:val="000000" w:themeColor="text1"/>
          <w:sz w:val="24"/>
          <w:szCs w:val="24"/>
        </w:rPr>
        <w:t>CASUR</w:t>
      </w:r>
      <w:r w:rsidR="000A0486" w:rsidRPr="006E6FF9">
        <w:rPr>
          <w:color w:val="000000" w:themeColor="text1"/>
          <w:sz w:val="24"/>
          <w:szCs w:val="24"/>
        </w:rPr>
        <w:t>–</w:t>
      </w:r>
      <w:r w:rsidRPr="006E6FF9">
        <w:rPr>
          <w:color w:val="000000" w:themeColor="text1"/>
          <w:sz w:val="24"/>
          <w:szCs w:val="24"/>
        </w:rPr>
        <w:t xml:space="preserve"> </w:t>
      </w:r>
      <w:r w:rsidRPr="006E6FF9">
        <w:rPr>
          <w:color w:val="000000" w:themeColor="text1"/>
          <w:sz w:val="24"/>
          <w:szCs w:val="24"/>
        </w:rPr>
        <w:softHyphen/>
        <w:t xml:space="preserve">. </w:t>
      </w:r>
    </w:p>
    <w:p w14:paraId="4718E0D0" w14:textId="77777777" w:rsidR="001C4D01" w:rsidRPr="006E6FF9" w:rsidRDefault="001C4D01" w:rsidP="00F5606B">
      <w:pPr>
        <w:spacing w:line="276" w:lineRule="auto"/>
        <w:contextualSpacing/>
        <w:rPr>
          <w:rFonts w:eastAsia="Verdana"/>
          <w:color w:val="000000" w:themeColor="text1"/>
          <w:sz w:val="24"/>
          <w:szCs w:val="24"/>
        </w:rPr>
      </w:pPr>
    </w:p>
    <w:p w14:paraId="2075725E" w14:textId="77777777" w:rsidR="001C4D01" w:rsidRPr="006E6FF9" w:rsidRDefault="001C4D01" w:rsidP="00F5606B">
      <w:pPr>
        <w:numPr>
          <w:ilvl w:val="0"/>
          <w:numId w:val="3"/>
        </w:numPr>
        <w:spacing w:line="276" w:lineRule="auto"/>
        <w:contextualSpacing/>
        <w:rPr>
          <w:rFonts w:eastAsia="Verdana"/>
          <w:b/>
          <w:color w:val="000000" w:themeColor="text1"/>
          <w:sz w:val="24"/>
          <w:szCs w:val="24"/>
        </w:rPr>
      </w:pPr>
      <w:r w:rsidRPr="006E6FF9">
        <w:rPr>
          <w:rFonts w:eastAsia="Verdana"/>
          <w:b/>
          <w:color w:val="000000" w:themeColor="text1"/>
          <w:sz w:val="24"/>
          <w:szCs w:val="24"/>
        </w:rPr>
        <w:t>Hechos</w:t>
      </w:r>
    </w:p>
    <w:p w14:paraId="54B13BB7" w14:textId="77777777" w:rsidR="001C4D01" w:rsidRPr="006E6FF9" w:rsidRDefault="001C4D01" w:rsidP="00F5606B">
      <w:pPr>
        <w:spacing w:line="276" w:lineRule="auto"/>
        <w:contextualSpacing/>
        <w:rPr>
          <w:rFonts w:eastAsia="Verdana"/>
          <w:color w:val="000000" w:themeColor="text1"/>
          <w:sz w:val="24"/>
          <w:szCs w:val="24"/>
        </w:rPr>
      </w:pPr>
    </w:p>
    <w:p w14:paraId="715FACED" w14:textId="00009E95" w:rsidR="00B04B97" w:rsidRPr="006E6FF9" w:rsidRDefault="001C4D01" w:rsidP="00F5606B">
      <w:pPr>
        <w:autoSpaceDE w:val="0"/>
        <w:autoSpaceDN w:val="0"/>
        <w:adjustRightInd w:val="0"/>
        <w:spacing w:line="276" w:lineRule="auto"/>
        <w:rPr>
          <w:color w:val="000000" w:themeColor="text1"/>
          <w:sz w:val="24"/>
          <w:szCs w:val="24"/>
          <w:lang w:val="es-MX" w:eastAsia="ja-JP"/>
        </w:rPr>
      </w:pPr>
      <w:r w:rsidRPr="006E6FF9">
        <w:rPr>
          <w:b/>
          <w:color w:val="000000" w:themeColor="text1"/>
          <w:sz w:val="24"/>
          <w:szCs w:val="24"/>
          <w:lang w:val="es-MX" w:eastAsia="ja-JP"/>
        </w:rPr>
        <w:t>2.1.</w:t>
      </w:r>
      <w:r w:rsidRPr="006E6FF9">
        <w:rPr>
          <w:color w:val="000000" w:themeColor="text1"/>
          <w:sz w:val="24"/>
          <w:szCs w:val="24"/>
          <w:lang w:val="es-MX" w:eastAsia="ja-JP"/>
        </w:rPr>
        <w:t xml:space="preserve"> </w:t>
      </w:r>
      <w:r w:rsidR="008471AD" w:rsidRPr="006E6FF9">
        <w:rPr>
          <w:color w:val="000000" w:themeColor="text1"/>
          <w:sz w:val="24"/>
          <w:szCs w:val="24"/>
        </w:rPr>
        <w:t>El señor</w:t>
      </w:r>
      <w:r w:rsidR="003F0909" w:rsidRPr="006E6FF9">
        <w:rPr>
          <w:color w:val="000000" w:themeColor="text1"/>
          <w:sz w:val="24"/>
          <w:szCs w:val="24"/>
        </w:rPr>
        <w:t xml:space="preserve"> Díaz Arroyo</w:t>
      </w:r>
      <w:r w:rsidR="00D94A80" w:rsidRPr="006E6FF9">
        <w:rPr>
          <w:color w:val="000000" w:themeColor="text1"/>
          <w:sz w:val="24"/>
          <w:szCs w:val="24"/>
          <w:lang w:val="es-MX" w:eastAsia="ja-JP"/>
        </w:rPr>
        <w:t xml:space="preserve"> </w:t>
      </w:r>
      <w:r w:rsidR="00392D66" w:rsidRPr="006E6FF9">
        <w:rPr>
          <w:color w:val="000000" w:themeColor="text1"/>
          <w:sz w:val="24"/>
          <w:szCs w:val="24"/>
          <w:lang w:val="es-MX" w:eastAsia="ja-JP"/>
        </w:rPr>
        <w:t xml:space="preserve">presentó demanda en ejercicio del medio de control de nulidad y restablecimiento del derecho, en contra de </w:t>
      </w:r>
      <w:r w:rsidR="008471AD" w:rsidRPr="006E6FF9">
        <w:rPr>
          <w:color w:val="000000" w:themeColor="text1"/>
          <w:sz w:val="24"/>
          <w:szCs w:val="24"/>
          <w:lang w:val="es-MX" w:eastAsia="ja-JP"/>
        </w:rPr>
        <w:t>CASUR</w:t>
      </w:r>
      <w:r w:rsidR="00392D66" w:rsidRPr="006E6FF9">
        <w:rPr>
          <w:color w:val="000000" w:themeColor="text1"/>
          <w:sz w:val="24"/>
          <w:szCs w:val="24"/>
          <w:lang w:val="es-MX" w:eastAsia="ja-JP"/>
        </w:rPr>
        <w:t>, con las pretensiones de que</w:t>
      </w:r>
      <w:r w:rsidR="003F0909" w:rsidRPr="006E6FF9">
        <w:rPr>
          <w:color w:val="000000" w:themeColor="text1"/>
          <w:sz w:val="24"/>
          <w:szCs w:val="24"/>
          <w:lang w:val="es-MX" w:eastAsia="ja-JP"/>
        </w:rPr>
        <w:t xml:space="preserve"> el juez que resolviera la causa: (i)</w:t>
      </w:r>
      <w:r w:rsidR="00392D66" w:rsidRPr="006E6FF9">
        <w:rPr>
          <w:color w:val="000000" w:themeColor="text1"/>
          <w:sz w:val="24"/>
          <w:szCs w:val="24"/>
          <w:lang w:val="es-MX" w:eastAsia="ja-JP"/>
        </w:rPr>
        <w:t xml:space="preserve"> </w:t>
      </w:r>
      <w:r w:rsidR="003F0909" w:rsidRPr="006E6FF9">
        <w:rPr>
          <w:color w:val="000000" w:themeColor="text1"/>
          <w:sz w:val="24"/>
          <w:szCs w:val="24"/>
          <w:lang w:val="es-MX" w:eastAsia="ja-JP"/>
        </w:rPr>
        <w:t>inaplicara por inconstitucionales los artículos 15 y 49 del Decreto 1091 de 1995, 23 del Decreto 4433 de 2004 y 3 del Decreto 1858 de 2012</w:t>
      </w:r>
      <w:r w:rsidR="008471AD" w:rsidRPr="006E6FF9">
        <w:rPr>
          <w:color w:val="000000" w:themeColor="text1"/>
          <w:sz w:val="24"/>
          <w:szCs w:val="24"/>
          <w:lang w:val="es-MX" w:eastAsia="ja-JP"/>
        </w:rPr>
        <w:t xml:space="preserve"> que prescriben que el subsidio familiar no es una partida computable para la asignación de retiro </w:t>
      </w:r>
      <w:r w:rsidR="00E25E89" w:rsidRPr="006E6FF9">
        <w:rPr>
          <w:color w:val="000000" w:themeColor="text1"/>
          <w:sz w:val="24"/>
          <w:szCs w:val="24"/>
          <w:lang w:val="es-MX" w:eastAsia="ja-JP"/>
        </w:rPr>
        <w:t>de los miembros del N</w:t>
      </w:r>
      <w:r w:rsidR="008471AD" w:rsidRPr="006E6FF9">
        <w:rPr>
          <w:color w:val="000000" w:themeColor="text1"/>
          <w:sz w:val="24"/>
          <w:szCs w:val="24"/>
          <w:lang w:val="es-MX" w:eastAsia="ja-JP"/>
        </w:rPr>
        <w:t>ivel</w:t>
      </w:r>
      <w:r w:rsidR="00E25E89" w:rsidRPr="006E6FF9">
        <w:rPr>
          <w:color w:val="000000" w:themeColor="text1"/>
          <w:sz w:val="24"/>
          <w:szCs w:val="24"/>
          <w:lang w:val="es-MX" w:eastAsia="ja-JP"/>
        </w:rPr>
        <w:t xml:space="preserve"> E</w:t>
      </w:r>
      <w:r w:rsidR="008471AD" w:rsidRPr="006E6FF9">
        <w:rPr>
          <w:color w:val="000000" w:themeColor="text1"/>
          <w:sz w:val="24"/>
          <w:szCs w:val="24"/>
          <w:lang w:val="es-MX" w:eastAsia="ja-JP"/>
        </w:rPr>
        <w:t>jecutivo de la Policía Nacional</w:t>
      </w:r>
      <w:r w:rsidR="003F0909" w:rsidRPr="006E6FF9">
        <w:rPr>
          <w:color w:val="000000" w:themeColor="text1"/>
          <w:sz w:val="24"/>
          <w:szCs w:val="24"/>
          <w:lang w:val="es-MX" w:eastAsia="ja-JP"/>
        </w:rPr>
        <w:t xml:space="preserve">; (ii) </w:t>
      </w:r>
      <w:r w:rsidR="0016208B" w:rsidRPr="006E6FF9">
        <w:rPr>
          <w:color w:val="000000" w:themeColor="text1"/>
          <w:sz w:val="24"/>
          <w:szCs w:val="24"/>
          <w:lang w:val="es-MX" w:eastAsia="ja-JP"/>
        </w:rPr>
        <w:t>declarara</w:t>
      </w:r>
      <w:r w:rsidR="00392D66" w:rsidRPr="006E6FF9">
        <w:rPr>
          <w:color w:val="000000" w:themeColor="text1"/>
          <w:sz w:val="24"/>
          <w:szCs w:val="24"/>
          <w:lang w:val="es-MX" w:eastAsia="ja-JP"/>
        </w:rPr>
        <w:t xml:space="preserve"> la nulidad del acto administrativo E-0</w:t>
      </w:r>
      <w:r w:rsidR="003F0909" w:rsidRPr="006E6FF9">
        <w:rPr>
          <w:color w:val="000000" w:themeColor="text1"/>
          <w:sz w:val="24"/>
          <w:szCs w:val="24"/>
          <w:lang w:val="es-MX" w:eastAsia="ja-JP"/>
        </w:rPr>
        <w:t>0003</w:t>
      </w:r>
      <w:r w:rsidR="00392D66" w:rsidRPr="006E6FF9">
        <w:rPr>
          <w:color w:val="000000" w:themeColor="text1"/>
          <w:sz w:val="24"/>
          <w:szCs w:val="24"/>
          <w:lang w:val="es-MX" w:eastAsia="ja-JP"/>
        </w:rPr>
        <w:t xml:space="preserve"> de 2017</w:t>
      </w:r>
      <w:r w:rsidR="003F0909" w:rsidRPr="006E6FF9">
        <w:rPr>
          <w:color w:val="000000" w:themeColor="text1"/>
          <w:sz w:val="24"/>
          <w:szCs w:val="24"/>
          <w:lang w:val="es-MX" w:eastAsia="ja-JP"/>
        </w:rPr>
        <w:t>28655</w:t>
      </w:r>
      <w:r w:rsidR="00D94A80" w:rsidRPr="006E6FF9">
        <w:rPr>
          <w:color w:val="000000" w:themeColor="text1"/>
          <w:sz w:val="24"/>
          <w:szCs w:val="24"/>
          <w:lang w:val="es-MX" w:eastAsia="ja-JP"/>
        </w:rPr>
        <w:t xml:space="preserve"> que negó la inclusión de</w:t>
      </w:r>
      <w:r w:rsidR="008471AD" w:rsidRPr="006E6FF9">
        <w:rPr>
          <w:color w:val="000000" w:themeColor="text1"/>
          <w:sz w:val="24"/>
          <w:szCs w:val="24"/>
          <w:lang w:val="es-MX" w:eastAsia="ja-JP"/>
        </w:rPr>
        <w:t xml:space="preserve"> dicha prestación</w:t>
      </w:r>
      <w:r w:rsidR="003F0909" w:rsidRPr="006E6FF9">
        <w:rPr>
          <w:color w:val="000000" w:themeColor="text1"/>
          <w:sz w:val="24"/>
          <w:szCs w:val="24"/>
          <w:lang w:val="es-MX" w:eastAsia="ja-JP"/>
        </w:rPr>
        <w:t xml:space="preserve"> en su asignación de retiro; y (iii) a título de restablecimiento del derecho,</w:t>
      </w:r>
      <w:r w:rsidR="008567C6" w:rsidRPr="006E6FF9">
        <w:rPr>
          <w:color w:val="000000" w:themeColor="text1"/>
          <w:sz w:val="24"/>
          <w:szCs w:val="24"/>
          <w:lang w:val="es-MX" w:eastAsia="ja-JP"/>
        </w:rPr>
        <w:t xml:space="preserve"> condenara a la entidad demandada a que reliquidara</w:t>
      </w:r>
      <w:r w:rsidR="00022FE5" w:rsidRPr="006E6FF9">
        <w:rPr>
          <w:color w:val="000000" w:themeColor="text1"/>
          <w:sz w:val="24"/>
          <w:szCs w:val="24"/>
          <w:lang w:val="es-MX" w:eastAsia="ja-JP"/>
        </w:rPr>
        <w:t xml:space="preserve"> </w:t>
      </w:r>
      <w:r w:rsidR="008471AD" w:rsidRPr="006E6FF9">
        <w:rPr>
          <w:color w:val="000000" w:themeColor="text1"/>
          <w:sz w:val="24"/>
          <w:szCs w:val="24"/>
          <w:lang w:val="es-MX" w:eastAsia="ja-JP"/>
        </w:rPr>
        <w:t>su pensión</w:t>
      </w:r>
      <w:r w:rsidR="00022FE5" w:rsidRPr="006E6FF9">
        <w:rPr>
          <w:color w:val="000000" w:themeColor="text1"/>
          <w:sz w:val="24"/>
          <w:szCs w:val="24"/>
          <w:lang w:val="es-MX" w:eastAsia="ja-JP"/>
        </w:rPr>
        <w:t xml:space="preserve"> incluyendo tal emolumento</w:t>
      </w:r>
      <w:r w:rsidR="008471AD" w:rsidRPr="006E6FF9">
        <w:rPr>
          <w:rStyle w:val="Refdenotaalpie"/>
          <w:color w:val="000000" w:themeColor="text1"/>
          <w:sz w:val="24"/>
          <w:szCs w:val="24"/>
          <w:lang w:val="es-MX" w:eastAsia="ja-JP"/>
        </w:rPr>
        <w:footnoteReference w:id="2"/>
      </w:r>
      <w:r w:rsidR="00022FE5" w:rsidRPr="006E6FF9">
        <w:rPr>
          <w:color w:val="000000" w:themeColor="text1"/>
          <w:sz w:val="24"/>
          <w:szCs w:val="24"/>
          <w:lang w:val="es-MX" w:eastAsia="ja-JP"/>
        </w:rPr>
        <w:t>.</w:t>
      </w:r>
      <w:r w:rsidR="008567C6" w:rsidRPr="006E6FF9">
        <w:rPr>
          <w:color w:val="000000" w:themeColor="text1"/>
          <w:sz w:val="24"/>
          <w:szCs w:val="24"/>
          <w:lang w:val="es-MX" w:eastAsia="ja-JP"/>
        </w:rPr>
        <w:t xml:space="preserve"> </w:t>
      </w:r>
    </w:p>
    <w:p w14:paraId="14887206" w14:textId="77777777" w:rsidR="00EE25EE" w:rsidRPr="006E6FF9" w:rsidRDefault="00EE25EE" w:rsidP="00F5606B">
      <w:pPr>
        <w:autoSpaceDE w:val="0"/>
        <w:autoSpaceDN w:val="0"/>
        <w:adjustRightInd w:val="0"/>
        <w:spacing w:line="276" w:lineRule="auto"/>
        <w:rPr>
          <w:color w:val="000000" w:themeColor="text1"/>
          <w:sz w:val="24"/>
          <w:szCs w:val="24"/>
          <w:lang w:val="es-MX" w:eastAsia="ja-JP"/>
        </w:rPr>
      </w:pPr>
    </w:p>
    <w:p w14:paraId="7DE97656" w14:textId="57A37354" w:rsidR="00022FE5" w:rsidRPr="006E6FF9" w:rsidRDefault="00D94A80" w:rsidP="00F5606B">
      <w:pPr>
        <w:autoSpaceDE w:val="0"/>
        <w:autoSpaceDN w:val="0"/>
        <w:adjustRightInd w:val="0"/>
        <w:spacing w:line="276" w:lineRule="auto"/>
        <w:rPr>
          <w:color w:val="000000" w:themeColor="text1"/>
          <w:sz w:val="24"/>
          <w:szCs w:val="24"/>
          <w:lang w:val="es-MX" w:eastAsia="ja-JP"/>
        </w:rPr>
      </w:pPr>
      <w:r w:rsidRPr="006E6FF9">
        <w:rPr>
          <w:b/>
          <w:color w:val="000000" w:themeColor="text1"/>
          <w:sz w:val="24"/>
          <w:szCs w:val="24"/>
          <w:lang w:val="es-MX" w:eastAsia="ja-JP"/>
        </w:rPr>
        <w:lastRenderedPageBreak/>
        <w:t>2.2</w:t>
      </w:r>
      <w:r w:rsidR="00174C02" w:rsidRPr="006E6FF9">
        <w:rPr>
          <w:b/>
          <w:color w:val="000000" w:themeColor="text1"/>
          <w:sz w:val="24"/>
          <w:szCs w:val="24"/>
          <w:lang w:val="es-MX" w:eastAsia="ja-JP"/>
        </w:rPr>
        <w:t xml:space="preserve">. </w:t>
      </w:r>
      <w:r w:rsidR="00EE25EE" w:rsidRPr="006E6FF9">
        <w:rPr>
          <w:color w:val="000000" w:themeColor="text1"/>
          <w:sz w:val="24"/>
          <w:szCs w:val="24"/>
          <w:lang w:val="es-MX" w:eastAsia="ja-JP"/>
        </w:rPr>
        <w:t xml:space="preserve">El Juzgado </w:t>
      </w:r>
      <w:r w:rsidR="00022FE5" w:rsidRPr="006E6FF9">
        <w:rPr>
          <w:color w:val="000000" w:themeColor="text1"/>
          <w:sz w:val="24"/>
          <w:szCs w:val="24"/>
          <w:lang w:val="es-MX" w:eastAsia="ja-JP"/>
        </w:rPr>
        <w:t>Primero</w:t>
      </w:r>
      <w:r w:rsidR="00EE25EE" w:rsidRPr="006E6FF9">
        <w:rPr>
          <w:color w:val="000000" w:themeColor="text1"/>
          <w:sz w:val="24"/>
          <w:szCs w:val="24"/>
          <w:lang w:val="es-MX" w:eastAsia="ja-JP"/>
        </w:rPr>
        <w:t xml:space="preserve"> Administrativo del Circuito de</w:t>
      </w:r>
      <w:r w:rsidRPr="006E6FF9">
        <w:rPr>
          <w:color w:val="000000" w:themeColor="text1"/>
          <w:sz w:val="24"/>
          <w:szCs w:val="24"/>
          <w:lang w:val="es-MX" w:eastAsia="ja-JP"/>
        </w:rPr>
        <w:t xml:space="preserve"> </w:t>
      </w:r>
      <w:r w:rsidR="00022FE5" w:rsidRPr="006E6FF9">
        <w:rPr>
          <w:color w:val="000000" w:themeColor="text1"/>
          <w:sz w:val="24"/>
          <w:szCs w:val="24"/>
          <w:lang w:val="es-MX" w:eastAsia="ja-JP"/>
        </w:rPr>
        <w:t>Barranquilla</w:t>
      </w:r>
      <w:r w:rsidR="00EE25EE" w:rsidRPr="006E6FF9">
        <w:rPr>
          <w:color w:val="000000" w:themeColor="text1"/>
          <w:sz w:val="24"/>
          <w:szCs w:val="24"/>
          <w:lang w:val="es-MX" w:eastAsia="ja-JP"/>
        </w:rPr>
        <w:t xml:space="preserve">, en sentencia del </w:t>
      </w:r>
      <w:r w:rsidR="00022FE5" w:rsidRPr="006E6FF9">
        <w:rPr>
          <w:color w:val="000000" w:themeColor="text1"/>
          <w:sz w:val="24"/>
          <w:szCs w:val="24"/>
          <w:lang w:val="es-MX" w:eastAsia="ja-JP"/>
        </w:rPr>
        <w:t xml:space="preserve">15 </w:t>
      </w:r>
      <w:r w:rsidR="00EE25EE" w:rsidRPr="006E6FF9">
        <w:rPr>
          <w:color w:val="000000" w:themeColor="text1"/>
          <w:sz w:val="24"/>
          <w:szCs w:val="24"/>
          <w:lang w:val="es-MX" w:eastAsia="ja-JP"/>
        </w:rPr>
        <w:t xml:space="preserve">de </w:t>
      </w:r>
      <w:r w:rsidR="00022FE5" w:rsidRPr="006E6FF9">
        <w:rPr>
          <w:color w:val="000000" w:themeColor="text1"/>
          <w:sz w:val="24"/>
          <w:szCs w:val="24"/>
          <w:lang w:val="es-MX" w:eastAsia="ja-JP"/>
        </w:rPr>
        <w:t>febrer</w:t>
      </w:r>
      <w:r w:rsidR="00EE25EE" w:rsidRPr="006E6FF9">
        <w:rPr>
          <w:color w:val="000000" w:themeColor="text1"/>
          <w:sz w:val="24"/>
          <w:szCs w:val="24"/>
          <w:lang w:val="es-MX" w:eastAsia="ja-JP"/>
        </w:rPr>
        <w:t>o de 2019</w:t>
      </w:r>
      <w:r w:rsidR="00A44A97" w:rsidRPr="006E6FF9">
        <w:rPr>
          <w:rStyle w:val="Refdenotaalpie"/>
          <w:color w:val="000000" w:themeColor="text1"/>
          <w:sz w:val="24"/>
          <w:szCs w:val="24"/>
          <w:lang w:val="es-MX" w:eastAsia="ja-JP"/>
        </w:rPr>
        <w:footnoteReference w:id="3"/>
      </w:r>
      <w:r w:rsidR="00EE25EE" w:rsidRPr="006E6FF9">
        <w:rPr>
          <w:color w:val="000000" w:themeColor="text1"/>
          <w:sz w:val="24"/>
          <w:szCs w:val="24"/>
          <w:lang w:val="es-MX" w:eastAsia="ja-JP"/>
        </w:rPr>
        <w:t>, negó las súplicas de la demanda</w:t>
      </w:r>
      <w:r w:rsidR="00497CB6" w:rsidRPr="006E6FF9">
        <w:rPr>
          <w:color w:val="000000" w:themeColor="text1"/>
          <w:sz w:val="24"/>
          <w:szCs w:val="24"/>
          <w:lang w:val="es-MX" w:eastAsia="ja-JP"/>
        </w:rPr>
        <w:t>. Como fundamento principal de su decisión, esgrimió que</w:t>
      </w:r>
      <w:r w:rsidR="00C22763" w:rsidRPr="006E6FF9">
        <w:rPr>
          <w:color w:val="000000" w:themeColor="text1"/>
          <w:sz w:val="24"/>
          <w:szCs w:val="24"/>
          <w:lang w:val="es-MX" w:eastAsia="ja-JP"/>
        </w:rPr>
        <w:t>,</w:t>
      </w:r>
      <w:r w:rsidR="00497CB6" w:rsidRPr="006E6FF9">
        <w:rPr>
          <w:color w:val="000000" w:themeColor="text1"/>
          <w:sz w:val="24"/>
          <w:szCs w:val="24"/>
          <w:lang w:val="es-MX" w:eastAsia="ja-JP"/>
        </w:rPr>
        <w:t xml:space="preserve"> </w:t>
      </w:r>
      <w:r w:rsidR="00FE56B3" w:rsidRPr="006E6FF9">
        <w:rPr>
          <w:color w:val="000000" w:themeColor="text1"/>
          <w:sz w:val="24"/>
          <w:szCs w:val="24"/>
          <w:lang w:val="es-MX" w:eastAsia="ja-JP"/>
        </w:rPr>
        <w:t xml:space="preserve">los factores computables para la asignación de retiro </w:t>
      </w:r>
      <w:r w:rsidR="00E25E89" w:rsidRPr="006E6FF9">
        <w:rPr>
          <w:color w:val="000000" w:themeColor="text1"/>
          <w:sz w:val="24"/>
          <w:szCs w:val="24"/>
          <w:lang w:val="es-MX" w:eastAsia="ja-JP"/>
        </w:rPr>
        <w:t>de los miembros del Nivel E</w:t>
      </w:r>
      <w:r w:rsidR="00497CB6" w:rsidRPr="006E6FF9">
        <w:rPr>
          <w:color w:val="000000" w:themeColor="text1"/>
          <w:sz w:val="24"/>
          <w:szCs w:val="24"/>
          <w:lang w:val="es-MX" w:eastAsia="ja-JP"/>
        </w:rPr>
        <w:t>jecutivo</w:t>
      </w:r>
      <w:r w:rsidR="00C22763" w:rsidRPr="006E6FF9">
        <w:rPr>
          <w:color w:val="000000" w:themeColor="text1"/>
          <w:sz w:val="24"/>
          <w:szCs w:val="24"/>
          <w:lang w:val="es-MX" w:eastAsia="ja-JP"/>
        </w:rPr>
        <w:t>,</w:t>
      </w:r>
      <w:r w:rsidR="00497CB6" w:rsidRPr="006E6FF9">
        <w:rPr>
          <w:color w:val="000000" w:themeColor="text1"/>
          <w:sz w:val="24"/>
          <w:szCs w:val="24"/>
          <w:lang w:val="es-MX" w:eastAsia="ja-JP"/>
        </w:rPr>
        <w:t xml:space="preserve"> </w:t>
      </w:r>
      <w:r w:rsidR="00FE56B3" w:rsidRPr="006E6FF9">
        <w:rPr>
          <w:color w:val="000000" w:themeColor="text1"/>
          <w:sz w:val="24"/>
          <w:szCs w:val="24"/>
          <w:lang w:val="es-MX" w:eastAsia="ja-JP"/>
        </w:rPr>
        <w:t>son los contenidos en</w:t>
      </w:r>
      <w:r w:rsidR="00D33DA4" w:rsidRPr="006E6FF9">
        <w:rPr>
          <w:color w:val="000000" w:themeColor="text1"/>
          <w:sz w:val="24"/>
          <w:szCs w:val="24"/>
          <w:lang w:val="es-MX" w:eastAsia="ja-JP"/>
        </w:rPr>
        <w:t xml:space="preserve"> los artículos 15 y 49 del Decreto 1091 de 1995 y en</w:t>
      </w:r>
      <w:r w:rsidR="000965F1" w:rsidRPr="006E6FF9">
        <w:rPr>
          <w:color w:val="000000" w:themeColor="text1"/>
          <w:sz w:val="24"/>
          <w:szCs w:val="24"/>
          <w:lang w:val="es-MX" w:eastAsia="ja-JP"/>
        </w:rPr>
        <w:t xml:space="preserve"> el ordinal 23.2 del artículo 23 de</w:t>
      </w:r>
      <w:r w:rsidR="00D33DA4" w:rsidRPr="006E6FF9">
        <w:rPr>
          <w:color w:val="000000" w:themeColor="text1"/>
          <w:sz w:val="24"/>
          <w:szCs w:val="24"/>
          <w:lang w:val="es-MX" w:eastAsia="ja-JP"/>
        </w:rPr>
        <w:t>l</w:t>
      </w:r>
      <w:r w:rsidR="00FE56B3" w:rsidRPr="006E6FF9">
        <w:rPr>
          <w:color w:val="000000" w:themeColor="text1"/>
          <w:sz w:val="24"/>
          <w:szCs w:val="24"/>
          <w:lang w:val="es-MX" w:eastAsia="ja-JP"/>
        </w:rPr>
        <w:t xml:space="preserve"> </w:t>
      </w:r>
      <w:r w:rsidR="00D33DA4" w:rsidRPr="006E6FF9">
        <w:rPr>
          <w:color w:val="000000" w:themeColor="text1"/>
          <w:sz w:val="24"/>
          <w:szCs w:val="24"/>
          <w:lang w:val="es-MX" w:eastAsia="ja-JP"/>
        </w:rPr>
        <w:t>Decreto</w:t>
      </w:r>
      <w:r w:rsidR="00FE56B3" w:rsidRPr="006E6FF9">
        <w:rPr>
          <w:color w:val="000000" w:themeColor="text1"/>
          <w:sz w:val="24"/>
          <w:szCs w:val="24"/>
          <w:lang w:val="es-MX" w:eastAsia="ja-JP"/>
        </w:rPr>
        <w:t xml:space="preserve"> 4433 de 2004</w:t>
      </w:r>
      <w:r w:rsidR="00D33DA4" w:rsidRPr="006E6FF9">
        <w:rPr>
          <w:color w:val="000000" w:themeColor="text1"/>
          <w:sz w:val="24"/>
          <w:szCs w:val="24"/>
          <w:lang w:val="es-MX" w:eastAsia="ja-JP"/>
        </w:rPr>
        <w:t>.</w:t>
      </w:r>
      <w:r w:rsidR="00497CB6" w:rsidRPr="006E6FF9">
        <w:rPr>
          <w:color w:val="000000" w:themeColor="text1"/>
          <w:sz w:val="24"/>
          <w:szCs w:val="24"/>
          <w:lang w:val="es-MX" w:eastAsia="ja-JP"/>
        </w:rPr>
        <w:t xml:space="preserve"> </w:t>
      </w:r>
      <w:r w:rsidR="00D33DA4" w:rsidRPr="006E6FF9">
        <w:rPr>
          <w:color w:val="000000" w:themeColor="text1"/>
          <w:sz w:val="24"/>
          <w:szCs w:val="24"/>
          <w:lang w:val="es-MX" w:eastAsia="ja-JP"/>
        </w:rPr>
        <w:t>Con base en esto,</w:t>
      </w:r>
      <w:r w:rsidR="00497CB6" w:rsidRPr="006E6FF9">
        <w:rPr>
          <w:color w:val="000000" w:themeColor="text1"/>
          <w:sz w:val="24"/>
          <w:szCs w:val="24"/>
          <w:lang w:val="es-MX" w:eastAsia="ja-JP"/>
        </w:rPr>
        <w:t xml:space="preserve"> concluyó que </w:t>
      </w:r>
      <w:r w:rsidR="00022FE5" w:rsidRPr="006E6FF9">
        <w:rPr>
          <w:color w:val="000000" w:themeColor="text1"/>
          <w:sz w:val="24"/>
          <w:szCs w:val="24"/>
          <w:lang w:val="es-MX" w:eastAsia="ja-JP"/>
        </w:rPr>
        <w:t xml:space="preserve">reconocer </w:t>
      </w:r>
      <w:r w:rsidR="00497CB6" w:rsidRPr="006E6FF9">
        <w:rPr>
          <w:color w:val="000000" w:themeColor="text1"/>
          <w:sz w:val="24"/>
          <w:szCs w:val="24"/>
          <w:lang w:val="es-MX" w:eastAsia="ja-JP"/>
        </w:rPr>
        <w:t>emolumentos</w:t>
      </w:r>
      <w:r w:rsidR="00022FE5" w:rsidRPr="006E6FF9">
        <w:rPr>
          <w:color w:val="000000" w:themeColor="text1"/>
          <w:sz w:val="24"/>
          <w:szCs w:val="24"/>
          <w:lang w:val="es-MX" w:eastAsia="ja-JP"/>
        </w:rPr>
        <w:t xml:space="preserve"> distintos a los prescritos por la ley implicaría </w:t>
      </w:r>
      <w:r w:rsidR="00905E80">
        <w:rPr>
          <w:color w:val="000000" w:themeColor="text1"/>
          <w:sz w:val="24"/>
          <w:szCs w:val="24"/>
          <w:lang w:val="es-MX" w:eastAsia="ja-JP"/>
        </w:rPr>
        <w:t>crear</w:t>
      </w:r>
      <w:r w:rsidR="00497CB6" w:rsidRPr="006E6FF9">
        <w:rPr>
          <w:color w:val="000000" w:themeColor="text1"/>
          <w:sz w:val="24"/>
          <w:szCs w:val="24"/>
          <w:lang w:val="es-MX" w:eastAsia="ja-JP"/>
        </w:rPr>
        <w:t xml:space="preserve"> un nuevo régimen prestacional sin</w:t>
      </w:r>
      <w:r w:rsidR="00386E3C" w:rsidRPr="006E6FF9">
        <w:rPr>
          <w:color w:val="000000" w:themeColor="text1"/>
          <w:sz w:val="24"/>
          <w:szCs w:val="24"/>
          <w:lang w:val="es-MX" w:eastAsia="ja-JP"/>
        </w:rPr>
        <w:t xml:space="preserve"> tener la competencia para ello</w:t>
      </w:r>
      <w:r w:rsidR="00497CB6" w:rsidRPr="006E6FF9">
        <w:rPr>
          <w:color w:val="000000" w:themeColor="text1"/>
          <w:sz w:val="24"/>
          <w:szCs w:val="24"/>
          <w:lang w:val="es-MX" w:eastAsia="ja-JP"/>
        </w:rPr>
        <w:t>. Esta decisión fue apel</w:t>
      </w:r>
      <w:r w:rsidR="00905E80">
        <w:rPr>
          <w:color w:val="000000" w:themeColor="text1"/>
          <w:sz w:val="24"/>
          <w:szCs w:val="24"/>
          <w:lang w:val="es-MX" w:eastAsia="ja-JP"/>
        </w:rPr>
        <w:t>a</w:t>
      </w:r>
      <w:r w:rsidR="00497CB6" w:rsidRPr="006E6FF9">
        <w:rPr>
          <w:color w:val="000000" w:themeColor="text1"/>
          <w:sz w:val="24"/>
          <w:szCs w:val="24"/>
          <w:lang w:val="es-MX" w:eastAsia="ja-JP"/>
        </w:rPr>
        <w:t xml:space="preserve">da por </w:t>
      </w:r>
      <w:r w:rsidR="00497CB6" w:rsidRPr="006E6FF9">
        <w:rPr>
          <w:color w:val="000000" w:themeColor="text1"/>
          <w:sz w:val="24"/>
          <w:szCs w:val="24"/>
        </w:rPr>
        <w:t>Víctor Rafael Díaz Arroyo.</w:t>
      </w:r>
    </w:p>
    <w:p w14:paraId="2949255B" w14:textId="77777777" w:rsidR="00022FE5" w:rsidRPr="006E6FF9" w:rsidRDefault="00022FE5" w:rsidP="00F5606B">
      <w:pPr>
        <w:autoSpaceDE w:val="0"/>
        <w:autoSpaceDN w:val="0"/>
        <w:adjustRightInd w:val="0"/>
        <w:spacing w:line="276" w:lineRule="auto"/>
        <w:rPr>
          <w:color w:val="000000" w:themeColor="text1"/>
          <w:sz w:val="24"/>
          <w:szCs w:val="24"/>
          <w:lang w:val="es-MX" w:eastAsia="ja-JP"/>
        </w:rPr>
      </w:pPr>
    </w:p>
    <w:p w14:paraId="4F7CD616" w14:textId="38C33725" w:rsidR="00D85B93" w:rsidRPr="006E6FF9" w:rsidRDefault="00D94A80" w:rsidP="00F5606B">
      <w:pPr>
        <w:autoSpaceDE w:val="0"/>
        <w:autoSpaceDN w:val="0"/>
        <w:adjustRightInd w:val="0"/>
        <w:spacing w:line="276" w:lineRule="auto"/>
        <w:rPr>
          <w:color w:val="000000" w:themeColor="text1"/>
          <w:sz w:val="24"/>
          <w:szCs w:val="24"/>
          <w:lang w:val="es-MX" w:eastAsia="ja-JP"/>
        </w:rPr>
      </w:pPr>
      <w:r w:rsidRPr="006E6FF9">
        <w:rPr>
          <w:b/>
          <w:color w:val="000000" w:themeColor="text1"/>
          <w:sz w:val="24"/>
          <w:szCs w:val="24"/>
          <w:lang w:val="es-MX" w:eastAsia="ja-JP"/>
        </w:rPr>
        <w:t xml:space="preserve">2.3. </w:t>
      </w:r>
      <w:r w:rsidR="0062499F" w:rsidRPr="006E6FF9">
        <w:rPr>
          <w:color w:val="000000" w:themeColor="text1"/>
          <w:sz w:val="24"/>
          <w:szCs w:val="24"/>
          <w:lang w:val="es-MX" w:eastAsia="ja-JP"/>
        </w:rPr>
        <w:t>El</w:t>
      </w:r>
      <w:r w:rsidR="005B4121" w:rsidRPr="006E6FF9">
        <w:rPr>
          <w:color w:val="000000" w:themeColor="text1"/>
          <w:sz w:val="24"/>
          <w:szCs w:val="24"/>
          <w:lang w:val="es-MX" w:eastAsia="ja-JP"/>
        </w:rPr>
        <w:t xml:space="preserve"> Tribunal Administrativo de</w:t>
      </w:r>
      <w:r w:rsidR="0062499F" w:rsidRPr="006E6FF9">
        <w:rPr>
          <w:color w:val="000000" w:themeColor="text1"/>
          <w:sz w:val="24"/>
          <w:szCs w:val="24"/>
          <w:lang w:val="es-MX" w:eastAsia="ja-JP"/>
        </w:rPr>
        <w:t>l Atlántico, en sentencia el 15 de noviembre de 2019</w:t>
      </w:r>
      <w:r w:rsidR="007F6479" w:rsidRPr="006E6FF9">
        <w:rPr>
          <w:rStyle w:val="Refdenotaalpie"/>
          <w:color w:val="000000" w:themeColor="text1"/>
          <w:sz w:val="24"/>
          <w:szCs w:val="24"/>
          <w:lang w:val="es-MX" w:eastAsia="ja-JP"/>
        </w:rPr>
        <w:footnoteReference w:id="4"/>
      </w:r>
      <w:r w:rsidR="0062499F" w:rsidRPr="006E6FF9">
        <w:rPr>
          <w:color w:val="000000" w:themeColor="text1"/>
          <w:sz w:val="24"/>
          <w:szCs w:val="24"/>
          <w:lang w:val="es-MX" w:eastAsia="ja-JP"/>
        </w:rPr>
        <w:t>,</w:t>
      </w:r>
      <w:r w:rsidR="00497CB6" w:rsidRPr="006E6FF9">
        <w:rPr>
          <w:color w:val="000000" w:themeColor="text1"/>
          <w:sz w:val="24"/>
          <w:szCs w:val="24"/>
          <w:lang w:val="es-MX" w:eastAsia="ja-JP"/>
        </w:rPr>
        <w:t xml:space="preserve"> confirmó la decisión del </w:t>
      </w:r>
      <w:r w:rsidR="00497CB6" w:rsidRPr="006E6FF9">
        <w:rPr>
          <w:i/>
          <w:color w:val="000000" w:themeColor="text1"/>
          <w:sz w:val="24"/>
          <w:szCs w:val="24"/>
          <w:lang w:val="es-MX" w:eastAsia="ja-JP"/>
        </w:rPr>
        <w:t>a quo</w:t>
      </w:r>
      <w:r w:rsidR="0062499F" w:rsidRPr="006E6FF9">
        <w:rPr>
          <w:i/>
          <w:color w:val="000000" w:themeColor="text1"/>
          <w:sz w:val="24"/>
          <w:szCs w:val="24"/>
          <w:lang w:val="es-MX" w:eastAsia="ja-JP"/>
        </w:rPr>
        <w:t>.</w:t>
      </w:r>
      <w:r w:rsidR="00497CB6" w:rsidRPr="006E6FF9">
        <w:rPr>
          <w:color w:val="000000" w:themeColor="text1"/>
          <w:sz w:val="24"/>
          <w:szCs w:val="24"/>
          <w:lang w:val="es-MX" w:eastAsia="ja-JP"/>
        </w:rPr>
        <w:t xml:space="preserve"> </w:t>
      </w:r>
      <w:r w:rsidR="005B4121" w:rsidRPr="006E6FF9">
        <w:rPr>
          <w:color w:val="000000" w:themeColor="text1"/>
          <w:sz w:val="24"/>
          <w:szCs w:val="24"/>
          <w:lang w:val="es-MX" w:eastAsia="ja-JP"/>
        </w:rPr>
        <w:t xml:space="preserve"> </w:t>
      </w:r>
      <w:r w:rsidR="00C57949" w:rsidRPr="006E6FF9">
        <w:rPr>
          <w:color w:val="000000" w:themeColor="text1"/>
          <w:sz w:val="24"/>
          <w:szCs w:val="24"/>
          <w:lang w:val="es-MX" w:eastAsia="ja-JP"/>
        </w:rPr>
        <w:t xml:space="preserve">Dentro de sus consideraciones indicó </w:t>
      </w:r>
      <w:r w:rsidR="00D85B93" w:rsidRPr="006E6FF9">
        <w:rPr>
          <w:color w:val="000000" w:themeColor="text1"/>
          <w:sz w:val="24"/>
          <w:szCs w:val="24"/>
          <w:lang w:val="es-MX" w:eastAsia="ja-JP"/>
        </w:rPr>
        <w:t>lo siguiente:</w:t>
      </w:r>
    </w:p>
    <w:p w14:paraId="01DF4D25" w14:textId="77777777" w:rsidR="00D85B93" w:rsidRPr="006E6FF9" w:rsidRDefault="00D85B93" w:rsidP="00F5606B">
      <w:pPr>
        <w:autoSpaceDE w:val="0"/>
        <w:autoSpaceDN w:val="0"/>
        <w:adjustRightInd w:val="0"/>
        <w:spacing w:line="276" w:lineRule="auto"/>
        <w:rPr>
          <w:color w:val="000000" w:themeColor="text1"/>
          <w:sz w:val="24"/>
          <w:szCs w:val="24"/>
          <w:lang w:val="es-MX" w:eastAsia="ja-JP"/>
        </w:rPr>
      </w:pPr>
    </w:p>
    <w:p w14:paraId="18265E91" w14:textId="6F5438F1" w:rsidR="00D85B93" w:rsidRPr="006E6FF9" w:rsidRDefault="00D85B93" w:rsidP="00533EC9">
      <w:pPr>
        <w:pStyle w:val="p1"/>
        <w:ind w:left="708"/>
        <w:jc w:val="both"/>
        <w:rPr>
          <w:rFonts w:ascii="Arial" w:hAnsi="Arial" w:cs="Arial"/>
          <w:color w:val="000000" w:themeColor="text1"/>
          <w:sz w:val="24"/>
          <w:szCs w:val="24"/>
        </w:rPr>
      </w:pPr>
      <w:r w:rsidRPr="006E6FF9">
        <w:rPr>
          <w:rFonts w:ascii="Arial" w:hAnsi="Arial" w:cs="Arial"/>
          <w:b/>
          <w:color w:val="000000" w:themeColor="text1"/>
          <w:sz w:val="24"/>
          <w:szCs w:val="24"/>
          <w:lang w:val="es-MX" w:eastAsia="ja-JP"/>
        </w:rPr>
        <w:t>2.3.1</w:t>
      </w:r>
      <w:r w:rsidRPr="006E6FF9">
        <w:rPr>
          <w:rFonts w:ascii="Arial" w:hAnsi="Arial" w:cs="Arial"/>
          <w:color w:val="000000" w:themeColor="text1"/>
          <w:sz w:val="24"/>
          <w:szCs w:val="24"/>
          <w:lang w:val="es-MX" w:eastAsia="ja-JP"/>
        </w:rPr>
        <w:t xml:space="preserve">. </w:t>
      </w:r>
      <w:r w:rsidR="00EC0C7E" w:rsidRPr="006E6FF9">
        <w:rPr>
          <w:rFonts w:ascii="Arial" w:hAnsi="Arial" w:cs="Arial"/>
          <w:color w:val="000000" w:themeColor="text1"/>
          <w:sz w:val="24"/>
          <w:szCs w:val="24"/>
          <w:lang w:val="es-MX"/>
        </w:rPr>
        <w:t>E</w:t>
      </w:r>
      <w:r w:rsidR="00EC0C7E" w:rsidRPr="006E6FF9">
        <w:rPr>
          <w:rFonts w:ascii="Arial" w:hAnsi="Arial" w:cs="Arial"/>
          <w:color w:val="000000" w:themeColor="text1"/>
          <w:sz w:val="24"/>
          <w:szCs w:val="24"/>
        </w:rPr>
        <w:t>l artí</w:t>
      </w:r>
      <w:r w:rsidRPr="006E6FF9">
        <w:rPr>
          <w:rFonts w:ascii="Arial" w:hAnsi="Arial" w:cs="Arial"/>
          <w:color w:val="000000" w:themeColor="text1"/>
          <w:sz w:val="24"/>
          <w:szCs w:val="24"/>
        </w:rPr>
        <w:t>culo 23 del Decreto 4433 de 2004 no contempl</w:t>
      </w:r>
      <w:r w:rsidR="00EC0C7E" w:rsidRPr="006E6FF9">
        <w:rPr>
          <w:rFonts w:ascii="Arial" w:hAnsi="Arial" w:cs="Arial"/>
          <w:color w:val="000000" w:themeColor="text1"/>
          <w:sz w:val="24"/>
          <w:szCs w:val="24"/>
        </w:rPr>
        <w:t>a</w:t>
      </w:r>
      <w:r w:rsidRPr="006E6FF9">
        <w:rPr>
          <w:rFonts w:ascii="Arial" w:hAnsi="Arial" w:cs="Arial"/>
          <w:color w:val="000000" w:themeColor="text1"/>
          <w:sz w:val="24"/>
          <w:szCs w:val="24"/>
        </w:rPr>
        <w:t xml:space="preserve"> el subs</w:t>
      </w:r>
      <w:r w:rsidR="00EC0C7E" w:rsidRPr="006E6FF9">
        <w:rPr>
          <w:rFonts w:ascii="Arial" w:hAnsi="Arial" w:cs="Arial"/>
          <w:color w:val="000000" w:themeColor="text1"/>
          <w:sz w:val="24"/>
          <w:szCs w:val="24"/>
        </w:rPr>
        <w:t xml:space="preserve">idio familiar </w:t>
      </w:r>
      <w:r w:rsidR="00C9100D" w:rsidRPr="006E6FF9">
        <w:rPr>
          <w:rFonts w:ascii="Arial" w:hAnsi="Arial" w:cs="Arial"/>
          <w:color w:val="000000" w:themeColor="text1"/>
          <w:sz w:val="24"/>
          <w:szCs w:val="24"/>
        </w:rPr>
        <w:t xml:space="preserve">como un factor computable para </w:t>
      </w:r>
      <w:r w:rsidR="00EC0C7E" w:rsidRPr="006E6FF9">
        <w:rPr>
          <w:rFonts w:ascii="Arial" w:hAnsi="Arial" w:cs="Arial"/>
          <w:color w:val="000000" w:themeColor="text1"/>
          <w:sz w:val="24"/>
          <w:szCs w:val="24"/>
        </w:rPr>
        <w:t>la liquidació</w:t>
      </w:r>
      <w:r w:rsidR="00C9100D" w:rsidRPr="006E6FF9">
        <w:rPr>
          <w:rFonts w:ascii="Arial" w:hAnsi="Arial" w:cs="Arial"/>
          <w:color w:val="000000" w:themeColor="text1"/>
          <w:sz w:val="24"/>
          <w:szCs w:val="24"/>
        </w:rPr>
        <w:t>n de la asignació</w:t>
      </w:r>
      <w:r w:rsidRPr="006E6FF9">
        <w:rPr>
          <w:rFonts w:ascii="Arial" w:hAnsi="Arial" w:cs="Arial"/>
          <w:color w:val="000000" w:themeColor="text1"/>
          <w:sz w:val="24"/>
          <w:szCs w:val="24"/>
        </w:rPr>
        <w:t xml:space="preserve">n de retiro </w:t>
      </w:r>
      <w:r w:rsidR="00C9100D" w:rsidRPr="006E6FF9">
        <w:rPr>
          <w:rFonts w:ascii="Arial" w:hAnsi="Arial" w:cs="Arial"/>
          <w:color w:val="000000" w:themeColor="text1"/>
          <w:sz w:val="24"/>
          <w:szCs w:val="24"/>
        </w:rPr>
        <w:t>del</w:t>
      </w:r>
      <w:r w:rsidRPr="006E6FF9">
        <w:rPr>
          <w:rFonts w:ascii="Arial" w:hAnsi="Arial" w:cs="Arial"/>
          <w:color w:val="000000" w:themeColor="text1"/>
          <w:sz w:val="24"/>
          <w:szCs w:val="24"/>
        </w:rPr>
        <w:t xml:space="preserve"> personal </w:t>
      </w:r>
      <w:r w:rsidR="00C9100D" w:rsidRPr="006E6FF9">
        <w:rPr>
          <w:rFonts w:ascii="Arial" w:hAnsi="Arial" w:cs="Arial"/>
          <w:color w:val="000000" w:themeColor="text1"/>
          <w:sz w:val="24"/>
          <w:szCs w:val="24"/>
        </w:rPr>
        <w:t>del Nivel Ejecutivo de la Policí</w:t>
      </w:r>
      <w:r w:rsidRPr="006E6FF9">
        <w:rPr>
          <w:rFonts w:ascii="Arial" w:hAnsi="Arial" w:cs="Arial"/>
          <w:color w:val="000000" w:themeColor="text1"/>
          <w:sz w:val="24"/>
          <w:szCs w:val="24"/>
        </w:rPr>
        <w:t>a Nacional.</w:t>
      </w:r>
    </w:p>
    <w:p w14:paraId="5C21B69F" w14:textId="77777777" w:rsidR="00973760" w:rsidRPr="006E6FF9" w:rsidRDefault="00973760" w:rsidP="00533EC9">
      <w:pPr>
        <w:pStyle w:val="p1"/>
        <w:ind w:left="708"/>
        <w:jc w:val="both"/>
        <w:rPr>
          <w:rFonts w:ascii="Arial" w:hAnsi="Arial" w:cs="Arial"/>
          <w:color w:val="000000" w:themeColor="text1"/>
          <w:sz w:val="24"/>
          <w:szCs w:val="24"/>
        </w:rPr>
      </w:pPr>
    </w:p>
    <w:p w14:paraId="1DA7874E" w14:textId="70A056CA" w:rsidR="00973760" w:rsidRPr="006E6FF9" w:rsidRDefault="00973760" w:rsidP="00973760">
      <w:pPr>
        <w:pStyle w:val="p1"/>
        <w:ind w:left="708"/>
        <w:jc w:val="both"/>
        <w:rPr>
          <w:rFonts w:ascii="Arial" w:hAnsi="Arial" w:cs="Arial"/>
          <w:color w:val="000000" w:themeColor="text1"/>
          <w:sz w:val="24"/>
          <w:szCs w:val="24"/>
        </w:rPr>
      </w:pPr>
      <w:r w:rsidRPr="006E6FF9">
        <w:rPr>
          <w:rFonts w:ascii="Arial" w:hAnsi="Arial" w:cs="Arial"/>
          <w:b/>
          <w:color w:val="000000" w:themeColor="text1"/>
          <w:sz w:val="24"/>
          <w:szCs w:val="24"/>
        </w:rPr>
        <w:t>2.3.2.</w:t>
      </w:r>
      <w:r w:rsidRPr="006E6FF9">
        <w:rPr>
          <w:rFonts w:ascii="Arial" w:hAnsi="Arial" w:cs="Arial"/>
          <w:color w:val="000000" w:themeColor="text1"/>
          <w:sz w:val="24"/>
          <w:szCs w:val="24"/>
        </w:rPr>
        <w:t xml:space="preserve"> La Corte Constitucional en la sentencia C-941 de 2003 sostuvo que pueden existir diferencias entre los regímenes prestacionales de los miembros de la fuerza pública y estas solo </w:t>
      </w:r>
      <w:r w:rsidR="00E25E89" w:rsidRPr="006E6FF9">
        <w:rPr>
          <w:rFonts w:ascii="Arial" w:hAnsi="Arial" w:cs="Arial"/>
          <w:color w:val="000000" w:themeColor="text1"/>
          <w:sz w:val="24"/>
          <w:szCs w:val="24"/>
        </w:rPr>
        <w:t>se entenderán</w:t>
      </w:r>
      <w:r w:rsidRPr="006E6FF9">
        <w:rPr>
          <w:rFonts w:ascii="Arial" w:hAnsi="Arial" w:cs="Arial"/>
          <w:color w:val="000000" w:themeColor="text1"/>
          <w:sz w:val="24"/>
          <w:szCs w:val="24"/>
        </w:rPr>
        <w:t xml:space="preserve"> como un trato discriminatorio cuando el conjunto del sistema, no apenas uno de sus elementos integrantes, conlleve un tratamiento desfavorable para el destinatario.</w:t>
      </w:r>
    </w:p>
    <w:p w14:paraId="7554F282" w14:textId="77777777" w:rsidR="00533EC9" w:rsidRPr="006E6FF9" w:rsidRDefault="00533EC9" w:rsidP="00973760">
      <w:pPr>
        <w:pStyle w:val="p1"/>
        <w:jc w:val="both"/>
        <w:rPr>
          <w:rFonts w:ascii="Arial" w:hAnsi="Arial" w:cs="Arial"/>
          <w:color w:val="000000" w:themeColor="text1"/>
          <w:sz w:val="24"/>
          <w:szCs w:val="24"/>
        </w:rPr>
      </w:pPr>
    </w:p>
    <w:p w14:paraId="660D35F0" w14:textId="3827C812" w:rsidR="00A47AF9" w:rsidRPr="006E6FF9" w:rsidRDefault="00097EC8" w:rsidP="00981A7C">
      <w:pPr>
        <w:pStyle w:val="p1"/>
        <w:ind w:left="708"/>
        <w:jc w:val="both"/>
        <w:rPr>
          <w:rFonts w:ascii="Arial" w:hAnsi="Arial" w:cs="Arial"/>
          <w:color w:val="000000" w:themeColor="text1"/>
          <w:sz w:val="24"/>
          <w:szCs w:val="24"/>
        </w:rPr>
      </w:pPr>
      <w:r w:rsidRPr="006E6FF9">
        <w:rPr>
          <w:rFonts w:ascii="Arial" w:hAnsi="Arial" w:cs="Arial"/>
          <w:b/>
          <w:color w:val="000000" w:themeColor="text1"/>
          <w:sz w:val="24"/>
          <w:szCs w:val="24"/>
        </w:rPr>
        <w:t>2.3.</w:t>
      </w:r>
      <w:r w:rsidR="00973760" w:rsidRPr="006E6FF9">
        <w:rPr>
          <w:rFonts w:ascii="Arial" w:hAnsi="Arial" w:cs="Arial"/>
          <w:b/>
          <w:color w:val="000000" w:themeColor="text1"/>
          <w:sz w:val="24"/>
          <w:szCs w:val="24"/>
        </w:rPr>
        <w:t>3</w:t>
      </w:r>
      <w:r w:rsidRPr="006E6FF9">
        <w:rPr>
          <w:rFonts w:ascii="Arial" w:hAnsi="Arial" w:cs="Arial"/>
          <w:b/>
          <w:color w:val="000000" w:themeColor="text1"/>
          <w:sz w:val="24"/>
          <w:szCs w:val="24"/>
        </w:rPr>
        <w:t>.</w:t>
      </w:r>
      <w:r w:rsidRPr="006E6FF9">
        <w:rPr>
          <w:rFonts w:ascii="Arial" w:hAnsi="Arial" w:cs="Arial"/>
          <w:color w:val="000000" w:themeColor="text1"/>
          <w:sz w:val="24"/>
          <w:szCs w:val="24"/>
        </w:rPr>
        <w:t xml:space="preserve"> </w:t>
      </w:r>
      <w:r w:rsidR="00A4696E" w:rsidRPr="006E6FF9">
        <w:rPr>
          <w:rFonts w:ascii="Arial" w:hAnsi="Arial" w:cs="Arial"/>
          <w:color w:val="000000" w:themeColor="text1"/>
          <w:sz w:val="24"/>
          <w:szCs w:val="24"/>
        </w:rPr>
        <w:t>Las sent</w:t>
      </w:r>
      <w:r w:rsidR="00C74912" w:rsidRPr="006E6FF9">
        <w:rPr>
          <w:rFonts w:ascii="Arial" w:hAnsi="Arial" w:cs="Arial"/>
          <w:color w:val="000000" w:themeColor="text1"/>
          <w:sz w:val="24"/>
          <w:szCs w:val="24"/>
        </w:rPr>
        <w:t xml:space="preserve">encias del Consejo de Estado </w:t>
      </w:r>
      <w:r w:rsidR="00A4696E" w:rsidRPr="006E6FF9">
        <w:rPr>
          <w:rFonts w:ascii="Arial" w:hAnsi="Arial" w:cs="Arial"/>
          <w:color w:val="000000" w:themeColor="text1"/>
          <w:sz w:val="24"/>
          <w:szCs w:val="24"/>
        </w:rPr>
        <w:t xml:space="preserve">invocadas por el demandante </w:t>
      </w:r>
      <w:r w:rsidR="00A47AF9" w:rsidRPr="006E6FF9">
        <w:rPr>
          <w:rFonts w:ascii="Arial" w:hAnsi="Arial" w:cs="Arial"/>
          <w:color w:val="000000" w:themeColor="text1"/>
          <w:sz w:val="24"/>
          <w:szCs w:val="24"/>
        </w:rPr>
        <w:t>no constituyen precedente porque definieron un asunto similar, pero para funcionarios de las</w:t>
      </w:r>
      <w:r w:rsidR="005C75F8" w:rsidRPr="006E6FF9">
        <w:rPr>
          <w:rFonts w:ascii="Arial" w:hAnsi="Arial" w:cs="Arial"/>
          <w:color w:val="000000" w:themeColor="text1"/>
          <w:sz w:val="24"/>
          <w:szCs w:val="24"/>
        </w:rPr>
        <w:t xml:space="preserve"> fuerzas m</w:t>
      </w:r>
      <w:r w:rsidR="00A47AF9" w:rsidRPr="006E6FF9">
        <w:rPr>
          <w:rFonts w:ascii="Arial" w:hAnsi="Arial" w:cs="Arial"/>
          <w:color w:val="000000" w:themeColor="text1"/>
          <w:sz w:val="24"/>
          <w:szCs w:val="24"/>
        </w:rPr>
        <w:t>ilitares.</w:t>
      </w:r>
      <w:r w:rsidR="00973760" w:rsidRPr="006E6FF9">
        <w:rPr>
          <w:rFonts w:ascii="Arial" w:hAnsi="Arial" w:cs="Arial"/>
          <w:color w:val="000000" w:themeColor="text1"/>
          <w:sz w:val="24"/>
          <w:szCs w:val="24"/>
        </w:rPr>
        <w:t xml:space="preserve"> Así, tampoco se advierte una vulneración del derecho a la igualdad pues se pretende comparar sujetos con diferentes rangos, cargos y niveles dentro de la fuerza pública.</w:t>
      </w:r>
    </w:p>
    <w:p w14:paraId="491E7280" w14:textId="77777777" w:rsidR="001C4D01" w:rsidRPr="006E6FF9" w:rsidRDefault="001C4D01" w:rsidP="00F5606B">
      <w:pPr>
        <w:autoSpaceDE w:val="0"/>
        <w:autoSpaceDN w:val="0"/>
        <w:adjustRightInd w:val="0"/>
        <w:spacing w:line="276" w:lineRule="auto"/>
        <w:rPr>
          <w:color w:val="000000" w:themeColor="text1"/>
          <w:sz w:val="24"/>
          <w:szCs w:val="24"/>
          <w:lang w:val="es-MX" w:eastAsia="ja-JP"/>
        </w:rPr>
      </w:pPr>
    </w:p>
    <w:p w14:paraId="7CE368A5" w14:textId="77777777" w:rsidR="009E3ECE" w:rsidRPr="006E6FF9" w:rsidRDefault="009E3ECE" w:rsidP="00F5606B">
      <w:pPr>
        <w:numPr>
          <w:ilvl w:val="0"/>
          <w:numId w:val="3"/>
        </w:numPr>
        <w:overflowPunct w:val="0"/>
        <w:autoSpaceDE w:val="0"/>
        <w:autoSpaceDN w:val="0"/>
        <w:adjustRightInd w:val="0"/>
        <w:spacing w:line="276" w:lineRule="auto"/>
        <w:contextualSpacing/>
        <w:rPr>
          <w:rFonts w:eastAsia="Times New Roman"/>
          <w:b/>
          <w:color w:val="000000" w:themeColor="text1"/>
          <w:sz w:val="24"/>
          <w:szCs w:val="24"/>
          <w:lang w:eastAsia="es-ES"/>
        </w:rPr>
      </w:pPr>
      <w:r w:rsidRPr="006E6FF9">
        <w:rPr>
          <w:rFonts w:eastAsia="Times New Roman"/>
          <w:b/>
          <w:color w:val="000000" w:themeColor="text1"/>
          <w:sz w:val="24"/>
          <w:szCs w:val="24"/>
          <w:lang w:eastAsia="es-ES"/>
        </w:rPr>
        <w:t>Pretensiones de tutela</w:t>
      </w:r>
    </w:p>
    <w:p w14:paraId="3B3284B1" w14:textId="77777777" w:rsidR="009E3ECE" w:rsidRPr="006E6FF9" w:rsidRDefault="009E3ECE" w:rsidP="00F5606B">
      <w:pPr>
        <w:overflowPunct w:val="0"/>
        <w:autoSpaceDE w:val="0"/>
        <w:autoSpaceDN w:val="0"/>
        <w:adjustRightInd w:val="0"/>
        <w:spacing w:line="276" w:lineRule="auto"/>
        <w:contextualSpacing/>
        <w:rPr>
          <w:rFonts w:eastAsia="Times New Roman"/>
          <w:color w:val="000000" w:themeColor="text1"/>
          <w:sz w:val="24"/>
          <w:szCs w:val="24"/>
          <w:lang w:eastAsia="es-ES"/>
        </w:rPr>
      </w:pPr>
    </w:p>
    <w:p w14:paraId="08ADB977" w14:textId="2EB7D101" w:rsidR="00957978" w:rsidRPr="006E6FF9" w:rsidRDefault="005C75F8" w:rsidP="00F5606B">
      <w:pPr>
        <w:autoSpaceDE w:val="0"/>
        <w:autoSpaceDN w:val="0"/>
        <w:adjustRightInd w:val="0"/>
        <w:spacing w:line="276" w:lineRule="auto"/>
        <w:rPr>
          <w:color w:val="000000" w:themeColor="text1"/>
          <w:sz w:val="24"/>
          <w:szCs w:val="24"/>
          <w:lang w:val="es-MX" w:eastAsia="ja-JP"/>
        </w:rPr>
      </w:pPr>
      <w:r w:rsidRPr="006E6FF9">
        <w:rPr>
          <w:color w:val="000000" w:themeColor="text1"/>
          <w:sz w:val="24"/>
          <w:szCs w:val="24"/>
        </w:rPr>
        <w:t>Víctor Rafael Díaz Arroyo, el 15 de octubre de 2020</w:t>
      </w:r>
      <w:r w:rsidR="00E02AEC" w:rsidRPr="006E6FF9">
        <w:rPr>
          <w:rStyle w:val="Refdenotaalpie"/>
          <w:color w:val="000000" w:themeColor="text1"/>
          <w:sz w:val="24"/>
          <w:szCs w:val="24"/>
        </w:rPr>
        <w:footnoteReference w:id="5"/>
      </w:r>
      <w:r w:rsidRPr="006E6FF9">
        <w:rPr>
          <w:color w:val="000000" w:themeColor="text1"/>
          <w:sz w:val="24"/>
          <w:szCs w:val="24"/>
        </w:rPr>
        <w:t xml:space="preserve">, </w:t>
      </w:r>
      <w:r w:rsidR="009E3ECE" w:rsidRPr="006E6FF9">
        <w:rPr>
          <w:color w:val="000000" w:themeColor="text1"/>
          <w:sz w:val="24"/>
          <w:szCs w:val="24"/>
          <w:lang w:val="es-MX" w:eastAsia="ja-JP"/>
        </w:rPr>
        <w:t>presentó escrito de tutela</w:t>
      </w:r>
      <w:r w:rsidRPr="006E6FF9">
        <w:rPr>
          <w:color w:val="000000" w:themeColor="text1"/>
          <w:sz w:val="24"/>
          <w:szCs w:val="24"/>
          <w:lang w:val="es-MX" w:eastAsia="ja-JP"/>
        </w:rPr>
        <w:t xml:space="preserve"> </w:t>
      </w:r>
      <w:r w:rsidR="009E3ECE" w:rsidRPr="006E6FF9">
        <w:rPr>
          <w:color w:val="000000" w:themeColor="text1"/>
          <w:sz w:val="24"/>
          <w:szCs w:val="24"/>
          <w:lang w:val="es-MX" w:eastAsia="ja-JP"/>
        </w:rPr>
        <w:t xml:space="preserve">en el que solicitó al juez </w:t>
      </w:r>
      <w:r w:rsidR="00CD43AF" w:rsidRPr="006E6FF9">
        <w:rPr>
          <w:color w:val="000000" w:themeColor="text1"/>
          <w:sz w:val="24"/>
          <w:szCs w:val="24"/>
          <w:lang w:val="es-MX" w:eastAsia="ja-JP"/>
        </w:rPr>
        <w:t xml:space="preserve">constitucional </w:t>
      </w:r>
      <w:r w:rsidR="009E3ECE" w:rsidRPr="006E6FF9">
        <w:rPr>
          <w:color w:val="000000" w:themeColor="text1"/>
          <w:sz w:val="24"/>
          <w:szCs w:val="24"/>
          <w:lang w:val="es-MX" w:eastAsia="ja-JP"/>
        </w:rPr>
        <w:t xml:space="preserve">que: (i) ampare sus derechos </w:t>
      </w:r>
      <w:r w:rsidRPr="006E6FF9">
        <w:rPr>
          <w:color w:val="000000" w:themeColor="text1"/>
          <w:sz w:val="24"/>
          <w:szCs w:val="24"/>
          <w:lang w:val="es-MX" w:eastAsia="ja-JP"/>
        </w:rPr>
        <w:t>invocados</w:t>
      </w:r>
      <w:r w:rsidR="009E3ECE" w:rsidRPr="006E6FF9">
        <w:rPr>
          <w:color w:val="000000" w:themeColor="text1"/>
          <w:sz w:val="24"/>
          <w:szCs w:val="24"/>
          <w:lang w:val="es-MX" w:eastAsia="ja-JP"/>
        </w:rPr>
        <w:t>;</w:t>
      </w:r>
      <w:r w:rsidR="004758EB" w:rsidRPr="006E6FF9">
        <w:rPr>
          <w:color w:val="000000" w:themeColor="text1"/>
          <w:sz w:val="24"/>
          <w:szCs w:val="24"/>
          <w:lang w:val="es-MX" w:eastAsia="ja-JP"/>
        </w:rPr>
        <w:t xml:space="preserve"> y </w:t>
      </w:r>
      <w:r w:rsidR="002618FA" w:rsidRPr="006E6FF9">
        <w:rPr>
          <w:color w:val="000000" w:themeColor="text1"/>
          <w:sz w:val="24"/>
          <w:szCs w:val="24"/>
          <w:lang w:val="es-MX" w:eastAsia="ja-JP"/>
        </w:rPr>
        <w:t>ii) ordene al Tribunal Administrativo de</w:t>
      </w:r>
      <w:r w:rsidRPr="006E6FF9">
        <w:rPr>
          <w:color w:val="000000" w:themeColor="text1"/>
          <w:sz w:val="24"/>
          <w:szCs w:val="24"/>
          <w:lang w:val="es-MX" w:eastAsia="ja-JP"/>
        </w:rPr>
        <w:t>l</w:t>
      </w:r>
      <w:r w:rsidR="002618FA" w:rsidRPr="006E6FF9">
        <w:rPr>
          <w:color w:val="000000" w:themeColor="text1"/>
          <w:sz w:val="24"/>
          <w:szCs w:val="24"/>
          <w:lang w:val="es-MX" w:eastAsia="ja-JP"/>
        </w:rPr>
        <w:t xml:space="preserve"> </w:t>
      </w:r>
      <w:r w:rsidRPr="006E6FF9">
        <w:rPr>
          <w:color w:val="000000" w:themeColor="text1"/>
          <w:sz w:val="24"/>
          <w:szCs w:val="24"/>
          <w:lang w:val="es-MX" w:eastAsia="ja-JP"/>
        </w:rPr>
        <w:t>Atlántico</w:t>
      </w:r>
      <w:r w:rsidR="002618FA" w:rsidRPr="006E6FF9">
        <w:rPr>
          <w:color w:val="000000" w:themeColor="text1"/>
          <w:sz w:val="24"/>
          <w:szCs w:val="24"/>
          <w:lang w:val="es-MX" w:eastAsia="ja-JP"/>
        </w:rPr>
        <w:t xml:space="preserve"> que emita una nueva decisión en la que</w:t>
      </w:r>
      <w:r w:rsidRPr="006E6FF9">
        <w:rPr>
          <w:color w:val="000000" w:themeColor="text1"/>
          <w:sz w:val="24"/>
          <w:szCs w:val="24"/>
          <w:lang w:val="es-MX" w:eastAsia="ja-JP"/>
        </w:rPr>
        <w:t xml:space="preserve"> </w:t>
      </w:r>
      <w:r w:rsidR="00E02AEC" w:rsidRPr="006E6FF9">
        <w:rPr>
          <w:color w:val="000000" w:themeColor="text1"/>
          <w:sz w:val="24"/>
          <w:szCs w:val="24"/>
          <w:lang w:val="es-MX" w:eastAsia="ja-JP"/>
        </w:rPr>
        <w:t xml:space="preserve">los </w:t>
      </w:r>
      <w:r w:rsidRPr="006E6FF9">
        <w:rPr>
          <w:color w:val="000000" w:themeColor="text1"/>
          <w:sz w:val="24"/>
          <w:szCs w:val="24"/>
          <w:lang w:val="es-MX" w:eastAsia="ja-JP"/>
        </w:rPr>
        <w:t>proteja</w:t>
      </w:r>
      <w:r w:rsidR="002618FA" w:rsidRPr="006E6FF9">
        <w:rPr>
          <w:color w:val="000000" w:themeColor="text1"/>
          <w:sz w:val="24"/>
          <w:szCs w:val="24"/>
          <w:lang w:val="es-MX" w:eastAsia="ja-JP"/>
        </w:rPr>
        <w:t xml:space="preserve">. </w:t>
      </w:r>
    </w:p>
    <w:p w14:paraId="6F591661" w14:textId="77777777" w:rsidR="005C75F8" w:rsidRPr="006E6FF9" w:rsidRDefault="005C75F8" w:rsidP="005C75F8">
      <w:pPr>
        <w:pStyle w:val="Prrafodelista"/>
        <w:overflowPunct w:val="0"/>
        <w:autoSpaceDE w:val="0"/>
        <w:autoSpaceDN w:val="0"/>
        <w:adjustRightInd w:val="0"/>
        <w:spacing w:line="281" w:lineRule="auto"/>
        <w:ind w:left="0"/>
        <w:rPr>
          <w:rFonts w:ascii="Arial" w:hAnsi="Arial" w:cs="Arial"/>
          <w:color w:val="000000" w:themeColor="text1"/>
          <w:lang w:val="es-MX"/>
        </w:rPr>
      </w:pPr>
    </w:p>
    <w:p w14:paraId="47BC6A82" w14:textId="77777777" w:rsidR="005C75F8" w:rsidRPr="006E6FF9" w:rsidRDefault="005C75F8" w:rsidP="005C75F8">
      <w:pPr>
        <w:numPr>
          <w:ilvl w:val="0"/>
          <w:numId w:val="3"/>
        </w:numPr>
        <w:overflowPunct w:val="0"/>
        <w:autoSpaceDE w:val="0"/>
        <w:autoSpaceDN w:val="0"/>
        <w:adjustRightInd w:val="0"/>
        <w:spacing w:line="281" w:lineRule="auto"/>
        <w:ind w:left="0" w:firstLine="0"/>
        <w:contextualSpacing/>
        <w:rPr>
          <w:color w:val="000000" w:themeColor="text1"/>
          <w:sz w:val="24"/>
          <w:szCs w:val="24"/>
        </w:rPr>
      </w:pPr>
      <w:r w:rsidRPr="006E6FF9">
        <w:rPr>
          <w:rFonts w:eastAsia="Arial Unicode MS"/>
          <w:b/>
          <w:color w:val="000000" w:themeColor="text1"/>
          <w:sz w:val="24"/>
          <w:szCs w:val="24"/>
        </w:rPr>
        <w:t>Argumentos de la solicitud de tutela</w:t>
      </w:r>
    </w:p>
    <w:p w14:paraId="224EE1B5" w14:textId="77777777" w:rsidR="005C75F8" w:rsidRPr="006E6FF9" w:rsidRDefault="005C75F8" w:rsidP="005C75F8">
      <w:pPr>
        <w:overflowPunct w:val="0"/>
        <w:autoSpaceDE w:val="0"/>
        <w:autoSpaceDN w:val="0"/>
        <w:adjustRightInd w:val="0"/>
        <w:spacing w:line="281" w:lineRule="auto"/>
        <w:contextualSpacing/>
        <w:rPr>
          <w:color w:val="000000" w:themeColor="text1"/>
          <w:sz w:val="24"/>
          <w:szCs w:val="24"/>
        </w:rPr>
      </w:pPr>
    </w:p>
    <w:p w14:paraId="4735A67C" w14:textId="37EF06ED" w:rsidR="005C75F8" w:rsidRPr="006E6FF9" w:rsidRDefault="005C75F8" w:rsidP="005C75F8">
      <w:pPr>
        <w:pStyle w:val="Prrafodelista"/>
        <w:overflowPunct w:val="0"/>
        <w:autoSpaceDE w:val="0"/>
        <w:autoSpaceDN w:val="0"/>
        <w:adjustRightInd w:val="0"/>
        <w:spacing w:line="281" w:lineRule="auto"/>
        <w:ind w:left="0"/>
        <w:jc w:val="both"/>
        <w:rPr>
          <w:rFonts w:ascii="Arial" w:hAnsi="Arial" w:cs="Arial"/>
          <w:color w:val="000000" w:themeColor="text1"/>
        </w:rPr>
      </w:pPr>
      <w:r w:rsidRPr="006E6FF9">
        <w:rPr>
          <w:rFonts w:ascii="Arial" w:hAnsi="Arial" w:cs="Arial"/>
          <w:color w:val="000000" w:themeColor="text1"/>
        </w:rPr>
        <w:t xml:space="preserve">El peticionario consideró que el proveído enjuiciado incurrió en un defecto </w:t>
      </w:r>
      <w:r w:rsidR="00B95F14" w:rsidRPr="006E6FF9">
        <w:rPr>
          <w:rFonts w:ascii="Arial" w:hAnsi="Arial" w:cs="Arial"/>
          <w:color w:val="000000" w:themeColor="text1"/>
        </w:rPr>
        <w:t xml:space="preserve">por desconocimiento del precedente judicial y en un defecto </w:t>
      </w:r>
      <w:r w:rsidRPr="006E6FF9">
        <w:rPr>
          <w:rFonts w:ascii="Arial" w:hAnsi="Arial" w:cs="Arial"/>
          <w:color w:val="000000" w:themeColor="text1"/>
        </w:rPr>
        <w:t>sustantivo</w:t>
      </w:r>
      <w:r w:rsidR="007161C9" w:rsidRPr="006E6FF9">
        <w:rPr>
          <w:rFonts w:ascii="Arial" w:hAnsi="Arial" w:cs="Arial"/>
          <w:color w:val="000000" w:themeColor="text1"/>
        </w:rPr>
        <w:t>. Para s</w:t>
      </w:r>
      <w:r w:rsidR="00B95F14" w:rsidRPr="006E6FF9">
        <w:rPr>
          <w:rFonts w:ascii="Arial" w:hAnsi="Arial" w:cs="Arial"/>
          <w:color w:val="000000" w:themeColor="text1"/>
        </w:rPr>
        <w:t>oporta</w:t>
      </w:r>
      <w:r w:rsidR="007161C9" w:rsidRPr="006E6FF9">
        <w:rPr>
          <w:rFonts w:ascii="Arial" w:hAnsi="Arial" w:cs="Arial"/>
          <w:color w:val="000000" w:themeColor="text1"/>
        </w:rPr>
        <w:t xml:space="preserve">r esta afirmación presentó los siguientes argumentos: </w:t>
      </w:r>
    </w:p>
    <w:p w14:paraId="1CF6765A" w14:textId="77777777" w:rsidR="005C75F8" w:rsidRPr="006E6FF9" w:rsidRDefault="005C75F8" w:rsidP="005C75F8">
      <w:pPr>
        <w:pStyle w:val="Prrafodelista"/>
        <w:overflowPunct w:val="0"/>
        <w:autoSpaceDE w:val="0"/>
        <w:autoSpaceDN w:val="0"/>
        <w:adjustRightInd w:val="0"/>
        <w:spacing w:line="281" w:lineRule="auto"/>
        <w:ind w:left="0"/>
        <w:rPr>
          <w:rFonts w:ascii="Arial" w:hAnsi="Arial" w:cs="Arial"/>
          <w:color w:val="000000" w:themeColor="text1"/>
        </w:rPr>
      </w:pPr>
    </w:p>
    <w:p w14:paraId="7040B2B1" w14:textId="692DFCF2" w:rsidR="005C75F8" w:rsidRPr="006E6FF9" w:rsidRDefault="007161C9" w:rsidP="007161C9">
      <w:pPr>
        <w:pStyle w:val="Prrafodelista"/>
        <w:numPr>
          <w:ilvl w:val="1"/>
          <w:numId w:val="3"/>
        </w:numPr>
        <w:overflowPunct w:val="0"/>
        <w:autoSpaceDE w:val="0"/>
        <w:autoSpaceDN w:val="0"/>
        <w:adjustRightInd w:val="0"/>
        <w:spacing w:line="283" w:lineRule="auto"/>
        <w:ind w:left="708" w:firstLine="0"/>
        <w:jc w:val="both"/>
        <w:rPr>
          <w:rFonts w:ascii="Arial" w:hAnsi="Arial" w:cs="Arial"/>
          <w:color w:val="000000" w:themeColor="text1"/>
        </w:rPr>
      </w:pPr>
      <w:r w:rsidRPr="006E6FF9">
        <w:rPr>
          <w:rFonts w:ascii="Arial" w:hAnsi="Arial" w:cs="Arial"/>
          <w:color w:val="000000" w:themeColor="text1"/>
        </w:rPr>
        <w:lastRenderedPageBreak/>
        <w:t>S</w:t>
      </w:r>
      <w:r w:rsidR="005C75F8" w:rsidRPr="006E6FF9">
        <w:rPr>
          <w:rFonts w:ascii="Arial" w:hAnsi="Arial" w:cs="Arial"/>
          <w:color w:val="000000" w:themeColor="text1"/>
        </w:rPr>
        <w:t>us derechos se vulneran debido a que, por concepto de subsidio familiar, percibe unos ingresos distintos, en comparación con otros uniformados. En efecto, a título de subsidio familiar, de conformidad con lo dispuesto en el artículo 28 del Decreto 318 de 2020</w:t>
      </w:r>
      <w:r w:rsidR="005C75F8" w:rsidRPr="006E6FF9">
        <w:rPr>
          <w:rStyle w:val="Refdenotaalpie"/>
          <w:rFonts w:ascii="Arial" w:hAnsi="Arial" w:cs="Arial"/>
          <w:color w:val="000000" w:themeColor="text1"/>
        </w:rPr>
        <w:footnoteReference w:id="6"/>
      </w:r>
      <w:r w:rsidR="005C75F8" w:rsidRPr="006E6FF9">
        <w:rPr>
          <w:rFonts w:ascii="Arial" w:hAnsi="Arial" w:cs="Arial"/>
          <w:color w:val="000000" w:themeColor="text1"/>
        </w:rPr>
        <w:t>, recibe un valor de treinta y cuatro mil cuatrocientos cinco pesos ($34.405) por cada uno de sus hijos y no se le reconoce monto alguno en lo que respecta a su esposa. En cambio, a los oficia</w:t>
      </w:r>
      <w:r w:rsidR="00337461" w:rsidRPr="006E6FF9">
        <w:rPr>
          <w:rFonts w:ascii="Arial" w:hAnsi="Arial" w:cs="Arial"/>
          <w:color w:val="000000" w:themeColor="text1"/>
        </w:rPr>
        <w:t>les, suboficiales y agentes de p</w:t>
      </w:r>
      <w:r w:rsidR="005C75F8" w:rsidRPr="006E6FF9">
        <w:rPr>
          <w:rFonts w:ascii="Arial" w:hAnsi="Arial" w:cs="Arial"/>
          <w:color w:val="000000" w:themeColor="text1"/>
        </w:rPr>
        <w:t xml:space="preserve">olicía se les reconoce un porcentaje por estar casados o en unión libre y una suma mayor por cada uno de sus hijos, de acuerdo con lo ordenado por los </w:t>
      </w:r>
      <w:r w:rsidR="00263586">
        <w:rPr>
          <w:rFonts w:ascii="Arial" w:hAnsi="Arial" w:cs="Arial"/>
          <w:color w:val="000000" w:themeColor="text1"/>
        </w:rPr>
        <w:t>D</w:t>
      </w:r>
      <w:r w:rsidR="005C75F8" w:rsidRPr="006E6FF9">
        <w:rPr>
          <w:rFonts w:ascii="Arial" w:hAnsi="Arial" w:cs="Arial"/>
          <w:color w:val="000000" w:themeColor="text1"/>
        </w:rPr>
        <w:t>ec</w:t>
      </w:r>
      <w:r w:rsidR="005C75F8" w:rsidRPr="006E6FF9">
        <w:rPr>
          <w:rFonts w:ascii="Arial" w:hAnsi="Arial" w:cs="Arial"/>
          <w:color w:val="000000" w:themeColor="text1"/>
        </w:rPr>
        <w:t>retos 1212 y 1213 de 1990. Lo mismo sucede con los integrantes de las fuerzas militares.</w:t>
      </w:r>
    </w:p>
    <w:p w14:paraId="7D1433B9" w14:textId="77777777" w:rsidR="005C75F8" w:rsidRPr="006E6FF9" w:rsidRDefault="005C75F8" w:rsidP="007161C9">
      <w:pPr>
        <w:overflowPunct w:val="0"/>
        <w:autoSpaceDE w:val="0"/>
        <w:autoSpaceDN w:val="0"/>
        <w:adjustRightInd w:val="0"/>
        <w:spacing w:line="283" w:lineRule="auto"/>
        <w:ind w:left="708"/>
        <w:rPr>
          <w:color w:val="000000" w:themeColor="text1"/>
          <w:sz w:val="24"/>
          <w:szCs w:val="24"/>
          <w:u w:val="single"/>
        </w:rPr>
      </w:pPr>
    </w:p>
    <w:p w14:paraId="1305140A" w14:textId="3B68442F" w:rsidR="00961407" w:rsidRPr="006E6FF9" w:rsidRDefault="007161C9" w:rsidP="00D418AE">
      <w:pPr>
        <w:pStyle w:val="Prrafodelista"/>
        <w:numPr>
          <w:ilvl w:val="1"/>
          <w:numId w:val="3"/>
        </w:numPr>
        <w:overflowPunct w:val="0"/>
        <w:autoSpaceDE w:val="0"/>
        <w:autoSpaceDN w:val="0"/>
        <w:adjustRightInd w:val="0"/>
        <w:spacing w:line="283" w:lineRule="auto"/>
        <w:ind w:left="708" w:firstLine="0"/>
        <w:jc w:val="both"/>
        <w:rPr>
          <w:rFonts w:ascii="Arial" w:hAnsi="Arial" w:cs="Arial"/>
          <w:color w:val="000000" w:themeColor="text1"/>
        </w:rPr>
      </w:pPr>
      <w:r w:rsidRPr="006E6FF9">
        <w:rPr>
          <w:rFonts w:ascii="Arial" w:hAnsi="Arial" w:cs="Arial"/>
          <w:color w:val="000000" w:themeColor="text1"/>
          <w:lang w:val="es-CO"/>
        </w:rPr>
        <w:t>E</w:t>
      </w:r>
      <w:r w:rsidR="005C75F8" w:rsidRPr="006E6FF9">
        <w:rPr>
          <w:rFonts w:ascii="Arial" w:hAnsi="Arial" w:cs="Arial"/>
          <w:color w:val="000000" w:themeColor="text1"/>
        </w:rPr>
        <w:t>l fallador censurado no observó la jurisprudencia de la Corte Constitucional</w:t>
      </w:r>
      <w:r w:rsidR="00961407" w:rsidRPr="006E6FF9">
        <w:rPr>
          <w:rStyle w:val="Refdenotaalpie"/>
          <w:rFonts w:ascii="Arial" w:hAnsi="Arial" w:cs="Arial"/>
          <w:color w:val="000000" w:themeColor="text1"/>
        </w:rPr>
        <w:footnoteReference w:id="7"/>
      </w:r>
      <w:r w:rsidR="00D8698F" w:rsidRPr="006E6FF9">
        <w:rPr>
          <w:rFonts w:ascii="Arial" w:hAnsi="Arial" w:cs="Arial"/>
          <w:color w:val="000000" w:themeColor="text1"/>
        </w:rPr>
        <w:t xml:space="preserve"> </w:t>
      </w:r>
      <w:r w:rsidR="00D418AE" w:rsidRPr="006E6FF9">
        <w:rPr>
          <w:rFonts w:ascii="Arial" w:hAnsi="Arial" w:cs="Arial"/>
          <w:color w:val="000000" w:themeColor="text1"/>
        </w:rPr>
        <w:t xml:space="preserve">que estableció que: (i) el subsidio familiar es un derecho fundamental por conexidad al mínimo vital que se encuentra en cabeza del núcleo familiar del trabajador; (ii) dicha subvención materializa los postulados de los artículos 42 y 44 de la Constitución Política de Colombia; </w:t>
      </w:r>
      <w:r w:rsidR="00850B3B" w:rsidRPr="006E6FF9">
        <w:rPr>
          <w:rFonts w:ascii="Arial" w:hAnsi="Arial" w:cs="Arial"/>
          <w:color w:val="000000" w:themeColor="text1"/>
        </w:rPr>
        <w:t xml:space="preserve">y </w:t>
      </w:r>
      <w:r w:rsidR="00D418AE" w:rsidRPr="006E6FF9">
        <w:rPr>
          <w:rFonts w:ascii="Arial" w:hAnsi="Arial" w:cs="Arial"/>
          <w:color w:val="000000" w:themeColor="text1"/>
        </w:rPr>
        <w:t>(iii) en el evento que se considere transgredido el artículo 13 constitucional por existir dife</w:t>
      </w:r>
      <w:r w:rsidR="002C0D51" w:rsidRPr="006E6FF9">
        <w:rPr>
          <w:rFonts w:ascii="Arial" w:hAnsi="Arial" w:cs="Arial"/>
          <w:color w:val="000000" w:themeColor="text1"/>
        </w:rPr>
        <w:t xml:space="preserve">rencias en el reconocimiento del referido subsidio, </w:t>
      </w:r>
      <w:r w:rsidR="00D418AE" w:rsidRPr="006E6FF9">
        <w:rPr>
          <w:rFonts w:ascii="Arial" w:hAnsi="Arial" w:cs="Arial"/>
          <w:color w:val="000000" w:themeColor="text1"/>
        </w:rPr>
        <w:t xml:space="preserve">debe aplicarse un </w:t>
      </w:r>
      <w:r w:rsidR="00D418AE" w:rsidRPr="006E6FF9">
        <w:rPr>
          <w:rFonts w:ascii="Arial" w:hAnsi="Arial" w:cs="Arial"/>
          <w:iCs/>
          <w:color w:val="000000" w:themeColor="text1"/>
        </w:rPr>
        <w:t>juicio integrado de igualdad</w:t>
      </w:r>
      <w:r w:rsidR="00D418AE" w:rsidRPr="006E6FF9">
        <w:rPr>
          <w:rFonts w:ascii="Arial" w:hAnsi="Arial" w:cs="Arial"/>
          <w:color w:val="000000" w:themeColor="text1"/>
        </w:rPr>
        <w:t>. </w:t>
      </w:r>
    </w:p>
    <w:p w14:paraId="2D966846" w14:textId="77777777" w:rsidR="005C75F8" w:rsidRPr="006E6FF9" w:rsidRDefault="005C75F8" w:rsidP="007161C9">
      <w:pPr>
        <w:spacing w:line="283" w:lineRule="auto"/>
        <w:ind w:left="708"/>
        <w:rPr>
          <w:color w:val="000000" w:themeColor="text1"/>
          <w:sz w:val="24"/>
          <w:szCs w:val="24"/>
          <w:lang w:val="es-ES_tradnl"/>
        </w:rPr>
      </w:pPr>
    </w:p>
    <w:p w14:paraId="00847691" w14:textId="0D679515" w:rsidR="00C45F5A" w:rsidRPr="006E6FF9" w:rsidRDefault="001C6941" w:rsidP="00C45F5A">
      <w:pPr>
        <w:pStyle w:val="Prrafodelista"/>
        <w:numPr>
          <w:ilvl w:val="1"/>
          <w:numId w:val="3"/>
        </w:numPr>
        <w:overflowPunct w:val="0"/>
        <w:autoSpaceDE w:val="0"/>
        <w:autoSpaceDN w:val="0"/>
        <w:adjustRightInd w:val="0"/>
        <w:spacing w:line="283" w:lineRule="auto"/>
        <w:ind w:left="708" w:firstLine="0"/>
        <w:jc w:val="both"/>
        <w:rPr>
          <w:rFonts w:ascii="Arial" w:hAnsi="Arial" w:cs="Arial"/>
          <w:color w:val="000000" w:themeColor="text1"/>
        </w:rPr>
      </w:pPr>
      <w:r w:rsidRPr="006E6FF9">
        <w:rPr>
          <w:rFonts w:ascii="Arial" w:hAnsi="Arial" w:cs="Arial"/>
          <w:color w:val="000000" w:themeColor="text1"/>
        </w:rPr>
        <w:t>El tribunal no aplicó e</w:t>
      </w:r>
      <w:r w:rsidR="005C75F8" w:rsidRPr="006E6FF9">
        <w:rPr>
          <w:rFonts w:ascii="Arial" w:hAnsi="Arial" w:cs="Arial"/>
          <w:color w:val="000000" w:themeColor="text1"/>
        </w:rPr>
        <w:t xml:space="preserve">l </w:t>
      </w:r>
      <w:r w:rsidR="005C75F8" w:rsidRPr="006E6FF9">
        <w:rPr>
          <w:rFonts w:ascii="Arial" w:hAnsi="Arial" w:cs="Arial"/>
          <w:iCs/>
          <w:color w:val="000000" w:themeColor="text1"/>
        </w:rPr>
        <w:t>test</w:t>
      </w:r>
      <w:r w:rsidR="005C75F8" w:rsidRPr="006E6FF9">
        <w:rPr>
          <w:rFonts w:ascii="Arial" w:hAnsi="Arial" w:cs="Arial"/>
          <w:color w:val="000000" w:themeColor="text1"/>
        </w:rPr>
        <w:t xml:space="preserve"> </w:t>
      </w:r>
      <w:r w:rsidRPr="006E6FF9">
        <w:rPr>
          <w:rFonts w:ascii="Arial" w:hAnsi="Arial" w:cs="Arial"/>
          <w:color w:val="000000" w:themeColor="text1"/>
        </w:rPr>
        <w:t xml:space="preserve">leve </w:t>
      </w:r>
      <w:r w:rsidR="005C75F8" w:rsidRPr="006E6FF9">
        <w:rPr>
          <w:rFonts w:ascii="Arial" w:hAnsi="Arial" w:cs="Arial"/>
          <w:color w:val="000000" w:themeColor="text1"/>
        </w:rPr>
        <w:t xml:space="preserve">de igualdad, </w:t>
      </w:r>
      <w:r w:rsidRPr="006E6FF9">
        <w:rPr>
          <w:rFonts w:ascii="Arial" w:hAnsi="Arial" w:cs="Arial"/>
          <w:color w:val="000000" w:themeColor="text1"/>
        </w:rPr>
        <w:t xml:space="preserve">desarrollado en la jurisprudencia constitucional, </w:t>
      </w:r>
      <w:r w:rsidR="00E10736" w:rsidRPr="006E6FF9">
        <w:rPr>
          <w:rFonts w:ascii="Arial" w:hAnsi="Arial" w:cs="Arial"/>
          <w:color w:val="000000" w:themeColor="text1"/>
        </w:rPr>
        <w:t>que a su juicio</w:t>
      </w:r>
      <w:r w:rsidR="00C45F5A" w:rsidRPr="006E6FF9">
        <w:rPr>
          <w:rFonts w:ascii="Arial" w:hAnsi="Arial" w:cs="Arial"/>
          <w:color w:val="000000" w:themeColor="text1"/>
        </w:rPr>
        <w:t xml:space="preserve">, </w:t>
      </w:r>
      <w:r w:rsidR="00E10736" w:rsidRPr="006E6FF9">
        <w:rPr>
          <w:rFonts w:ascii="Arial" w:hAnsi="Arial" w:cs="Arial"/>
          <w:color w:val="000000" w:themeColor="text1"/>
        </w:rPr>
        <w:t>arrojaba como resultado que</w:t>
      </w:r>
      <w:r w:rsidR="005C75F8" w:rsidRPr="006E6FF9">
        <w:rPr>
          <w:rFonts w:ascii="Arial" w:hAnsi="Arial" w:cs="Arial"/>
          <w:color w:val="000000" w:themeColor="text1"/>
        </w:rPr>
        <w:t xml:space="preserve"> </w:t>
      </w:r>
      <w:r w:rsidR="00C45F5A" w:rsidRPr="006E6FF9">
        <w:rPr>
          <w:rFonts w:ascii="Arial" w:hAnsi="Arial" w:cs="Arial"/>
          <w:color w:val="000000" w:themeColor="text1"/>
        </w:rPr>
        <w:t xml:space="preserve">no existe </w:t>
      </w:r>
      <w:r w:rsidR="005C75F8" w:rsidRPr="006E6FF9">
        <w:rPr>
          <w:rFonts w:ascii="Arial" w:hAnsi="Arial" w:cs="Arial"/>
          <w:color w:val="000000" w:themeColor="text1"/>
        </w:rPr>
        <w:t>justificación constitucionalmente admisible</w:t>
      </w:r>
      <w:r w:rsidR="004A7CEB" w:rsidRPr="006E6FF9">
        <w:rPr>
          <w:rFonts w:ascii="Arial" w:hAnsi="Arial" w:cs="Arial"/>
          <w:color w:val="000000" w:themeColor="text1"/>
        </w:rPr>
        <w:t>,</w:t>
      </w:r>
      <w:r w:rsidR="005C75F8" w:rsidRPr="006E6FF9">
        <w:rPr>
          <w:rFonts w:ascii="Arial" w:hAnsi="Arial" w:cs="Arial"/>
          <w:color w:val="000000" w:themeColor="text1"/>
        </w:rPr>
        <w:t xml:space="preserve"> que explique </w:t>
      </w:r>
      <w:r w:rsidR="00C45F5A" w:rsidRPr="006E6FF9">
        <w:rPr>
          <w:rFonts w:ascii="Arial" w:hAnsi="Arial" w:cs="Arial"/>
          <w:color w:val="000000" w:themeColor="text1"/>
        </w:rPr>
        <w:t>el</w:t>
      </w:r>
      <w:r w:rsidR="005C75F8" w:rsidRPr="006E6FF9">
        <w:rPr>
          <w:rFonts w:ascii="Arial" w:hAnsi="Arial" w:cs="Arial"/>
          <w:color w:val="000000" w:themeColor="text1"/>
        </w:rPr>
        <w:t xml:space="preserve"> trato diferenciado</w:t>
      </w:r>
      <w:r w:rsidR="00C45F5A" w:rsidRPr="006E6FF9">
        <w:rPr>
          <w:rFonts w:ascii="Arial" w:hAnsi="Arial" w:cs="Arial"/>
          <w:color w:val="000000" w:themeColor="text1"/>
        </w:rPr>
        <w:t xml:space="preserve"> en términos del porcentaje que recibe</w:t>
      </w:r>
      <w:r w:rsidR="004A7CEB" w:rsidRPr="006E6FF9">
        <w:rPr>
          <w:rFonts w:ascii="Arial" w:hAnsi="Arial" w:cs="Arial"/>
          <w:color w:val="000000" w:themeColor="text1"/>
        </w:rPr>
        <w:t>n,</w:t>
      </w:r>
      <w:r w:rsidR="00C45F5A" w:rsidRPr="006E6FF9">
        <w:rPr>
          <w:rFonts w:ascii="Arial" w:hAnsi="Arial" w:cs="Arial"/>
          <w:color w:val="000000" w:themeColor="text1"/>
        </w:rPr>
        <w:t xml:space="preserve"> a título de subsidio familiar</w:t>
      </w:r>
      <w:r w:rsidR="004A7CEB" w:rsidRPr="006E6FF9">
        <w:rPr>
          <w:rFonts w:ascii="Arial" w:hAnsi="Arial" w:cs="Arial"/>
          <w:color w:val="000000" w:themeColor="text1"/>
        </w:rPr>
        <w:t>,</w:t>
      </w:r>
      <w:r w:rsidR="00E25E89" w:rsidRPr="006E6FF9">
        <w:rPr>
          <w:rFonts w:ascii="Arial" w:hAnsi="Arial" w:cs="Arial"/>
          <w:color w:val="000000" w:themeColor="text1"/>
        </w:rPr>
        <w:t xml:space="preserve"> los miembros del Nivel E</w:t>
      </w:r>
      <w:r w:rsidR="00C45F5A" w:rsidRPr="006E6FF9">
        <w:rPr>
          <w:rFonts w:ascii="Arial" w:hAnsi="Arial" w:cs="Arial"/>
          <w:color w:val="000000" w:themeColor="text1"/>
        </w:rPr>
        <w:t>jecutivo de la Policía Nacional y los demás integrantes de la fuerza pública.</w:t>
      </w:r>
    </w:p>
    <w:p w14:paraId="30AD7477" w14:textId="77777777" w:rsidR="00E53576" w:rsidRPr="006E6FF9" w:rsidRDefault="00E53576" w:rsidP="00E53576">
      <w:pPr>
        <w:overflowPunct w:val="0"/>
        <w:autoSpaceDE w:val="0"/>
        <w:autoSpaceDN w:val="0"/>
        <w:adjustRightInd w:val="0"/>
        <w:spacing w:line="283" w:lineRule="auto"/>
        <w:rPr>
          <w:color w:val="000000" w:themeColor="text1"/>
          <w:sz w:val="24"/>
          <w:szCs w:val="24"/>
        </w:rPr>
      </w:pPr>
    </w:p>
    <w:p w14:paraId="2013BFB0" w14:textId="59CF0D36" w:rsidR="00E53576" w:rsidRPr="006E6FF9" w:rsidRDefault="00E53576" w:rsidP="00C45F5A">
      <w:pPr>
        <w:pStyle w:val="Prrafodelista"/>
        <w:numPr>
          <w:ilvl w:val="1"/>
          <w:numId w:val="3"/>
        </w:numPr>
        <w:overflowPunct w:val="0"/>
        <w:autoSpaceDE w:val="0"/>
        <w:autoSpaceDN w:val="0"/>
        <w:adjustRightInd w:val="0"/>
        <w:spacing w:line="283" w:lineRule="auto"/>
        <w:ind w:left="708" w:firstLine="0"/>
        <w:jc w:val="both"/>
        <w:rPr>
          <w:rFonts w:ascii="Arial" w:hAnsi="Arial" w:cs="Arial"/>
          <w:color w:val="000000" w:themeColor="text1"/>
        </w:rPr>
      </w:pPr>
      <w:r w:rsidRPr="006E6FF9">
        <w:rPr>
          <w:rFonts w:ascii="Arial" w:hAnsi="Arial" w:cs="Arial"/>
          <w:color w:val="000000" w:themeColor="text1"/>
        </w:rPr>
        <w:t>La Sección Quinta del Consejo de Estado, en sentencia del 20 de agosto de 2020, al decidir una solicitud de amparo en contra del fallo que resolvió el proceso de nulidad simple iniciado en contra del artículo 23 del Decreto 4433 de 2004, manifestó que si el debate hubiera girado en torno al reconocimiento del subsidio familiar, sería razonable pensar que los sujetos comparables son los beneficiarios de la prestación</w:t>
      </w:r>
      <w:r w:rsidR="004A7CEB" w:rsidRPr="006E6FF9">
        <w:rPr>
          <w:rFonts w:ascii="Arial" w:hAnsi="Arial" w:cs="Arial"/>
          <w:color w:val="000000" w:themeColor="text1"/>
        </w:rPr>
        <w:t>, es decir el grupo familiar</w:t>
      </w:r>
      <w:r w:rsidRPr="006E6FF9">
        <w:rPr>
          <w:rFonts w:ascii="Arial" w:hAnsi="Arial" w:cs="Arial"/>
          <w:color w:val="000000" w:themeColor="text1"/>
        </w:rPr>
        <w:t>.</w:t>
      </w:r>
    </w:p>
    <w:p w14:paraId="5B5E1985" w14:textId="77777777" w:rsidR="00E53576" w:rsidRPr="006E6FF9" w:rsidRDefault="00E53576" w:rsidP="00E53576">
      <w:pPr>
        <w:overflowPunct w:val="0"/>
        <w:autoSpaceDE w:val="0"/>
        <w:autoSpaceDN w:val="0"/>
        <w:adjustRightInd w:val="0"/>
        <w:spacing w:line="283" w:lineRule="auto"/>
        <w:rPr>
          <w:color w:val="000000" w:themeColor="text1"/>
          <w:sz w:val="24"/>
          <w:szCs w:val="24"/>
        </w:rPr>
      </w:pPr>
    </w:p>
    <w:p w14:paraId="0D26188A" w14:textId="21455532" w:rsidR="005C75F8" w:rsidRPr="006E6FF9" w:rsidRDefault="00E53576" w:rsidP="00E53576">
      <w:pPr>
        <w:pStyle w:val="Prrafodelista"/>
        <w:numPr>
          <w:ilvl w:val="1"/>
          <w:numId w:val="3"/>
        </w:numPr>
        <w:overflowPunct w:val="0"/>
        <w:autoSpaceDE w:val="0"/>
        <w:autoSpaceDN w:val="0"/>
        <w:adjustRightInd w:val="0"/>
        <w:spacing w:line="283" w:lineRule="auto"/>
        <w:ind w:left="708" w:firstLine="0"/>
        <w:jc w:val="both"/>
        <w:rPr>
          <w:rFonts w:ascii="Arial" w:hAnsi="Arial" w:cs="Arial"/>
          <w:color w:val="000000" w:themeColor="text1"/>
        </w:rPr>
      </w:pPr>
      <w:r w:rsidRPr="006E6FF9">
        <w:rPr>
          <w:rFonts w:ascii="Arial" w:hAnsi="Arial" w:cs="Arial"/>
          <w:color w:val="000000" w:themeColor="text1"/>
        </w:rPr>
        <w:t xml:space="preserve">La omisión de aplicar la excepción por inconstitucionalidad de las normas que regulan el </w:t>
      </w:r>
      <w:r w:rsidR="00FA5B7E" w:rsidRPr="006E6FF9">
        <w:rPr>
          <w:rFonts w:ascii="Arial" w:hAnsi="Arial" w:cs="Arial"/>
          <w:color w:val="000000" w:themeColor="text1"/>
        </w:rPr>
        <w:t xml:space="preserve">porcentaje del </w:t>
      </w:r>
      <w:r w:rsidRPr="006E6FF9">
        <w:rPr>
          <w:rFonts w:ascii="Arial" w:hAnsi="Arial" w:cs="Arial"/>
          <w:color w:val="000000" w:themeColor="text1"/>
        </w:rPr>
        <w:t>subsidio familiar de los miemb</w:t>
      </w:r>
      <w:r w:rsidR="00E25E89" w:rsidRPr="006E6FF9">
        <w:rPr>
          <w:rFonts w:ascii="Arial" w:hAnsi="Arial" w:cs="Arial"/>
          <w:color w:val="000000" w:themeColor="text1"/>
        </w:rPr>
        <w:t>ros del Nivel E</w:t>
      </w:r>
      <w:r w:rsidRPr="006E6FF9">
        <w:rPr>
          <w:rFonts w:ascii="Arial" w:hAnsi="Arial" w:cs="Arial"/>
          <w:color w:val="000000" w:themeColor="text1"/>
        </w:rPr>
        <w:t xml:space="preserve">jecutivo, a pesar de que exista una evidente e injustificada contradicción reglamentaria con las normas Superiores, trae la configuración de un defecto </w:t>
      </w:r>
      <w:r w:rsidR="004A7CEB" w:rsidRPr="006E6FF9">
        <w:rPr>
          <w:rFonts w:ascii="Arial" w:hAnsi="Arial" w:cs="Arial"/>
          <w:color w:val="000000" w:themeColor="text1"/>
        </w:rPr>
        <w:t>sustantivo</w:t>
      </w:r>
      <w:r w:rsidRPr="006E6FF9">
        <w:rPr>
          <w:rFonts w:ascii="Arial" w:hAnsi="Arial" w:cs="Arial"/>
          <w:color w:val="000000" w:themeColor="text1"/>
        </w:rPr>
        <w:t>.</w:t>
      </w:r>
    </w:p>
    <w:p w14:paraId="16478D67" w14:textId="6B681903" w:rsidR="00C52BB4" w:rsidRPr="006E6FF9" w:rsidRDefault="00C52BB4" w:rsidP="00F5606B">
      <w:pPr>
        <w:autoSpaceDE w:val="0"/>
        <w:autoSpaceDN w:val="0"/>
        <w:adjustRightInd w:val="0"/>
        <w:spacing w:line="276" w:lineRule="auto"/>
        <w:rPr>
          <w:color w:val="000000" w:themeColor="text1"/>
          <w:sz w:val="24"/>
          <w:szCs w:val="24"/>
        </w:rPr>
      </w:pPr>
    </w:p>
    <w:p w14:paraId="5DE4D0FE" w14:textId="77777777" w:rsidR="009E3ECE" w:rsidRPr="006E6FF9" w:rsidRDefault="009E3ECE" w:rsidP="00F5606B">
      <w:pPr>
        <w:numPr>
          <w:ilvl w:val="0"/>
          <w:numId w:val="3"/>
        </w:numPr>
        <w:overflowPunct w:val="0"/>
        <w:autoSpaceDE w:val="0"/>
        <w:autoSpaceDN w:val="0"/>
        <w:adjustRightInd w:val="0"/>
        <w:spacing w:line="276" w:lineRule="auto"/>
        <w:contextualSpacing/>
        <w:rPr>
          <w:rFonts w:eastAsia="Times New Roman"/>
          <w:b/>
          <w:color w:val="000000" w:themeColor="text1"/>
          <w:sz w:val="24"/>
          <w:szCs w:val="24"/>
          <w:lang w:eastAsia="es-ES"/>
        </w:rPr>
      </w:pPr>
      <w:r w:rsidRPr="006E6FF9">
        <w:rPr>
          <w:b/>
          <w:color w:val="000000" w:themeColor="text1"/>
          <w:sz w:val="24"/>
          <w:szCs w:val="24"/>
        </w:rPr>
        <w:t xml:space="preserve">Trámite de tutela e intervenciones  </w:t>
      </w:r>
    </w:p>
    <w:p w14:paraId="531E15CB" w14:textId="77777777" w:rsidR="00DB6618" w:rsidRPr="006E6FF9" w:rsidRDefault="00DB6618" w:rsidP="00F5606B">
      <w:pPr>
        <w:overflowPunct w:val="0"/>
        <w:autoSpaceDE w:val="0"/>
        <w:autoSpaceDN w:val="0"/>
        <w:adjustRightInd w:val="0"/>
        <w:spacing w:line="276" w:lineRule="auto"/>
        <w:contextualSpacing/>
        <w:rPr>
          <w:rFonts w:eastAsia="Times New Roman"/>
          <w:b/>
          <w:color w:val="000000" w:themeColor="text1"/>
          <w:sz w:val="24"/>
          <w:szCs w:val="24"/>
          <w:lang w:eastAsia="es-ES"/>
        </w:rPr>
      </w:pPr>
    </w:p>
    <w:p w14:paraId="62AB8EE2" w14:textId="73140155" w:rsidR="009E3ECE" w:rsidRPr="006E6FF9" w:rsidRDefault="009E3ECE" w:rsidP="00F5606B">
      <w:pPr>
        <w:overflowPunct w:val="0"/>
        <w:autoSpaceDE w:val="0"/>
        <w:autoSpaceDN w:val="0"/>
        <w:adjustRightInd w:val="0"/>
        <w:spacing w:line="276" w:lineRule="auto"/>
        <w:rPr>
          <w:rFonts w:eastAsia="Times New Roman"/>
          <w:bCs/>
          <w:color w:val="000000" w:themeColor="text1"/>
          <w:sz w:val="24"/>
          <w:szCs w:val="24"/>
          <w:lang w:eastAsia="es-ES"/>
        </w:rPr>
      </w:pPr>
      <w:r w:rsidRPr="006E6FF9">
        <w:rPr>
          <w:rFonts w:eastAsia="Times New Roman"/>
          <w:bCs/>
          <w:color w:val="000000" w:themeColor="text1"/>
          <w:sz w:val="24"/>
          <w:szCs w:val="24"/>
          <w:lang w:eastAsia="es-ES"/>
        </w:rPr>
        <w:t xml:space="preserve">El </w:t>
      </w:r>
      <w:r w:rsidR="004E77B6" w:rsidRPr="006E6FF9">
        <w:rPr>
          <w:rFonts w:eastAsia="Times New Roman"/>
          <w:bCs/>
          <w:color w:val="000000" w:themeColor="text1"/>
          <w:sz w:val="24"/>
          <w:szCs w:val="24"/>
          <w:lang w:eastAsia="es-ES"/>
        </w:rPr>
        <w:t>m</w:t>
      </w:r>
      <w:r w:rsidRPr="006E6FF9">
        <w:rPr>
          <w:rFonts w:eastAsia="Times New Roman"/>
          <w:bCs/>
          <w:color w:val="000000" w:themeColor="text1"/>
          <w:sz w:val="24"/>
          <w:szCs w:val="24"/>
          <w:lang w:eastAsia="es-ES"/>
        </w:rPr>
        <w:t>ag</w:t>
      </w:r>
      <w:r w:rsidR="00BC77DA" w:rsidRPr="006E6FF9">
        <w:rPr>
          <w:rFonts w:eastAsia="Times New Roman"/>
          <w:bCs/>
          <w:color w:val="000000" w:themeColor="text1"/>
          <w:sz w:val="24"/>
          <w:szCs w:val="24"/>
          <w:lang w:eastAsia="es-ES"/>
        </w:rPr>
        <w:t>istrado ponente</w:t>
      </w:r>
      <w:r w:rsidR="00850B3B" w:rsidRPr="006E6FF9">
        <w:rPr>
          <w:rFonts w:eastAsia="Times New Roman"/>
          <w:bCs/>
          <w:color w:val="000000" w:themeColor="text1"/>
          <w:sz w:val="24"/>
          <w:szCs w:val="24"/>
          <w:lang w:eastAsia="es-ES"/>
        </w:rPr>
        <w:t xml:space="preserve"> </w:t>
      </w:r>
      <w:r w:rsidRPr="006E6FF9">
        <w:rPr>
          <w:rFonts w:eastAsia="Times New Roman"/>
          <w:bCs/>
          <w:color w:val="000000" w:themeColor="text1"/>
          <w:sz w:val="24"/>
          <w:szCs w:val="24"/>
          <w:lang w:eastAsia="es-ES"/>
        </w:rPr>
        <w:t xml:space="preserve">admitió la </w:t>
      </w:r>
      <w:r w:rsidR="00850B3B" w:rsidRPr="006E6FF9">
        <w:rPr>
          <w:rFonts w:eastAsia="Times New Roman"/>
          <w:bCs/>
          <w:color w:val="000000" w:themeColor="text1"/>
          <w:sz w:val="24"/>
          <w:szCs w:val="24"/>
          <w:lang w:eastAsia="es-ES"/>
        </w:rPr>
        <w:t>solicitud en auto del 22 de octubre de 2020</w:t>
      </w:r>
      <w:r w:rsidR="004A7CEB" w:rsidRPr="006E6FF9">
        <w:rPr>
          <w:rStyle w:val="Refdenotaalpie"/>
          <w:rFonts w:eastAsia="Times New Roman"/>
          <w:bCs/>
          <w:color w:val="000000" w:themeColor="text1"/>
          <w:sz w:val="24"/>
          <w:szCs w:val="24"/>
          <w:lang w:eastAsia="es-ES"/>
        </w:rPr>
        <w:footnoteReference w:id="8"/>
      </w:r>
      <w:r w:rsidR="00850B3B" w:rsidRPr="006E6FF9">
        <w:rPr>
          <w:rFonts w:eastAsia="Times New Roman"/>
          <w:bCs/>
          <w:color w:val="000000" w:themeColor="text1"/>
          <w:sz w:val="24"/>
          <w:szCs w:val="24"/>
          <w:lang w:eastAsia="es-ES"/>
        </w:rPr>
        <w:t>. Notificadas las partes y los terceros interesados recibió las siguientes respuestas:</w:t>
      </w:r>
    </w:p>
    <w:p w14:paraId="6A957161" w14:textId="77777777" w:rsidR="009E3ECE" w:rsidRPr="006E6FF9" w:rsidRDefault="009E3ECE" w:rsidP="00F5606B">
      <w:pPr>
        <w:overflowPunct w:val="0"/>
        <w:autoSpaceDE w:val="0"/>
        <w:autoSpaceDN w:val="0"/>
        <w:adjustRightInd w:val="0"/>
        <w:spacing w:line="276" w:lineRule="auto"/>
        <w:contextualSpacing/>
        <w:rPr>
          <w:b/>
          <w:color w:val="000000" w:themeColor="text1"/>
          <w:sz w:val="24"/>
          <w:szCs w:val="24"/>
        </w:rPr>
      </w:pPr>
    </w:p>
    <w:p w14:paraId="40061A54" w14:textId="61840BB1" w:rsidR="00241A20" w:rsidRPr="006E6FF9" w:rsidRDefault="00F70C9E" w:rsidP="004F10C8">
      <w:pPr>
        <w:autoSpaceDE w:val="0"/>
        <w:autoSpaceDN w:val="0"/>
        <w:adjustRightInd w:val="0"/>
        <w:spacing w:line="276" w:lineRule="auto"/>
        <w:ind w:left="708"/>
        <w:rPr>
          <w:color w:val="000000" w:themeColor="text1"/>
          <w:sz w:val="24"/>
          <w:szCs w:val="24"/>
          <w:lang w:val="es-ES_tradnl" w:eastAsia="ja-JP"/>
        </w:rPr>
      </w:pPr>
      <w:r w:rsidRPr="006E6FF9">
        <w:rPr>
          <w:b/>
          <w:color w:val="000000" w:themeColor="text1"/>
          <w:sz w:val="24"/>
          <w:szCs w:val="24"/>
          <w:lang w:val="es-MX" w:eastAsia="ja-JP"/>
        </w:rPr>
        <w:t>5.1</w:t>
      </w:r>
      <w:r w:rsidR="009E3ECE" w:rsidRPr="006E6FF9">
        <w:rPr>
          <w:b/>
          <w:color w:val="000000" w:themeColor="text1"/>
          <w:sz w:val="24"/>
          <w:szCs w:val="24"/>
          <w:lang w:val="es-MX" w:eastAsia="ja-JP"/>
        </w:rPr>
        <w:t>.</w:t>
      </w:r>
      <w:r w:rsidR="009E3ECE" w:rsidRPr="006E6FF9">
        <w:rPr>
          <w:color w:val="000000" w:themeColor="text1"/>
          <w:sz w:val="24"/>
          <w:szCs w:val="24"/>
          <w:lang w:val="es-MX" w:eastAsia="ja-JP"/>
        </w:rPr>
        <w:t xml:space="preserve"> </w:t>
      </w:r>
      <w:r w:rsidR="00241A20" w:rsidRPr="006E6FF9">
        <w:rPr>
          <w:color w:val="000000" w:themeColor="text1"/>
          <w:sz w:val="24"/>
          <w:szCs w:val="24"/>
          <w:lang w:val="es-MX" w:eastAsia="ja-JP"/>
        </w:rPr>
        <w:t xml:space="preserve">El </w:t>
      </w:r>
      <w:r w:rsidR="00241A20" w:rsidRPr="006E6FF9">
        <w:rPr>
          <w:b/>
          <w:color w:val="000000" w:themeColor="text1"/>
          <w:sz w:val="24"/>
          <w:szCs w:val="24"/>
          <w:lang w:val="es-MX" w:eastAsia="ja-JP"/>
        </w:rPr>
        <w:t>Tribu</w:t>
      </w:r>
      <w:r w:rsidR="002D033D" w:rsidRPr="006E6FF9">
        <w:rPr>
          <w:b/>
          <w:color w:val="000000" w:themeColor="text1"/>
          <w:sz w:val="24"/>
          <w:szCs w:val="24"/>
          <w:lang w:val="es-MX" w:eastAsia="ja-JP"/>
        </w:rPr>
        <w:t>nal Administrativo de</w:t>
      </w:r>
      <w:r w:rsidRPr="006E6FF9">
        <w:rPr>
          <w:b/>
          <w:color w:val="000000" w:themeColor="text1"/>
          <w:sz w:val="24"/>
          <w:szCs w:val="24"/>
          <w:lang w:val="es-MX" w:eastAsia="ja-JP"/>
        </w:rPr>
        <w:t>l Atlántico</w:t>
      </w:r>
      <w:r w:rsidRPr="006E6FF9">
        <w:rPr>
          <w:color w:val="000000" w:themeColor="text1"/>
          <w:sz w:val="24"/>
          <w:szCs w:val="24"/>
          <w:lang w:val="es-MX" w:eastAsia="ja-JP"/>
        </w:rPr>
        <w:t xml:space="preserve"> </w:t>
      </w:r>
      <w:r w:rsidR="002D033D" w:rsidRPr="006E6FF9">
        <w:rPr>
          <w:color w:val="000000" w:themeColor="text1"/>
          <w:sz w:val="24"/>
          <w:szCs w:val="24"/>
          <w:lang w:val="es-MX" w:eastAsia="ja-JP"/>
        </w:rPr>
        <w:t>reiteró</w:t>
      </w:r>
      <w:r w:rsidR="00C24C30" w:rsidRPr="006E6FF9">
        <w:rPr>
          <w:rStyle w:val="Refdenotaalpie"/>
          <w:color w:val="000000" w:themeColor="text1"/>
          <w:sz w:val="24"/>
          <w:szCs w:val="24"/>
          <w:lang w:val="es-MX" w:eastAsia="ja-JP"/>
        </w:rPr>
        <w:footnoteReference w:id="9"/>
      </w:r>
      <w:r w:rsidR="002D033D" w:rsidRPr="006E6FF9">
        <w:rPr>
          <w:color w:val="000000" w:themeColor="text1"/>
          <w:sz w:val="24"/>
          <w:szCs w:val="24"/>
          <w:lang w:val="es-MX" w:eastAsia="ja-JP"/>
        </w:rPr>
        <w:t xml:space="preserve"> los argumentos que expuso en la sentencia cuestionada, indicó que la decisión allí adoptada correspondió al marco legal y jurisp</w:t>
      </w:r>
      <w:r w:rsidR="00C24C30" w:rsidRPr="006E6FF9">
        <w:rPr>
          <w:color w:val="000000" w:themeColor="text1"/>
          <w:sz w:val="24"/>
          <w:szCs w:val="24"/>
          <w:lang w:val="es-MX" w:eastAsia="ja-JP"/>
        </w:rPr>
        <w:t>rudencial que rige</w:t>
      </w:r>
      <w:r w:rsidR="004F10C8" w:rsidRPr="006E6FF9">
        <w:rPr>
          <w:color w:val="000000" w:themeColor="text1"/>
          <w:sz w:val="24"/>
          <w:szCs w:val="24"/>
          <w:lang w:val="es-MX" w:eastAsia="ja-JP"/>
        </w:rPr>
        <w:t xml:space="preserve"> la materia,</w:t>
      </w:r>
      <w:r w:rsidR="002D033D" w:rsidRPr="006E6FF9">
        <w:rPr>
          <w:color w:val="000000" w:themeColor="text1"/>
          <w:sz w:val="24"/>
          <w:szCs w:val="24"/>
          <w:lang w:val="es-MX" w:eastAsia="ja-JP"/>
        </w:rPr>
        <w:t xml:space="preserve"> afirmó que no </w:t>
      </w:r>
      <w:r w:rsidR="004F10C8" w:rsidRPr="006E6FF9">
        <w:rPr>
          <w:color w:val="000000" w:themeColor="text1"/>
          <w:sz w:val="24"/>
          <w:szCs w:val="24"/>
          <w:lang w:val="es-MX" w:eastAsia="ja-JP"/>
        </w:rPr>
        <w:t>vulneró derechos fundamentales y por último</w:t>
      </w:r>
      <w:r w:rsidR="00CD63D9" w:rsidRPr="006E6FF9">
        <w:rPr>
          <w:color w:val="000000" w:themeColor="text1"/>
          <w:sz w:val="24"/>
          <w:szCs w:val="24"/>
          <w:lang w:val="es-MX" w:eastAsia="ja-JP"/>
        </w:rPr>
        <w:t>,</w:t>
      </w:r>
      <w:r w:rsidR="004F10C8" w:rsidRPr="006E6FF9">
        <w:rPr>
          <w:color w:val="000000" w:themeColor="text1"/>
          <w:sz w:val="24"/>
          <w:szCs w:val="24"/>
          <w:lang w:val="es-MX" w:eastAsia="ja-JP"/>
        </w:rPr>
        <w:t xml:space="preserve"> agregó que “</w:t>
      </w:r>
      <w:r w:rsidR="004F10C8" w:rsidRPr="006E6FF9">
        <w:rPr>
          <w:color w:val="000000" w:themeColor="text1"/>
          <w:sz w:val="24"/>
          <w:szCs w:val="24"/>
          <w:lang w:val="es-ES_tradnl" w:eastAsia="ja-JP"/>
        </w:rPr>
        <w:t>crear derechos laborales por vía de tutela y/o de la excepción de constitucionalidad, en un proceso ordinario de carácter particular y subjetivo como el de nulidad y restablecimiento del derecho, trastoca la integridad e integralidad del sistema jurídico”</w:t>
      </w:r>
      <w:r w:rsidR="00C24C30" w:rsidRPr="006E6FF9">
        <w:rPr>
          <w:rStyle w:val="Refdenotaalpie"/>
          <w:color w:val="000000" w:themeColor="text1"/>
          <w:sz w:val="24"/>
          <w:szCs w:val="24"/>
          <w:lang w:val="es-ES_tradnl" w:eastAsia="ja-JP"/>
        </w:rPr>
        <w:footnoteReference w:id="10"/>
      </w:r>
      <w:r w:rsidR="004F10C8" w:rsidRPr="006E6FF9">
        <w:rPr>
          <w:color w:val="000000" w:themeColor="text1"/>
          <w:sz w:val="24"/>
          <w:szCs w:val="24"/>
          <w:lang w:val="es-ES_tradnl" w:eastAsia="ja-JP"/>
        </w:rPr>
        <w:t xml:space="preserve">. </w:t>
      </w:r>
    </w:p>
    <w:p w14:paraId="1D487D03" w14:textId="77777777" w:rsidR="004F10C8" w:rsidRPr="006E6FF9" w:rsidRDefault="004F10C8" w:rsidP="004F10C8">
      <w:pPr>
        <w:autoSpaceDE w:val="0"/>
        <w:autoSpaceDN w:val="0"/>
        <w:adjustRightInd w:val="0"/>
        <w:spacing w:line="276" w:lineRule="auto"/>
        <w:ind w:left="708"/>
        <w:rPr>
          <w:color w:val="000000" w:themeColor="text1"/>
          <w:sz w:val="24"/>
          <w:szCs w:val="24"/>
          <w:lang w:val="es-ES_tradnl" w:eastAsia="ja-JP"/>
        </w:rPr>
      </w:pPr>
    </w:p>
    <w:p w14:paraId="452CF011" w14:textId="70817954" w:rsidR="00241A20" w:rsidRPr="006E6FF9" w:rsidRDefault="002D033D" w:rsidP="00F70C9E">
      <w:pPr>
        <w:autoSpaceDE w:val="0"/>
        <w:autoSpaceDN w:val="0"/>
        <w:adjustRightInd w:val="0"/>
        <w:spacing w:line="276" w:lineRule="auto"/>
        <w:ind w:left="708"/>
        <w:rPr>
          <w:color w:val="000000" w:themeColor="text1"/>
          <w:sz w:val="24"/>
          <w:szCs w:val="24"/>
          <w:lang w:val="es-MX" w:eastAsia="ja-JP"/>
        </w:rPr>
      </w:pPr>
      <w:r w:rsidRPr="006E6FF9">
        <w:rPr>
          <w:b/>
          <w:color w:val="000000" w:themeColor="text1"/>
          <w:sz w:val="24"/>
          <w:szCs w:val="24"/>
          <w:lang w:val="es-MX" w:eastAsia="ja-JP"/>
        </w:rPr>
        <w:t xml:space="preserve">5.2. </w:t>
      </w:r>
      <w:r w:rsidRPr="006E6FF9">
        <w:rPr>
          <w:color w:val="000000" w:themeColor="text1"/>
          <w:sz w:val="24"/>
          <w:szCs w:val="24"/>
          <w:lang w:val="es-MX" w:eastAsia="ja-JP"/>
        </w:rPr>
        <w:t xml:space="preserve">La </w:t>
      </w:r>
      <w:r w:rsidRPr="006E6FF9">
        <w:rPr>
          <w:b/>
          <w:color w:val="000000" w:themeColor="text1"/>
          <w:sz w:val="24"/>
          <w:szCs w:val="24"/>
          <w:lang w:val="es-MX" w:eastAsia="ja-JP"/>
        </w:rPr>
        <w:t>Caja de Sueldos de Retiro de la Policía Nacional</w:t>
      </w:r>
      <w:r w:rsidRPr="006E6FF9">
        <w:rPr>
          <w:color w:val="000000" w:themeColor="text1"/>
          <w:sz w:val="24"/>
          <w:szCs w:val="24"/>
          <w:lang w:val="es-MX" w:eastAsia="ja-JP"/>
        </w:rPr>
        <w:t xml:space="preserve"> manifestó</w:t>
      </w:r>
      <w:r w:rsidR="00C24C30" w:rsidRPr="006E6FF9">
        <w:rPr>
          <w:rStyle w:val="Refdenotaalpie"/>
          <w:color w:val="000000" w:themeColor="text1"/>
          <w:sz w:val="24"/>
          <w:szCs w:val="24"/>
          <w:lang w:val="es-MX" w:eastAsia="ja-JP"/>
        </w:rPr>
        <w:footnoteReference w:id="11"/>
      </w:r>
      <w:r w:rsidRPr="006E6FF9">
        <w:rPr>
          <w:color w:val="000000" w:themeColor="text1"/>
          <w:sz w:val="24"/>
          <w:szCs w:val="24"/>
          <w:lang w:val="es-MX" w:eastAsia="ja-JP"/>
        </w:rPr>
        <w:t xml:space="preserve"> que cumplió con </w:t>
      </w:r>
      <w:r w:rsidR="005C5548" w:rsidRPr="006E6FF9">
        <w:rPr>
          <w:color w:val="000000" w:themeColor="text1"/>
          <w:sz w:val="24"/>
          <w:szCs w:val="24"/>
          <w:lang w:val="es-MX" w:eastAsia="ja-JP"/>
        </w:rPr>
        <w:t>la normativa vigente</w:t>
      </w:r>
      <w:r w:rsidR="004F29EF" w:rsidRPr="006E6FF9">
        <w:rPr>
          <w:color w:val="000000" w:themeColor="text1"/>
          <w:sz w:val="24"/>
          <w:szCs w:val="24"/>
          <w:lang w:val="es-MX" w:eastAsia="ja-JP"/>
        </w:rPr>
        <w:t xml:space="preserve"> al momento en que profirió el acto administrativo d</w:t>
      </w:r>
      <w:r w:rsidR="00C676D1" w:rsidRPr="006E6FF9">
        <w:rPr>
          <w:color w:val="000000" w:themeColor="text1"/>
          <w:sz w:val="24"/>
          <w:szCs w:val="24"/>
          <w:lang w:val="es-MX" w:eastAsia="ja-JP"/>
        </w:rPr>
        <w:t>ebatido en el proceso ordinario. También s</w:t>
      </w:r>
      <w:r w:rsidR="004F29EF" w:rsidRPr="006E6FF9">
        <w:rPr>
          <w:color w:val="000000" w:themeColor="text1"/>
          <w:sz w:val="24"/>
          <w:szCs w:val="24"/>
          <w:lang w:val="es-MX" w:eastAsia="ja-JP"/>
        </w:rPr>
        <w:t xml:space="preserve">olicitó que se negara el amparo deprecado, en razón a que la sentencia censurada en tutela </w:t>
      </w:r>
      <w:r w:rsidR="00720138" w:rsidRPr="006E6FF9">
        <w:rPr>
          <w:color w:val="000000" w:themeColor="text1"/>
          <w:sz w:val="24"/>
          <w:szCs w:val="24"/>
          <w:lang w:val="es-MX" w:eastAsia="ja-JP"/>
        </w:rPr>
        <w:t>se encontraba ajustada a derecho</w:t>
      </w:r>
      <w:r w:rsidR="004F29EF" w:rsidRPr="006E6FF9">
        <w:rPr>
          <w:color w:val="000000" w:themeColor="text1"/>
          <w:sz w:val="24"/>
          <w:szCs w:val="24"/>
          <w:lang w:val="es-MX" w:eastAsia="ja-JP"/>
        </w:rPr>
        <w:t>.</w:t>
      </w:r>
    </w:p>
    <w:p w14:paraId="21C098D8" w14:textId="77777777" w:rsidR="00F70C9E" w:rsidRPr="006E6FF9" w:rsidRDefault="00F70C9E" w:rsidP="00F70C9E">
      <w:pPr>
        <w:autoSpaceDE w:val="0"/>
        <w:autoSpaceDN w:val="0"/>
        <w:adjustRightInd w:val="0"/>
        <w:spacing w:line="276" w:lineRule="auto"/>
        <w:ind w:left="708"/>
        <w:rPr>
          <w:color w:val="000000" w:themeColor="text1"/>
          <w:sz w:val="24"/>
          <w:szCs w:val="24"/>
          <w:lang w:val="es-MX" w:eastAsia="ja-JP"/>
        </w:rPr>
      </w:pPr>
    </w:p>
    <w:p w14:paraId="74B45D20" w14:textId="6C3538AC" w:rsidR="00F70C9E" w:rsidRPr="006E6FF9" w:rsidRDefault="00F70C9E" w:rsidP="00F70C9E">
      <w:pPr>
        <w:autoSpaceDE w:val="0"/>
        <w:autoSpaceDN w:val="0"/>
        <w:adjustRightInd w:val="0"/>
        <w:spacing w:line="276" w:lineRule="auto"/>
        <w:ind w:left="708"/>
        <w:rPr>
          <w:color w:val="000000" w:themeColor="text1"/>
          <w:sz w:val="24"/>
          <w:szCs w:val="24"/>
          <w:lang w:val="es-MX" w:eastAsia="ja-JP"/>
        </w:rPr>
      </w:pPr>
      <w:r w:rsidRPr="006E6FF9">
        <w:rPr>
          <w:b/>
          <w:color w:val="000000" w:themeColor="text1"/>
          <w:sz w:val="24"/>
          <w:szCs w:val="24"/>
          <w:lang w:val="es-MX" w:eastAsia="ja-JP"/>
        </w:rPr>
        <w:t>5.3.</w:t>
      </w:r>
      <w:r w:rsidR="002A2B89" w:rsidRPr="006E6FF9">
        <w:rPr>
          <w:b/>
          <w:color w:val="000000" w:themeColor="text1"/>
          <w:sz w:val="24"/>
          <w:szCs w:val="24"/>
          <w:lang w:val="es-MX" w:eastAsia="ja-JP"/>
        </w:rPr>
        <w:t xml:space="preserve"> </w:t>
      </w:r>
      <w:r w:rsidR="002A2B89" w:rsidRPr="006E6FF9">
        <w:rPr>
          <w:color w:val="000000" w:themeColor="text1"/>
          <w:sz w:val="24"/>
          <w:szCs w:val="24"/>
          <w:lang w:val="es-MX" w:eastAsia="ja-JP"/>
        </w:rPr>
        <w:t xml:space="preserve">El </w:t>
      </w:r>
      <w:r w:rsidR="002A2B89" w:rsidRPr="006E6FF9">
        <w:rPr>
          <w:b/>
          <w:color w:val="000000" w:themeColor="text1"/>
          <w:sz w:val="24"/>
          <w:szCs w:val="24"/>
          <w:lang w:val="es-MX" w:eastAsia="ja-JP"/>
        </w:rPr>
        <w:t>Juzgado Primero Administrativo del Circuito de Barranquilla</w:t>
      </w:r>
      <w:r w:rsidR="00B579CB" w:rsidRPr="006E6FF9">
        <w:rPr>
          <w:color w:val="000000" w:themeColor="text1"/>
          <w:sz w:val="24"/>
          <w:szCs w:val="24"/>
          <w:lang w:val="es-MX" w:eastAsia="ja-JP"/>
        </w:rPr>
        <w:t>, por su parte,</w:t>
      </w:r>
      <w:r w:rsidR="002A2B89" w:rsidRPr="006E6FF9">
        <w:rPr>
          <w:b/>
          <w:color w:val="000000" w:themeColor="text1"/>
          <w:sz w:val="24"/>
          <w:szCs w:val="24"/>
          <w:lang w:val="es-MX" w:eastAsia="ja-JP"/>
        </w:rPr>
        <w:t xml:space="preserve"> </w:t>
      </w:r>
      <w:r w:rsidR="002A2B89" w:rsidRPr="006E6FF9">
        <w:rPr>
          <w:color w:val="000000" w:themeColor="text1"/>
          <w:sz w:val="24"/>
          <w:szCs w:val="24"/>
          <w:lang w:val="es-MX" w:eastAsia="ja-JP"/>
        </w:rPr>
        <w:t>sostuvo</w:t>
      </w:r>
      <w:r w:rsidR="00B579CB" w:rsidRPr="006E6FF9">
        <w:rPr>
          <w:rStyle w:val="Refdenotaalpie"/>
          <w:color w:val="000000" w:themeColor="text1"/>
          <w:sz w:val="24"/>
          <w:szCs w:val="24"/>
          <w:lang w:val="es-MX" w:eastAsia="ja-JP"/>
        </w:rPr>
        <w:footnoteReference w:id="12"/>
      </w:r>
      <w:r w:rsidR="002A2B89" w:rsidRPr="006E6FF9">
        <w:rPr>
          <w:color w:val="000000" w:themeColor="text1"/>
          <w:sz w:val="24"/>
          <w:szCs w:val="24"/>
          <w:lang w:val="es-MX" w:eastAsia="ja-JP"/>
        </w:rPr>
        <w:t xml:space="preserve"> que tomó su decisión con base en la jurisprudencia del Consejo de Estado y las pruebas arrimadas al proceso.</w:t>
      </w:r>
    </w:p>
    <w:p w14:paraId="3570DAF4" w14:textId="77777777" w:rsidR="006371C6" w:rsidRPr="006E6FF9" w:rsidRDefault="006371C6" w:rsidP="00F5606B">
      <w:pPr>
        <w:autoSpaceDE w:val="0"/>
        <w:autoSpaceDN w:val="0"/>
        <w:adjustRightInd w:val="0"/>
        <w:spacing w:line="276" w:lineRule="auto"/>
        <w:rPr>
          <w:bCs/>
          <w:color w:val="000000" w:themeColor="text1"/>
          <w:sz w:val="24"/>
          <w:szCs w:val="24"/>
          <w:lang w:val="es-MX" w:eastAsia="ja-JP"/>
        </w:rPr>
      </w:pPr>
    </w:p>
    <w:p w14:paraId="2DA9C0B1" w14:textId="5F8D06C5" w:rsidR="006155A3" w:rsidRPr="006E6FF9" w:rsidRDefault="000C5DB7" w:rsidP="00F5606B">
      <w:pPr>
        <w:pStyle w:val="Ttulo1"/>
        <w:spacing w:before="0" w:after="0"/>
        <w:rPr>
          <w:rFonts w:cs="Arial"/>
          <w:color w:val="000000" w:themeColor="text1"/>
          <w:szCs w:val="24"/>
          <w:lang w:val="es-ES_tradnl"/>
        </w:rPr>
      </w:pPr>
      <w:r w:rsidRPr="006E6FF9">
        <w:rPr>
          <w:rFonts w:cs="Arial"/>
          <w:color w:val="000000" w:themeColor="text1"/>
          <w:szCs w:val="24"/>
          <w:lang w:val="es-ES_tradnl"/>
        </w:rPr>
        <w:t>CONSIDERACIONES</w:t>
      </w:r>
    </w:p>
    <w:p w14:paraId="4049A947" w14:textId="77777777" w:rsidR="006155A3" w:rsidRPr="006E6FF9" w:rsidRDefault="006155A3" w:rsidP="00F5606B">
      <w:pPr>
        <w:spacing w:line="276" w:lineRule="auto"/>
        <w:rPr>
          <w:color w:val="000000" w:themeColor="text1"/>
          <w:sz w:val="24"/>
          <w:szCs w:val="24"/>
          <w:lang w:val="es-ES_tradnl"/>
        </w:rPr>
      </w:pPr>
    </w:p>
    <w:p w14:paraId="4101652C" w14:textId="55031700" w:rsidR="000C5DB7" w:rsidRPr="006E6FF9" w:rsidRDefault="000C5DB7" w:rsidP="00F5606B">
      <w:pPr>
        <w:numPr>
          <w:ilvl w:val="0"/>
          <w:numId w:val="1"/>
        </w:numPr>
        <w:tabs>
          <w:tab w:val="left" w:pos="426"/>
        </w:tabs>
        <w:spacing w:line="276" w:lineRule="auto"/>
        <w:ind w:left="0" w:firstLine="0"/>
        <w:contextualSpacing/>
        <w:rPr>
          <w:b/>
          <w:color w:val="000000" w:themeColor="text1"/>
          <w:sz w:val="24"/>
          <w:szCs w:val="24"/>
          <w:lang w:val="es-ES_tradnl"/>
        </w:rPr>
      </w:pPr>
      <w:r w:rsidRPr="006E6FF9">
        <w:rPr>
          <w:b/>
          <w:color w:val="000000" w:themeColor="text1"/>
          <w:sz w:val="24"/>
          <w:szCs w:val="24"/>
          <w:lang w:val="es-ES_tradnl"/>
        </w:rPr>
        <w:t>Competencia</w:t>
      </w:r>
    </w:p>
    <w:p w14:paraId="729641CD" w14:textId="77777777" w:rsidR="006E742C" w:rsidRPr="006E6FF9" w:rsidRDefault="006E742C" w:rsidP="00F5606B">
      <w:pPr>
        <w:tabs>
          <w:tab w:val="left" w:pos="426"/>
        </w:tabs>
        <w:spacing w:line="276" w:lineRule="auto"/>
        <w:contextualSpacing/>
        <w:rPr>
          <w:b/>
          <w:color w:val="000000" w:themeColor="text1"/>
          <w:sz w:val="24"/>
          <w:szCs w:val="24"/>
          <w:lang w:val="es-ES_tradnl"/>
        </w:rPr>
      </w:pPr>
    </w:p>
    <w:p w14:paraId="23384028" w14:textId="79F6673C" w:rsidR="00D51DED" w:rsidRPr="006E6FF9" w:rsidRDefault="00D51DED" w:rsidP="00F5606B">
      <w:pPr>
        <w:pStyle w:val="Prrafodelista"/>
        <w:spacing w:line="276" w:lineRule="auto"/>
        <w:ind w:left="0"/>
        <w:jc w:val="both"/>
        <w:rPr>
          <w:rFonts w:ascii="Arial" w:hAnsi="Arial" w:cs="Arial"/>
          <w:color w:val="000000" w:themeColor="text1"/>
        </w:rPr>
      </w:pPr>
      <w:r w:rsidRPr="006E6FF9">
        <w:rPr>
          <w:rFonts w:ascii="Arial" w:hAnsi="Arial" w:cs="Arial"/>
          <w:color w:val="000000" w:themeColor="text1"/>
        </w:rPr>
        <w:t>La Sala es competente para decidir la presente acción de tutela en virtud de lo dispuesto en el artículo</w:t>
      </w:r>
      <w:r w:rsidR="00CC12D7" w:rsidRPr="006E6FF9">
        <w:rPr>
          <w:rFonts w:ascii="Arial" w:hAnsi="Arial" w:cs="Arial"/>
          <w:color w:val="000000" w:themeColor="text1"/>
        </w:rPr>
        <w:t xml:space="preserve"> 86 de la Constitución Política y</w:t>
      </w:r>
      <w:r w:rsidRPr="006E6FF9">
        <w:rPr>
          <w:rFonts w:ascii="Arial" w:hAnsi="Arial" w:cs="Arial"/>
          <w:color w:val="000000" w:themeColor="text1"/>
        </w:rPr>
        <w:t xml:space="preserve"> en el</w:t>
      </w:r>
      <w:r w:rsidR="00CC12D7" w:rsidRPr="006E6FF9">
        <w:rPr>
          <w:rFonts w:ascii="Arial" w:hAnsi="Arial" w:cs="Arial"/>
          <w:color w:val="000000" w:themeColor="text1"/>
        </w:rPr>
        <w:t xml:space="preserve"> artículo 37 del</w:t>
      </w:r>
      <w:r w:rsidRPr="006E6FF9">
        <w:rPr>
          <w:rFonts w:ascii="Arial" w:hAnsi="Arial" w:cs="Arial"/>
          <w:color w:val="000000" w:themeColor="text1"/>
        </w:rPr>
        <w:t xml:space="preserve"> Decreto 2591 de 1991</w:t>
      </w:r>
      <w:r w:rsidR="00CC12D7" w:rsidRPr="006E6FF9">
        <w:rPr>
          <w:rFonts w:ascii="Arial" w:hAnsi="Arial" w:cs="Arial"/>
          <w:color w:val="000000" w:themeColor="text1"/>
        </w:rPr>
        <w:t>.</w:t>
      </w:r>
    </w:p>
    <w:p w14:paraId="5F822D9A" w14:textId="77777777" w:rsidR="00403849" w:rsidRPr="006E6FF9" w:rsidRDefault="00403849" w:rsidP="00F5606B">
      <w:pPr>
        <w:overflowPunct w:val="0"/>
        <w:autoSpaceDE w:val="0"/>
        <w:autoSpaceDN w:val="0"/>
        <w:adjustRightInd w:val="0"/>
        <w:spacing w:line="276" w:lineRule="auto"/>
        <w:contextualSpacing/>
        <w:rPr>
          <w:rFonts w:eastAsia="Times New Roman"/>
          <w:color w:val="000000" w:themeColor="text1"/>
          <w:sz w:val="24"/>
          <w:szCs w:val="24"/>
          <w:lang w:val="es-MX" w:eastAsia="es-ES"/>
        </w:rPr>
      </w:pPr>
    </w:p>
    <w:p w14:paraId="15CACC09" w14:textId="77777777" w:rsidR="000C5DB7" w:rsidRPr="006E6FF9" w:rsidRDefault="000C5DB7" w:rsidP="00F5606B">
      <w:pPr>
        <w:numPr>
          <w:ilvl w:val="0"/>
          <w:numId w:val="1"/>
        </w:numPr>
        <w:spacing w:line="276" w:lineRule="auto"/>
        <w:ind w:left="426"/>
        <w:contextualSpacing/>
        <w:rPr>
          <w:b/>
          <w:bCs/>
          <w:color w:val="000000" w:themeColor="text1"/>
          <w:sz w:val="24"/>
          <w:szCs w:val="24"/>
          <w:lang w:val="es-ES_tradnl"/>
        </w:rPr>
      </w:pPr>
      <w:r w:rsidRPr="006E6FF9">
        <w:rPr>
          <w:b/>
          <w:bCs/>
          <w:color w:val="000000" w:themeColor="text1"/>
          <w:sz w:val="24"/>
          <w:szCs w:val="24"/>
          <w:lang w:val="es-ES"/>
        </w:rPr>
        <w:t>Procedibilidad de la acción</w:t>
      </w:r>
    </w:p>
    <w:p w14:paraId="4B96FEE6" w14:textId="1DE7AB28" w:rsidR="000C5DB7" w:rsidRPr="006E6FF9" w:rsidRDefault="000C5DB7" w:rsidP="00F5606B">
      <w:pPr>
        <w:spacing w:line="276" w:lineRule="auto"/>
        <w:contextualSpacing/>
        <w:rPr>
          <w:color w:val="000000" w:themeColor="text1"/>
          <w:sz w:val="24"/>
          <w:szCs w:val="24"/>
        </w:rPr>
      </w:pPr>
    </w:p>
    <w:p w14:paraId="0753862A" w14:textId="3644F133" w:rsidR="00A96D47" w:rsidRPr="006E6FF9" w:rsidRDefault="00D51DED" w:rsidP="00F5606B">
      <w:pPr>
        <w:spacing w:line="276" w:lineRule="auto"/>
        <w:contextualSpacing/>
        <w:rPr>
          <w:rFonts w:eastAsia="Arial"/>
          <w:color w:val="000000" w:themeColor="text1"/>
          <w:sz w:val="24"/>
          <w:szCs w:val="24"/>
          <w:lang w:val="es-MX"/>
        </w:rPr>
      </w:pPr>
      <w:r w:rsidRPr="006E6FF9">
        <w:rPr>
          <w:rFonts w:eastAsia="Arial"/>
          <w:color w:val="000000" w:themeColor="text1"/>
          <w:sz w:val="24"/>
          <w:szCs w:val="24"/>
          <w:lang w:val="es-MX"/>
        </w:rPr>
        <w:t xml:space="preserve">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w:t>
      </w:r>
      <w:r w:rsidRPr="006E6FF9">
        <w:rPr>
          <w:rFonts w:eastAsia="Arial"/>
          <w:color w:val="000000" w:themeColor="text1"/>
          <w:sz w:val="24"/>
          <w:szCs w:val="24"/>
          <w:lang w:val="es-MX"/>
        </w:rPr>
        <w:lastRenderedPageBreak/>
        <w:t>fondo sobre la problemática jurídica que el actor plantea en función de los defectos que reprocha a la actuación acusada y conforme a las causales específicas de procedencia de la acción de tutela contra providencias judiciales</w:t>
      </w:r>
      <w:r w:rsidRPr="006E6FF9">
        <w:rPr>
          <w:color w:val="000000" w:themeColor="text1"/>
          <w:sz w:val="24"/>
          <w:szCs w:val="24"/>
          <w:vertAlign w:val="superscript"/>
        </w:rPr>
        <w:footnoteReference w:id="13"/>
      </w:r>
      <w:r w:rsidRPr="006E6FF9">
        <w:rPr>
          <w:rFonts w:eastAsia="Arial"/>
          <w:color w:val="000000" w:themeColor="text1"/>
          <w:sz w:val="24"/>
          <w:szCs w:val="24"/>
          <w:lang w:val="es-MX"/>
        </w:rPr>
        <w:t>.</w:t>
      </w:r>
    </w:p>
    <w:p w14:paraId="1E010AF3" w14:textId="77777777" w:rsidR="00CC12D7" w:rsidRPr="006E6FF9" w:rsidRDefault="00CC12D7" w:rsidP="00CC12D7">
      <w:pPr>
        <w:spacing w:line="276" w:lineRule="auto"/>
        <w:contextualSpacing/>
        <w:rPr>
          <w:rFonts w:eastAsia="Arial"/>
          <w:color w:val="000000" w:themeColor="text1"/>
          <w:sz w:val="24"/>
          <w:szCs w:val="24"/>
          <w:lang w:val="es-MX"/>
        </w:rPr>
      </w:pPr>
    </w:p>
    <w:p w14:paraId="290DE06C" w14:textId="77777777" w:rsidR="00CC12D7" w:rsidRPr="006E6FF9" w:rsidRDefault="00CC12D7" w:rsidP="00CC12D7">
      <w:pPr>
        <w:spacing w:line="283" w:lineRule="auto"/>
        <w:contextualSpacing/>
        <w:rPr>
          <w:rFonts w:eastAsia="Arial"/>
          <w:color w:val="000000" w:themeColor="text1"/>
          <w:sz w:val="24"/>
          <w:szCs w:val="24"/>
          <w:vertAlign w:val="superscript"/>
        </w:rPr>
      </w:pPr>
      <w:r w:rsidRPr="006E6FF9">
        <w:rPr>
          <w:rFonts w:eastAsia="Arial"/>
          <w:color w:val="000000" w:themeColor="text1"/>
          <w:sz w:val="24"/>
          <w:szCs w:val="24"/>
        </w:rPr>
        <w:t>De conformidad con lo anterior, en el presente apartado se efectuará el examen correspondiente a los requisitos generales de procedibilidad de la presente acción.</w:t>
      </w:r>
    </w:p>
    <w:p w14:paraId="14676867" w14:textId="77777777" w:rsidR="00CC12D7" w:rsidRPr="006E6FF9" w:rsidRDefault="00CC12D7" w:rsidP="00CC12D7">
      <w:pPr>
        <w:spacing w:line="283" w:lineRule="auto"/>
        <w:contextualSpacing/>
        <w:rPr>
          <w:color w:val="000000" w:themeColor="text1"/>
          <w:sz w:val="24"/>
          <w:szCs w:val="24"/>
        </w:rPr>
      </w:pPr>
    </w:p>
    <w:p w14:paraId="3F128F42" w14:textId="13395091" w:rsidR="00207BC0" w:rsidRPr="006E6FF9" w:rsidRDefault="00CC12D7" w:rsidP="00CC12D7">
      <w:pPr>
        <w:spacing w:line="283" w:lineRule="auto"/>
        <w:contextualSpacing/>
        <w:rPr>
          <w:rFonts w:eastAsia="Verdana"/>
          <w:color w:val="000000" w:themeColor="text1"/>
          <w:sz w:val="24"/>
          <w:szCs w:val="24"/>
        </w:rPr>
      </w:pPr>
      <w:bookmarkStart w:id="1" w:name="_ftnref21"/>
      <w:bookmarkEnd w:id="1"/>
      <w:r w:rsidRPr="006E6FF9">
        <w:rPr>
          <w:rFonts w:eastAsia="Verdana"/>
          <w:b/>
          <w:color w:val="000000" w:themeColor="text1"/>
          <w:sz w:val="24"/>
          <w:szCs w:val="24"/>
        </w:rPr>
        <w:t>2.1.</w:t>
      </w:r>
      <w:r w:rsidRPr="006E6FF9">
        <w:rPr>
          <w:rFonts w:eastAsia="Verdana"/>
          <w:color w:val="000000" w:themeColor="text1"/>
          <w:sz w:val="24"/>
          <w:szCs w:val="24"/>
        </w:rPr>
        <w:t xml:space="preserve"> </w:t>
      </w:r>
      <w:r w:rsidRPr="006E6FF9">
        <w:rPr>
          <w:color w:val="000000" w:themeColor="text1"/>
          <w:sz w:val="24"/>
          <w:szCs w:val="24"/>
        </w:rPr>
        <w:t>Víctor Rafael Díaz Arroyo</w:t>
      </w:r>
      <w:r w:rsidRPr="006E6FF9">
        <w:rPr>
          <w:rFonts w:eastAsia="Verdana"/>
          <w:color w:val="000000" w:themeColor="text1"/>
          <w:sz w:val="24"/>
          <w:szCs w:val="24"/>
        </w:rPr>
        <w:t xml:space="preserve"> está </w:t>
      </w:r>
      <w:r w:rsidRPr="006E6FF9">
        <w:rPr>
          <w:rFonts w:eastAsia="Verdana"/>
          <w:b/>
          <w:color w:val="000000" w:themeColor="text1"/>
          <w:sz w:val="24"/>
          <w:szCs w:val="24"/>
        </w:rPr>
        <w:t>legitimado en la causa</w:t>
      </w:r>
      <w:r w:rsidRPr="006E6FF9">
        <w:rPr>
          <w:rFonts w:eastAsia="Verdana"/>
          <w:color w:val="000000" w:themeColor="text1"/>
          <w:sz w:val="24"/>
          <w:szCs w:val="24"/>
        </w:rPr>
        <w:t xml:space="preserve"> </w:t>
      </w:r>
      <w:r w:rsidRPr="006E6FF9">
        <w:rPr>
          <w:rFonts w:eastAsia="Verdana"/>
          <w:i/>
          <w:color w:val="000000" w:themeColor="text1"/>
          <w:sz w:val="24"/>
          <w:szCs w:val="24"/>
        </w:rPr>
        <w:t xml:space="preserve">por activa </w:t>
      </w:r>
      <w:r w:rsidRPr="006E6FF9">
        <w:rPr>
          <w:rFonts w:eastAsia="Verdana"/>
          <w:color w:val="000000" w:themeColor="text1"/>
          <w:sz w:val="24"/>
          <w:szCs w:val="24"/>
        </w:rPr>
        <w:t xml:space="preserve">por cuanto </w:t>
      </w:r>
      <w:r w:rsidR="00706390" w:rsidRPr="006E6FF9">
        <w:rPr>
          <w:rFonts w:eastAsia="Verdana"/>
          <w:color w:val="000000" w:themeColor="text1"/>
          <w:sz w:val="24"/>
          <w:szCs w:val="24"/>
        </w:rPr>
        <w:t>fungió como parte demandante</w:t>
      </w:r>
      <w:r w:rsidRPr="006E6FF9">
        <w:rPr>
          <w:rFonts w:eastAsia="Verdana"/>
          <w:color w:val="000000" w:themeColor="text1"/>
          <w:sz w:val="24"/>
          <w:szCs w:val="24"/>
        </w:rPr>
        <w:t xml:space="preserve"> </w:t>
      </w:r>
      <w:r w:rsidR="00706390" w:rsidRPr="006E6FF9">
        <w:rPr>
          <w:rFonts w:eastAsia="Verdana"/>
          <w:color w:val="000000" w:themeColor="text1"/>
          <w:sz w:val="24"/>
          <w:szCs w:val="24"/>
        </w:rPr>
        <w:t>en el proceso de nulidad y restablecimiento del derecho</w:t>
      </w:r>
      <w:r w:rsidR="00500C8F" w:rsidRPr="006E6FF9">
        <w:rPr>
          <w:rFonts w:eastAsia="Verdana"/>
          <w:color w:val="000000" w:themeColor="text1"/>
          <w:sz w:val="24"/>
          <w:szCs w:val="24"/>
        </w:rPr>
        <w:t xml:space="preserve"> censurado</w:t>
      </w:r>
      <w:r w:rsidRPr="006E6FF9">
        <w:rPr>
          <w:rFonts w:eastAsia="Verdana"/>
          <w:color w:val="000000" w:themeColor="text1"/>
          <w:sz w:val="24"/>
          <w:szCs w:val="24"/>
        </w:rPr>
        <w:t xml:space="preserve"> en esta acción constitucional, y por tanto es titular del derecho al </w:t>
      </w:r>
      <w:r w:rsidR="006834BD" w:rsidRPr="006E6FF9">
        <w:rPr>
          <w:rFonts w:eastAsia="Verdana"/>
          <w:color w:val="000000" w:themeColor="text1"/>
          <w:sz w:val="24"/>
          <w:szCs w:val="24"/>
        </w:rPr>
        <w:t>debido proceso</w:t>
      </w:r>
      <w:r w:rsidR="00207BC0" w:rsidRPr="006E6FF9">
        <w:rPr>
          <w:rStyle w:val="Refdenotaalpie"/>
          <w:rFonts w:eastAsia="Verdana"/>
          <w:color w:val="000000" w:themeColor="text1"/>
          <w:sz w:val="24"/>
          <w:szCs w:val="24"/>
        </w:rPr>
        <w:footnoteReference w:id="14"/>
      </w:r>
      <w:r w:rsidRPr="006E6FF9">
        <w:rPr>
          <w:rFonts w:eastAsia="Verdana"/>
          <w:color w:val="000000" w:themeColor="text1"/>
          <w:sz w:val="24"/>
          <w:szCs w:val="24"/>
        </w:rPr>
        <w:t xml:space="preserve"> que alega como vulnerado. </w:t>
      </w:r>
    </w:p>
    <w:p w14:paraId="578B3534" w14:textId="77777777" w:rsidR="00207BC0" w:rsidRPr="006E6FF9" w:rsidRDefault="00207BC0" w:rsidP="00CC12D7">
      <w:pPr>
        <w:spacing w:line="283" w:lineRule="auto"/>
        <w:contextualSpacing/>
        <w:rPr>
          <w:rFonts w:eastAsia="Verdana"/>
          <w:color w:val="000000" w:themeColor="text1"/>
          <w:sz w:val="24"/>
          <w:szCs w:val="24"/>
        </w:rPr>
      </w:pPr>
    </w:p>
    <w:p w14:paraId="5E1CF0BD" w14:textId="2E2D563B" w:rsidR="00CC12D7" w:rsidRPr="006E6FF9" w:rsidRDefault="00CC12D7" w:rsidP="00CC12D7">
      <w:pPr>
        <w:spacing w:line="283" w:lineRule="auto"/>
        <w:contextualSpacing/>
        <w:rPr>
          <w:rFonts w:eastAsia="Verdana"/>
          <w:color w:val="000000" w:themeColor="text1"/>
          <w:sz w:val="24"/>
          <w:szCs w:val="24"/>
        </w:rPr>
      </w:pPr>
      <w:r w:rsidRPr="006E6FF9">
        <w:rPr>
          <w:rFonts w:eastAsia="Verdana"/>
          <w:color w:val="000000" w:themeColor="text1"/>
          <w:sz w:val="24"/>
          <w:szCs w:val="24"/>
        </w:rPr>
        <w:t xml:space="preserve">Asimismo, </w:t>
      </w:r>
      <w:r w:rsidRPr="006E6FF9">
        <w:rPr>
          <w:color w:val="000000" w:themeColor="text1"/>
          <w:sz w:val="24"/>
          <w:szCs w:val="24"/>
        </w:rPr>
        <w:t xml:space="preserve">el </w:t>
      </w:r>
      <w:r w:rsidRPr="006E6FF9">
        <w:rPr>
          <w:bCs/>
          <w:color w:val="000000" w:themeColor="text1"/>
          <w:sz w:val="24"/>
          <w:szCs w:val="24"/>
        </w:rPr>
        <w:t xml:space="preserve">Tribunal Administrativo del </w:t>
      </w:r>
      <w:r w:rsidR="005A6932">
        <w:rPr>
          <w:bCs/>
          <w:color w:val="000000" w:themeColor="text1"/>
          <w:sz w:val="24"/>
          <w:szCs w:val="24"/>
        </w:rPr>
        <w:t>Atlá</w:t>
      </w:r>
      <w:r w:rsidR="006834BD" w:rsidRPr="006E6FF9">
        <w:rPr>
          <w:bCs/>
          <w:color w:val="000000" w:themeColor="text1"/>
          <w:sz w:val="24"/>
          <w:szCs w:val="24"/>
        </w:rPr>
        <w:t xml:space="preserve">ntico </w:t>
      </w:r>
      <w:r w:rsidRPr="006E6FF9">
        <w:rPr>
          <w:color w:val="000000" w:themeColor="text1"/>
          <w:sz w:val="24"/>
          <w:szCs w:val="24"/>
        </w:rPr>
        <w:t xml:space="preserve">lo está </w:t>
      </w:r>
      <w:r w:rsidRPr="006E6FF9">
        <w:rPr>
          <w:i/>
          <w:color w:val="000000" w:themeColor="text1"/>
          <w:sz w:val="24"/>
          <w:szCs w:val="24"/>
        </w:rPr>
        <w:t>por pasiva</w:t>
      </w:r>
      <w:r w:rsidRPr="006E6FF9">
        <w:rPr>
          <w:color w:val="000000" w:themeColor="text1"/>
          <w:sz w:val="24"/>
          <w:szCs w:val="24"/>
        </w:rPr>
        <w:t xml:space="preserve">, pues </w:t>
      </w:r>
      <w:r w:rsidRPr="006E6FF9">
        <w:rPr>
          <w:rFonts w:eastAsia="Verdana"/>
          <w:color w:val="000000" w:themeColor="text1"/>
          <w:sz w:val="24"/>
          <w:szCs w:val="24"/>
        </w:rPr>
        <w:t>fue la autoridad</w:t>
      </w:r>
      <w:r w:rsidR="006834BD" w:rsidRPr="006E6FF9">
        <w:rPr>
          <w:rFonts w:eastAsia="Verdana"/>
          <w:color w:val="000000" w:themeColor="text1"/>
          <w:sz w:val="24"/>
          <w:szCs w:val="24"/>
        </w:rPr>
        <w:t xml:space="preserve"> </w:t>
      </w:r>
      <w:r w:rsidRPr="006E6FF9">
        <w:rPr>
          <w:rFonts w:eastAsia="Verdana"/>
          <w:color w:val="000000" w:themeColor="text1"/>
          <w:sz w:val="24"/>
          <w:szCs w:val="24"/>
        </w:rPr>
        <w:t>que profiri</w:t>
      </w:r>
      <w:r w:rsidR="006834BD" w:rsidRPr="006E6FF9">
        <w:rPr>
          <w:rFonts w:eastAsia="Verdana"/>
          <w:color w:val="000000" w:themeColor="text1"/>
          <w:sz w:val="24"/>
          <w:szCs w:val="24"/>
        </w:rPr>
        <w:t>ó la providencia</w:t>
      </w:r>
      <w:r w:rsidRPr="006E6FF9">
        <w:rPr>
          <w:rFonts w:eastAsia="Verdana"/>
          <w:color w:val="000000" w:themeColor="text1"/>
          <w:sz w:val="24"/>
          <w:szCs w:val="24"/>
        </w:rPr>
        <w:t xml:space="preserve"> judic</w:t>
      </w:r>
      <w:r w:rsidR="006834BD" w:rsidRPr="006E6FF9">
        <w:rPr>
          <w:rFonts w:eastAsia="Verdana"/>
          <w:color w:val="000000" w:themeColor="text1"/>
          <w:sz w:val="24"/>
          <w:szCs w:val="24"/>
        </w:rPr>
        <w:t>ial cuestionada</w:t>
      </w:r>
      <w:r w:rsidRPr="006E6FF9">
        <w:rPr>
          <w:rFonts w:eastAsia="Verdana"/>
          <w:color w:val="000000" w:themeColor="text1"/>
          <w:sz w:val="24"/>
          <w:szCs w:val="24"/>
        </w:rPr>
        <w:t>.</w:t>
      </w:r>
    </w:p>
    <w:p w14:paraId="1A3A3F90" w14:textId="77777777" w:rsidR="001011FF" w:rsidRPr="006E6FF9" w:rsidRDefault="001011FF" w:rsidP="001011FF">
      <w:pPr>
        <w:pStyle w:val="Prrafodelista"/>
        <w:overflowPunct w:val="0"/>
        <w:autoSpaceDE w:val="0"/>
        <w:autoSpaceDN w:val="0"/>
        <w:adjustRightInd w:val="0"/>
        <w:spacing w:line="283" w:lineRule="auto"/>
        <w:ind w:left="0"/>
        <w:jc w:val="both"/>
        <w:rPr>
          <w:rFonts w:ascii="Arial" w:eastAsia="Calibri" w:hAnsi="Arial" w:cs="Arial"/>
          <w:color w:val="000000" w:themeColor="text1"/>
          <w:lang w:val="es-CO"/>
        </w:rPr>
      </w:pPr>
    </w:p>
    <w:p w14:paraId="5196E286" w14:textId="77777777" w:rsidR="00667698" w:rsidRPr="006E6FF9" w:rsidRDefault="001011FF" w:rsidP="001011FF">
      <w:pPr>
        <w:pStyle w:val="Prrafodelista"/>
        <w:overflowPunct w:val="0"/>
        <w:autoSpaceDE w:val="0"/>
        <w:autoSpaceDN w:val="0"/>
        <w:adjustRightInd w:val="0"/>
        <w:spacing w:line="283" w:lineRule="auto"/>
        <w:ind w:left="0"/>
        <w:jc w:val="both"/>
        <w:rPr>
          <w:rFonts w:ascii="Arial" w:eastAsia="Times New Roman" w:hAnsi="Arial" w:cs="Arial"/>
          <w:bCs/>
          <w:color w:val="000000" w:themeColor="text1"/>
          <w:lang w:eastAsia="es-ES"/>
        </w:rPr>
      </w:pPr>
      <w:r w:rsidRPr="006E6FF9">
        <w:rPr>
          <w:rFonts w:ascii="Arial" w:eastAsia="Calibri" w:hAnsi="Arial" w:cs="Arial"/>
          <w:b/>
          <w:color w:val="000000" w:themeColor="text1"/>
          <w:lang w:val="es-CO"/>
        </w:rPr>
        <w:t>2.2.</w:t>
      </w:r>
      <w:r w:rsidRPr="006E6FF9">
        <w:rPr>
          <w:rFonts w:ascii="Arial" w:eastAsia="Calibri" w:hAnsi="Arial" w:cs="Arial"/>
          <w:color w:val="000000" w:themeColor="text1"/>
          <w:lang w:val="es-CO"/>
        </w:rPr>
        <w:t xml:space="preserve"> </w:t>
      </w:r>
      <w:r w:rsidR="00CC12D7" w:rsidRPr="006E6FF9">
        <w:rPr>
          <w:rFonts w:ascii="Arial" w:eastAsia="Times New Roman" w:hAnsi="Arial" w:cs="Arial"/>
          <w:color w:val="000000" w:themeColor="text1"/>
          <w:lang w:eastAsia="es-ES"/>
        </w:rPr>
        <w:t xml:space="preserve">El </w:t>
      </w:r>
      <w:r w:rsidRPr="006E6FF9">
        <w:rPr>
          <w:rFonts w:ascii="Arial" w:eastAsia="Times New Roman" w:hAnsi="Arial" w:cs="Arial"/>
          <w:color w:val="000000" w:themeColor="text1"/>
          <w:lang w:eastAsia="es-ES"/>
        </w:rPr>
        <w:t>tutelante</w:t>
      </w:r>
      <w:r w:rsidR="00CC12D7" w:rsidRPr="006E6FF9">
        <w:rPr>
          <w:rFonts w:ascii="Arial" w:eastAsia="Times New Roman" w:hAnsi="Arial" w:cs="Arial"/>
          <w:color w:val="000000" w:themeColor="text1"/>
          <w:lang w:eastAsia="es-ES"/>
        </w:rPr>
        <w:t xml:space="preserve"> </w:t>
      </w:r>
      <w:r w:rsidRPr="006E6FF9">
        <w:rPr>
          <w:rFonts w:ascii="Arial" w:eastAsia="Times New Roman" w:hAnsi="Arial" w:cs="Arial"/>
          <w:b/>
          <w:color w:val="000000" w:themeColor="text1"/>
          <w:lang w:eastAsia="es-ES"/>
        </w:rPr>
        <w:t xml:space="preserve">expresó </w:t>
      </w:r>
      <w:r w:rsidR="00CC12D7" w:rsidRPr="006E6FF9">
        <w:rPr>
          <w:rFonts w:ascii="Arial" w:eastAsia="Times New Roman" w:hAnsi="Arial" w:cs="Arial"/>
          <w:b/>
          <w:color w:val="000000" w:themeColor="text1"/>
          <w:lang w:eastAsia="es-ES"/>
        </w:rPr>
        <w:t>de manera clara y suficiente los hechos y los fundamentos de la afectación de derechos que se imputa a la decisión judicial enjuiciada.</w:t>
      </w:r>
      <w:r w:rsidR="00CC12D7" w:rsidRPr="006E6FF9">
        <w:rPr>
          <w:rFonts w:ascii="Arial" w:eastAsia="Times New Roman" w:hAnsi="Arial" w:cs="Arial"/>
          <w:bCs/>
          <w:color w:val="000000" w:themeColor="text1"/>
          <w:lang w:eastAsia="es-ES"/>
        </w:rPr>
        <w:t xml:space="preserve"> En concreto, </w:t>
      </w:r>
      <w:r w:rsidR="00A22FFE" w:rsidRPr="006E6FF9">
        <w:rPr>
          <w:rFonts w:ascii="Arial" w:eastAsia="Times New Roman" w:hAnsi="Arial" w:cs="Arial"/>
          <w:bCs/>
          <w:color w:val="000000" w:themeColor="text1"/>
          <w:lang w:eastAsia="es-ES"/>
        </w:rPr>
        <w:t>manifestó que esta adolece de</w:t>
      </w:r>
      <w:r w:rsidR="00667698" w:rsidRPr="006E6FF9">
        <w:rPr>
          <w:rFonts w:ascii="Arial" w:eastAsia="Times New Roman" w:hAnsi="Arial" w:cs="Arial"/>
          <w:bCs/>
          <w:color w:val="000000" w:themeColor="text1"/>
          <w:lang w:eastAsia="es-ES"/>
        </w:rPr>
        <w:t>:</w:t>
      </w:r>
    </w:p>
    <w:p w14:paraId="6BAB68C3" w14:textId="77777777" w:rsidR="00667698" w:rsidRPr="006E6FF9" w:rsidRDefault="00667698" w:rsidP="001011FF">
      <w:pPr>
        <w:pStyle w:val="Prrafodelista"/>
        <w:overflowPunct w:val="0"/>
        <w:autoSpaceDE w:val="0"/>
        <w:autoSpaceDN w:val="0"/>
        <w:adjustRightInd w:val="0"/>
        <w:spacing w:line="283" w:lineRule="auto"/>
        <w:ind w:left="0"/>
        <w:jc w:val="both"/>
        <w:rPr>
          <w:rFonts w:ascii="Arial" w:eastAsia="Times New Roman" w:hAnsi="Arial" w:cs="Arial"/>
          <w:bCs/>
          <w:color w:val="000000" w:themeColor="text1"/>
          <w:lang w:eastAsia="es-ES"/>
        </w:rPr>
      </w:pPr>
    </w:p>
    <w:p w14:paraId="33E7D776" w14:textId="4649513A" w:rsidR="00A22FFE" w:rsidRPr="006E6FF9" w:rsidRDefault="00667698" w:rsidP="00DA7858">
      <w:pPr>
        <w:pStyle w:val="Prrafodelista"/>
        <w:overflowPunct w:val="0"/>
        <w:autoSpaceDE w:val="0"/>
        <w:autoSpaceDN w:val="0"/>
        <w:adjustRightInd w:val="0"/>
        <w:spacing w:line="283" w:lineRule="auto"/>
        <w:ind w:left="708"/>
        <w:jc w:val="both"/>
        <w:rPr>
          <w:rFonts w:ascii="Arial" w:eastAsia="Times New Roman" w:hAnsi="Arial" w:cs="Arial"/>
          <w:bCs/>
          <w:color w:val="000000" w:themeColor="text1"/>
          <w:lang w:eastAsia="es-ES"/>
        </w:rPr>
      </w:pPr>
      <w:r w:rsidRPr="006E6FF9">
        <w:rPr>
          <w:rFonts w:ascii="Arial" w:eastAsia="Times New Roman" w:hAnsi="Arial" w:cs="Arial"/>
          <w:b/>
          <w:bCs/>
          <w:color w:val="000000" w:themeColor="text1"/>
          <w:lang w:eastAsia="es-ES"/>
        </w:rPr>
        <w:t>2.2.1.</w:t>
      </w:r>
      <w:r w:rsidRPr="006E6FF9">
        <w:rPr>
          <w:rFonts w:ascii="Arial" w:eastAsia="Times New Roman" w:hAnsi="Arial" w:cs="Arial"/>
          <w:bCs/>
          <w:color w:val="000000" w:themeColor="text1"/>
          <w:lang w:eastAsia="es-ES"/>
        </w:rPr>
        <w:t xml:space="preserve"> </w:t>
      </w:r>
      <w:r w:rsidR="00F54E9D" w:rsidRPr="006E6FF9">
        <w:rPr>
          <w:rFonts w:ascii="Arial" w:eastAsia="Times New Roman" w:hAnsi="Arial" w:cs="Arial"/>
          <w:bCs/>
          <w:color w:val="000000" w:themeColor="text1"/>
          <w:lang w:eastAsia="es-ES"/>
        </w:rPr>
        <w:t>U</w:t>
      </w:r>
      <w:r w:rsidRPr="006E6FF9">
        <w:rPr>
          <w:rFonts w:ascii="Arial" w:eastAsia="Times New Roman" w:hAnsi="Arial" w:cs="Arial"/>
          <w:bCs/>
          <w:color w:val="000000" w:themeColor="text1"/>
          <w:lang w:eastAsia="es-ES"/>
        </w:rPr>
        <w:t>n defecto por desconocimiento del precedente</w:t>
      </w:r>
      <w:r w:rsidR="00DA7858" w:rsidRPr="006E6FF9">
        <w:rPr>
          <w:rFonts w:ascii="Arial" w:eastAsia="Times New Roman" w:hAnsi="Arial" w:cs="Arial"/>
          <w:bCs/>
          <w:color w:val="000000" w:themeColor="text1"/>
          <w:lang w:eastAsia="es-ES"/>
        </w:rPr>
        <w:t>,</w:t>
      </w:r>
      <w:r w:rsidRPr="006E6FF9">
        <w:rPr>
          <w:rFonts w:ascii="Arial" w:eastAsia="Times New Roman" w:hAnsi="Arial" w:cs="Arial"/>
          <w:bCs/>
          <w:color w:val="000000" w:themeColor="text1"/>
          <w:lang w:eastAsia="es-ES"/>
        </w:rPr>
        <w:t xml:space="preserve"> porque</w:t>
      </w:r>
      <w:r w:rsidR="00CA7D27" w:rsidRPr="006E6FF9">
        <w:rPr>
          <w:rFonts w:ascii="Arial" w:eastAsia="Times New Roman" w:hAnsi="Arial" w:cs="Arial"/>
          <w:bCs/>
          <w:color w:val="000000" w:themeColor="text1"/>
          <w:lang w:eastAsia="es-ES"/>
        </w:rPr>
        <w:t xml:space="preserve"> el Tribunal Administrativo del Atlántico</w:t>
      </w:r>
      <w:r w:rsidRPr="006E6FF9">
        <w:rPr>
          <w:rFonts w:ascii="Arial" w:eastAsia="Times New Roman" w:hAnsi="Arial" w:cs="Arial"/>
          <w:bCs/>
          <w:color w:val="000000" w:themeColor="text1"/>
          <w:lang w:eastAsia="es-ES"/>
        </w:rPr>
        <w:t xml:space="preserve">: (i) </w:t>
      </w:r>
      <w:r w:rsidRPr="006E6FF9">
        <w:rPr>
          <w:rFonts w:ascii="Arial" w:hAnsi="Arial" w:cs="Arial"/>
          <w:color w:val="000000" w:themeColor="text1"/>
        </w:rPr>
        <w:t>obvió la titularidad, finalidad y ámbito de aplicación del subsidio familiar</w:t>
      </w:r>
      <w:r w:rsidR="00E76DE0" w:rsidRPr="006E6FF9">
        <w:rPr>
          <w:rFonts w:ascii="Arial" w:hAnsi="Arial" w:cs="Arial"/>
          <w:color w:val="000000" w:themeColor="text1"/>
        </w:rPr>
        <w:t xml:space="preserve"> definidos por la Corte Constitucional</w:t>
      </w:r>
      <w:r w:rsidRPr="006E6FF9">
        <w:rPr>
          <w:rFonts w:ascii="Arial" w:hAnsi="Arial" w:cs="Arial"/>
          <w:color w:val="000000" w:themeColor="text1"/>
        </w:rPr>
        <w:t xml:space="preserve">; y (ii) no aplicó el test de igualdad </w:t>
      </w:r>
      <w:r w:rsidR="00900A40" w:rsidRPr="006E6FF9">
        <w:rPr>
          <w:rFonts w:ascii="Arial" w:hAnsi="Arial" w:cs="Arial"/>
          <w:color w:val="000000" w:themeColor="text1"/>
        </w:rPr>
        <w:t xml:space="preserve">desarrollado en la jurisprudencia de esa misma Corporación, </w:t>
      </w:r>
      <w:r w:rsidRPr="006E6FF9">
        <w:rPr>
          <w:rFonts w:ascii="Arial" w:hAnsi="Arial" w:cs="Arial"/>
          <w:color w:val="000000" w:themeColor="text1"/>
        </w:rPr>
        <w:t>que, a su juicio</w:t>
      </w:r>
      <w:r w:rsidR="008A10E5" w:rsidRPr="006E6FF9">
        <w:rPr>
          <w:rFonts w:ascii="Arial" w:hAnsi="Arial" w:cs="Arial"/>
          <w:color w:val="000000" w:themeColor="text1"/>
        </w:rPr>
        <w:t>,</w:t>
      </w:r>
      <w:r w:rsidRPr="006E6FF9">
        <w:rPr>
          <w:rFonts w:ascii="Arial" w:hAnsi="Arial" w:cs="Arial"/>
          <w:color w:val="000000" w:themeColor="text1"/>
        </w:rPr>
        <w:t xml:space="preserve"> demuestra que no existe justificación constitucionalmente admisible que explique el trato diferenciado</w:t>
      </w:r>
      <w:r w:rsidR="007469E4" w:rsidRPr="006E6FF9">
        <w:rPr>
          <w:rFonts w:ascii="Arial" w:hAnsi="Arial" w:cs="Arial"/>
          <w:color w:val="000000" w:themeColor="text1"/>
        </w:rPr>
        <w:t>,</w:t>
      </w:r>
      <w:r w:rsidRPr="006E6FF9">
        <w:rPr>
          <w:rFonts w:ascii="Arial" w:hAnsi="Arial" w:cs="Arial"/>
          <w:color w:val="000000" w:themeColor="text1"/>
        </w:rPr>
        <w:t xml:space="preserve"> en términos del porcentaje que recibe</w:t>
      </w:r>
      <w:r w:rsidR="00CA7D27" w:rsidRPr="006E6FF9">
        <w:rPr>
          <w:rFonts w:ascii="Arial" w:hAnsi="Arial" w:cs="Arial"/>
          <w:color w:val="000000" w:themeColor="text1"/>
        </w:rPr>
        <w:t>n</w:t>
      </w:r>
      <w:r w:rsidRPr="006E6FF9">
        <w:rPr>
          <w:rFonts w:ascii="Arial" w:hAnsi="Arial" w:cs="Arial"/>
          <w:color w:val="000000" w:themeColor="text1"/>
        </w:rPr>
        <w:t xml:space="preserve"> a título de </w:t>
      </w:r>
      <w:r w:rsidR="00097F39" w:rsidRPr="006E6FF9">
        <w:rPr>
          <w:rFonts w:ascii="Arial" w:hAnsi="Arial" w:cs="Arial"/>
          <w:color w:val="000000" w:themeColor="text1"/>
        </w:rPr>
        <w:t>esta prestación</w:t>
      </w:r>
      <w:r w:rsidR="007469E4" w:rsidRPr="006E6FF9">
        <w:rPr>
          <w:rFonts w:ascii="Arial" w:hAnsi="Arial" w:cs="Arial"/>
          <w:color w:val="000000" w:themeColor="text1"/>
        </w:rPr>
        <w:t>,</w:t>
      </w:r>
      <w:r w:rsidRPr="006E6FF9">
        <w:rPr>
          <w:rFonts w:ascii="Arial" w:hAnsi="Arial" w:cs="Arial"/>
          <w:color w:val="000000" w:themeColor="text1"/>
        </w:rPr>
        <w:t xml:space="preserve"> </w:t>
      </w:r>
      <w:r w:rsidR="00E25E89" w:rsidRPr="006E6FF9">
        <w:rPr>
          <w:rFonts w:ascii="Arial" w:hAnsi="Arial" w:cs="Arial"/>
          <w:color w:val="000000" w:themeColor="text1"/>
        </w:rPr>
        <w:t>los miembros del Nivel E</w:t>
      </w:r>
      <w:r w:rsidRPr="006E6FF9">
        <w:rPr>
          <w:rFonts w:ascii="Arial" w:hAnsi="Arial" w:cs="Arial"/>
          <w:color w:val="000000" w:themeColor="text1"/>
        </w:rPr>
        <w:t>jecutivo de la Policía Nacional y los demás integrantes de la fuerza pública.</w:t>
      </w:r>
    </w:p>
    <w:p w14:paraId="76151455" w14:textId="77777777" w:rsidR="00A22FFE" w:rsidRPr="006E6FF9" w:rsidRDefault="00A22FFE" w:rsidP="00DA7858">
      <w:pPr>
        <w:pStyle w:val="Prrafodelista"/>
        <w:overflowPunct w:val="0"/>
        <w:autoSpaceDE w:val="0"/>
        <w:autoSpaceDN w:val="0"/>
        <w:adjustRightInd w:val="0"/>
        <w:spacing w:line="283" w:lineRule="auto"/>
        <w:ind w:left="708"/>
        <w:jc w:val="both"/>
        <w:rPr>
          <w:rFonts w:ascii="Arial" w:eastAsia="Times New Roman" w:hAnsi="Arial" w:cs="Arial"/>
          <w:bCs/>
          <w:color w:val="000000" w:themeColor="text1"/>
          <w:lang w:eastAsia="es-ES"/>
        </w:rPr>
      </w:pPr>
    </w:p>
    <w:p w14:paraId="166FF9B7" w14:textId="23783695" w:rsidR="00CC12D7" w:rsidRPr="006E6FF9" w:rsidRDefault="008A10E5" w:rsidP="00DA7858">
      <w:pPr>
        <w:overflowPunct w:val="0"/>
        <w:autoSpaceDE w:val="0"/>
        <w:autoSpaceDN w:val="0"/>
        <w:adjustRightInd w:val="0"/>
        <w:spacing w:line="283" w:lineRule="auto"/>
        <w:ind w:left="708"/>
        <w:rPr>
          <w:color w:val="000000" w:themeColor="text1"/>
          <w:sz w:val="24"/>
          <w:szCs w:val="24"/>
        </w:rPr>
      </w:pPr>
      <w:r w:rsidRPr="006E6FF9">
        <w:rPr>
          <w:b/>
          <w:color w:val="000000" w:themeColor="text1"/>
          <w:sz w:val="24"/>
          <w:szCs w:val="24"/>
        </w:rPr>
        <w:t>2.2.2.</w:t>
      </w:r>
      <w:r w:rsidRPr="006E6FF9">
        <w:rPr>
          <w:color w:val="000000" w:themeColor="text1"/>
          <w:sz w:val="24"/>
          <w:szCs w:val="24"/>
        </w:rPr>
        <w:t xml:space="preserve"> </w:t>
      </w:r>
      <w:r w:rsidR="00F54E9D" w:rsidRPr="006E6FF9">
        <w:rPr>
          <w:color w:val="000000" w:themeColor="text1"/>
          <w:sz w:val="24"/>
          <w:szCs w:val="24"/>
        </w:rPr>
        <w:t>U</w:t>
      </w:r>
      <w:r w:rsidRPr="006E6FF9">
        <w:rPr>
          <w:color w:val="000000" w:themeColor="text1"/>
          <w:sz w:val="24"/>
          <w:szCs w:val="24"/>
        </w:rPr>
        <w:t>n defecto sustantivo</w:t>
      </w:r>
      <w:r w:rsidR="00DA7858" w:rsidRPr="006E6FF9">
        <w:rPr>
          <w:color w:val="000000" w:themeColor="text1"/>
          <w:sz w:val="24"/>
          <w:szCs w:val="24"/>
        </w:rPr>
        <w:t>,</w:t>
      </w:r>
      <w:r w:rsidRPr="006E6FF9">
        <w:rPr>
          <w:color w:val="000000" w:themeColor="text1"/>
          <w:sz w:val="24"/>
          <w:szCs w:val="24"/>
        </w:rPr>
        <w:t xml:space="preserve"> </w:t>
      </w:r>
      <w:r w:rsidR="003560F5" w:rsidRPr="006E6FF9">
        <w:rPr>
          <w:color w:val="000000" w:themeColor="text1"/>
          <w:sz w:val="24"/>
          <w:szCs w:val="24"/>
        </w:rPr>
        <w:t>por</w:t>
      </w:r>
      <w:r w:rsidR="00CA7D27" w:rsidRPr="006E6FF9">
        <w:rPr>
          <w:color w:val="000000" w:themeColor="text1"/>
          <w:sz w:val="24"/>
          <w:szCs w:val="24"/>
        </w:rPr>
        <w:t>que la autoridad accionada aplicó</w:t>
      </w:r>
      <w:r w:rsidR="003560F5" w:rsidRPr="006E6FF9">
        <w:rPr>
          <w:color w:val="000000" w:themeColor="text1"/>
          <w:sz w:val="24"/>
          <w:szCs w:val="24"/>
        </w:rPr>
        <w:t xml:space="preserve"> las disposiciones que regulan el subsidio familiar para los </w:t>
      </w:r>
      <w:r w:rsidR="00E25E89" w:rsidRPr="006E6FF9">
        <w:rPr>
          <w:color w:val="000000" w:themeColor="text1"/>
          <w:sz w:val="24"/>
          <w:szCs w:val="24"/>
        </w:rPr>
        <w:t>miembros del Nivel E</w:t>
      </w:r>
      <w:r w:rsidR="003560F5" w:rsidRPr="006E6FF9">
        <w:rPr>
          <w:color w:val="000000" w:themeColor="text1"/>
          <w:sz w:val="24"/>
          <w:szCs w:val="24"/>
        </w:rPr>
        <w:t>jecutivo de la Policía Nacional, que</w:t>
      </w:r>
      <w:r w:rsidR="003572D1" w:rsidRPr="006E6FF9">
        <w:rPr>
          <w:color w:val="000000" w:themeColor="text1"/>
          <w:sz w:val="24"/>
          <w:szCs w:val="24"/>
        </w:rPr>
        <w:t>, según su dicho,</w:t>
      </w:r>
      <w:r w:rsidR="003560F5" w:rsidRPr="006E6FF9">
        <w:rPr>
          <w:color w:val="000000" w:themeColor="text1"/>
          <w:sz w:val="24"/>
          <w:szCs w:val="24"/>
        </w:rPr>
        <w:t xml:space="preserve"> son abiertamente inconstitucionales</w:t>
      </w:r>
      <w:r w:rsidR="00BF3BDB" w:rsidRPr="006E6FF9">
        <w:rPr>
          <w:color w:val="000000" w:themeColor="text1"/>
          <w:sz w:val="24"/>
          <w:szCs w:val="24"/>
        </w:rPr>
        <w:t xml:space="preserve">. </w:t>
      </w:r>
    </w:p>
    <w:p w14:paraId="3194E0C9" w14:textId="77777777" w:rsidR="007C6C17" w:rsidRPr="006E6FF9" w:rsidRDefault="007C6C17" w:rsidP="00F5606B">
      <w:pPr>
        <w:tabs>
          <w:tab w:val="left" w:pos="0"/>
        </w:tabs>
        <w:spacing w:line="276" w:lineRule="auto"/>
        <w:contextualSpacing/>
        <w:rPr>
          <w:color w:val="000000" w:themeColor="text1"/>
          <w:sz w:val="24"/>
          <w:szCs w:val="24"/>
        </w:rPr>
      </w:pPr>
    </w:p>
    <w:p w14:paraId="582241D8" w14:textId="530D130C" w:rsidR="0034340E" w:rsidRPr="006E6FF9" w:rsidRDefault="007C6C17" w:rsidP="00F5606B">
      <w:pPr>
        <w:tabs>
          <w:tab w:val="left" w:pos="0"/>
        </w:tabs>
        <w:spacing w:line="276" w:lineRule="auto"/>
        <w:contextualSpacing/>
        <w:rPr>
          <w:rFonts w:eastAsia="Times New Roman"/>
          <w:color w:val="000000" w:themeColor="text1"/>
          <w:sz w:val="24"/>
          <w:szCs w:val="24"/>
          <w:lang w:val="es-ES_tradnl" w:eastAsia="es-ES"/>
        </w:rPr>
      </w:pPr>
      <w:r w:rsidRPr="006E6FF9">
        <w:rPr>
          <w:b/>
          <w:color w:val="000000" w:themeColor="text1"/>
          <w:sz w:val="24"/>
          <w:szCs w:val="24"/>
          <w:lang w:val="es-ES_tradnl"/>
        </w:rPr>
        <w:lastRenderedPageBreak/>
        <w:t>2.3</w:t>
      </w:r>
      <w:r w:rsidR="00035B36" w:rsidRPr="006E6FF9">
        <w:rPr>
          <w:b/>
          <w:color w:val="000000" w:themeColor="text1"/>
          <w:sz w:val="24"/>
          <w:szCs w:val="24"/>
          <w:lang w:val="es-ES_tradnl"/>
        </w:rPr>
        <w:t>.</w:t>
      </w:r>
      <w:r w:rsidRPr="006E6FF9">
        <w:rPr>
          <w:b/>
          <w:color w:val="000000" w:themeColor="text1"/>
          <w:sz w:val="24"/>
          <w:szCs w:val="24"/>
          <w:lang w:val="es-ES_tradnl"/>
        </w:rPr>
        <w:t xml:space="preserve"> </w:t>
      </w:r>
      <w:r w:rsidR="000322DE" w:rsidRPr="006E6FF9">
        <w:rPr>
          <w:color w:val="000000" w:themeColor="text1"/>
          <w:sz w:val="24"/>
          <w:szCs w:val="24"/>
          <w:lang w:val="es-ES_tradnl"/>
        </w:rPr>
        <w:t>Ahora bien, p</w:t>
      </w:r>
      <w:r w:rsidRPr="006E6FF9">
        <w:rPr>
          <w:color w:val="000000" w:themeColor="text1"/>
          <w:sz w:val="24"/>
          <w:szCs w:val="24"/>
          <w:lang w:val="es-ES_tradnl"/>
        </w:rPr>
        <w:t xml:space="preserve">ara verificar si tales argumentos tienen </w:t>
      </w:r>
      <w:r w:rsidRPr="006E6FF9">
        <w:rPr>
          <w:b/>
          <w:color w:val="000000" w:themeColor="text1"/>
          <w:sz w:val="24"/>
          <w:szCs w:val="24"/>
          <w:lang w:val="es-ES_tradnl"/>
        </w:rPr>
        <w:t>relevancia constitucional</w:t>
      </w:r>
      <w:r w:rsidRPr="006E6FF9">
        <w:rPr>
          <w:color w:val="000000" w:themeColor="text1"/>
          <w:sz w:val="24"/>
          <w:szCs w:val="24"/>
          <w:lang w:val="es-ES_tradnl"/>
        </w:rPr>
        <w:t xml:space="preserve"> </w:t>
      </w:r>
      <w:r w:rsidR="00033C50" w:rsidRPr="006E6FF9">
        <w:rPr>
          <w:rFonts w:eastAsia="Arial"/>
          <w:color w:val="000000" w:themeColor="text1"/>
          <w:sz w:val="24"/>
          <w:szCs w:val="24"/>
        </w:rPr>
        <w:t xml:space="preserve">corresponde </w:t>
      </w:r>
      <w:r w:rsidR="006E6FF9">
        <w:rPr>
          <w:rFonts w:eastAsia="Arial"/>
          <w:color w:val="000000" w:themeColor="text1"/>
          <w:sz w:val="24"/>
          <w:szCs w:val="24"/>
        </w:rPr>
        <w:t>comprob</w:t>
      </w:r>
      <w:r w:rsidR="00033C50" w:rsidRPr="006E6FF9">
        <w:rPr>
          <w:rFonts w:eastAsia="Arial"/>
          <w:color w:val="000000" w:themeColor="text1"/>
          <w:sz w:val="24"/>
          <w:szCs w:val="24"/>
        </w:rPr>
        <w:t xml:space="preserve">ar si </w:t>
      </w:r>
      <w:r w:rsidR="00CB7918" w:rsidRPr="006E6FF9">
        <w:rPr>
          <w:rFonts w:eastAsia="Arial"/>
          <w:color w:val="000000" w:themeColor="text1"/>
          <w:sz w:val="24"/>
          <w:szCs w:val="24"/>
        </w:rPr>
        <w:t xml:space="preserve">el solicitante </w:t>
      </w:r>
      <w:r w:rsidR="00033C50" w:rsidRPr="006E6FF9">
        <w:rPr>
          <w:color w:val="000000" w:themeColor="text1"/>
          <w:sz w:val="24"/>
          <w:szCs w:val="24"/>
        </w:rPr>
        <w:t xml:space="preserve">expone </w:t>
      </w:r>
      <w:r w:rsidR="00FF31BA" w:rsidRPr="006E6FF9">
        <w:rPr>
          <w:color w:val="000000" w:themeColor="text1"/>
          <w:sz w:val="24"/>
          <w:szCs w:val="24"/>
        </w:rPr>
        <w:t>cargo</w:t>
      </w:r>
      <w:r w:rsidR="00033C50" w:rsidRPr="006E6FF9">
        <w:rPr>
          <w:color w:val="000000" w:themeColor="text1"/>
          <w:sz w:val="24"/>
          <w:szCs w:val="24"/>
        </w:rPr>
        <w:t>s que trascienden la situación litigiosa propia de la causa ordinaria</w:t>
      </w:r>
      <w:r w:rsidR="00033C50" w:rsidRPr="006E6FF9">
        <w:rPr>
          <w:rStyle w:val="Refdenotaalpie"/>
          <w:color w:val="000000" w:themeColor="text1"/>
          <w:sz w:val="24"/>
          <w:szCs w:val="24"/>
        </w:rPr>
        <w:footnoteReference w:id="15"/>
      </w:r>
      <w:r w:rsidR="00033C50" w:rsidRPr="006E6FF9">
        <w:rPr>
          <w:color w:val="000000" w:themeColor="text1"/>
          <w:sz w:val="24"/>
          <w:szCs w:val="24"/>
        </w:rPr>
        <w:t xml:space="preserve">, denotan la </w:t>
      </w:r>
      <w:r w:rsidR="00033C50" w:rsidRPr="006E6FF9">
        <w:rPr>
          <w:rFonts w:eastAsia="Verdana"/>
          <w:color w:val="000000" w:themeColor="text1"/>
          <w:sz w:val="24"/>
          <w:szCs w:val="24"/>
        </w:rPr>
        <w:t>posible amenaza o vulneración de un derecho fundamental</w:t>
      </w:r>
      <w:r w:rsidR="00033C50" w:rsidRPr="006E6FF9">
        <w:rPr>
          <w:color w:val="000000" w:themeColor="text1"/>
          <w:sz w:val="24"/>
          <w:szCs w:val="24"/>
        </w:rPr>
        <w:t xml:space="preserve"> y protestan una valoración en sentido negativo de la sentencia atacada, en clave de los defectos definidos por la jurisprudencia </w:t>
      </w:r>
      <w:r w:rsidR="00033C50" w:rsidRPr="006E6FF9">
        <w:rPr>
          <w:rFonts w:eastAsia="Times New Roman"/>
          <w:color w:val="000000" w:themeColor="text1"/>
          <w:sz w:val="24"/>
          <w:szCs w:val="24"/>
          <w:lang w:val="es-ES_tradnl" w:eastAsia="es-ES"/>
        </w:rPr>
        <w:t>como únicas causales que habilitan el control constitucional concreto</w:t>
      </w:r>
      <w:r w:rsidR="00033C50" w:rsidRPr="006E6FF9">
        <w:rPr>
          <w:rStyle w:val="Refdenotaalpie"/>
          <w:rFonts w:eastAsia="Verdana"/>
          <w:color w:val="000000" w:themeColor="text1"/>
          <w:sz w:val="24"/>
          <w:szCs w:val="24"/>
        </w:rPr>
        <w:footnoteReference w:id="16"/>
      </w:r>
      <w:r w:rsidR="00033C50" w:rsidRPr="006E6FF9">
        <w:rPr>
          <w:rFonts w:eastAsia="Times New Roman"/>
          <w:color w:val="000000" w:themeColor="text1"/>
          <w:sz w:val="24"/>
          <w:szCs w:val="24"/>
          <w:lang w:val="es-ES_tradnl" w:eastAsia="es-ES"/>
        </w:rPr>
        <w:t>.</w:t>
      </w:r>
    </w:p>
    <w:p w14:paraId="2E8BE270" w14:textId="77777777" w:rsidR="00FC1015" w:rsidRPr="006E6FF9" w:rsidRDefault="00FC1015" w:rsidP="00F5606B">
      <w:pPr>
        <w:tabs>
          <w:tab w:val="left" w:pos="0"/>
        </w:tabs>
        <w:spacing w:line="276" w:lineRule="auto"/>
        <w:contextualSpacing/>
        <w:rPr>
          <w:rFonts w:eastAsia="Times New Roman"/>
          <w:color w:val="000000" w:themeColor="text1"/>
          <w:sz w:val="24"/>
          <w:szCs w:val="24"/>
          <w:lang w:val="es-ES_tradnl" w:eastAsia="es-ES"/>
        </w:rPr>
      </w:pPr>
    </w:p>
    <w:p w14:paraId="2B839A71" w14:textId="0906D396" w:rsidR="00FC1015" w:rsidRPr="006E6FF9" w:rsidRDefault="0044378B" w:rsidP="00FC1015">
      <w:pPr>
        <w:tabs>
          <w:tab w:val="left" w:pos="0"/>
        </w:tabs>
        <w:spacing w:line="276" w:lineRule="auto"/>
        <w:contextualSpacing/>
        <w:rPr>
          <w:rFonts w:eastAsia="Times New Roman"/>
          <w:color w:val="000000" w:themeColor="text1"/>
          <w:sz w:val="24"/>
          <w:szCs w:val="24"/>
          <w:lang w:val="es-ES_tradnl" w:eastAsia="es-ES"/>
        </w:rPr>
      </w:pPr>
      <w:r w:rsidRPr="006E6FF9">
        <w:rPr>
          <w:rFonts w:eastAsia="Times New Roman"/>
          <w:b/>
          <w:color w:val="000000" w:themeColor="text1"/>
          <w:sz w:val="24"/>
          <w:szCs w:val="24"/>
          <w:lang w:val="es-ES_tradnl" w:eastAsia="es-ES"/>
        </w:rPr>
        <w:t>2.3.1.</w:t>
      </w:r>
      <w:r w:rsidRPr="006E6FF9">
        <w:rPr>
          <w:rFonts w:eastAsia="Times New Roman"/>
          <w:color w:val="000000" w:themeColor="text1"/>
          <w:sz w:val="24"/>
          <w:szCs w:val="24"/>
          <w:lang w:val="es-ES_tradnl" w:eastAsia="es-ES"/>
        </w:rPr>
        <w:t xml:space="preserve"> </w:t>
      </w:r>
      <w:r w:rsidR="00FC4072" w:rsidRPr="006E6FF9">
        <w:rPr>
          <w:rFonts w:eastAsia="Times New Roman"/>
          <w:color w:val="000000" w:themeColor="text1"/>
          <w:sz w:val="24"/>
          <w:szCs w:val="24"/>
          <w:lang w:val="es-ES_tradnl" w:eastAsia="es-ES"/>
        </w:rPr>
        <w:t>Para hacer ese análisis, es pertinente poner de presente que la decisión censurada</w:t>
      </w:r>
      <w:r w:rsidR="000B6F39" w:rsidRPr="006E6FF9">
        <w:rPr>
          <w:color w:val="000000" w:themeColor="text1"/>
          <w:sz w:val="24"/>
          <w:szCs w:val="24"/>
          <w:lang w:val="es-MX" w:eastAsia="ja-JP"/>
        </w:rPr>
        <w:t>,</w:t>
      </w:r>
      <w:r w:rsidR="00FC1015" w:rsidRPr="006E6FF9">
        <w:rPr>
          <w:rFonts w:eastAsia="Times New Roman"/>
          <w:color w:val="000000" w:themeColor="text1"/>
          <w:sz w:val="24"/>
          <w:szCs w:val="24"/>
          <w:lang w:val="es-ES_tradnl" w:eastAsia="es-ES"/>
        </w:rPr>
        <w:t xml:space="preserve"> proferida por el Tribunal Administrativo de </w:t>
      </w:r>
      <w:r w:rsidR="000157DF" w:rsidRPr="006E6FF9">
        <w:rPr>
          <w:rFonts w:eastAsia="Times New Roman"/>
          <w:color w:val="000000" w:themeColor="text1"/>
          <w:sz w:val="24"/>
          <w:szCs w:val="24"/>
          <w:lang w:val="es-ES_tradnl" w:eastAsia="es-ES"/>
        </w:rPr>
        <w:t>Atlántico</w:t>
      </w:r>
      <w:r w:rsidR="00FC1015" w:rsidRPr="006E6FF9">
        <w:rPr>
          <w:rFonts w:eastAsia="Times New Roman"/>
          <w:color w:val="000000" w:themeColor="text1"/>
          <w:sz w:val="24"/>
          <w:szCs w:val="24"/>
          <w:lang w:val="es-ES_tradnl" w:eastAsia="es-ES"/>
        </w:rPr>
        <w:t xml:space="preserve">, tuvo por objeto determinar si </w:t>
      </w:r>
      <w:r w:rsidR="00A40ECE" w:rsidRPr="006E6FF9">
        <w:rPr>
          <w:rFonts w:eastAsia="Times New Roman"/>
          <w:color w:val="000000" w:themeColor="text1"/>
          <w:sz w:val="24"/>
          <w:szCs w:val="24"/>
          <w:lang w:val="es-ES_tradnl" w:eastAsia="es-ES"/>
        </w:rPr>
        <w:t>debía incluirse el subsidio familiar como partida computable en la asignación de retiro del señor Díaz Arroyo</w:t>
      </w:r>
      <w:r w:rsidR="000B6F39" w:rsidRPr="006E6FF9">
        <w:rPr>
          <w:rFonts w:eastAsia="Times New Roman"/>
          <w:color w:val="000000" w:themeColor="text1"/>
          <w:sz w:val="24"/>
          <w:szCs w:val="24"/>
          <w:lang w:val="es-ES_tradnl" w:eastAsia="es-ES"/>
        </w:rPr>
        <w:t>.</w:t>
      </w:r>
      <w:r w:rsidR="00885333" w:rsidRPr="006E6FF9">
        <w:rPr>
          <w:rFonts w:eastAsia="Times New Roman"/>
          <w:color w:val="000000" w:themeColor="text1"/>
          <w:sz w:val="24"/>
          <w:szCs w:val="24"/>
          <w:lang w:val="es-ES_tradnl" w:eastAsia="es-ES"/>
        </w:rPr>
        <w:t xml:space="preserve"> </w:t>
      </w:r>
    </w:p>
    <w:p w14:paraId="72C898B8" w14:textId="77777777" w:rsidR="00FC1015" w:rsidRPr="006E6FF9" w:rsidRDefault="00FC1015" w:rsidP="00FC1015">
      <w:pPr>
        <w:tabs>
          <w:tab w:val="left" w:pos="0"/>
        </w:tabs>
        <w:spacing w:line="276" w:lineRule="auto"/>
        <w:contextualSpacing/>
        <w:rPr>
          <w:rFonts w:eastAsia="Times New Roman"/>
          <w:color w:val="000000" w:themeColor="text1"/>
          <w:sz w:val="24"/>
          <w:szCs w:val="24"/>
          <w:lang w:val="es-ES_tradnl" w:eastAsia="es-ES"/>
        </w:rPr>
      </w:pPr>
    </w:p>
    <w:p w14:paraId="1497C97A" w14:textId="0EDFC932" w:rsidR="00FC1015" w:rsidRPr="006E6FF9" w:rsidRDefault="002E1143" w:rsidP="00FC1015">
      <w:pPr>
        <w:tabs>
          <w:tab w:val="left" w:pos="0"/>
        </w:tabs>
        <w:spacing w:line="276" w:lineRule="auto"/>
        <w:contextualSpacing/>
        <w:rPr>
          <w:rFonts w:eastAsia="Times New Roman"/>
          <w:color w:val="000000" w:themeColor="text1"/>
          <w:sz w:val="24"/>
          <w:szCs w:val="24"/>
          <w:lang w:val="es-ES_tradnl" w:eastAsia="es-ES"/>
        </w:rPr>
      </w:pPr>
      <w:r w:rsidRPr="006E6FF9">
        <w:rPr>
          <w:rFonts w:eastAsia="Times New Roman"/>
          <w:color w:val="000000" w:themeColor="text1"/>
          <w:sz w:val="24"/>
          <w:szCs w:val="24"/>
          <w:lang w:val="es-ES_tradnl" w:eastAsia="es-ES"/>
        </w:rPr>
        <w:t xml:space="preserve">En el </w:t>
      </w:r>
      <w:r w:rsidR="00CA7D27" w:rsidRPr="006E6FF9">
        <w:rPr>
          <w:rFonts w:eastAsia="Times New Roman"/>
          <w:color w:val="000000" w:themeColor="text1"/>
          <w:sz w:val="24"/>
          <w:szCs w:val="24"/>
          <w:lang w:val="es-ES_tradnl" w:eastAsia="es-ES"/>
        </w:rPr>
        <w:t>escrito de tutela</w:t>
      </w:r>
      <w:r w:rsidR="00247AE4" w:rsidRPr="006E6FF9">
        <w:rPr>
          <w:rFonts w:eastAsia="Times New Roman"/>
          <w:color w:val="000000" w:themeColor="text1"/>
          <w:sz w:val="24"/>
          <w:szCs w:val="24"/>
          <w:lang w:val="es-ES_tradnl" w:eastAsia="es-ES"/>
        </w:rPr>
        <w:t xml:space="preserve">, </w:t>
      </w:r>
      <w:r w:rsidRPr="006E6FF9">
        <w:rPr>
          <w:rFonts w:eastAsia="Times New Roman"/>
          <w:color w:val="000000" w:themeColor="text1"/>
          <w:sz w:val="24"/>
          <w:szCs w:val="24"/>
          <w:lang w:val="es-ES_tradnl" w:eastAsia="es-ES"/>
        </w:rPr>
        <w:t xml:space="preserve">tal como se señaló en el apartado 2.2., </w:t>
      </w:r>
      <w:r w:rsidR="00885333" w:rsidRPr="006E6FF9">
        <w:rPr>
          <w:rFonts w:eastAsia="Times New Roman"/>
          <w:color w:val="000000" w:themeColor="text1"/>
          <w:sz w:val="24"/>
          <w:szCs w:val="24"/>
          <w:lang w:val="es-ES_tradnl" w:eastAsia="es-ES"/>
        </w:rPr>
        <w:t>el accionante</w:t>
      </w:r>
      <w:r w:rsidR="00FC1015" w:rsidRPr="006E6FF9">
        <w:rPr>
          <w:rFonts w:eastAsia="Times New Roman"/>
          <w:color w:val="000000" w:themeColor="text1"/>
          <w:sz w:val="24"/>
          <w:szCs w:val="24"/>
          <w:lang w:val="es-ES_tradnl" w:eastAsia="es-ES"/>
        </w:rPr>
        <w:t xml:space="preserve"> fundó el trato desigual reprochado y el juicio integrado de igualdad, en las diferencias porcentuales que existen en el reconocimiento del subsidio familiar a otros funcionarios pertenecientes a la fuerza pública, y no en la inclusión de esta prestación en la asignación de retiro. </w:t>
      </w:r>
    </w:p>
    <w:p w14:paraId="1E18FFE6" w14:textId="77777777" w:rsidR="00FC1015" w:rsidRPr="006E6FF9" w:rsidRDefault="00FC1015" w:rsidP="00FC1015">
      <w:pPr>
        <w:tabs>
          <w:tab w:val="left" w:pos="0"/>
        </w:tabs>
        <w:spacing w:line="276" w:lineRule="auto"/>
        <w:contextualSpacing/>
        <w:rPr>
          <w:rFonts w:eastAsia="Times New Roman"/>
          <w:color w:val="000000" w:themeColor="text1"/>
          <w:sz w:val="24"/>
          <w:szCs w:val="24"/>
          <w:lang w:val="es-ES_tradnl" w:eastAsia="es-ES"/>
        </w:rPr>
      </w:pPr>
    </w:p>
    <w:p w14:paraId="5FEDEBF3" w14:textId="3A364BD8" w:rsidR="00CB7918" w:rsidRPr="006E6FF9" w:rsidRDefault="00FC1015" w:rsidP="00F5606B">
      <w:pPr>
        <w:tabs>
          <w:tab w:val="left" w:pos="0"/>
        </w:tabs>
        <w:spacing w:line="276" w:lineRule="auto"/>
        <w:contextualSpacing/>
        <w:rPr>
          <w:rFonts w:eastAsia="Times New Roman"/>
          <w:color w:val="000000" w:themeColor="text1"/>
          <w:sz w:val="24"/>
          <w:szCs w:val="24"/>
          <w:lang w:val="es-ES_tradnl" w:eastAsia="es-ES"/>
        </w:rPr>
      </w:pPr>
      <w:r w:rsidRPr="006E6FF9">
        <w:rPr>
          <w:rFonts w:eastAsia="Times New Roman"/>
          <w:color w:val="000000" w:themeColor="text1"/>
          <w:sz w:val="24"/>
          <w:szCs w:val="24"/>
          <w:lang w:val="es-ES_tradnl" w:eastAsia="es-ES"/>
        </w:rPr>
        <w:t xml:space="preserve">Esta argumentación dista sustancialmente del objeto de debate que fue abordado en el proceso ordinario, en la medida en que las diferencias porcentuales surgen entre personas que se encuentran en servicio activo, y la inclusión del referido subsidio en la asignación de retiro, entre personas pensionadas, estatus que tienen normas específicas, incluso dentro del mismo régimen al que pertenece el interesado. </w:t>
      </w:r>
      <w:r w:rsidR="002E1143" w:rsidRPr="006E6FF9">
        <w:rPr>
          <w:rFonts w:eastAsia="Times New Roman"/>
          <w:color w:val="000000" w:themeColor="text1"/>
          <w:sz w:val="24"/>
          <w:szCs w:val="24"/>
          <w:lang w:val="es-ES_tradnl" w:eastAsia="es-ES"/>
        </w:rPr>
        <w:t xml:space="preserve">Por ese motivo, resulta evidente que los reproches no se dirigen a atacar el contenido de la sentencia del </w:t>
      </w:r>
      <w:r w:rsidR="002E1143" w:rsidRPr="006E6FF9">
        <w:rPr>
          <w:color w:val="000000" w:themeColor="text1"/>
          <w:sz w:val="24"/>
          <w:szCs w:val="24"/>
          <w:lang w:val="es-MX" w:eastAsia="ja-JP"/>
        </w:rPr>
        <w:t>15 de noviembre de 2019</w:t>
      </w:r>
      <w:r w:rsidR="00A83245" w:rsidRPr="006E6FF9">
        <w:rPr>
          <w:color w:val="000000" w:themeColor="text1"/>
          <w:sz w:val="24"/>
          <w:szCs w:val="24"/>
          <w:lang w:val="es-MX" w:eastAsia="ja-JP"/>
        </w:rPr>
        <w:t xml:space="preserve"> y</w:t>
      </w:r>
      <w:r w:rsidR="002E1143" w:rsidRPr="006E6FF9">
        <w:rPr>
          <w:color w:val="000000" w:themeColor="text1"/>
          <w:sz w:val="24"/>
          <w:szCs w:val="24"/>
          <w:lang w:val="es-MX" w:eastAsia="ja-JP"/>
        </w:rPr>
        <w:t xml:space="preserve"> de esa forma</w:t>
      </w:r>
      <w:r w:rsidR="00CA7D27" w:rsidRPr="006E6FF9">
        <w:rPr>
          <w:color w:val="000000" w:themeColor="text1"/>
          <w:sz w:val="24"/>
          <w:szCs w:val="24"/>
          <w:lang w:val="es-MX" w:eastAsia="ja-JP"/>
        </w:rPr>
        <w:t>,</w:t>
      </w:r>
      <w:r w:rsidR="002E1143" w:rsidRPr="006E6FF9">
        <w:rPr>
          <w:color w:val="000000" w:themeColor="text1"/>
          <w:sz w:val="24"/>
          <w:szCs w:val="24"/>
          <w:lang w:val="es-MX" w:eastAsia="ja-JP"/>
        </w:rPr>
        <w:t xml:space="preserve"> no logran exponer un defecto en ella que haga de esta controversia relevan</w:t>
      </w:r>
      <w:r w:rsidR="00A83245" w:rsidRPr="006E6FF9">
        <w:rPr>
          <w:color w:val="000000" w:themeColor="text1"/>
          <w:sz w:val="24"/>
          <w:szCs w:val="24"/>
          <w:lang w:val="es-MX" w:eastAsia="ja-JP"/>
        </w:rPr>
        <w:t>te</w:t>
      </w:r>
      <w:r w:rsidR="002E1143" w:rsidRPr="006E6FF9">
        <w:rPr>
          <w:color w:val="000000" w:themeColor="text1"/>
          <w:sz w:val="24"/>
          <w:szCs w:val="24"/>
          <w:lang w:val="es-MX" w:eastAsia="ja-JP"/>
        </w:rPr>
        <w:t xml:space="preserve"> en términos constitucionales. </w:t>
      </w:r>
    </w:p>
    <w:p w14:paraId="160E2B24" w14:textId="77777777" w:rsidR="00F4004D" w:rsidRPr="006E6FF9" w:rsidRDefault="00F4004D" w:rsidP="00F5606B">
      <w:pPr>
        <w:spacing w:line="276" w:lineRule="auto"/>
        <w:ind w:right="-93"/>
        <w:rPr>
          <w:color w:val="000000" w:themeColor="text1"/>
          <w:sz w:val="24"/>
          <w:szCs w:val="24"/>
        </w:rPr>
      </w:pPr>
    </w:p>
    <w:p w14:paraId="0A7FA5E0" w14:textId="6233D139" w:rsidR="00161EAA" w:rsidRPr="006E6FF9" w:rsidRDefault="00501DF8" w:rsidP="00F5606B">
      <w:pPr>
        <w:spacing w:line="276" w:lineRule="auto"/>
        <w:ind w:right="-93"/>
        <w:rPr>
          <w:color w:val="000000" w:themeColor="text1"/>
          <w:sz w:val="24"/>
          <w:szCs w:val="24"/>
        </w:rPr>
      </w:pPr>
      <w:r w:rsidRPr="006E6FF9">
        <w:rPr>
          <w:b/>
          <w:color w:val="000000" w:themeColor="text1"/>
          <w:sz w:val="24"/>
          <w:szCs w:val="24"/>
        </w:rPr>
        <w:t>2.3.2</w:t>
      </w:r>
      <w:r w:rsidR="0068169A" w:rsidRPr="006E6FF9">
        <w:rPr>
          <w:b/>
          <w:color w:val="000000" w:themeColor="text1"/>
          <w:sz w:val="24"/>
          <w:szCs w:val="24"/>
        </w:rPr>
        <w:t>.</w:t>
      </w:r>
      <w:r w:rsidR="009F4A20" w:rsidRPr="006E6FF9">
        <w:rPr>
          <w:color w:val="000000" w:themeColor="text1"/>
          <w:sz w:val="24"/>
          <w:szCs w:val="24"/>
        </w:rPr>
        <w:t xml:space="preserve"> </w:t>
      </w:r>
      <w:r w:rsidR="003B0891" w:rsidRPr="006E6FF9">
        <w:rPr>
          <w:color w:val="000000" w:themeColor="text1"/>
          <w:sz w:val="24"/>
          <w:szCs w:val="24"/>
        </w:rPr>
        <w:t xml:space="preserve">Sin perjuicio de lo anterior, </w:t>
      </w:r>
      <w:r w:rsidRPr="006E6FF9">
        <w:rPr>
          <w:color w:val="000000" w:themeColor="text1"/>
          <w:sz w:val="24"/>
          <w:szCs w:val="24"/>
        </w:rPr>
        <w:t>en aras de hacer un ejercicio más garantista</w:t>
      </w:r>
      <w:r w:rsidR="00CA7D27" w:rsidRPr="006E6FF9">
        <w:rPr>
          <w:color w:val="000000" w:themeColor="text1"/>
          <w:sz w:val="24"/>
          <w:szCs w:val="24"/>
        </w:rPr>
        <w:t>,</w:t>
      </w:r>
      <w:r w:rsidRPr="006E6FF9">
        <w:rPr>
          <w:color w:val="000000" w:themeColor="text1"/>
          <w:sz w:val="24"/>
          <w:szCs w:val="24"/>
        </w:rPr>
        <w:t xml:space="preserve"> la Sala entra a revisar los argumentos del </w:t>
      </w:r>
      <w:r w:rsidRPr="006E6FF9">
        <w:rPr>
          <w:rFonts w:eastAsia="Times New Roman"/>
          <w:color w:val="000000" w:themeColor="text1"/>
          <w:sz w:val="24"/>
          <w:szCs w:val="24"/>
          <w:lang w:val="es-ES_tradnl" w:eastAsia="es-ES"/>
        </w:rPr>
        <w:t>señor Díaz Arroyo que podrían ajustarse al caso</w:t>
      </w:r>
      <w:r w:rsidR="00CA7D27" w:rsidRPr="006E6FF9">
        <w:rPr>
          <w:rFonts w:eastAsia="Times New Roman"/>
          <w:color w:val="000000" w:themeColor="text1"/>
          <w:sz w:val="24"/>
          <w:szCs w:val="24"/>
          <w:lang w:val="es-ES_tradnl" w:eastAsia="es-ES"/>
        </w:rPr>
        <w:t xml:space="preserve">. </w:t>
      </w:r>
      <w:r w:rsidRPr="006E6FF9">
        <w:rPr>
          <w:rFonts w:eastAsia="Times New Roman"/>
          <w:color w:val="000000" w:themeColor="text1"/>
          <w:sz w:val="24"/>
          <w:szCs w:val="24"/>
          <w:lang w:val="es-ES_tradnl" w:eastAsia="es-ES"/>
        </w:rPr>
        <w:t xml:space="preserve"> </w:t>
      </w:r>
      <w:r w:rsidR="00CA7D27" w:rsidRPr="006E6FF9">
        <w:rPr>
          <w:rFonts w:eastAsia="Times New Roman"/>
          <w:color w:val="000000" w:themeColor="text1"/>
          <w:sz w:val="24"/>
          <w:szCs w:val="24"/>
          <w:lang w:val="es-ES_tradnl" w:eastAsia="es-ES"/>
        </w:rPr>
        <w:t>A partir de este examen,</w:t>
      </w:r>
      <w:r w:rsidRPr="006E6FF9">
        <w:rPr>
          <w:rFonts w:eastAsia="Times New Roman"/>
          <w:color w:val="000000" w:themeColor="text1"/>
          <w:sz w:val="24"/>
          <w:szCs w:val="24"/>
          <w:lang w:val="es-ES_tradnl" w:eastAsia="es-ES"/>
        </w:rPr>
        <w:t xml:space="preserve"> advierte que </w:t>
      </w:r>
      <w:r w:rsidRPr="006E6FF9">
        <w:rPr>
          <w:color w:val="000000" w:themeColor="text1"/>
          <w:sz w:val="24"/>
          <w:szCs w:val="24"/>
        </w:rPr>
        <w:t>e</w:t>
      </w:r>
      <w:r w:rsidR="00F36692" w:rsidRPr="006E6FF9">
        <w:rPr>
          <w:color w:val="000000" w:themeColor="text1"/>
          <w:sz w:val="24"/>
          <w:szCs w:val="24"/>
        </w:rPr>
        <w:t xml:space="preserve">stos planteamientos, lejos de </w:t>
      </w:r>
      <w:r w:rsidR="00DC285E" w:rsidRPr="006E6FF9">
        <w:rPr>
          <w:color w:val="000000" w:themeColor="text1"/>
          <w:sz w:val="24"/>
          <w:szCs w:val="24"/>
        </w:rPr>
        <w:t>expresar</w:t>
      </w:r>
      <w:r w:rsidR="00F36692" w:rsidRPr="006E6FF9">
        <w:rPr>
          <w:color w:val="000000" w:themeColor="text1"/>
          <w:sz w:val="24"/>
          <w:szCs w:val="24"/>
        </w:rPr>
        <w:t xml:space="preserve"> una protesta en contra de las razones que sustentaron la sentencia del </w:t>
      </w:r>
      <w:r w:rsidRPr="006E6FF9">
        <w:rPr>
          <w:color w:val="000000" w:themeColor="text1"/>
          <w:sz w:val="24"/>
          <w:szCs w:val="24"/>
          <w:lang w:val="es-MX" w:eastAsia="ja-JP"/>
        </w:rPr>
        <w:t>15 de noviembre de 2019</w:t>
      </w:r>
      <w:r w:rsidR="008A3448" w:rsidRPr="006E6FF9">
        <w:rPr>
          <w:color w:val="000000" w:themeColor="text1"/>
          <w:sz w:val="24"/>
          <w:szCs w:val="24"/>
        </w:rPr>
        <w:t xml:space="preserve">, </w:t>
      </w:r>
      <w:r w:rsidR="00DC285E" w:rsidRPr="006E6FF9">
        <w:rPr>
          <w:color w:val="000000" w:themeColor="text1"/>
          <w:sz w:val="24"/>
          <w:szCs w:val="24"/>
        </w:rPr>
        <w:t>presentan un</w:t>
      </w:r>
      <w:r w:rsidR="00851A98" w:rsidRPr="006E6FF9">
        <w:rPr>
          <w:color w:val="000000" w:themeColor="text1"/>
          <w:sz w:val="24"/>
          <w:szCs w:val="24"/>
        </w:rPr>
        <w:t xml:space="preserve"> reproche </w:t>
      </w:r>
      <w:r w:rsidR="00DC285E" w:rsidRPr="006E6FF9">
        <w:rPr>
          <w:color w:val="000000" w:themeColor="text1"/>
          <w:sz w:val="24"/>
          <w:szCs w:val="24"/>
        </w:rPr>
        <w:t>de constitucionalidad abstracto de las normas que reglamentan el subsidio familiar en los</w:t>
      </w:r>
      <w:r w:rsidR="00E25E89" w:rsidRPr="006E6FF9">
        <w:rPr>
          <w:color w:val="000000" w:themeColor="text1"/>
          <w:sz w:val="24"/>
          <w:szCs w:val="24"/>
        </w:rPr>
        <w:t xml:space="preserve"> uniformados que pertenecen al Nivel E</w:t>
      </w:r>
      <w:r w:rsidR="00DC285E" w:rsidRPr="006E6FF9">
        <w:rPr>
          <w:color w:val="000000" w:themeColor="text1"/>
          <w:sz w:val="24"/>
          <w:szCs w:val="24"/>
        </w:rPr>
        <w:t>jecutivo de la Polic</w:t>
      </w:r>
      <w:r w:rsidR="00C57501" w:rsidRPr="006E6FF9">
        <w:rPr>
          <w:color w:val="000000" w:themeColor="text1"/>
          <w:sz w:val="24"/>
          <w:szCs w:val="24"/>
        </w:rPr>
        <w:t xml:space="preserve">ía </w:t>
      </w:r>
      <w:r w:rsidR="006F1879" w:rsidRPr="006E6FF9">
        <w:rPr>
          <w:color w:val="000000" w:themeColor="text1"/>
          <w:sz w:val="24"/>
          <w:szCs w:val="24"/>
        </w:rPr>
        <w:t>Nacional</w:t>
      </w:r>
      <w:r w:rsidR="008A0025" w:rsidRPr="006E6FF9">
        <w:rPr>
          <w:color w:val="000000" w:themeColor="text1"/>
          <w:sz w:val="24"/>
          <w:szCs w:val="24"/>
        </w:rPr>
        <w:t xml:space="preserve">. </w:t>
      </w:r>
    </w:p>
    <w:p w14:paraId="704E7028" w14:textId="77777777" w:rsidR="00161EAA" w:rsidRPr="006E6FF9" w:rsidRDefault="00161EAA" w:rsidP="00F5606B">
      <w:pPr>
        <w:spacing w:line="276" w:lineRule="auto"/>
        <w:ind w:right="-93"/>
        <w:rPr>
          <w:color w:val="000000" w:themeColor="text1"/>
          <w:sz w:val="24"/>
          <w:szCs w:val="24"/>
        </w:rPr>
      </w:pPr>
    </w:p>
    <w:p w14:paraId="4E39A10D" w14:textId="10892BC4" w:rsidR="00F41AA9" w:rsidRPr="006E6FF9" w:rsidRDefault="008A0025" w:rsidP="00F5606B">
      <w:pPr>
        <w:spacing w:line="276" w:lineRule="auto"/>
        <w:ind w:right="-93"/>
        <w:rPr>
          <w:color w:val="000000" w:themeColor="text1"/>
          <w:sz w:val="24"/>
          <w:szCs w:val="24"/>
        </w:rPr>
      </w:pPr>
      <w:r w:rsidRPr="006E6FF9">
        <w:rPr>
          <w:color w:val="000000" w:themeColor="text1"/>
          <w:sz w:val="24"/>
          <w:szCs w:val="24"/>
        </w:rPr>
        <w:t xml:space="preserve">Para la parte actora, la diferenciación </w:t>
      </w:r>
      <w:r w:rsidR="00171038" w:rsidRPr="006E6FF9">
        <w:rPr>
          <w:color w:val="000000" w:themeColor="text1"/>
          <w:sz w:val="24"/>
          <w:szCs w:val="24"/>
        </w:rPr>
        <w:t>que la normatividad hace en relaci</w:t>
      </w:r>
      <w:r w:rsidR="006422B2" w:rsidRPr="006E6FF9">
        <w:rPr>
          <w:color w:val="000000" w:themeColor="text1"/>
          <w:sz w:val="24"/>
          <w:szCs w:val="24"/>
        </w:rPr>
        <w:t xml:space="preserve">ón con </w:t>
      </w:r>
      <w:r w:rsidR="00171038" w:rsidRPr="006E6FF9">
        <w:rPr>
          <w:color w:val="000000" w:themeColor="text1"/>
          <w:sz w:val="24"/>
          <w:szCs w:val="24"/>
        </w:rPr>
        <w:t>el subsidio familiar</w:t>
      </w:r>
      <w:r w:rsidR="006422B2" w:rsidRPr="006E6FF9">
        <w:rPr>
          <w:color w:val="000000" w:themeColor="text1"/>
          <w:sz w:val="24"/>
          <w:szCs w:val="24"/>
        </w:rPr>
        <w:t xml:space="preserve"> en</w:t>
      </w:r>
      <w:r w:rsidR="000A0B7D" w:rsidRPr="006E6FF9">
        <w:rPr>
          <w:color w:val="000000" w:themeColor="text1"/>
          <w:sz w:val="24"/>
          <w:szCs w:val="24"/>
        </w:rPr>
        <w:t>tre los miembro</w:t>
      </w:r>
      <w:r w:rsidR="00E25E89" w:rsidRPr="006E6FF9">
        <w:rPr>
          <w:color w:val="000000" w:themeColor="text1"/>
          <w:sz w:val="24"/>
          <w:szCs w:val="24"/>
        </w:rPr>
        <w:t>s del Nivel E</w:t>
      </w:r>
      <w:r w:rsidR="000A0B7D" w:rsidRPr="006E6FF9">
        <w:rPr>
          <w:color w:val="000000" w:themeColor="text1"/>
          <w:sz w:val="24"/>
          <w:szCs w:val="24"/>
        </w:rPr>
        <w:t>jecutivo de la Policía Nacional y otros integrantes de la fuerza pública</w:t>
      </w:r>
      <w:r w:rsidR="00171038" w:rsidRPr="006E6FF9">
        <w:rPr>
          <w:color w:val="000000" w:themeColor="text1"/>
          <w:sz w:val="24"/>
          <w:szCs w:val="24"/>
        </w:rPr>
        <w:t xml:space="preserve">, implica un desconocimiento de la importancia constitucional que tiene </w:t>
      </w:r>
      <w:r w:rsidR="000322DE" w:rsidRPr="006E6FF9">
        <w:rPr>
          <w:color w:val="000000" w:themeColor="text1"/>
          <w:sz w:val="24"/>
          <w:szCs w:val="24"/>
        </w:rPr>
        <w:t>dicha prestación</w:t>
      </w:r>
      <w:r w:rsidR="006422B2" w:rsidRPr="006E6FF9">
        <w:rPr>
          <w:color w:val="000000" w:themeColor="text1"/>
          <w:sz w:val="24"/>
          <w:szCs w:val="24"/>
        </w:rPr>
        <w:t xml:space="preserve"> para</w:t>
      </w:r>
      <w:r w:rsidR="00171038" w:rsidRPr="006E6FF9">
        <w:rPr>
          <w:color w:val="000000" w:themeColor="text1"/>
          <w:sz w:val="24"/>
          <w:szCs w:val="24"/>
        </w:rPr>
        <w:t xml:space="preserve"> la familia</w:t>
      </w:r>
      <w:r w:rsidR="006422B2" w:rsidRPr="006E6FF9">
        <w:rPr>
          <w:color w:val="000000" w:themeColor="text1"/>
          <w:sz w:val="24"/>
          <w:szCs w:val="24"/>
        </w:rPr>
        <w:t xml:space="preserve"> y la niñez en Colombia.</w:t>
      </w:r>
      <w:r w:rsidR="00171038" w:rsidRPr="006E6FF9">
        <w:rPr>
          <w:color w:val="000000" w:themeColor="text1"/>
          <w:sz w:val="24"/>
          <w:szCs w:val="24"/>
        </w:rPr>
        <w:t xml:space="preserve"> Este asunto, </w:t>
      </w:r>
      <w:r w:rsidR="006422B2" w:rsidRPr="006E6FF9">
        <w:rPr>
          <w:color w:val="000000" w:themeColor="text1"/>
          <w:sz w:val="24"/>
          <w:szCs w:val="24"/>
        </w:rPr>
        <w:t>así</w:t>
      </w:r>
      <w:r w:rsidR="00171038" w:rsidRPr="006E6FF9">
        <w:rPr>
          <w:color w:val="000000" w:themeColor="text1"/>
          <w:sz w:val="24"/>
          <w:szCs w:val="24"/>
        </w:rPr>
        <w:t xml:space="preserve"> planteado, </w:t>
      </w:r>
      <w:r w:rsidR="006F1879" w:rsidRPr="006E6FF9">
        <w:rPr>
          <w:color w:val="000000" w:themeColor="text1"/>
          <w:sz w:val="24"/>
          <w:szCs w:val="24"/>
        </w:rPr>
        <w:t xml:space="preserve">escapa </w:t>
      </w:r>
      <w:r w:rsidR="00F41AA9" w:rsidRPr="006E6FF9">
        <w:rPr>
          <w:color w:val="000000" w:themeColor="text1"/>
          <w:sz w:val="24"/>
          <w:szCs w:val="24"/>
        </w:rPr>
        <w:t>a la naturaleza de</w:t>
      </w:r>
      <w:r w:rsidR="006F1879" w:rsidRPr="006E6FF9">
        <w:rPr>
          <w:color w:val="000000" w:themeColor="text1"/>
          <w:sz w:val="24"/>
          <w:szCs w:val="24"/>
        </w:rPr>
        <w:t xml:space="preserve"> la acción de tutela</w:t>
      </w:r>
      <w:r w:rsidR="00F41AA9" w:rsidRPr="006E6FF9">
        <w:rPr>
          <w:color w:val="000000" w:themeColor="text1"/>
          <w:sz w:val="24"/>
          <w:szCs w:val="24"/>
        </w:rPr>
        <w:t xml:space="preserve"> como mecanismo de control concreto ante la posible afectación o vulneración de los derechos </w:t>
      </w:r>
      <w:r w:rsidR="00F41AA9" w:rsidRPr="006E6FF9">
        <w:rPr>
          <w:color w:val="000000" w:themeColor="text1"/>
          <w:sz w:val="24"/>
          <w:szCs w:val="24"/>
        </w:rPr>
        <w:lastRenderedPageBreak/>
        <w:t>fundamentales, a partir de una determinada acción u omisión de las autoridades públicas, y no del ordenamiento jurídico en abstracto.</w:t>
      </w:r>
      <w:r w:rsidR="006F1879" w:rsidRPr="006E6FF9">
        <w:rPr>
          <w:color w:val="000000" w:themeColor="text1"/>
          <w:sz w:val="24"/>
          <w:szCs w:val="24"/>
        </w:rPr>
        <w:t xml:space="preserve"> </w:t>
      </w:r>
    </w:p>
    <w:p w14:paraId="38565054" w14:textId="77777777" w:rsidR="00904A3A" w:rsidRPr="006E6FF9" w:rsidRDefault="00904A3A" w:rsidP="00F5606B">
      <w:pPr>
        <w:overflowPunct w:val="0"/>
        <w:autoSpaceDE w:val="0"/>
        <w:autoSpaceDN w:val="0"/>
        <w:adjustRightInd w:val="0"/>
        <w:spacing w:line="276" w:lineRule="auto"/>
        <w:contextualSpacing/>
        <w:rPr>
          <w:color w:val="000000" w:themeColor="text1"/>
          <w:sz w:val="24"/>
          <w:szCs w:val="24"/>
        </w:rPr>
      </w:pPr>
    </w:p>
    <w:p w14:paraId="0E039E79" w14:textId="78EE73DC" w:rsidR="00347076" w:rsidRPr="006E6FF9" w:rsidRDefault="00FB5204" w:rsidP="00CE0F19">
      <w:pPr>
        <w:spacing w:line="276" w:lineRule="auto"/>
        <w:ind w:right="-93"/>
        <w:rPr>
          <w:rFonts w:eastAsia="Verdana"/>
          <w:color w:val="000000" w:themeColor="text1"/>
          <w:sz w:val="24"/>
          <w:szCs w:val="24"/>
        </w:rPr>
      </w:pPr>
      <w:r w:rsidRPr="006E6FF9">
        <w:rPr>
          <w:bCs/>
          <w:color w:val="000000" w:themeColor="text1"/>
          <w:sz w:val="24"/>
          <w:szCs w:val="24"/>
        </w:rPr>
        <w:t>En conclusión</w:t>
      </w:r>
      <w:r w:rsidRPr="006E6FF9">
        <w:rPr>
          <w:rFonts w:eastAsia="Verdana"/>
          <w:color w:val="000000" w:themeColor="text1"/>
          <w:sz w:val="24"/>
          <w:szCs w:val="24"/>
        </w:rPr>
        <w:t xml:space="preserve">, </w:t>
      </w:r>
      <w:r w:rsidR="006A02A8" w:rsidRPr="006E6FF9">
        <w:rPr>
          <w:color w:val="000000" w:themeColor="text1"/>
          <w:sz w:val="24"/>
          <w:szCs w:val="24"/>
        </w:rPr>
        <w:t xml:space="preserve">el accionante </w:t>
      </w:r>
      <w:r w:rsidR="008A1FD2" w:rsidRPr="006E6FF9">
        <w:rPr>
          <w:color w:val="000000" w:themeColor="text1"/>
          <w:sz w:val="24"/>
          <w:szCs w:val="24"/>
        </w:rPr>
        <w:t>se dedica a traer elementos teóricos generales del subsidio familiar y a reprochar la inaplicación de la excepción de inconstitucionalidad de las disposiciones que lo regulan</w:t>
      </w:r>
      <w:r w:rsidR="00B2434C" w:rsidRPr="006E6FF9">
        <w:rPr>
          <w:color w:val="000000" w:themeColor="text1"/>
          <w:sz w:val="24"/>
          <w:szCs w:val="24"/>
        </w:rPr>
        <w:t>,</w:t>
      </w:r>
      <w:r w:rsidR="008A1FD2" w:rsidRPr="006E6FF9">
        <w:rPr>
          <w:color w:val="000000" w:themeColor="text1"/>
          <w:sz w:val="24"/>
          <w:szCs w:val="24"/>
        </w:rPr>
        <w:t xml:space="preserve"> </w:t>
      </w:r>
      <w:r w:rsidR="00B2434C" w:rsidRPr="006E6FF9">
        <w:rPr>
          <w:color w:val="000000" w:themeColor="text1"/>
          <w:sz w:val="24"/>
          <w:szCs w:val="24"/>
        </w:rPr>
        <w:t>s</w:t>
      </w:r>
      <w:r w:rsidR="008A1FD2" w:rsidRPr="006E6FF9">
        <w:rPr>
          <w:color w:val="000000" w:themeColor="text1"/>
          <w:sz w:val="24"/>
          <w:szCs w:val="24"/>
        </w:rPr>
        <w:t xml:space="preserve">in exponer cargos que den cuenta de </w:t>
      </w:r>
      <w:r w:rsidR="008A1FD2" w:rsidRPr="006E6FF9">
        <w:rPr>
          <w:i/>
          <w:color w:val="000000" w:themeColor="text1"/>
          <w:sz w:val="24"/>
          <w:szCs w:val="24"/>
        </w:rPr>
        <w:t>circunstancias concretas de afectación derivada de la aplicación de estas</w:t>
      </w:r>
      <w:r w:rsidR="008A1FD2" w:rsidRPr="006E6FF9">
        <w:rPr>
          <w:color w:val="000000" w:themeColor="text1"/>
          <w:sz w:val="24"/>
          <w:szCs w:val="24"/>
        </w:rPr>
        <w:t xml:space="preserve"> que las hiciera </w:t>
      </w:r>
      <w:r w:rsidR="00B2434C" w:rsidRPr="006E6FF9">
        <w:rPr>
          <w:color w:val="000000" w:themeColor="text1"/>
          <w:sz w:val="24"/>
          <w:szCs w:val="24"/>
        </w:rPr>
        <w:t>contrarias a la C</w:t>
      </w:r>
      <w:r w:rsidR="008A1FD2" w:rsidRPr="006E6FF9">
        <w:rPr>
          <w:color w:val="000000" w:themeColor="text1"/>
          <w:sz w:val="24"/>
          <w:szCs w:val="24"/>
        </w:rPr>
        <w:t xml:space="preserve">onstitución. </w:t>
      </w:r>
      <w:r w:rsidR="00CE0F19" w:rsidRPr="006E6FF9">
        <w:rPr>
          <w:color w:val="000000" w:themeColor="text1"/>
          <w:sz w:val="24"/>
          <w:szCs w:val="24"/>
        </w:rPr>
        <w:t>De manera que, sus reproches</w:t>
      </w:r>
      <w:r w:rsidR="00D70D05" w:rsidRPr="006E6FF9">
        <w:rPr>
          <w:rFonts w:eastAsia="Verdana"/>
          <w:color w:val="000000" w:themeColor="text1"/>
          <w:sz w:val="24"/>
          <w:szCs w:val="24"/>
        </w:rPr>
        <w:t xml:space="preserve"> </w:t>
      </w:r>
      <w:r w:rsidR="00347076" w:rsidRPr="006E6FF9">
        <w:rPr>
          <w:rFonts w:eastAsia="Verdana"/>
          <w:color w:val="000000" w:themeColor="text1"/>
          <w:sz w:val="24"/>
          <w:szCs w:val="24"/>
        </w:rPr>
        <w:t xml:space="preserve">carecen de relevancia constitucional, por cuanto no muestran la posible vulneración de garantías </w:t>
      </w:r>
      <w:r w:rsidR="00347076" w:rsidRPr="006E6FF9">
        <w:rPr>
          <w:rFonts w:eastAsia="Verdana"/>
          <w:i/>
          <w:color w:val="000000" w:themeColor="text1"/>
          <w:sz w:val="24"/>
          <w:szCs w:val="24"/>
        </w:rPr>
        <w:t>iusfundamentales</w:t>
      </w:r>
      <w:r w:rsidR="00347076" w:rsidRPr="006E6FF9">
        <w:rPr>
          <w:rFonts w:eastAsia="Verdana"/>
          <w:color w:val="000000" w:themeColor="text1"/>
          <w:sz w:val="24"/>
          <w:szCs w:val="24"/>
        </w:rPr>
        <w:t xml:space="preserve"> a partir de la configuración de un defecto</w:t>
      </w:r>
      <w:r w:rsidR="00715CC5" w:rsidRPr="006E6FF9">
        <w:rPr>
          <w:rFonts w:eastAsia="Verdana"/>
          <w:color w:val="000000" w:themeColor="text1"/>
          <w:sz w:val="24"/>
          <w:szCs w:val="24"/>
        </w:rPr>
        <w:t xml:space="preserve"> en la aplicación de las normas del subsidio familiar en </w:t>
      </w:r>
      <w:r w:rsidR="009D24AC" w:rsidRPr="006E6FF9">
        <w:rPr>
          <w:rFonts w:eastAsia="Verdana"/>
          <w:color w:val="000000" w:themeColor="text1"/>
          <w:sz w:val="24"/>
          <w:szCs w:val="24"/>
        </w:rPr>
        <w:t xml:space="preserve">la sentencia del </w:t>
      </w:r>
      <w:r w:rsidR="00CE0F19" w:rsidRPr="006E6FF9">
        <w:rPr>
          <w:color w:val="000000" w:themeColor="text1"/>
          <w:sz w:val="24"/>
          <w:szCs w:val="24"/>
          <w:lang w:val="es-MX" w:eastAsia="ja-JP"/>
        </w:rPr>
        <w:t>15 de noviembre de 2019</w:t>
      </w:r>
      <w:r w:rsidR="00CE0F19" w:rsidRPr="006E6FF9">
        <w:rPr>
          <w:rFonts w:eastAsia="Verdana"/>
          <w:color w:val="000000" w:themeColor="text1"/>
          <w:sz w:val="24"/>
          <w:szCs w:val="24"/>
        </w:rPr>
        <w:t>.</w:t>
      </w:r>
    </w:p>
    <w:p w14:paraId="3BE341BA" w14:textId="77777777" w:rsidR="00347076" w:rsidRPr="006E6FF9" w:rsidRDefault="00347076" w:rsidP="00F5606B">
      <w:pPr>
        <w:spacing w:line="276" w:lineRule="auto"/>
        <w:rPr>
          <w:rFonts w:eastAsia="Verdana"/>
          <w:color w:val="000000" w:themeColor="text1"/>
          <w:sz w:val="24"/>
          <w:szCs w:val="24"/>
        </w:rPr>
      </w:pPr>
    </w:p>
    <w:p w14:paraId="185D5823" w14:textId="6568A8AC" w:rsidR="00347076" w:rsidRPr="006E6FF9" w:rsidRDefault="00347076" w:rsidP="00F5606B">
      <w:pPr>
        <w:spacing w:line="276" w:lineRule="auto"/>
        <w:rPr>
          <w:color w:val="000000" w:themeColor="text1"/>
          <w:sz w:val="24"/>
          <w:szCs w:val="24"/>
        </w:rPr>
      </w:pPr>
      <w:r w:rsidRPr="006E6FF9">
        <w:rPr>
          <w:rFonts w:eastAsia="Dotum"/>
          <w:color w:val="000000" w:themeColor="text1"/>
          <w:sz w:val="24"/>
          <w:szCs w:val="24"/>
        </w:rPr>
        <w:t xml:space="preserve">Por consiguiente, </w:t>
      </w:r>
      <w:r w:rsidRPr="006E6FF9">
        <w:rPr>
          <w:color w:val="000000" w:themeColor="text1"/>
          <w:sz w:val="24"/>
          <w:szCs w:val="24"/>
        </w:rPr>
        <w:t xml:space="preserve">la Sala declarará la improcedencia </w:t>
      </w:r>
      <w:r w:rsidR="004E09CD" w:rsidRPr="006E6FF9">
        <w:rPr>
          <w:color w:val="000000" w:themeColor="text1"/>
          <w:sz w:val="24"/>
          <w:szCs w:val="24"/>
        </w:rPr>
        <w:t>de la</w:t>
      </w:r>
      <w:r w:rsidRPr="006E6FF9">
        <w:rPr>
          <w:color w:val="000000" w:themeColor="text1"/>
          <w:sz w:val="24"/>
          <w:szCs w:val="24"/>
        </w:rPr>
        <w:t xml:space="preserve"> solicitud de amparo</w:t>
      </w:r>
      <w:r w:rsidR="006E6FF9" w:rsidRPr="006E6FF9">
        <w:rPr>
          <w:color w:val="000000" w:themeColor="text1"/>
          <w:sz w:val="24"/>
          <w:szCs w:val="24"/>
        </w:rPr>
        <w:t>,</w:t>
      </w:r>
      <w:r w:rsidRPr="006E6FF9">
        <w:rPr>
          <w:color w:val="000000" w:themeColor="text1"/>
          <w:sz w:val="24"/>
          <w:szCs w:val="24"/>
        </w:rPr>
        <w:t xml:space="preserve"> en atención a que no superó el </w:t>
      </w:r>
      <w:r w:rsidR="004E09CD" w:rsidRPr="006E6FF9">
        <w:rPr>
          <w:color w:val="000000" w:themeColor="text1"/>
          <w:sz w:val="24"/>
          <w:szCs w:val="24"/>
        </w:rPr>
        <w:t xml:space="preserve">lleno de los requisitos generales exigidos para </w:t>
      </w:r>
      <w:r w:rsidR="006E6FF9" w:rsidRPr="006E6FF9">
        <w:rPr>
          <w:color w:val="000000" w:themeColor="text1"/>
          <w:sz w:val="24"/>
          <w:szCs w:val="24"/>
        </w:rPr>
        <w:t xml:space="preserve">que </w:t>
      </w:r>
      <w:r w:rsidR="006E6FF9" w:rsidRPr="006E6FF9">
        <w:rPr>
          <w:rFonts w:eastAsia="Arial"/>
          <w:color w:val="000000" w:themeColor="text1"/>
          <w:sz w:val="24"/>
          <w:szCs w:val="24"/>
          <w:lang w:val="es-MX"/>
        </w:rPr>
        <w:t xml:space="preserve">proceda el pronunciamiento de fondo sobre la problemática jurídica que el actor plantea </w:t>
      </w:r>
      <w:r w:rsidR="006E6FF9" w:rsidRPr="006E6FF9">
        <w:rPr>
          <w:color w:val="000000" w:themeColor="text1"/>
          <w:sz w:val="24"/>
          <w:szCs w:val="24"/>
        </w:rPr>
        <w:t>en esta</w:t>
      </w:r>
      <w:r w:rsidR="004E09CD" w:rsidRPr="006E6FF9">
        <w:rPr>
          <w:rFonts w:eastAsia="Arial"/>
          <w:color w:val="000000" w:themeColor="text1"/>
          <w:sz w:val="24"/>
          <w:szCs w:val="24"/>
          <w:lang w:val="es-MX"/>
        </w:rPr>
        <w:t xml:space="preserve"> acción </w:t>
      </w:r>
      <w:r w:rsidR="006E6FF9" w:rsidRPr="006E6FF9">
        <w:rPr>
          <w:rFonts w:eastAsia="Arial"/>
          <w:color w:val="000000" w:themeColor="text1"/>
          <w:sz w:val="24"/>
          <w:szCs w:val="24"/>
          <w:lang w:val="es-MX"/>
        </w:rPr>
        <w:t>constitucional</w:t>
      </w:r>
      <w:r w:rsidR="009B2C38" w:rsidRPr="006E6FF9">
        <w:rPr>
          <w:color w:val="000000" w:themeColor="text1"/>
          <w:sz w:val="24"/>
          <w:szCs w:val="24"/>
        </w:rPr>
        <w:t>.</w:t>
      </w:r>
    </w:p>
    <w:p w14:paraId="422F66A5" w14:textId="77777777" w:rsidR="00455A82" w:rsidRPr="006E6FF9" w:rsidRDefault="00455A82" w:rsidP="00F5606B">
      <w:pPr>
        <w:spacing w:line="276" w:lineRule="auto"/>
        <w:rPr>
          <w:color w:val="000000" w:themeColor="text1"/>
          <w:sz w:val="24"/>
          <w:szCs w:val="24"/>
          <w:lang w:eastAsia="ja-JP"/>
        </w:rPr>
      </w:pPr>
    </w:p>
    <w:p w14:paraId="7CADC4CD" w14:textId="560A5A28" w:rsidR="005702A7" w:rsidRPr="006E6FF9" w:rsidRDefault="00012249" w:rsidP="00CE0F19">
      <w:pPr>
        <w:spacing w:line="276" w:lineRule="auto"/>
        <w:rPr>
          <w:color w:val="000000" w:themeColor="text1"/>
          <w:sz w:val="24"/>
          <w:szCs w:val="24"/>
          <w:lang w:eastAsia="es-CO"/>
        </w:rPr>
      </w:pPr>
      <w:r w:rsidRPr="006E6FF9">
        <w:rPr>
          <w:color w:val="000000" w:themeColor="text1"/>
          <w:sz w:val="24"/>
          <w:szCs w:val="24"/>
          <w:lang w:eastAsia="es-CO"/>
        </w:rPr>
        <w:t>En mérito de lo expuesto, el Consejo de Estado en Sala de lo Contencioso Administrativo, Sección Tercera, Subsección C administrando justicia en nombre de la República y por autoridad de la ley,</w:t>
      </w:r>
    </w:p>
    <w:p w14:paraId="62058B50" w14:textId="77777777" w:rsidR="005702A7" w:rsidRPr="006E6FF9" w:rsidRDefault="005702A7" w:rsidP="00F5606B">
      <w:pPr>
        <w:tabs>
          <w:tab w:val="left" w:pos="5169"/>
        </w:tabs>
        <w:spacing w:line="276" w:lineRule="auto"/>
        <w:rPr>
          <w:rFonts w:eastAsia="Verdana"/>
          <w:color w:val="000000" w:themeColor="text1"/>
          <w:sz w:val="24"/>
          <w:szCs w:val="24"/>
        </w:rPr>
      </w:pPr>
    </w:p>
    <w:p w14:paraId="7AC504C2" w14:textId="77777777" w:rsidR="00012249" w:rsidRPr="006E6FF9" w:rsidRDefault="00012249" w:rsidP="00F5606B">
      <w:pPr>
        <w:tabs>
          <w:tab w:val="left" w:pos="851"/>
        </w:tabs>
        <w:spacing w:line="276" w:lineRule="auto"/>
        <w:jc w:val="center"/>
        <w:rPr>
          <w:rFonts w:eastAsia="Verdana"/>
          <w:color w:val="000000" w:themeColor="text1"/>
          <w:sz w:val="24"/>
          <w:szCs w:val="24"/>
        </w:rPr>
      </w:pPr>
      <w:r w:rsidRPr="006E6FF9">
        <w:rPr>
          <w:rFonts w:eastAsia="Verdana"/>
          <w:b/>
          <w:color w:val="000000" w:themeColor="text1"/>
          <w:sz w:val="24"/>
          <w:szCs w:val="24"/>
        </w:rPr>
        <w:t>FALLA</w:t>
      </w:r>
    </w:p>
    <w:p w14:paraId="54ECE7BC" w14:textId="77777777" w:rsidR="002D1F32" w:rsidRPr="006E6FF9" w:rsidRDefault="002D1F32" w:rsidP="00F5606B">
      <w:pPr>
        <w:tabs>
          <w:tab w:val="left" w:pos="709"/>
          <w:tab w:val="left" w:pos="9000"/>
        </w:tabs>
        <w:spacing w:line="276" w:lineRule="auto"/>
        <w:outlineLvl w:val="6"/>
        <w:rPr>
          <w:color w:val="000000" w:themeColor="text1"/>
          <w:sz w:val="24"/>
          <w:szCs w:val="24"/>
        </w:rPr>
      </w:pPr>
    </w:p>
    <w:p w14:paraId="0ACE4969" w14:textId="7B1BC013" w:rsidR="00012249" w:rsidRPr="006E6FF9" w:rsidRDefault="00CE0F19" w:rsidP="00F5606B">
      <w:pPr>
        <w:tabs>
          <w:tab w:val="left" w:pos="851"/>
        </w:tabs>
        <w:spacing w:line="276" w:lineRule="auto"/>
        <w:rPr>
          <w:rFonts w:eastAsia="Verdana"/>
          <w:color w:val="000000" w:themeColor="text1"/>
          <w:sz w:val="24"/>
          <w:szCs w:val="24"/>
        </w:rPr>
      </w:pPr>
      <w:r w:rsidRPr="006E6FF9">
        <w:rPr>
          <w:rFonts w:eastAsia="Verdana"/>
          <w:b/>
          <w:color w:val="000000" w:themeColor="text1"/>
          <w:sz w:val="24"/>
          <w:szCs w:val="24"/>
        </w:rPr>
        <w:t>PRIMERO.</w:t>
      </w:r>
      <w:r w:rsidR="00012249" w:rsidRPr="006E6FF9">
        <w:rPr>
          <w:rFonts w:eastAsia="Verdana"/>
          <w:b/>
          <w:color w:val="000000" w:themeColor="text1"/>
          <w:sz w:val="24"/>
          <w:szCs w:val="24"/>
        </w:rPr>
        <w:t xml:space="preserve"> DECLARAR IMPROCEDENTE </w:t>
      </w:r>
      <w:r w:rsidR="00012249" w:rsidRPr="006E6FF9">
        <w:rPr>
          <w:rFonts w:eastAsia="Verdana"/>
          <w:color w:val="000000" w:themeColor="text1"/>
          <w:sz w:val="24"/>
          <w:szCs w:val="24"/>
        </w:rPr>
        <w:t xml:space="preserve">la acción de tutela </w:t>
      </w:r>
      <w:r w:rsidR="00012249" w:rsidRPr="006E6FF9">
        <w:rPr>
          <w:color w:val="000000" w:themeColor="text1"/>
          <w:sz w:val="24"/>
          <w:szCs w:val="24"/>
          <w:lang w:val="es-ES_tradnl" w:eastAsia="es-ES"/>
        </w:rPr>
        <w:t>interpuesta por</w:t>
      </w:r>
      <w:r w:rsidR="00455A82" w:rsidRPr="006E6FF9">
        <w:rPr>
          <w:color w:val="000000" w:themeColor="text1"/>
          <w:sz w:val="24"/>
          <w:szCs w:val="24"/>
          <w:lang w:val="es-ES_tradnl" w:eastAsia="es-ES"/>
        </w:rPr>
        <w:t xml:space="preserve"> </w:t>
      </w:r>
      <w:r w:rsidRPr="006E6FF9">
        <w:rPr>
          <w:color w:val="000000" w:themeColor="text1"/>
          <w:sz w:val="24"/>
          <w:szCs w:val="24"/>
        </w:rPr>
        <w:t>Víctor Rafael Díaz Arroyo</w:t>
      </w:r>
      <w:r w:rsidR="007A47BB" w:rsidRPr="006E6FF9">
        <w:rPr>
          <w:color w:val="000000" w:themeColor="text1"/>
          <w:sz w:val="24"/>
          <w:szCs w:val="24"/>
          <w:lang w:val="es-ES_tradnl" w:eastAsia="es-ES"/>
        </w:rPr>
        <w:t xml:space="preserve"> en contra </w:t>
      </w:r>
      <w:r w:rsidR="002D1219" w:rsidRPr="006E6FF9">
        <w:rPr>
          <w:color w:val="000000" w:themeColor="text1"/>
          <w:sz w:val="24"/>
          <w:szCs w:val="24"/>
          <w:lang w:val="es-ES_tradnl" w:eastAsia="es-ES"/>
        </w:rPr>
        <w:t>del</w:t>
      </w:r>
      <w:r w:rsidRPr="006E6FF9">
        <w:rPr>
          <w:color w:val="000000" w:themeColor="text1"/>
          <w:sz w:val="24"/>
          <w:szCs w:val="24"/>
          <w:lang w:val="es-ES_tradnl" w:eastAsia="es-ES"/>
        </w:rPr>
        <w:t xml:space="preserve"> Tribunal Administrativo del Atlántico</w:t>
      </w:r>
      <w:r w:rsidR="006F52FC" w:rsidRPr="006E6FF9">
        <w:rPr>
          <w:color w:val="000000" w:themeColor="text1"/>
          <w:sz w:val="24"/>
          <w:szCs w:val="24"/>
          <w:lang w:val="es-ES_tradnl" w:eastAsia="es-ES"/>
        </w:rPr>
        <w:t xml:space="preserve">, por las razones expuestas en </w:t>
      </w:r>
      <w:r w:rsidR="006E6FF9" w:rsidRPr="006E6FF9">
        <w:rPr>
          <w:color w:val="000000" w:themeColor="text1"/>
          <w:sz w:val="24"/>
          <w:szCs w:val="24"/>
          <w:lang w:val="es-ES_tradnl" w:eastAsia="es-ES"/>
        </w:rPr>
        <w:t xml:space="preserve">la parte motiva de </w:t>
      </w:r>
      <w:r w:rsidR="006F52FC" w:rsidRPr="006E6FF9">
        <w:rPr>
          <w:color w:val="000000" w:themeColor="text1"/>
          <w:sz w:val="24"/>
          <w:szCs w:val="24"/>
          <w:lang w:val="es-ES_tradnl" w:eastAsia="es-ES"/>
        </w:rPr>
        <w:t>esta providencia</w:t>
      </w:r>
      <w:r w:rsidR="00012249" w:rsidRPr="006E6FF9">
        <w:rPr>
          <w:color w:val="000000" w:themeColor="text1"/>
          <w:sz w:val="24"/>
          <w:szCs w:val="24"/>
          <w:lang w:val="es-ES_tradnl" w:eastAsia="es-ES"/>
        </w:rPr>
        <w:t>.</w:t>
      </w:r>
    </w:p>
    <w:p w14:paraId="26E2F239" w14:textId="77777777" w:rsidR="00012249" w:rsidRPr="006E6FF9" w:rsidRDefault="00012249" w:rsidP="00F5606B">
      <w:pPr>
        <w:tabs>
          <w:tab w:val="left" w:pos="851"/>
        </w:tabs>
        <w:spacing w:line="276" w:lineRule="auto"/>
        <w:rPr>
          <w:rFonts w:eastAsia="Verdana"/>
          <w:color w:val="000000" w:themeColor="text1"/>
          <w:sz w:val="24"/>
          <w:szCs w:val="24"/>
        </w:rPr>
      </w:pPr>
    </w:p>
    <w:p w14:paraId="3C4E0344" w14:textId="7511D1A9" w:rsidR="00CE0F19" w:rsidRPr="006E6FF9" w:rsidRDefault="00CE0F19" w:rsidP="00CE0F19">
      <w:pPr>
        <w:tabs>
          <w:tab w:val="left" w:pos="851"/>
        </w:tabs>
        <w:spacing w:line="276" w:lineRule="auto"/>
        <w:contextualSpacing/>
        <w:rPr>
          <w:rFonts w:eastAsia="Verdana"/>
          <w:color w:val="000000" w:themeColor="text1"/>
          <w:sz w:val="24"/>
          <w:szCs w:val="24"/>
          <w:lang w:val="es-ES_tradnl"/>
        </w:rPr>
      </w:pPr>
      <w:r w:rsidRPr="006E6FF9">
        <w:rPr>
          <w:rFonts w:eastAsia="Verdana"/>
          <w:b/>
          <w:color w:val="000000" w:themeColor="text1"/>
          <w:sz w:val="24"/>
          <w:szCs w:val="24"/>
          <w:lang w:val="es-ES_tradnl"/>
        </w:rPr>
        <w:t xml:space="preserve">SEGUNDO. NOTIFICAR </w:t>
      </w:r>
      <w:r w:rsidRPr="006E6FF9">
        <w:rPr>
          <w:rFonts w:eastAsia="Verdana"/>
          <w:color w:val="000000" w:themeColor="text1"/>
          <w:sz w:val="24"/>
          <w:szCs w:val="24"/>
          <w:lang w:val="es-ES_tradnl"/>
        </w:rPr>
        <w:t>la presente decisión a las partes y a los interesados por el medio más expedito.</w:t>
      </w:r>
    </w:p>
    <w:p w14:paraId="17E02AB0" w14:textId="77777777" w:rsidR="00CE0F19" w:rsidRPr="006E6FF9" w:rsidRDefault="00CE0F19" w:rsidP="00CE0F19">
      <w:pPr>
        <w:spacing w:line="276" w:lineRule="auto"/>
        <w:contextualSpacing/>
        <w:rPr>
          <w:rFonts w:eastAsia="Verdana"/>
          <w:color w:val="000000" w:themeColor="text1"/>
          <w:sz w:val="24"/>
          <w:szCs w:val="24"/>
          <w:lang w:val="es-ES_tradnl"/>
        </w:rPr>
      </w:pPr>
    </w:p>
    <w:p w14:paraId="0DD25365" w14:textId="47A53B6D" w:rsidR="00CE0F19" w:rsidRPr="006E6FF9" w:rsidRDefault="00CE0F19" w:rsidP="00CE0F19">
      <w:pPr>
        <w:tabs>
          <w:tab w:val="left" w:pos="0"/>
        </w:tabs>
        <w:spacing w:line="276" w:lineRule="auto"/>
        <w:contextualSpacing/>
        <w:rPr>
          <w:rFonts w:eastAsia="Verdana"/>
          <w:color w:val="000000" w:themeColor="text1"/>
          <w:sz w:val="24"/>
          <w:szCs w:val="24"/>
          <w:lang w:val="es-ES_tradnl"/>
        </w:rPr>
      </w:pPr>
      <w:r w:rsidRPr="006E6FF9">
        <w:rPr>
          <w:rFonts w:eastAsia="Times New Roman"/>
          <w:b/>
          <w:color w:val="000000" w:themeColor="text1"/>
          <w:sz w:val="24"/>
          <w:szCs w:val="24"/>
          <w:lang w:val="es-ES_tradnl"/>
        </w:rPr>
        <w:t>TERCERO</w:t>
      </w:r>
      <w:r w:rsidRPr="006E6FF9">
        <w:rPr>
          <w:rFonts w:eastAsia="Verdana"/>
          <w:b/>
          <w:color w:val="000000" w:themeColor="text1"/>
          <w:sz w:val="24"/>
          <w:szCs w:val="24"/>
          <w:lang w:val="es-ES_tradnl"/>
        </w:rPr>
        <w:t xml:space="preserve">. ENVIAR </w:t>
      </w:r>
      <w:r w:rsidRPr="006E6FF9">
        <w:rPr>
          <w:rFonts w:eastAsia="Verdana"/>
          <w:color w:val="000000" w:themeColor="text1"/>
          <w:sz w:val="24"/>
          <w:szCs w:val="24"/>
          <w:lang w:val="es-ES_tradnl"/>
        </w:rPr>
        <w:t>la presente providencia a la Corte Constitucional para su eventual revisión,</w:t>
      </w:r>
      <w:r w:rsidRPr="006E6FF9">
        <w:rPr>
          <w:rFonts w:eastAsia="Verdana"/>
          <w:b/>
          <w:color w:val="000000" w:themeColor="text1"/>
          <w:sz w:val="24"/>
          <w:szCs w:val="24"/>
          <w:lang w:val="es-ES_tradnl"/>
        </w:rPr>
        <w:t xml:space="preserve"> </w:t>
      </w:r>
      <w:r w:rsidRPr="006E6FF9">
        <w:rPr>
          <w:rFonts w:eastAsia="Verdana"/>
          <w:color w:val="000000" w:themeColor="text1"/>
          <w:sz w:val="24"/>
          <w:szCs w:val="24"/>
          <w:lang w:val="es-ES_tradnl"/>
        </w:rPr>
        <w:t xml:space="preserve">en el caso de no ser impugnada. </w:t>
      </w:r>
    </w:p>
    <w:p w14:paraId="2751F192" w14:textId="77777777" w:rsidR="00012249" w:rsidRPr="006E6FF9" w:rsidRDefault="00012249" w:rsidP="00F5606B">
      <w:pPr>
        <w:tabs>
          <w:tab w:val="left" w:pos="709"/>
          <w:tab w:val="left" w:pos="9000"/>
        </w:tabs>
        <w:spacing w:line="276" w:lineRule="auto"/>
        <w:outlineLvl w:val="6"/>
        <w:rPr>
          <w:rFonts w:eastAsia="Verdana"/>
          <w:color w:val="000000" w:themeColor="text1"/>
          <w:sz w:val="24"/>
          <w:szCs w:val="24"/>
          <w:lang w:val="es-ES_tradnl"/>
        </w:rPr>
      </w:pPr>
    </w:p>
    <w:p w14:paraId="7C52C450" w14:textId="520D5EFC" w:rsidR="00904A3A" w:rsidRPr="006E6FF9" w:rsidRDefault="00012249" w:rsidP="008471AD">
      <w:pPr>
        <w:tabs>
          <w:tab w:val="left" w:pos="709"/>
          <w:tab w:val="left" w:pos="9000"/>
        </w:tabs>
        <w:spacing w:line="276" w:lineRule="auto"/>
        <w:outlineLvl w:val="6"/>
        <w:rPr>
          <w:rFonts w:eastAsia="Verdana"/>
          <w:b/>
          <w:color w:val="000000" w:themeColor="text1"/>
          <w:sz w:val="24"/>
          <w:szCs w:val="24"/>
        </w:rPr>
      </w:pPr>
      <w:r w:rsidRPr="006E6FF9">
        <w:rPr>
          <w:rFonts w:eastAsia="Verdana"/>
          <w:b/>
          <w:color w:val="000000" w:themeColor="text1"/>
          <w:sz w:val="24"/>
          <w:szCs w:val="24"/>
        </w:rPr>
        <w:t>Notifíquese y cúmplase</w:t>
      </w:r>
    </w:p>
    <w:p w14:paraId="5EE3F3B2" w14:textId="77777777" w:rsidR="00904A3A" w:rsidRPr="006E6FF9" w:rsidRDefault="00904A3A" w:rsidP="00F5606B">
      <w:pPr>
        <w:tabs>
          <w:tab w:val="left" w:pos="709"/>
          <w:tab w:val="left" w:pos="9000"/>
        </w:tabs>
        <w:spacing w:line="276" w:lineRule="auto"/>
        <w:jc w:val="center"/>
        <w:outlineLvl w:val="6"/>
        <w:rPr>
          <w:rFonts w:eastAsia="Verdana"/>
          <w:b/>
          <w:color w:val="000000" w:themeColor="text1"/>
          <w:sz w:val="24"/>
          <w:szCs w:val="24"/>
        </w:rPr>
      </w:pPr>
    </w:p>
    <w:p w14:paraId="345EC6FA" w14:textId="77777777" w:rsidR="00012249" w:rsidRPr="006E6FF9" w:rsidRDefault="00012249" w:rsidP="00F5606B">
      <w:pPr>
        <w:pStyle w:val="Textodecuerpo31"/>
        <w:widowControl w:val="0"/>
        <w:tabs>
          <w:tab w:val="left" w:pos="708"/>
        </w:tabs>
        <w:spacing w:line="276" w:lineRule="auto"/>
        <w:ind w:right="51"/>
        <w:jc w:val="center"/>
        <w:rPr>
          <w:rFonts w:cs="Arial"/>
          <w:b/>
          <w:color w:val="000000" w:themeColor="text1"/>
          <w:szCs w:val="24"/>
        </w:rPr>
      </w:pPr>
      <w:r w:rsidRPr="006E6FF9">
        <w:rPr>
          <w:rFonts w:cs="Arial"/>
          <w:b/>
          <w:color w:val="000000" w:themeColor="text1"/>
          <w:szCs w:val="24"/>
        </w:rPr>
        <w:t>GUILLERMO SÁNCHEZ LUQUE</w:t>
      </w:r>
    </w:p>
    <w:p w14:paraId="458F349A" w14:textId="179AEDF4" w:rsidR="008A0F13" w:rsidRDefault="00012249" w:rsidP="00F5606B">
      <w:pPr>
        <w:pStyle w:val="Textodecuerpo31"/>
        <w:widowControl w:val="0"/>
        <w:tabs>
          <w:tab w:val="left" w:pos="708"/>
        </w:tabs>
        <w:spacing w:line="276" w:lineRule="auto"/>
        <w:ind w:right="51"/>
        <w:jc w:val="center"/>
        <w:rPr>
          <w:rFonts w:cs="Arial"/>
          <w:b/>
          <w:color w:val="000000" w:themeColor="text1"/>
          <w:szCs w:val="24"/>
        </w:rPr>
      </w:pPr>
      <w:r w:rsidRPr="006E6FF9">
        <w:rPr>
          <w:rFonts w:cs="Arial"/>
          <w:b/>
          <w:color w:val="000000" w:themeColor="text1"/>
          <w:szCs w:val="24"/>
        </w:rPr>
        <w:t>Presidente de Sala</w:t>
      </w:r>
    </w:p>
    <w:p w14:paraId="3B72C8A1" w14:textId="1B2C2C79" w:rsidR="00F268F6" w:rsidRPr="006E6FF9" w:rsidRDefault="00F268F6" w:rsidP="00F5606B">
      <w:pPr>
        <w:pStyle w:val="Textodecuerpo31"/>
        <w:widowControl w:val="0"/>
        <w:tabs>
          <w:tab w:val="left" w:pos="708"/>
        </w:tabs>
        <w:spacing w:line="276" w:lineRule="auto"/>
        <w:ind w:right="51"/>
        <w:jc w:val="center"/>
        <w:rPr>
          <w:rFonts w:cs="Arial"/>
          <w:b/>
          <w:color w:val="000000" w:themeColor="text1"/>
          <w:szCs w:val="24"/>
        </w:rPr>
      </w:pPr>
      <w:r w:rsidRPr="00EC7CF8">
        <w:rPr>
          <w:rFonts w:eastAsia="BatangChe" w:cs="Arial"/>
          <w:b/>
          <w:szCs w:val="24"/>
        </w:rPr>
        <w:t>Aclaración de voto Cfr.</w:t>
      </w:r>
      <w:r>
        <w:rPr>
          <w:rFonts w:eastAsia="BatangChe" w:cs="Arial"/>
          <w:b/>
          <w:szCs w:val="24"/>
        </w:rPr>
        <w:t xml:space="preserve"> </w:t>
      </w:r>
      <w:r w:rsidRPr="00EC7CF8">
        <w:rPr>
          <w:rFonts w:eastAsia="BatangChe" w:cs="Arial"/>
          <w:b/>
          <w:szCs w:val="24"/>
        </w:rPr>
        <w:t>Rad.</w:t>
      </w:r>
      <w:r w:rsidRPr="007E5CAA">
        <w:t xml:space="preserve"> </w:t>
      </w:r>
      <w:r w:rsidRPr="007E5CAA">
        <w:rPr>
          <w:rFonts w:eastAsia="BatangChe" w:cs="Arial"/>
          <w:b/>
          <w:szCs w:val="24"/>
        </w:rPr>
        <w:t>11001-03-15-000-2019-00022-00</w:t>
      </w:r>
    </w:p>
    <w:p w14:paraId="6940941D" w14:textId="77777777" w:rsidR="00EA44B2" w:rsidRDefault="00EA44B2" w:rsidP="00F5606B">
      <w:pPr>
        <w:pStyle w:val="Textodecuerpo31"/>
        <w:widowControl w:val="0"/>
        <w:tabs>
          <w:tab w:val="left" w:pos="708"/>
        </w:tabs>
        <w:spacing w:line="276" w:lineRule="auto"/>
        <w:ind w:right="51"/>
        <w:jc w:val="center"/>
        <w:rPr>
          <w:rFonts w:cs="Arial"/>
          <w:b/>
          <w:color w:val="000000" w:themeColor="text1"/>
          <w:szCs w:val="24"/>
        </w:rPr>
      </w:pPr>
    </w:p>
    <w:p w14:paraId="225AFA54" w14:textId="77777777" w:rsidR="006E6FF9" w:rsidRPr="006E6FF9" w:rsidRDefault="006E6FF9" w:rsidP="006E6FF9">
      <w:pPr>
        <w:pStyle w:val="Textodecuerpo31"/>
        <w:widowControl w:val="0"/>
        <w:tabs>
          <w:tab w:val="left" w:pos="708"/>
        </w:tabs>
        <w:spacing w:line="276" w:lineRule="auto"/>
        <w:ind w:right="51"/>
        <w:rPr>
          <w:rFonts w:cs="Arial"/>
          <w:b/>
          <w:color w:val="000000" w:themeColor="text1"/>
          <w:szCs w:val="24"/>
        </w:rPr>
      </w:pPr>
      <w:bookmarkStart w:id="2" w:name="_GoBack"/>
      <w:bookmarkEnd w:id="2"/>
    </w:p>
    <w:tbl>
      <w:tblPr>
        <w:tblStyle w:val="Tablaconcuadrcula"/>
        <w:tblW w:w="0" w:type="auto"/>
        <w:tblInd w:w="-2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41"/>
        <w:gridCol w:w="4557"/>
      </w:tblGrid>
      <w:tr w:rsidR="006E6FF9" w14:paraId="3216D41D" w14:textId="77777777" w:rsidTr="006E6FF9">
        <w:tc>
          <w:tcPr>
            <w:tcW w:w="4841" w:type="dxa"/>
          </w:tcPr>
          <w:p w14:paraId="73BEC431" w14:textId="77777777" w:rsidR="006E6FF9" w:rsidRPr="006E6FF9" w:rsidRDefault="006E6FF9" w:rsidP="006E6FF9">
            <w:pPr>
              <w:pStyle w:val="Textodecuerpo31"/>
              <w:widowControl w:val="0"/>
              <w:tabs>
                <w:tab w:val="left" w:pos="708"/>
              </w:tabs>
              <w:spacing w:line="276" w:lineRule="auto"/>
              <w:ind w:right="51"/>
              <w:jc w:val="center"/>
              <w:rPr>
                <w:rFonts w:cs="Arial"/>
                <w:b/>
                <w:color w:val="000000" w:themeColor="text1"/>
                <w:szCs w:val="24"/>
              </w:rPr>
            </w:pPr>
            <w:r w:rsidRPr="006E6FF9">
              <w:rPr>
                <w:rFonts w:cs="Arial"/>
                <w:b/>
                <w:color w:val="000000" w:themeColor="text1"/>
                <w:szCs w:val="24"/>
              </w:rPr>
              <w:t>JAIME ENRIQUE RODRÍGUEZ NAVAS</w:t>
            </w:r>
          </w:p>
          <w:p w14:paraId="39315148" w14:textId="08B2E525" w:rsidR="006E6FF9" w:rsidRDefault="006E6FF9" w:rsidP="00F268F6">
            <w:pPr>
              <w:pStyle w:val="Textodecuerpo31"/>
              <w:widowControl w:val="0"/>
              <w:tabs>
                <w:tab w:val="left" w:pos="708"/>
              </w:tabs>
              <w:spacing w:line="276" w:lineRule="auto"/>
              <w:ind w:right="51"/>
              <w:jc w:val="center"/>
              <w:rPr>
                <w:rFonts w:cs="Arial"/>
                <w:b/>
                <w:color w:val="000000" w:themeColor="text1"/>
                <w:szCs w:val="24"/>
              </w:rPr>
            </w:pPr>
            <w:r w:rsidRPr="006E6FF9">
              <w:rPr>
                <w:rFonts w:cs="Arial"/>
                <w:b/>
                <w:color w:val="000000" w:themeColor="text1"/>
                <w:szCs w:val="24"/>
              </w:rPr>
              <w:t>Magistrado</w:t>
            </w:r>
          </w:p>
        </w:tc>
        <w:tc>
          <w:tcPr>
            <w:tcW w:w="4557" w:type="dxa"/>
          </w:tcPr>
          <w:p w14:paraId="07E8694D" w14:textId="77777777" w:rsidR="006E6FF9" w:rsidRPr="006E6FF9" w:rsidRDefault="006E6FF9" w:rsidP="006E6FF9">
            <w:pPr>
              <w:pStyle w:val="Textodecuerpo31"/>
              <w:widowControl w:val="0"/>
              <w:tabs>
                <w:tab w:val="left" w:pos="708"/>
              </w:tabs>
              <w:spacing w:line="276" w:lineRule="auto"/>
              <w:ind w:right="51"/>
              <w:jc w:val="center"/>
              <w:rPr>
                <w:rFonts w:cs="Arial"/>
                <w:b/>
                <w:color w:val="000000" w:themeColor="text1"/>
                <w:szCs w:val="24"/>
              </w:rPr>
            </w:pPr>
            <w:r w:rsidRPr="006E6FF9">
              <w:rPr>
                <w:rFonts w:cs="Arial"/>
                <w:b/>
                <w:color w:val="000000" w:themeColor="text1"/>
                <w:szCs w:val="24"/>
              </w:rPr>
              <w:t>NICOLÁS YEPES CORRALES</w:t>
            </w:r>
          </w:p>
          <w:p w14:paraId="7A1C6930" w14:textId="77777777" w:rsidR="006E6FF9" w:rsidRPr="006E6FF9" w:rsidRDefault="006E6FF9" w:rsidP="006E6FF9">
            <w:pPr>
              <w:pStyle w:val="Textodecuerpo31"/>
              <w:widowControl w:val="0"/>
              <w:tabs>
                <w:tab w:val="left" w:pos="708"/>
              </w:tabs>
              <w:spacing w:line="276" w:lineRule="auto"/>
              <w:ind w:right="51"/>
              <w:jc w:val="center"/>
              <w:rPr>
                <w:rFonts w:cs="Arial"/>
                <w:b/>
                <w:color w:val="000000" w:themeColor="text1"/>
                <w:szCs w:val="24"/>
              </w:rPr>
            </w:pPr>
            <w:r w:rsidRPr="006E6FF9">
              <w:rPr>
                <w:rFonts w:cs="Arial"/>
                <w:b/>
                <w:color w:val="000000" w:themeColor="text1"/>
                <w:szCs w:val="24"/>
              </w:rPr>
              <w:t>Magistrado</w:t>
            </w:r>
          </w:p>
          <w:p w14:paraId="340800E3" w14:textId="77777777" w:rsidR="006E6FF9" w:rsidRDefault="006E6FF9" w:rsidP="006E6FF9">
            <w:pPr>
              <w:pStyle w:val="Textodecuerpo31"/>
              <w:widowControl w:val="0"/>
              <w:tabs>
                <w:tab w:val="left" w:pos="708"/>
              </w:tabs>
              <w:spacing w:line="276" w:lineRule="auto"/>
              <w:ind w:right="51"/>
              <w:rPr>
                <w:rFonts w:cs="Arial"/>
                <w:b/>
                <w:color w:val="000000" w:themeColor="text1"/>
                <w:szCs w:val="24"/>
              </w:rPr>
            </w:pPr>
          </w:p>
        </w:tc>
      </w:tr>
    </w:tbl>
    <w:p w14:paraId="7A4D623C" w14:textId="77777777" w:rsidR="00904A3A" w:rsidRPr="006E6FF9" w:rsidRDefault="00904A3A" w:rsidP="006E6FF9">
      <w:pPr>
        <w:pStyle w:val="Textodecuerpo31"/>
        <w:widowControl w:val="0"/>
        <w:tabs>
          <w:tab w:val="left" w:pos="708"/>
        </w:tabs>
        <w:spacing w:line="276" w:lineRule="auto"/>
        <w:ind w:right="51"/>
        <w:rPr>
          <w:rFonts w:cs="Arial"/>
          <w:b/>
          <w:color w:val="000000" w:themeColor="text1"/>
          <w:szCs w:val="24"/>
        </w:rPr>
      </w:pPr>
    </w:p>
    <w:sectPr w:rsidR="00904A3A" w:rsidRPr="006E6FF9"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6D176" w14:textId="77777777" w:rsidR="00753763" w:rsidRDefault="00753763" w:rsidP="00117091">
      <w:r>
        <w:separator/>
      </w:r>
    </w:p>
  </w:endnote>
  <w:endnote w:type="continuationSeparator" w:id="0">
    <w:p w14:paraId="6DF911FB" w14:textId="77777777" w:rsidR="00753763" w:rsidRDefault="00753763"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Segoe UI">
    <w:altName w:val="Calibri"/>
    <w:charset w:val="00"/>
    <w:family w:val="swiss"/>
    <w:pitch w:val="variable"/>
    <w:sig w:usb0="E4002EFF" w:usb1="C000E47F" w:usb2="00000009" w:usb3="00000000" w:csb0="000001F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Dotum">
    <w:panose1 w:val="020B0600000101010101"/>
    <w:charset w:val="81"/>
    <w:family w:val="auto"/>
    <w:pitch w:val="variable"/>
    <w:sig w:usb0="B00002AF" w:usb1="69D77CFB" w:usb2="00000030" w:usb3="00000000" w:csb0="0008009F" w:csb1="00000000"/>
  </w:font>
  <w:font w:name="BatangChe">
    <w:panose1 w:val="02030609000101010101"/>
    <w:charset w:val="81"/>
    <w:family w:val="auto"/>
    <w:pitch w:val="variable"/>
    <w:sig w:usb0="B00002AF" w:usb1="69D77CFB" w:usb2="00000030" w:usb3="00000000" w:csb0="0008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5"/>
      <w:gridCol w:w="468"/>
    </w:tblGrid>
    <w:tr w:rsidR="00C24C30" w14:paraId="4830A873" w14:textId="77777777" w:rsidTr="00B6429B">
      <w:trPr>
        <w:jc w:val="right"/>
      </w:trPr>
      <w:tc>
        <w:tcPr>
          <w:tcW w:w="4795" w:type="dxa"/>
          <w:vAlign w:val="center"/>
        </w:tcPr>
        <w:p w14:paraId="0C43E376" w14:textId="77777777" w:rsidR="00C24C30" w:rsidRDefault="00C24C30"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C24C30" w:rsidRPr="00A21194" w:rsidRDefault="00C24C30"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C24C30" w:rsidRPr="00B6429B" w:rsidRDefault="00C24C30" w:rsidP="00B6429B">
          <w:pPr>
            <w:pStyle w:val="Piedepgina"/>
            <w:jc w:val="center"/>
          </w:pPr>
          <w:r w:rsidRPr="00B6429B">
            <w:fldChar w:fldCharType="begin"/>
          </w:r>
          <w:r w:rsidRPr="00B6429B">
            <w:instrText>PAGE   \* MERGEFORMAT</w:instrText>
          </w:r>
          <w:r w:rsidRPr="00B6429B">
            <w:fldChar w:fldCharType="separate"/>
          </w:r>
          <w:r w:rsidR="00F268F6" w:rsidRPr="00F268F6">
            <w:rPr>
              <w:noProof/>
              <w:lang w:val="es-ES"/>
            </w:rPr>
            <w:t>2</w:t>
          </w:r>
          <w:r w:rsidRPr="00B6429B">
            <w:fldChar w:fldCharType="end"/>
          </w:r>
        </w:p>
      </w:tc>
    </w:tr>
  </w:tbl>
  <w:p w14:paraId="17AD93B2" w14:textId="77777777" w:rsidR="00C24C30" w:rsidRPr="008C0DBE" w:rsidRDefault="00C24C30" w:rsidP="00394A69">
    <w:pPr>
      <w:pStyle w:val="Piedepgina"/>
      <w:jc w:val="center"/>
      <w:rPr>
        <w:color w:val="767171"/>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5"/>
      <w:gridCol w:w="468"/>
    </w:tblGrid>
    <w:tr w:rsidR="00C24C30" w14:paraId="7BC39794" w14:textId="77777777" w:rsidTr="00B6429B">
      <w:trPr>
        <w:jc w:val="right"/>
      </w:trPr>
      <w:tc>
        <w:tcPr>
          <w:tcW w:w="4795" w:type="dxa"/>
          <w:vAlign w:val="center"/>
        </w:tcPr>
        <w:p w14:paraId="60E1FF49" w14:textId="77777777" w:rsidR="00C24C30" w:rsidRDefault="00C24C30"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C24C30" w:rsidRPr="00A21194" w:rsidRDefault="00C24C30"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C24C30" w:rsidRPr="00B6429B" w:rsidRDefault="00C24C30">
          <w:pPr>
            <w:pStyle w:val="Piedepgina"/>
            <w:jc w:val="center"/>
          </w:pPr>
          <w:r w:rsidRPr="00B6429B">
            <w:fldChar w:fldCharType="begin"/>
          </w:r>
          <w:r w:rsidRPr="00B6429B">
            <w:instrText>PAGE   \* MERGEFORMAT</w:instrText>
          </w:r>
          <w:r w:rsidRPr="00B6429B">
            <w:fldChar w:fldCharType="separate"/>
          </w:r>
          <w:r w:rsidR="00F268F6" w:rsidRPr="00F268F6">
            <w:rPr>
              <w:noProof/>
              <w:lang w:val="es-ES"/>
            </w:rPr>
            <w:t>1</w:t>
          </w:r>
          <w:r w:rsidRPr="00B6429B">
            <w:fldChar w:fldCharType="end"/>
          </w:r>
        </w:p>
      </w:tc>
    </w:tr>
  </w:tbl>
  <w:p w14:paraId="5630AD66" w14:textId="77777777" w:rsidR="00C24C30" w:rsidRDefault="00C24C3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5D878" w14:textId="77777777" w:rsidR="00753763" w:rsidRDefault="00753763" w:rsidP="00117091">
      <w:r>
        <w:separator/>
      </w:r>
    </w:p>
  </w:footnote>
  <w:footnote w:type="continuationSeparator" w:id="0">
    <w:p w14:paraId="343C84CB" w14:textId="77777777" w:rsidR="00753763" w:rsidRDefault="00753763" w:rsidP="00117091">
      <w:r>
        <w:continuationSeparator/>
      </w:r>
    </w:p>
  </w:footnote>
  <w:footnote w:id="1">
    <w:p w14:paraId="782FDD89" w14:textId="7DD4D64B"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Archivo electrónico identificado con el </w:t>
      </w:r>
      <w:r w:rsidRPr="00332453">
        <w:rPr>
          <w:sz w:val="16"/>
          <w:szCs w:val="16"/>
        </w:rPr>
        <w:t>certificado 1</w:t>
      </w:r>
      <w:r w:rsidRPr="006E6FF9">
        <w:rPr>
          <w:sz w:val="16"/>
          <w:szCs w:val="16"/>
        </w:rPr>
        <w:t>205E17920D7FB28 D79B9D1379A916FB BFB7973B2576F252 18096AE209347C5B en el expediente digital.</w:t>
      </w:r>
    </w:p>
  </w:footnote>
  <w:footnote w:id="2">
    <w:p w14:paraId="01710A7D" w14:textId="5FD2B65B" w:rsidR="00C24C30" w:rsidRPr="006E6FF9" w:rsidRDefault="00C24C30" w:rsidP="008471AD">
      <w:pPr>
        <w:pStyle w:val="Textonotapie"/>
        <w:rPr>
          <w:sz w:val="16"/>
          <w:szCs w:val="16"/>
          <w:lang w:val="es-ES"/>
        </w:rPr>
      </w:pPr>
      <w:r w:rsidRPr="006E6FF9">
        <w:rPr>
          <w:rStyle w:val="Refdenotaalpie"/>
          <w:sz w:val="16"/>
          <w:szCs w:val="16"/>
        </w:rPr>
        <w:footnoteRef/>
      </w:r>
      <w:r w:rsidRPr="006E6FF9">
        <w:rPr>
          <w:sz w:val="16"/>
          <w:szCs w:val="16"/>
        </w:rPr>
        <w:t xml:space="preserve"> </w:t>
      </w:r>
      <w:r w:rsidRPr="006E6FF9">
        <w:rPr>
          <w:sz w:val="16"/>
          <w:szCs w:val="16"/>
        </w:rPr>
        <w:t xml:space="preserve">Información tomada de la sentencia proferida el </w:t>
      </w:r>
      <w:r w:rsidRPr="006E6FF9">
        <w:rPr>
          <w:sz w:val="16"/>
          <w:szCs w:val="16"/>
          <w:lang w:val="es-MX" w:eastAsia="ja-JP"/>
        </w:rPr>
        <w:t>15 de febrero de 2019</w:t>
      </w:r>
      <w:r w:rsidRPr="006E6FF9">
        <w:rPr>
          <w:sz w:val="16"/>
          <w:szCs w:val="16"/>
        </w:rPr>
        <w:t xml:space="preserve"> por el </w:t>
      </w:r>
      <w:r w:rsidRPr="006E6FF9">
        <w:rPr>
          <w:sz w:val="16"/>
          <w:szCs w:val="16"/>
          <w:lang w:val="es-MX" w:eastAsia="ja-JP"/>
        </w:rPr>
        <w:t>Juzgado Primero Administrativo del Circuito de Barranquilla</w:t>
      </w:r>
      <w:r w:rsidRPr="006E6FF9">
        <w:rPr>
          <w:sz w:val="16"/>
          <w:szCs w:val="16"/>
        </w:rPr>
        <w:t xml:space="preserve"> contenida en las páginas 5 a 36 del archivo electrónico identificado con el</w:t>
      </w:r>
      <w:r w:rsidRPr="006E6FF9">
        <w:rPr>
          <w:sz w:val="16"/>
          <w:szCs w:val="16"/>
          <w:lang w:val="es-ES"/>
        </w:rPr>
        <w:t xml:space="preserve"> certificado C32E365FD01A35A7 FF703C10E354195B F7DC49181834B2E8 A954BCC51069D5B1 en el expediente digital.</w:t>
      </w:r>
    </w:p>
  </w:footnote>
  <w:footnote w:id="3">
    <w:p w14:paraId="0368ADEC" w14:textId="30CB368F"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Páginas 5 a 36 del archivo electrónico identificado con el</w:t>
      </w:r>
      <w:r w:rsidRPr="006E6FF9">
        <w:rPr>
          <w:sz w:val="16"/>
          <w:szCs w:val="16"/>
          <w:lang w:val="es-ES"/>
        </w:rPr>
        <w:t xml:space="preserve"> certificado C32E365FD01A35A7 FF703C10E354195B F7DC49181834B2E8 A954BCC51069D5B1 en el expediente digital.</w:t>
      </w:r>
    </w:p>
  </w:footnote>
  <w:footnote w:id="4">
    <w:p w14:paraId="3427696C" w14:textId="69F4F97D"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Archivo electrónico identificado con el</w:t>
      </w:r>
      <w:r w:rsidRPr="006E6FF9">
        <w:rPr>
          <w:sz w:val="16"/>
          <w:szCs w:val="16"/>
          <w:lang w:val="es-ES"/>
        </w:rPr>
        <w:t xml:space="preserve"> certificado 81F5A33D7583FEF5 94EBB0FEC18B5994 5CE60FE9FCBF16D4 68226C40E233991A en el expediente digital.</w:t>
      </w:r>
    </w:p>
  </w:footnote>
  <w:footnote w:id="5">
    <w:p w14:paraId="5CD9E7F5" w14:textId="17A2CEEA"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Archivo electrónico identificado con el</w:t>
      </w:r>
      <w:r w:rsidRPr="006E6FF9">
        <w:rPr>
          <w:sz w:val="16"/>
          <w:szCs w:val="16"/>
          <w:lang w:val="es-ES"/>
        </w:rPr>
        <w:t xml:space="preserve"> certificado 754F5D64476100D7 F034A3CEBE8F4F14 27620FC91B06AB9B E44C45BC45741BB3 en el expediente digital.</w:t>
      </w:r>
    </w:p>
  </w:footnote>
  <w:footnote w:id="6">
    <w:p w14:paraId="756743FE" w14:textId="77777777" w:rsidR="00C24C30" w:rsidRPr="006E6FF9" w:rsidRDefault="00C24C30" w:rsidP="005C75F8">
      <w:pPr>
        <w:pStyle w:val="Textonotapie"/>
        <w:rPr>
          <w:sz w:val="16"/>
          <w:szCs w:val="16"/>
        </w:rPr>
      </w:pPr>
      <w:r w:rsidRPr="006E6FF9">
        <w:rPr>
          <w:rStyle w:val="Refdenotaalpie"/>
          <w:sz w:val="16"/>
          <w:szCs w:val="16"/>
        </w:rPr>
        <w:footnoteRef/>
      </w:r>
      <w:r w:rsidRPr="006E6FF9">
        <w:rPr>
          <w:sz w:val="16"/>
          <w:szCs w:val="16"/>
        </w:rPr>
        <w:t xml:space="preserve"> “Por el cual se fijan los sueldos básicos para el personal de Oficiales y Suboficiales de las Fuerzas Militares; Oficiales, Suboficiales y Agentes de la Policía Nacional; Personal del Nivel Ejecutivo de la Policía Nacional, y Empleados Públicos del Ministerio de Defensa, las Fuerzas Militares y la Policía Nacional; se establecen bonificaciones para Alféreces, Guardiamarinas, Pilotines, Grumetes y Soldados, se modifican las comisiones y se dictan otras disposiciones en materia salarial”.</w:t>
      </w:r>
    </w:p>
  </w:footnote>
  <w:footnote w:id="7">
    <w:p w14:paraId="22284B35" w14:textId="5FF82CC2"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El accionante citó las sentencias T–677 de 2007, C–1002 de 2007, C–337 de 2011, C–629 de 2011, T–942 de 2014, T–623 de 2016 y C–053 de 2018.</w:t>
      </w:r>
    </w:p>
  </w:footnote>
  <w:footnote w:id="8">
    <w:p w14:paraId="2C05E2D6" w14:textId="6730CB4A"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Archivo electrónico identificado con el</w:t>
      </w:r>
      <w:r w:rsidRPr="006E6FF9">
        <w:rPr>
          <w:sz w:val="16"/>
          <w:szCs w:val="16"/>
          <w:lang w:val="es-ES"/>
        </w:rPr>
        <w:t xml:space="preserve"> certificado 4CDBC532CFBA4128 7F4DC6BD4372345E 46027C8704912A21 F243AB069090D362 en el expediente digital.</w:t>
      </w:r>
    </w:p>
  </w:footnote>
  <w:footnote w:id="9">
    <w:p w14:paraId="31C2F64F" w14:textId="36136439"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Archivo electrónico identificado con el</w:t>
      </w:r>
      <w:r w:rsidRPr="006E6FF9">
        <w:rPr>
          <w:sz w:val="16"/>
          <w:szCs w:val="16"/>
          <w:lang w:val="es-ES"/>
        </w:rPr>
        <w:t xml:space="preserve"> certificado 30AEFF1BFEED32B5 2ACAE04EE85D0677 0CD170DDCFFB331E 43C22388F46518F0 en el expediente digital.</w:t>
      </w:r>
    </w:p>
  </w:footnote>
  <w:footnote w:id="10">
    <w:p w14:paraId="01EEF779" w14:textId="3261E456"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Página 8 ibídem.</w:t>
      </w:r>
    </w:p>
  </w:footnote>
  <w:footnote w:id="11">
    <w:p w14:paraId="32186D4C" w14:textId="1AF8D25C" w:rsidR="00C24C30" w:rsidRPr="006E6FF9" w:rsidRDefault="00C24C30">
      <w:pPr>
        <w:pStyle w:val="Textonotapie"/>
        <w:rPr>
          <w:sz w:val="16"/>
          <w:szCs w:val="16"/>
        </w:rPr>
      </w:pPr>
      <w:r w:rsidRPr="006E6FF9">
        <w:rPr>
          <w:rStyle w:val="Refdenotaalpie"/>
          <w:sz w:val="16"/>
          <w:szCs w:val="16"/>
        </w:rPr>
        <w:footnoteRef/>
      </w:r>
      <w:r w:rsidRPr="006E6FF9">
        <w:rPr>
          <w:sz w:val="16"/>
          <w:szCs w:val="16"/>
        </w:rPr>
        <w:t xml:space="preserve"> </w:t>
      </w:r>
      <w:r w:rsidR="00B579CB" w:rsidRPr="006E6FF9">
        <w:rPr>
          <w:sz w:val="16"/>
          <w:szCs w:val="16"/>
        </w:rPr>
        <w:t>Archivo electrónico identificado con el</w:t>
      </w:r>
      <w:r w:rsidR="00B579CB" w:rsidRPr="006E6FF9">
        <w:rPr>
          <w:sz w:val="16"/>
          <w:szCs w:val="16"/>
          <w:lang w:val="es-ES"/>
        </w:rPr>
        <w:t xml:space="preserve"> certificado 30126D8487F5304B CEDFFC6A07CD22AF 6A3BA16EB32CFB9A 9157D922C522E759 en el expediente digital.</w:t>
      </w:r>
    </w:p>
  </w:footnote>
  <w:footnote w:id="12">
    <w:p w14:paraId="50CC20C9" w14:textId="123D6CD3" w:rsidR="00B579CB" w:rsidRPr="006E6FF9" w:rsidRDefault="00B579CB">
      <w:pPr>
        <w:pStyle w:val="Textonotapie"/>
        <w:rPr>
          <w:sz w:val="16"/>
          <w:szCs w:val="16"/>
        </w:rPr>
      </w:pPr>
      <w:r w:rsidRPr="006E6FF9">
        <w:rPr>
          <w:rStyle w:val="Refdenotaalpie"/>
          <w:sz w:val="16"/>
          <w:szCs w:val="16"/>
        </w:rPr>
        <w:footnoteRef/>
      </w:r>
      <w:r w:rsidRPr="006E6FF9">
        <w:rPr>
          <w:sz w:val="16"/>
          <w:szCs w:val="16"/>
        </w:rPr>
        <w:t xml:space="preserve"> Página 1 del archivo electrónico identificado con el</w:t>
      </w:r>
      <w:r w:rsidRPr="006E6FF9">
        <w:rPr>
          <w:sz w:val="16"/>
          <w:szCs w:val="16"/>
          <w:lang w:val="es-ES"/>
        </w:rPr>
        <w:t xml:space="preserve"> certificado C32E365FD01A35A7 FF703C10E354195B F7DC49181834B2E8 A954BCC51069D5B1 en el expediente digital.</w:t>
      </w:r>
    </w:p>
  </w:footnote>
  <w:footnote w:id="13">
    <w:p w14:paraId="5174E950" w14:textId="77777777" w:rsidR="00C24C30" w:rsidRPr="006E6FF9" w:rsidRDefault="00C24C30" w:rsidP="008C29F3">
      <w:pPr>
        <w:pStyle w:val="Textonotapie"/>
        <w:rPr>
          <w:sz w:val="16"/>
          <w:szCs w:val="16"/>
        </w:rPr>
      </w:pPr>
      <w:r w:rsidRPr="006E6FF9">
        <w:rPr>
          <w:rStyle w:val="Refdenotaalpie"/>
          <w:sz w:val="16"/>
          <w:szCs w:val="16"/>
        </w:rPr>
        <w:footnoteRef/>
      </w:r>
      <w:r w:rsidRPr="006E6FF9">
        <w:rPr>
          <w:sz w:val="16"/>
          <w:szCs w:val="16"/>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4">
    <w:p w14:paraId="62FDF52A" w14:textId="77777777" w:rsidR="00C24C30" w:rsidRPr="006E6FF9" w:rsidRDefault="00C24C30" w:rsidP="00207BC0">
      <w:pPr>
        <w:pStyle w:val="Textonotapie"/>
        <w:rPr>
          <w:sz w:val="16"/>
          <w:szCs w:val="16"/>
        </w:rPr>
      </w:pPr>
      <w:r w:rsidRPr="006E6FF9">
        <w:rPr>
          <w:rStyle w:val="Refdenotaalpie"/>
          <w:sz w:val="16"/>
          <w:szCs w:val="16"/>
        </w:rPr>
        <w:footnoteRef/>
      </w:r>
      <w:r w:rsidRPr="006E6FF9">
        <w:rPr>
          <w:sz w:val="16"/>
          <w:szCs w:val="16"/>
        </w:rPr>
        <w:t xml:space="preserve"> Este requisito se verifica en relación con este derecho porque solo su vulneración </w:t>
      </w:r>
      <w:r w:rsidRPr="006E6FF9">
        <w:rPr>
          <w:rFonts w:eastAsia="Times New Roman"/>
          <w:sz w:val="16"/>
          <w:szCs w:val="16"/>
          <w:lang w:val="es-ES_tradnl" w:eastAsia="es-ES"/>
        </w:rPr>
        <w:t xml:space="preserve">habilita el control constitucional concreto sobre providencias judiciales. </w:t>
      </w:r>
      <w:r w:rsidRPr="006E6FF9">
        <w:rPr>
          <w:sz w:val="16"/>
          <w:szCs w:val="16"/>
        </w:rPr>
        <w:t xml:space="preserve">Cfr. </w:t>
      </w:r>
      <w:r w:rsidRPr="006E6FF9">
        <w:rPr>
          <w:sz w:val="16"/>
          <w:szCs w:val="16"/>
          <w:lang w:val="es-ES"/>
        </w:rPr>
        <w:t>sentencia C-590 de 2005.</w:t>
      </w:r>
    </w:p>
  </w:footnote>
  <w:footnote w:id="15">
    <w:p w14:paraId="14839AD6" w14:textId="77777777" w:rsidR="00C24C30" w:rsidRPr="006E6FF9" w:rsidRDefault="00C24C30" w:rsidP="00033C50">
      <w:pPr>
        <w:pStyle w:val="Textonotapie"/>
        <w:rPr>
          <w:sz w:val="16"/>
          <w:szCs w:val="16"/>
        </w:rPr>
      </w:pPr>
      <w:r w:rsidRPr="006E6FF9">
        <w:rPr>
          <w:rStyle w:val="Refdenotaalpie"/>
          <w:sz w:val="16"/>
          <w:szCs w:val="16"/>
        </w:rPr>
        <w:footnoteRef/>
      </w:r>
      <w:r w:rsidRPr="006E6FF9">
        <w:rPr>
          <w:sz w:val="16"/>
          <w:szCs w:val="16"/>
        </w:rPr>
        <w:t xml:space="preserve"> Por supuesto, el fallador de tutela requiere examinar que, de esos asuntos legales, no se desprendan violaciones a los derechos y deberes constitucionales, pues, de ser así, adquieren relevancia constitucional inmediata. Corte Constitucional. Sentencia T-1031 de 2001, citada por la Corte Constitucional en las sentencias T-114 de 2002 y T-136 de 2015.</w:t>
      </w:r>
    </w:p>
  </w:footnote>
  <w:footnote w:id="16">
    <w:p w14:paraId="17D7CCF3" w14:textId="77777777" w:rsidR="00C24C30" w:rsidRPr="006E6FF9" w:rsidRDefault="00C24C30" w:rsidP="00033C50">
      <w:pPr>
        <w:pStyle w:val="Textonotapie"/>
        <w:rPr>
          <w:sz w:val="16"/>
          <w:szCs w:val="16"/>
        </w:rPr>
      </w:pPr>
      <w:r w:rsidRPr="006E6FF9">
        <w:rPr>
          <w:rStyle w:val="Refdenotaalpie"/>
          <w:sz w:val="16"/>
          <w:szCs w:val="16"/>
        </w:rPr>
        <w:footnoteRef/>
      </w:r>
      <w:r w:rsidRPr="006E6FF9">
        <w:rPr>
          <w:sz w:val="16"/>
          <w:szCs w:val="16"/>
        </w:rPr>
        <w:t xml:space="preserve"> Cfr. </w:t>
      </w:r>
      <w:r w:rsidRPr="006E6FF9">
        <w:rPr>
          <w:sz w:val="16"/>
          <w:szCs w:val="16"/>
          <w:lang w:val="es-ES"/>
        </w:rPr>
        <w:t>sentencia C-590 de 2005.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C24C30" w:rsidRPr="00A15ACE" w:rsidRDefault="00C24C30">
    <w:pPr>
      <w:pStyle w:val="Encabezado"/>
    </w:pPr>
    <w:r>
      <w:rPr>
        <w:noProof/>
        <w:lang w:val="es-ES_tradnl"/>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C24C30" w:rsidRPr="00A15ACE" w:rsidRDefault="00C24C30">
    <w:pPr>
      <w:pStyle w:val="Encabezado"/>
    </w:pPr>
  </w:p>
  <w:p w14:paraId="4B90DC7A" w14:textId="77777777" w:rsidR="00C24C30" w:rsidRPr="00A15ACE" w:rsidRDefault="00C24C30">
    <w:pPr>
      <w:pStyle w:val="Encabezado"/>
    </w:pPr>
    <w:r w:rsidRPr="0070023E">
      <w:rPr>
        <w:noProof/>
        <w:sz w:val="20"/>
        <w:szCs w:val="20"/>
        <w:lang w:val="es-ES_tradnl"/>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3A7442F6" w:rsidR="00C24C30" w:rsidRPr="00CB7918" w:rsidRDefault="00C24C30" w:rsidP="0054069D">
    <w:pPr>
      <w:pStyle w:val="Encabezado"/>
      <w:jc w:val="right"/>
      <w:rPr>
        <w:color w:val="808080" w:themeColor="background1" w:themeShade="80"/>
        <w:sz w:val="22"/>
        <w:szCs w:val="22"/>
      </w:rPr>
    </w:pPr>
    <w:r w:rsidRPr="00CB7918">
      <w:rPr>
        <w:color w:val="808080" w:themeColor="background1" w:themeShade="80"/>
        <w:sz w:val="22"/>
        <w:szCs w:val="22"/>
      </w:rPr>
      <w:t>Radicado: 11001-03-15-000-2020-04428-00</w:t>
    </w:r>
  </w:p>
  <w:p w14:paraId="07B33FD0" w14:textId="49CB3284" w:rsidR="00C24C30" w:rsidRPr="00F532EA" w:rsidRDefault="00C24C30" w:rsidP="0054069D">
    <w:pPr>
      <w:pStyle w:val="Encabezado"/>
      <w:jc w:val="right"/>
      <w:rPr>
        <w:color w:val="767171"/>
        <w:sz w:val="20"/>
        <w:szCs w:val="20"/>
      </w:rPr>
    </w:pPr>
    <w:r w:rsidRPr="00CB7918">
      <w:rPr>
        <w:color w:val="808080" w:themeColor="background1" w:themeShade="80"/>
        <w:sz w:val="22"/>
        <w:szCs w:val="22"/>
      </w:rPr>
      <w:tab/>
    </w:r>
    <w:r w:rsidRPr="00CB7918">
      <w:rPr>
        <w:color w:val="808080" w:themeColor="background1" w:themeShade="80"/>
        <w:sz w:val="22"/>
        <w:szCs w:val="22"/>
      </w:rPr>
      <w:tab/>
      <w:t>Accionante: Víctor Rafael Díaz Arroyo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C24C30" w:rsidRPr="00A15ACE" w:rsidRDefault="00C24C30" w:rsidP="00F1441F">
    <w:pPr>
      <w:pStyle w:val="Encabezado"/>
    </w:pPr>
    <w:r>
      <w:rPr>
        <w:noProof/>
        <w:lang w:val="es-ES_tradnl"/>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C24C30" w:rsidRPr="00A15ACE" w:rsidRDefault="00C24C30" w:rsidP="00F1441F">
    <w:pPr>
      <w:pStyle w:val="Encabezado"/>
      <w:rPr>
        <w:color w:val="767171"/>
      </w:rPr>
    </w:pPr>
  </w:p>
  <w:p w14:paraId="3F3B7A5B" w14:textId="77777777" w:rsidR="00C24C30" w:rsidRPr="007F276C" w:rsidRDefault="00C24C30" w:rsidP="007F276C">
    <w:pPr>
      <w:pStyle w:val="Sinespaciado"/>
    </w:pPr>
    <w:r w:rsidRPr="007F276C">
      <w:t>CONSEJO DE ESTADO</w:t>
    </w:r>
  </w:p>
  <w:p w14:paraId="6EF027A0" w14:textId="77777777" w:rsidR="00C24C30" w:rsidRPr="007F276C" w:rsidRDefault="00C24C30" w:rsidP="007F276C">
    <w:pPr>
      <w:pStyle w:val="Sinespaciado"/>
    </w:pPr>
    <w:r w:rsidRPr="007F276C">
      <w:t>SALA DE LO CONTENCIOSO ADMINISTRATIVO</w:t>
    </w:r>
  </w:p>
  <w:p w14:paraId="2FC4305D" w14:textId="77777777" w:rsidR="00C24C30" w:rsidRPr="007F276C" w:rsidRDefault="00C24C30" w:rsidP="007F276C">
    <w:pPr>
      <w:pStyle w:val="Sinespaciado"/>
    </w:pPr>
    <w:r w:rsidRPr="007F276C">
      <w:t>SECCIÓN TERCERA – SUBSECCIÓN C</w:t>
    </w:r>
  </w:p>
  <w:p w14:paraId="2BA226A1" w14:textId="77777777" w:rsidR="00C24C30" w:rsidRDefault="00C24C3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695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8941"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86"/>
    <w:rsid w:val="0000069A"/>
    <w:rsid w:val="00001B1E"/>
    <w:rsid w:val="00004379"/>
    <w:rsid w:val="00004405"/>
    <w:rsid w:val="00004D80"/>
    <w:rsid w:val="00005B2C"/>
    <w:rsid w:val="00006D3C"/>
    <w:rsid w:val="0001030E"/>
    <w:rsid w:val="00012249"/>
    <w:rsid w:val="0001454F"/>
    <w:rsid w:val="000157DF"/>
    <w:rsid w:val="00016FD6"/>
    <w:rsid w:val="000172B5"/>
    <w:rsid w:val="00017CB3"/>
    <w:rsid w:val="00022FE5"/>
    <w:rsid w:val="00023E74"/>
    <w:rsid w:val="0002471B"/>
    <w:rsid w:val="00031008"/>
    <w:rsid w:val="000322DE"/>
    <w:rsid w:val="00033C50"/>
    <w:rsid w:val="00035B36"/>
    <w:rsid w:val="00045A3D"/>
    <w:rsid w:val="000558C9"/>
    <w:rsid w:val="0005595B"/>
    <w:rsid w:val="000566B5"/>
    <w:rsid w:val="000572CE"/>
    <w:rsid w:val="000578BC"/>
    <w:rsid w:val="0006185D"/>
    <w:rsid w:val="00061B93"/>
    <w:rsid w:val="000640FF"/>
    <w:rsid w:val="00065048"/>
    <w:rsid w:val="00065263"/>
    <w:rsid w:val="00071F03"/>
    <w:rsid w:val="00072695"/>
    <w:rsid w:val="000728E0"/>
    <w:rsid w:val="00073800"/>
    <w:rsid w:val="00073869"/>
    <w:rsid w:val="00074D00"/>
    <w:rsid w:val="00076747"/>
    <w:rsid w:val="00083B8F"/>
    <w:rsid w:val="00084ACD"/>
    <w:rsid w:val="0008675F"/>
    <w:rsid w:val="00086B66"/>
    <w:rsid w:val="00094E7B"/>
    <w:rsid w:val="00094EAB"/>
    <w:rsid w:val="00095EDE"/>
    <w:rsid w:val="000965F1"/>
    <w:rsid w:val="00097EC8"/>
    <w:rsid w:val="00097F39"/>
    <w:rsid w:val="000A0486"/>
    <w:rsid w:val="000A0B7D"/>
    <w:rsid w:val="000A3CA1"/>
    <w:rsid w:val="000A428A"/>
    <w:rsid w:val="000A54E3"/>
    <w:rsid w:val="000B6F39"/>
    <w:rsid w:val="000C18BD"/>
    <w:rsid w:val="000C2B43"/>
    <w:rsid w:val="000C341D"/>
    <w:rsid w:val="000C3525"/>
    <w:rsid w:val="000C5DB7"/>
    <w:rsid w:val="000C639A"/>
    <w:rsid w:val="000C7B4F"/>
    <w:rsid w:val="000D0E41"/>
    <w:rsid w:val="000D12BC"/>
    <w:rsid w:val="000D1A55"/>
    <w:rsid w:val="000D2A20"/>
    <w:rsid w:val="000D38FD"/>
    <w:rsid w:val="000D4AD7"/>
    <w:rsid w:val="000D5563"/>
    <w:rsid w:val="000D7042"/>
    <w:rsid w:val="000E121D"/>
    <w:rsid w:val="000E2D62"/>
    <w:rsid w:val="000F189F"/>
    <w:rsid w:val="000F4A94"/>
    <w:rsid w:val="00100DE6"/>
    <w:rsid w:val="001011FF"/>
    <w:rsid w:val="00101D3B"/>
    <w:rsid w:val="00102722"/>
    <w:rsid w:val="001064F3"/>
    <w:rsid w:val="00106D53"/>
    <w:rsid w:val="001073C5"/>
    <w:rsid w:val="001117E0"/>
    <w:rsid w:val="00111F8A"/>
    <w:rsid w:val="001121D7"/>
    <w:rsid w:val="00114418"/>
    <w:rsid w:val="00114E48"/>
    <w:rsid w:val="0011700D"/>
    <w:rsid w:val="00117091"/>
    <w:rsid w:val="0012059B"/>
    <w:rsid w:val="00121C55"/>
    <w:rsid w:val="001225C4"/>
    <w:rsid w:val="001239AE"/>
    <w:rsid w:val="00125394"/>
    <w:rsid w:val="001264E9"/>
    <w:rsid w:val="001314F6"/>
    <w:rsid w:val="001314FA"/>
    <w:rsid w:val="0013280E"/>
    <w:rsid w:val="00132AB9"/>
    <w:rsid w:val="00133F91"/>
    <w:rsid w:val="001341B1"/>
    <w:rsid w:val="00137D2F"/>
    <w:rsid w:val="00143CD4"/>
    <w:rsid w:val="00146828"/>
    <w:rsid w:val="001502BD"/>
    <w:rsid w:val="0015444A"/>
    <w:rsid w:val="00154D0E"/>
    <w:rsid w:val="00155E78"/>
    <w:rsid w:val="00155FE7"/>
    <w:rsid w:val="00161EAA"/>
    <w:rsid w:val="0016208B"/>
    <w:rsid w:val="00162961"/>
    <w:rsid w:val="0016439C"/>
    <w:rsid w:val="001658C9"/>
    <w:rsid w:val="00165935"/>
    <w:rsid w:val="00165C5B"/>
    <w:rsid w:val="00166AF6"/>
    <w:rsid w:val="001674CF"/>
    <w:rsid w:val="00170FE3"/>
    <w:rsid w:val="00171038"/>
    <w:rsid w:val="00171E2D"/>
    <w:rsid w:val="00174C02"/>
    <w:rsid w:val="00175282"/>
    <w:rsid w:val="001820A7"/>
    <w:rsid w:val="001838C6"/>
    <w:rsid w:val="00190924"/>
    <w:rsid w:val="001909A8"/>
    <w:rsid w:val="001915E1"/>
    <w:rsid w:val="00194CD0"/>
    <w:rsid w:val="00195F82"/>
    <w:rsid w:val="001A12BB"/>
    <w:rsid w:val="001A44C6"/>
    <w:rsid w:val="001B35D8"/>
    <w:rsid w:val="001B60B5"/>
    <w:rsid w:val="001B72F6"/>
    <w:rsid w:val="001C049C"/>
    <w:rsid w:val="001C29D8"/>
    <w:rsid w:val="001C3C1F"/>
    <w:rsid w:val="001C4808"/>
    <w:rsid w:val="001C4D01"/>
    <w:rsid w:val="001C6941"/>
    <w:rsid w:val="001D0208"/>
    <w:rsid w:val="001D4888"/>
    <w:rsid w:val="001D4E62"/>
    <w:rsid w:val="001D5BEE"/>
    <w:rsid w:val="001D60C0"/>
    <w:rsid w:val="001D61E8"/>
    <w:rsid w:val="001D67F0"/>
    <w:rsid w:val="001F0E32"/>
    <w:rsid w:val="001F31C1"/>
    <w:rsid w:val="001F4B0A"/>
    <w:rsid w:val="001F6D2F"/>
    <w:rsid w:val="00201EC3"/>
    <w:rsid w:val="002035BF"/>
    <w:rsid w:val="00207BC0"/>
    <w:rsid w:val="00214D23"/>
    <w:rsid w:val="002230E3"/>
    <w:rsid w:val="00223E8F"/>
    <w:rsid w:val="00225058"/>
    <w:rsid w:val="002253B6"/>
    <w:rsid w:val="002255B3"/>
    <w:rsid w:val="00225FD3"/>
    <w:rsid w:val="0023161F"/>
    <w:rsid w:val="002365FF"/>
    <w:rsid w:val="00241A20"/>
    <w:rsid w:val="00243E3F"/>
    <w:rsid w:val="00245202"/>
    <w:rsid w:val="00246239"/>
    <w:rsid w:val="002468A7"/>
    <w:rsid w:val="00247AE4"/>
    <w:rsid w:val="0025021D"/>
    <w:rsid w:val="00254098"/>
    <w:rsid w:val="00255C63"/>
    <w:rsid w:val="002618FA"/>
    <w:rsid w:val="00263586"/>
    <w:rsid w:val="002652EE"/>
    <w:rsid w:val="0026613C"/>
    <w:rsid w:val="00266DCD"/>
    <w:rsid w:val="002715FF"/>
    <w:rsid w:val="0027248E"/>
    <w:rsid w:val="00273406"/>
    <w:rsid w:val="002753A1"/>
    <w:rsid w:val="00275638"/>
    <w:rsid w:val="00276E47"/>
    <w:rsid w:val="00277551"/>
    <w:rsid w:val="00281874"/>
    <w:rsid w:val="0028309F"/>
    <w:rsid w:val="0028665C"/>
    <w:rsid w:val="00287048"/>
    <w:rsid w:val="00291407"/>
    <w:rsid w:val="00292EB6"/>
    <w:rsid w:val="0029390A"/>
    <w:rsid w:val="00295308"/>
    <w:rsid w:val="002956F6"/>
    <w:rsid w:val="002A04D0"/>
    <w:rsid w:val="002A2B89"/>
    <w:rsid w:val="002A39C7"/>
    <w:rsid w:val="002A3BCF"/>
    <w:rsid w:val="002A5310"/>
    <w:rsid w:val="002A6BED"/>
    <w:rsid w:val="002A7DC7"/>
    <w:rsid w:val="002B26F8"/>
    <w:rsid w:val="002B2C38"/>
    <w:rsid w:val="002B3E8E"/>
    <w:rsid w:val="002B5870"/>
    <w:rsid w:val="002B6FC2"/>
    <w:rsid w:val="002B7816"/>
    <w:rsid w:val="002C0D51"/>
    <w:rsid w:val="002C12BC"/>
    <w:rsid w:val="002C4C34"/>
    <w:rsid w:val="002D033D"/>
    <w:rsid w:val="002D1219"/>
    <w:rsid w:val="002D1F32"/>
    <w:rsid w:val="002D2B80"/>
    <w:rsid w:val="002D3CAC"/>
    <w:rsid w:val="002D480B"/>
    <w:rsid w:val="002E1143"/>
    <w:rsid w:val="002E1978"/>
    <w:rsid w:val="002F29A7"/>
    <w:rsid w:val="002F42B8"/>
    <w:rsid w:val="002F6F94"/>
    <w:rsid w:val="002F7E24"/>
    <w:rsid w:val="003007E6"/>
    <w:rsid w:val="00301EAE"/>
    <w:rsid w:val="00301FD7"/>
    <w:rsid w:val="0030212E"/>
    <w:rsid w:val="003026EB"/>
    <w:rsid w:val="00302CF5"/>
    <w:rsid w:val="003049C7"/>
    <w:rsid w:val="0031514A"/>
    <w:rsid w:val="0031562F"/>
    <w:rsid w:val="00316A7F"/>
    <w:rsid w:val="00320783"/>
    <w:rsid w:val="00322AE9"/>
    <w:rsid w:val="003260C7"/>
    <w:rsid w:val="00332453"/>
    <w:rsid w:val="003336FD"/>
    <w:rsid w:val="003353F5"/>
    <w:rsid w:val="00337461"/>
    <w:rsid w:val="00340AC8"/>
    <w:rsid w:val="0034340E"/>
    <w:rsid w:val="00343766"/>
    <w:rsid w:val="00345E1C"/>
    <w:rsid w:val="00347076"/>
    <w:rsid w:val="0035542D"/>
    <w:rsid w:val="003560F5"/>
    <w:rsid w:val="003572D1"/>
    <w:rsid w:val="00357E22"/>
    <w:rsid w:val="00360658"/>
    <w:rsid w:val="00361478"/>
    <w:rsid w:val="003628C8"/>
    <w:rsid w:val="0036383A"/>
    <w:rsid w:val="003707A2"/>
    <w:rsid w:val="003727A7"/>
    <w:rsid w:val="003736AC"/>
    <w:rsid w:val="00374674"/>
    <w:rsid w:val="00377720"/>
    <w:rsid w:val="00377E1B"/>
    <w:rsid w:val="00380082"/>
    <w:rsid w:val="00382293"/>
    <w:rsid w:val="00383156"/>
    <w:rsid w:val="00383425"/>
    <w:rsid w:val="00384507"/>
    <w:rsid w:val="00386152"/>
    <w:rsid w:val="00386B09"/>
    <w:rsid w:val="00386E3C"/>
    <w:rsid w:val="00387BBC"/>
    <w:rsid w:val="00387CA1"/>
    <w:rsid w:val="00392C97"/>
    <w:rsid w:val="00392D66"/>
    <w:rsid w:val="00393843"/>
    <w:rsid w:val="00394A69"/>
    <w:rsid w:val="0039548C"/>
    <w:rsid w:val="003A0174"/>
    <w:rsid w:val="003A12C4"/>
    <w:rsid w:val="003A1C83"/>
    <w:rsid w:val="003A35B4"/>
    <w:rsid w:val="003A3FC4"/>
    <w:rsid w:val="003A4B37"/>
    <w:rsid w:val="003B0891"/>
    <w:rsid w:val="003B1539"/>
    <w:rsid w:val="003B4515"/>
    <w:rsid w:val="003C24DE"/>
    <w:rsid w:val="003C78FA"/>
    <w:rsid w:val="003D0F7C"/>
    <w:rsid w:val="003D1B94"/>
    <w:rsid w:val="003D44B8"/>
    <w:rsid w:val="003D58E3"/>
    <w:rsid w:val="003D6548"/>
    <w:rsid w:val="003D7632"/>
    <w:rsid w:val="003E06B6"/>
    <w:rsid w:val="003E25FB"/>
    <w:rsid w:val="003E4253"/>
    <w:rsid w:val="003E62BC"/>
    <w:rsid w:val="003E7A58"/>
    <w:rsid w:val="003F0909"/>
    <w:rsid w:val="003F0C4C"/>
    <w:rsid w:val="003F1DF9"/>
    <w:rsid w:val="003F2236"/>
    <w:rsid w:val="003F2BA3"/>
    <w:rsid w:val="003F31BD"/>
    <w:rsid w:val="003F4EE1"/>
    <w:rsid w:val="003F7144"/>
    <w:rsid w:val="003F7FF5"/>
    <w:rsid w:val="0040213E"/>
    <w:rsid w:val="00402998"/>
    <w:rsid w:val="00403849"/>
    <w:rsid w:val="00406772"/>
    <w:rsid w:val="00411A1D"/>
    <w:rsid w:val="004139B0"/>
    <w:rsid w:val="004150BA"/>
    <w:rsid w:val="004168CB"/>
    <w:rsid w:val="00416A7B"/>
    <w:rsid w:val="004211FA"/>
    <w:rsid w:val="0042227D"/>
    <w:rsid w:val="004224E1"/>
    <w:rsid w:val="004230AD"/>
    <w:rsid w:val="00424723"/>
    <w:rsid w:val="00425815"/>
    <w:rsid w:val="004269E2"/>
    <w:rsid w:val="004270A8"/>
    <w:rsid w:val="00430389"/>
    <w:rsid w:val="00430D89"/>
    <w:rsid w:val="00432814"/>
    <w:rsid w:val="00432FAE"/>
    <w:rsid w:val="00433C67"/>
    <w:rsid w:val="00433E19"/>
    <w:rsid w:val="00440DE3"/>
    <w:rsid w:val="0044378B"/>
    <w:rsid w:val="00447745"/>
    <w:rsid w:val="00447956"/>
    <w:rsid w:val="00450F08"/>
    <w:rsid w:val="00454FBA"/>
    <w:rsid w:val="00455545"/>
    <w:rsid w:val="00455A82"/>
    <w:rsid w:val="004579FB"/>
    <w:rsid w:val="004654A4"/>
    <w:rsid w:val="00465D19"/>
    <w:rsid w:val="00467F77"/>
    <w:rsid w:val="00471300"/>
    <w:rsid w:val="0047256F"/>
    <w:rsid w:val="00475103"/>
    <w:rsid w:val="004758EB"/>
    <w:rsid w:val="00477A81"/>
    <w:rsid w:val="00477AD8"/>
    <w:rsid w:val="00477CD1"/>
    <w:rsid w:val="00480BDB"/>
    <w:rsid w:val="00483A7E"/>
    <w:rsid w:val="004849BB"/>
    <w:rsid w:val="00484DEF"/>
    <w:rsid w:val="004857F6"/>
    <w:rsid w:val="00486447"/>
    <w:rsid w:val="00490268"/>
    <w:rsid w:val="00491910"/>
    <w:rsid w:val="00491D4D"/>
    <w:rsid w:val="004944D1"/>
    <w:rsid w:val="00494668"/>
    <w:rsid w:val="00494CC1"/>
    <w:rsid w:val="00494F5F"/>
    <w:rsid w:val="00496046"/>
    <w:rsid w:val="00497536"/>
    <w:rsid w:val="00497572"/>
    <w:rsid w:val="00497735"/>
    <w:rsid w:val="00497CB6"/>
    <w:rsid w:val="004A04BC"/>
    <w:rsid w:val="004A0E84"/>
    <w:rsid w:val="004A1D38"/>
    <w:rsid w:val="004A59E5"/>
    <w:rsid w:val="004A5F13"/>
    <w:rsid w:val="004A7C12"/>
    <w:rsid w:val="004A7CEB"/>
    <w:rsid w:val="004B1658"/>
    <w:rsid w:val="004B48F9"/>
    <w:rsid w:val="004B4E43"/>
    <w:rsid w:val="004B546A"/>
    <w:rsid w:val="004B68A0"/>
    <w:rsid w:val="004B773D"/>
    <w:rsid w:val="004B7869"/>
    <w:rsid w:val="004C09AA"/>
    <w:rsid w:val="004C0BAB"/>
    <w:rsid w:val="004C4E69"/>
    <w:rsid w:val="004D43F5"/>
    <w:rsid w:val="004D49EB"/>
    <w:rsid w:val="004D55D4"/>
    <w:rsid w:val="004D5983"/>
    <w:rsid w:val="004D63F2"/>
    <w:rsid w:val="004D6555"/>
    <w:rsid w:val="004D6896"/>
    <w:rsid w:val="004E01C0"/>
    <w:rsid w:val="004E09CD"/>
    <w:rsid w:val="004E1BB1"/>
    <w:rsid w:val="004E2B86"/>
    <w:rsid w:val="004E36C6"/>
    <w:rsid w:val="004E3D73"/>
    <w:rsid w:val="004E6970"/>
    <w:rsid w:val="004E77B6"/>
    <w:rsid w:val="004E7976"/>
    <w:rsid w:val="004F10C8"/>
    <w:rsid w:val="004F2163"/>
    <w:rsid w:val="004F29EF"/>
    <w:rsid w:val="004F3056"/>
    <w:rsid w:val="004F64C5"/>
    <w:rsid w:val="004F64E9"/>
    <w:rsid w:val="004F6E40"/>
    <w:rsid w:val="004F7002"/>
    <w:rsid w:val="00500786"/>
    <w:rsid w:val="00500C8F"/>
    <w:rsid w:val="00501DF8"/>
    <w:rsid w:val="00505263"/>
    <w:rsid w:val="0051090B"/>
    <w:rsid w:val="005127CB"/>
    <w:rsid w:val="00512AF0"/>
    <w:rsid w:val="005211BD"/>
    <w:rsid w:val="00522073"/>
    <w:rsid w:val="005229CC"/>
    <w:rsid w:val="00522B4B"/>
    <w:rsid w:val="00523AF5"/>
    <w:rsid w:val="00525B66"/>
    <w:rsid w:val="00530CAD"/>
    <w:rsid w:val="00533EC9"/>
    <w:rsid w:val="0054069D"/>
    <w:rsid w:val="00540E31"/>
    <w:rsid w:val="00540F5C"/>
    <w:rsid w:val="005410BC"/>
    <w:rsid w:val="005414C8"/>
    <w:rsid w:val="0054160F"/>
    <w:rsid w:val="00542050"/>
    <w:rsid w:val="0054247D"/>
    <w:rsid w:val="0054313B"/>
    <w:rsid w:val="00543FA4"/>
    <w:rsid w:val="00545CA7"/>
    <w:rsid w:val="00551955"/>
    <w:rsid w:val="0055229B"/>
    <w:rsid w:val="005522BC"/>
    <w:rsid w:val="0055391D"/>
    <w:rsid w:val="00560C9F"/>
    <w:rsid w:val="00564169"/>
    <w:rsid w:val="00566726"/>
    <w:rsid w:val="00566F5D"/>
    <w:rsid w:val="005671A8"/>
    <w:rsid w:val="005702A7"/>
    <w:rsid w:val="0057157A"/>
    <w:rsid w:val="00576DFD"/>
    <w:rsid w:val="00577059"/>
    <w:rsid w:val="00585CA2"/>
    <w:rsid w:val="00586281"/>
    <w:rsid w:val="00591F8F"/>
    <w:rsid w:val="0059201B"/>
    <w:rsid w:val="00592923"/>
    <w:rsid w:val="00593F37"/>
    <w:rsid w:val="00595248"/>
    <w:rsid w:val="00595F8B"/>
    <w:rsid w:val="00597938"/>
    <w:rsid w:val="005A0024"/>
    <w:rsid w:val="005A1C94"/>
    <w:rsid w:val="005A1D89"/>
    <w:rsid w:val="005A2030"/>
    <w:rsid w:val="005A236C"/>
    <w:rsid w:val="005A358C"/>
    <w:rsid w:val="005A510D"/>
    <w:rsid w:val="005A6124"/>
    <w:rsid w:val="005A6932"/>
    <w:rsid w:val="005A77E9"/>
    <w:rsid w:val="005B3AF1"/>
    <w:rsid w:val="005B4121"/>
    <w:rsid w:val="005B6A6F"/>
    <w:rsid w:val="005C3057"/>
    <w:rsid w:val="005C38DE"/>
    <w:rsid w:val="005C41D9"/>
    <w:rsid w:val="005C4D54"/>
    <w:rsid w:val="005C5548"/>
    <w:rsid w:val="005C7059"/>
    <w:rsid w:val="005C72E5"/>
    <w:rsid w:val="005C75F8"/>
    <w:rsid w:val="005D1160"/>
    <w:rsid w:val="005D1791"/>
    <w:rsid w:val="005D6D4F"/>
    <w:rsid w:val="005D7E03"/>
    <w:rsid w:val="005F0AEA"/>
    <w:rsid w:val="005F2232"/>
    <w:rsid w:val="005F2A79"/>
    <w:rsid w:val="005F4B65"/>
    <w:rsid w:val="00600BA7"/>
    <w:rsid w:val="006045FD"/>
    <w:rsid w:val="00606C5C"/>
    <w:rsid w:val="00606E3D"/>
    <w:rsid w:val="0061110F"/>
    <w:rsid w:val="00611CF0"/>
    <w:rsid w:val="0061288C"/>
    <w:rsid w:val="006146CC"/>
    <w:rsid w:val="00614FB3"/>
    <w:rsid w:val="006155A3"/>
    <w:rsid w:val="00616D34"/>
    <w:rsid w:val="00617301"/>
    <w:rsid w:val="00617D85"/>
    <w:rsid w:val="00620227"/>
    <w:rsid w:val="00620DE7"/>
    <w:rsid w:val="00621F3E"/>
    <w:rsid w:val="00621F92"/>
    <w:rsid w:val="00623623"/>
    <w:rsid w:val="00624631"/>
    <w:rsid w:val="0062499F"/>
    <w:rsid w:val="00627010"/>
    <w:rsid w:val="00630AE3"/>
    <w:rsid w:val="00631B95"/>
    <w:rsid w:val="00632DBD"/>
    <w:rsid w:val="006332F1"/>
    <w:rsid w:val="00634B10"/>
    <w:rsid w:val="006371BF"/>
    <w:rsid w:val="006371C6"/>
    <w:rsid w:val="006422B2"/>
    <w:rsid w:val="0064439B"/>
    <w:rsid w:val="00644990"/>
    <w:rsid w:val="0064573D"/>
    <w:rsid w:val="00647B40"/>
    <w:rsid w:val="00651F05"/>
    <w:rsid w:val="006549D9"/>
    <w:rsid w:val="006613D9"/>
    <w:rsid w:val="006615F2"/>
    <w:rsid w:val="00661E21"/>
    <w:rsid w:val="00663267"/>
    <w:rsid w:val="00664A8F"/>
    <w:rsid w:val="00664B82"/>
    <w:rsid w:val="00667698"/>
    <w:rsid w:val="00670737"/>
    <w:rsid w:val="00673AF4"/>
    <w:rsid w:val="00675394"/>
    <w:rsid w:val="00676069"/>
    <w:rsid w:val="006804E5"/>
    <w:rsid w:val="0068169A"/>
    <w:rsid w:val="006834BD"/>
    <w:rsid w:val="00685672"/>
    <w:rsid w:val="00687E32"/>
    <w:rsid w:val="00687E3A"/>
    <w:rsid w:val="00692C53"/>
    <w:rsid w:val="00693FE3"/>
    <w:rsid w:val="00694B53"/>
    <w:rsid w:val="00695217"/>
    <w:rsid w:val="00697934"/>
    <w:rsid w:val="006A02A8"/>
    <w:rsid w:val="006A4C31"/>
    <w:rsid w:val="006B082C"/>
    <w:rsid w:val="006B2A4A"/>
    <w:rsid w:val="006B3043"/>
    <w:rsid w:val="006B6837"/>
    <w:rsid w:val="006C53D5"/>
    <w:rsid w:val="006C5B42"/>
    <w:rsid w:val="006D4799"/>
    <w:rsid w:val="006D4FDD"/>
    <w:rsid w:val="006D548B"/>
    <w:rsid w:val="006D648A"/>
    <w:rsid w:val="006E1157"/>
    <w:rsid w:val="006E5E5C"/>
    <w:rsid w:val="006E6FF9"/>
    <w:rsid w:val="006E742C"/>
    <w:rsid w:val="006F1879"/>
    <w:rsid w:val="006F52FC"/>
    <w:rsid w:val="006F5AF7"/>
    <w:rsid w:val="006F6047"/>
    <w:rsid w:val="0070023E"/>
    <w:rsid w:val="00700DB7"/>
    <w:rsid w:val="0070124D"/>
    <w:rsid w:val="00701255"/>
    <w:rsid w:val="00703DAC"/>
    <w:rsid w:val="00706390"/>
    <w:rsid w:val="00710146"/>
    <w:rsid w:val="007102FC"/>
    <w:rsid w:val="00711880"/>
    <w:rsid w:val="0071195F"/>
    <w:rsid w:val="00711E02"/>
    <w:rsid w:val="007122E0"/>
    <w:rsid w:val="0071239E"/>
    <w:rsid w:val="00714E71"/>
    <w:rsid w:val="007152BF"/>
    <w:rsid w:val="00715CC5"/>
    <w:rsid w:val="007161C9"/>
    <w:rsid w:val="00720138"/>
    <w:rsid w:val="0072475A"/>
    <w:rsid w:val="00724EAF"/>
    <w:rsid w:val="007277C6"/>
    <w:rsid w:val="007306AA"/>
    <w:rsid w:val="007306BC"/>
    <w:rsid w:val="00733784"/>
    <w:rsid w:val="00733E5F"/>
    <w:rsid w:val="00737644"/>
    <w:rsid w:val="00741C24"/>
    <w:rsid w:val="0074235D"/>
    <w:rsid w:val="007423CB"/>
    <w:rsid w:val="00742806"/>
    <w:rsid w:val="00744CFE"/>
    <w:rsid w:val="00745D63"/>
    <w:rsid w:val="007469E4"/>
    <w:rsid w:val="00746E9B"/>
    <w:rsid w:val="00750DB0"/>
    <w:rsid w:val="00751493"/>
    <w:rsid w:val="00753763"/>
    <w:rsid w:val="00754423"/>
    <w:rsid w:val="00754FBF"/>
    <w:rsid w:val="007601C6"/>
    <w:rsid w:val="00760DAF"/>
    <w:rsid w:val="0076661A"/>
    <w:rsid w:val="007706B2"/>
    <w:rsid w:val="0077139D"/>
    <w:rsid w:val="00772E54"/>
    <w:rsid w:val="00773A85"/>
    <w:rsid w:val="00775682"/>
    <w:rsid w:val="00780216"/>
    <w:rsid w:val="00780252"/>
    <w:rsid w:val="0078120E"/>
    <w:rsid w:val="00781869"/>
    <w:rsid w:val="00782894"/>
    <w:rsid w:val="00787DF9"/>
    <w:rsid w:val="00792212"/>
    <w:rsid w:val="00794AE2"/>
    <w:rsid w:val="00794C39"/>
    <w:rsid w:val="00795009"/>
    <w:rsid w:val="007957B1"/>
    <w:rsid w:val="007A35CB"/>
    <w:rsid w:val="007A39E5"/>
    <w:rsid w:val="007A430E"/>
    <w:rsid w:val="007A47BB"/>
    <w:rsid w:val="007A54A5"/>
    <w:rsid w:val="007A5AE1"/>
    <w:rsid w:val="007A5F76"/>
    <w:rsid w:val="007B1CC6"/>
    <w:rsid w:val="007B420C"/>
    <w:rsid w:val="007B7D21"/>
    <w:rsid w:val="007C13BD"/>
    <w:rsid w:val="007C4AC9"/>
    <w:rsid w:val="007C5349"/>
    <w:rsid w:val="007C56F8"/>
    <w:rsid w:val="007C6C17"/>
    <w:rsid w:val="007C7E98"/>
    <w:rsid w:val="007D0457"/>
    <w:rsid w:val="007D1DEB"/>
    <w:rsid w:val="007D39E2"/>
    <w:rsid w:val="007D4A96"/>
    <w:rsid w:val="007E1524"/>
    <w:rsid w:val="007E3C96"/>
    <w:rsid w:val="007E3D1B"/>
    <w:rsid w:val="007E409E"/>
    <w:rsid w:val="007E4422"/>
    <w:rsid w:val="007F2052"/>
    <w:rsid w:val="007F276C"/>
    <w:rsid w:val="007F3540"/>
    <w:rsid w:val="007F5A5F"/>
    <w:rsid w:val="007F6479"/>
    <w:rsid w:val="00800150"/>
    <w:rsid w:val="00801E6B"/>
    <w:rsid w:val="00802867"/>
    <w:rsid w:val="0080392B"/>
    <w:rsid w:val="008053FA"/>
    <w:rsid w:val="0080646A"/>
    <w:rsid w:val="00806C81"/>
    <w:rsid w:val="00810A16"/>
    <w:rsid w:val="008162D1"/>
    <w:rsid w:val="00816CD7"/>
    <w:rsid w:val="00817A38"/>
    <w:rsid w:val="00817D85"/>
    <w:rsid w:val="00822EDC"/>
    <w:rsid w:val="00823E1F"/>
    <w:rsid w:val="0082667C"/>
    <w:rsid w:val="00826D5A"/>
    <w:rsid w:val="0083034A"/>
    <w:rsid w:val="008310CF"/>
    <w:rsid w:val="00835345"/>
    <w:rsid w:val="008360AD"/>
    <w:rsid w:val="00837D7D"/>
    <w:rsid w:val="0084199E"/>
    <w:rsid w:val="0084204C"/>
    <w:rsid w:val="008471AD"/>
    <w:rsid w:val="00850B3B"/>
    <w:rsid w:val="00851A98"/>
    <w:rsid w:val="0085388E"/>
    <w:rsid w:val="008567C6"/>
    <w:rsid w:val="008567E3"/>
    <w:rsid w:val="0086059B"/>
    <w:rsid w:val="00862920"/>
    <w:rsid w:val="00871943"/>
    <w:rsid w:val="008735EC"/>
    <w:rsid w:val="00873A63"/>
    <w:rsid w:val="00873E35"/>
    <w:rsid w:val="00873F56"/>
    <w:rsid w:val="008800C1"/>
    <w:rsid w:val="00880936"/>
    <w:rsid w:val="00880C45"/>
    <w:rsid w:val="00884392"/>
    <w:rsid w:val="00885333"/>
    <w:rsid w:val="008879C5"/>
    <w:rsid w:val="00893C32"/>
    <w:rsid w:val="00897F89"/>
    <w:rsid w:val="008A0025"/>
    <w:rsid w:val="008A0F13"/>
    <w:rsid w:val="008A10E5"/>
    <w:rsid w:val="008A1FD2"/>
    <w:rsid w:val="008A2A69"/>
    <w:rsid w:val="008A3448"/>
    <w:rsid w:val="008A3EA3"/>
    <w:rsid w:val="008A6D52"/>
    <w:rsid w:val="008B1C62"/>
    <w:rsid w:val="008B2713"/>
    <w:rsid w:val="008B46E5"/>
    <w:rsid w:val="008B7429"/>
    <w:rsid w:val="008C0DBE"/>
    <w:rsid w:val="008C29F3"/>
    <w:rsid w:val="008C3C3D"/>
    <w:rsid w:val="008C4606"/>
    <w:rsid w:val="008C5C9B"/>
    <w:rsid w:val="008C64B2"/>
    <w:rsid w:val="008D0387"/>
    <w:rsid w:val="008D4DF3"/>
    <w:rsid w:val="008D566D"/>
    <w:rsid w:val="008D6969"/>
    <w:rsid w:val="008D7532"/>
    <w:rsid w:val="008E0A03"/>
    <w:rsid w:val="008E4D34"/>
    <w:rsid w:val="008E7AD4"/>
    <w:rsid w:val="008F026B"/>
    <w:rsid w:val="008F0E54"/>
    <w:rsid w:val="008F1B52"/>
    <w:rsid w:val="008F1C30"/>
    <w:rsid w:val="008F24EE"/>
    <w:rsid w:val="008F2652"/>
    <w:rsid w:val="008F2BA7"/>
    <w:rsid w:val="008F3A6D"/>
    <w:rsid w:val="008F4493"/>
    <w:rsid w:val="008F46EE"/>
    <w:rsid w:val="008F4E01"/>
    <w:rsid w:val="00900A40"/>
    <w:rsid w:val="00900BD2"/>
    <w:rsid w:val="00901557"/>
    <w:rsid w:val="00901676"/>
    <w:rsid w:val="00901E6A"/>
    <w:rsid w:val="00902E76"/>
    <w:rsid w:val="00902FC0"/>
    <w:rsid w:val="00904A3A"/>
    <w:rsid w:val="00905E80"/>
    <w:rsid w:val="00911C03"/>
    <w:rsid w:val="00911C2B"/>
    <w:rsid w:val="0091212B"/>
    <w:rsid w:val="009210E8"/>
    <w:rsid w:val="009214E2"/>
    <w:rsid w:val="009221F1"/>
    <w:rsid w:val="00922625"/>
    <w:rsid w:val="00924665"/>
    <w:rsid w:val="009323BF"/>
    <w:rsid w:val="00933F80"/>
    <w:rsid w:val="0093434A"/>
    <w:rsid w:val="00935E4F"/>
    <w:rsid w:val="00936C7B"/>
    <w:rsid w:val="00940813"/>
    <w:rsid w:val="00941766"/>
    <w:rsid w:val="00942223"/>
    <w:rsid w:val="0094385E"/>
    <w:rsid w:val="00954070"/>
    <w:rsid w:val="00956DA2"/>
    <w:rsid w:val="00957978"/>
    <w:rsid w:val="00961407"/>
    <w:rsid w:val="0096193A"/>
    <w:rsid w:val="00961F77"/>
    <w:rsid w:val="00961F9A"/>
    <w:rsid w:val="00963767"/>
    <w:rsid w:val="00965004"/>
    <w:rsid w:val="00967439"/>
    <w:rsid w:val="009705EE"/>
    <w:rsid w:val="009730CE"/>
    <w:rsid w:val="00973760"/>
    <w:rsid w:val="0097486A"/>
    <w:rsid w:val="00980220"/>
    <w:rsid w:val="00981205"/>
    <w:rsid w:val="00981A7C"/>
    <w:rsid w:val="009838A1"/>
    <w:rsid w:val="0098395F"/>
    <w:rsid w:val="009842D4"/>
    <w:rsid w:val="00984400"/>
    <w:rsid w:val="00986FEF"/>
    <w:rsid w:val="00996286"/>
    <w:rsid w:val="009A037F"/>
    <w:rsid w:val="009A4799"/>
    <w:rsid w:val="009A5798"/>
    <w:rsid w:val="009A5E58"/>
    <w:rsid w:val="009A62D1"/>
    <w:rsid w:val="009B2C38"/>
    <w:rsid w:val="009B7F6D"/>
    <w:rsid w:val="009C12A7"/>
    <w:rsid w:val="009C4F09"/>
    <w:rsid w:val="009C4FC0"/>
    <w:rsid w:val="009C7498"/>
    <w:rsid w:val="009D24AC"/>
    <w:rsid w:val="009D299C"/>
    <w:rsid w:val="009D3549"/>
    <w:rsid w:val="009D5736"/>
    <w:rsid w:val="009E29A6"/>
    <w:rsid w:val="009E3ECE"/>
    <w:rsid w:val="009E7CF6"/>
    <w:rsid w:val="009F0873"/>
    <w:rsid w:val="009F0CAE"/>
    <w:rsid w:val="009F2E2B"/>
    <w:rsid w:val="009F3060"/>
    <w:rsid w:val="009F4A20"/>
    <w:rsid w:val="009F5813"/>
    <w:rsid w:val="00A00356"/>
    <w:rsid w:val="00A024A1"/>
    <w:rsid w:val="00A034E5"/>
    <w:rsid w:val="00A03E59"/>
    <w:rsid w:val="00A0511A"/>
    <w:rsid w:val="00A06A1B"/>
    <w:rsid w:val="00A0768B"/>
    <w:rsid w:val="00A11441"/>
    <w:rsid w:val="00A147F6"/>
    <w:rsid w:val="00A15ACE"/>
    <w:rsid w:val="00A21194"/>
    <w:rsid w:val="00A22FFE"/>
    <w:rsid w:val="00A24C22"/>
    <w:rsid w:val="00A25C52"/>
    <w:rsid w:val="00A26DB6"/>
    <w:rsid w:val="00A26DEE"/>
    <w:rsid w:val="00A2765D"/>
    <w:rsid w:val="00A30E3E"/>
    <w:rsid w:val="00A31CCD"/>
    <w:rsid w:val="00A3456D"/>
    <w:rsid w:val="00A37038"/>
    <w:rsid w:val="00A378E5"/>
    <w:rsid w:val="00A400E0"/>
    <w:rsid w:val="00A40ECE"/>
    <w:rsid w:val="00A4379F"/>
    <w:rsid w:val="00A44A97"/>
    <w:rsid w:val="00A45C72"/>
    <w:rsid w:val="00A45ECE"/>
    <w:rsid w:val="00A467BD"/>
    <w:rsid w:val="00A4696E"/>
    <w:rsid w:val="00A47AF9"/>
    <w:rsid w:val="00A50DEF"/>
    <w:rsid w:val="00A53225"/>
    <w:rsid w:val="00A558CB"/>
    <w:rsid w:val="00A62736"/>
    <w:rsid w:val="00A63F23"/>
    <w:rsid w:val="00A64CA8"/>
    <w:rsid w:val="00A64DC6"/>
    <w:rsid w:val="00A6558B"/>
    <w:rsid w:val="00A7365C"/>
    <w:rsid w:val="00A73868"/>
    <w:rsid w:val="00A743C6"/>
    <w:rsid w:val="00A80795"/>
    <w:rsid w:val="00A83245"/>
    <w:rsid w:val="00A8589E"/>
    <w:rsid w:val="00A8702B"/>
    <w:rsid w:val="00A96D47"/>
    <w:rsid w:val="00AA0793"/>
    <w:rsid w:val="00AA3029"/>
    <w:rsid w:val="00AA70ED"/>
    <w:rsid w:val="00AB0E06"/>
    <w:rsid w:val="00AB33F4"/>
    <w:rsid w:val="00AB5365"/>
    <w:rsid w:val="00AB5377"/>
    <w:rsid w:val="00AB7C4A"/>
    <w:rsid w:val="00AB7EEB"/>
    <w:rsid w:val="00AC0B9E"/>
    <w:rsid w:val="00AC0D64"/>
    <w:rsid w:val="00AC5598"/>
    <w:rsid w:val="00AC5837"/>
    <w:rsid w:val="00AC76A3"/>
    <w:rsid w:val="00AD24EF"/>
    <w:rsid w:val="00AD3B2F"/>
    <w:rsid w:val="00AD7BBC"/>
    <w:rsid w:val="00AE5822"/>
    <w:rsid w:val="00AE616C"/>
    <w:rsid w:val="00AF1B5E"/>
    <w:rsid w:val="00AF2259"/>
    <w:rsid w:val="00AF3280"/>
    <w:rsid w:val="00AF634C"/>
    <w:rsid w:val="00B00068"/>
    <w:rsid w:val="00B04B97"/>
    <w:rsid w:val="00B04EDB"/>
    <w:rsid w:val="00B05045"/>
    <w:rsid w:val="00B06A24"/>
    <w:rsid w:val="00B14389"/>
    <w:rsid w:val="00B144A3"/>
    <w:rsid w:val="00B14A51"/>
    <w:rsid w:val="00B16B0C"/>
    <w:rsid w:val="00B209D5"/>
    <w:rsid w:val="00B217A8"/>
    <w:rsid w:val="00B2434C"/>
    <w:rsid w:val="00B25052"/>
    <w:rsid w:val="00B251D5"/>
    <w:rsid w:val="00B32D00"/>
    <w:rsid w:val="00B339C2"/>
    <w:rsid w:val="00B34923"/>
    <w:rsid w:val="00B36950"/>
    <w:rsid w:val="00B40CD2"/>
    <w:rsid w:val="00B41CC3"/>
    <w:rsid w:val="00B4332C"/>
    <w:rsid w:val="00B4406B"/>
    <w:rsid w:val="00B45272"/>
    <w:rsid w:val="00B45F7B"/>
    <w:rsid w:val="00B521D8"/>
    <w:rsid w:val="00B552F3"/>
    <w:rsid w:val="00B579CB"/>
    <w:rsid w:val="00B64080"/>
    <w:rsid w:val="00B6429B"/>
    <w:rsid w:val="00B717B2"/>
    <w:rsid w:val="00B741DB"/>
    <w:rsid w:val="00B74580"/>
    <w:rsid w:val="00B76382"/>
    <w:rsid w:val="00B83F5F"/>
    <w:rsid w:val="00B85CBA"/>
    <w:rsid w:val="00B866C5"/>
    <w:rsid w:val="00B87013"/>
    <w:rsid w:val="00B91B67"/>
    <w:rsid w:val="00B9314A"/>
    <w:rsid w:val="00B95839"/>
    <w:rsid w:val="00B95F14"/>
    <w:rsid w:val="00B96299"/>
    <w:rsid w:val="00B96E71"/>
    <w:rsid w:val="00B97262"/>
    <w:rsid w:val="00B975F7"/>
    <w:rsid w:val="00B97E8B"/>
    <w:rsid w:val="00BA0FA6"/>
    <w:rsid w:val="00BA110E"/>
    <w:rsid w:val="00BA1C2A"/>
    <w:rsid w:val="00BA73DE"/>
    <w:rsid w:val="00BB0DD6"/>
    <w:rsid w:val="00BB121C"/>
    <w:rsid w:val="00BB15D7"/>
    <w:rsid w:val="00BB17EE"/>
    <w:rsid w:val="00BB1A92"/>
    <w:rsid w:val="00BB4668"/>
    <w:rsid w:val="00BB4CB6"/>
    <w:rsid w:val="00BB5C27"/>
    <w:rsid w:val="00BB7430"/>
    <w:rsid w:val="00BB79AE"/>
    <w:rsid w:val="00BC016F"/>
    <w:rsid w:val="00BC02E8"/>
    <w:rsid w:val="00BC124A"/>
    <w:rsid w:val="00BC39CD"/>
    <w:rsid w:val="00BC5AD6"/>
    <w:rsid w:val="00BC77DA"/>
    <w:rsid w:val="00BC7EE6"/>
    <w:rsid w:val="00BD13FF"/>
    <w:rsid w:val="00BD6202"/>
    <w:rsid w:val="00BD64E9"/>
    <w:rsid w:val="00BD67B1"/>
    <w:rsid w:val="00BD6F20"/>
    <w:rsid w:val="00BE1F69"/>
    <w:rsid w:val="00BE4D56"/>
    <w:rsid w:val="00BE5A16"/>
    <w:rsid w:val="00BE6922"/>
    <w:rsid w:val="00BE70DA"/>
    <w:rsid w:val="00BF0A3E"/>
    <w:rsid w:val="00BF2ACB"/>
    <w:rsid w:val="00BF3BDB"/>
    <w:rsid w:val="00BF4D00"/>
    <w:rsid w:val="00BF6472"/>
    <w:rsid w:val="00BF7C11"/>
    <w:rsid w:val="00C00951"/>
    <w:rsid w:val="00C018AC"/>
    <w:rsid w:val="00C052A9"/>
    <w:rsid w:val="00C06A02"/>
    <w:rsid w:val="00C078E8"/>
    <w:rsid w:val="00C07F10"/>
    <w:rsid w:val="00C12D0B"/>
    <w:rsid w:val="00C170E1"/>
    <w:rsid w:val="00C1721A"/>
    <w:rsid w:val="00C17A83"/>
    <w:rsid w:val="00C20B69"/>
    <w:rsid w:val="00C2251F"/>
    <w:rsid w:val="00C22763"/>
    <w:rsid w:val="00C24C30"/>
    <w:rsid w:val="00C251E8"/>
    <w:rsid w:val="00C30BFB"/>
    <w:rsid w:val="00C31604"/>
    <w:rsid w:val="00C34ECD"/>
    <w:rsid w:val="00C41B92"/>
    <w:rsid w:val="00C43CA0"/>
    <w:rsid w:val="00C45F5A"/>
    <w:rsid w:val="00C47342"/>
    <w:rsid w:val="00C50A44"/>
    <w:rsid w:val="00C52BB4"/>
    <w:rsid w:val="00C52D83"/>
    <w:rsid w:val="00C53355"/>
    <w:rsid w:val="00C53C69"/>
    <w:rsid w:val="00C53EE6"/>
    <w:rsid w:val="00C54313"/>
    <w:rsid w:val="00C54A33"/>
    <w:rsid w:val="00C55060"/>
    <w:rsid w:val="00C57501"/>
    <w:rsid w:val="00C57607"/>
    <w:rsid w:val="00C57949"/>
    <w:rsid w:val="00C57FA2"/>
    <w:rsid w:val="00C62B2C"/>
    <w:rsid w:val="00C62BDF"/>
    <w:rsid w:val="00C661F4"/>
    <w:rsid w:val="00C67272"/>
    <w:rsid w:val="00C676D1"/>
    <w:rsid w:val="00C70BC8"/>
    <w:rsid w:val="00C728C6"/>
    <w:rsid w:val="00C74912"/>
    <w:rsid w:val="00C7549A"/>
    <w:rsid w:val="00C77684"/>
    <w:rsid w:val="00C82DBD"/>
    <w:rsid w:val="00C8500D"/>
    <w:rsid w:val="00C859EC"/>
    <w:rsid w:val="00C866D0"/>
    <w:rsid w:val="00C87516"/>
    <w:rsid w:val="00C9100D"/>
    <w:rsid w:val="00C91CDA"/>
    <w:rsid w:val="00C940C6"/>
    <w:rsid w:val="00C969E0"/>
    <w:rsid w:val="00C97812"/>
    <w:rsid w:val="00CA6674"/>
    <w:rsid w:val="00CA72B7"/>
    <w:rsid w:val="00CA7D27"/>
    <w:rsid w:val="00CB0BF1"/>
    <w:rsid w:val="00CB2314"/>
    <w:rsid w:val="00CB3811"/>
    <w:rsid w:val="00CB4C21"/>
    <w:rsid w:val="00CB7918"/>
    <w:rsid w:val="00CC0071"/>
    <w:rsid w:val="00CC041A"/>
    <w:rsid w:val="00CC12D7"/>
    <w:rsid w:val="00CC4EAF"/>
    <w:rsid w:val="00CC6CB4"/>
    <w:rsid w:val="00CC7C2E"/>
    <w:rsid w:val="00CD239A"/>
    <w:rsid w:val="00CD3696"/>
    <w:rsid w:val="00CD43AF"/>
    <w:rsid w:val="00CD59F2"/>
    <w:rsid w:val="00CD63D9"/>
    <w:rsid w:val="00CE0F19"/>
    <w:rsid w:val="00CE1432"/>
    <w:rsid w:val="00CE2C4C"/>
    <w:rsid w:val="00CE6AFE"/>
    <w:rsid w:val="00CE750C"/>
    <w:rsid w:val="00CF1FB5"/>
    <w:rsid w:val="00CF26B6"/>
    <w:rsid w:val="00CF52EC"/>
    <w:rsid w:val="00CF5E1A"/>
    <w:rsid w:val="00CF69DF"/>
    <w:rsid w:val="00CF6F38"/>
    <w:rsid w:val="00D00D22"/>
    <w:rsid w:val="00D049C6"/>
    <w:rsid w:val="00D069C9"/>
    <w:rsid w:val="00D163C7"/>
    <w:rsid w:val="00D16C4B"/>
    <w:rsid w:val="00D179E8"/>
    <w:rsid w:val="00D249DC"/>
    <w:rsid w:val="00D2756B"/>
    <w:rsid w:val="00D30A57"/>
    <w:rsid w:val="00D31837"/>
    <w:rsid w:val="00D33968"/>
    <w:rsid w:val="00D33DA4"/>
    <w:rsid w:val="00D346D7"/>
    <w:rsid w:val="00D418AE"/>
    <w:rsid w:val="00D4448E"/>
    <w:rsid w:val="00D45638"/>
    <w:rsid w:val="00D5033E"/>
    <w:rsid w:val="00D5086A"/>
    <w:rsid w:val="00D51DED"/>
    <w:rsid w:val="00D5277D"/>
    <w:rsid w:val="00D53A8F"/>
    <w:rsid w:val="00D56AAD"/>
    <w:rsid w:val="00D60586"/>
    <w:rsid w:val="00D64E8B"/>
    <w:rsid w:val="00D67159"/>
    <w:rsid w:val="00D67E46"/>
    <w:rsid w:val="00D705F9"/>
    <w:rsid w:val="00D70D05"/>
    <w:rsid w:val="00D729A8"/>
    <w:rsid w:val="00D72EB2"/>
    <w:rsid w:val="00D8059B"/>
    <w:rsid w:val="00D8379E"/>
    <w:rsid w:val="00D84355"/>
    <w:rsid w:val="00D85B93"/>
    <w:rsid w:val="00D862E7"/>
    <w:rsid w:val="00D8698F"/>
    <w:rsid w:val="00D873FC"/>
    <w:rsid w:val="00D87AA3"/>
    <w:rsid w:val="00D92074"/>
    <w:rsid w:val="00D93A30"/>
    <w:rsid w:val="00D947E2"/>
    <w:rsid w:val="00D94A80"/>
    <w:rsid w:val="00D965A8"/>
    <w:rsid w:val="00DA38A4"/>
    <w:rsid w:val="00DA6643"/>
    <w:rsid w:val="00DA7858"/>
    <w:rsid w:val="00DB0BFB"/>
    <w:rsid w:val="00DB44A3"/>
    <w:rsid w:val="00DB4688"/>
    <w:rsid w:val="00DB576B"/>
    <w:rsid w:val="00DB5835"/>
    <w:rsid w:val="00DB6618"/>
    <w:rsid w:val="00DB7A08"/>
    <w:rsid w:val="00DC285E"/>
    <w:rsid w:val="00DC2932"/>
    <w:rsid w:val="00DD17AA"/>
    <w:rsid w:val="00DD221A"/>
    <w:rsid w:val="00DD477E"/>
    <w:rsid w:val="00DD5C43"/>
    <w:rsid w:val="00DE1BF0"/>
    <w:rsid w:val="00DE38A8"/>
    <w:rsid w:val="00DE6CFA"/>
    <w:rsid w:val="00DE7123"/>
    <w:rsid w:val="00DE73D1"/>
    <w:rsid w:val="00DF0CCF"/>
    <w:rsid w:val="00DF317C"/>
    <w:rsid w:val="00E009D9"/>
    <w:rsid w:val="00E02AEC"/>
    <w:rsid w:val="00E02E5E"/>
    <w:rsid w:val="00E07B91"/>
    <w:rsid w:val="00E10736"/>
    <w:rsid w:val="00E113A0"/>
    <w:rsid w:val="00E12334"/>
    <w:rsid w:val="00E128B9"/>
    <w:rsid w:val="00E12E28"/>
    <w:rsid w:val="00E14D9D"/>
    <w:rsid w:val="00E15C6F"/>
    <w:rsid w:val="00E202F3"/>
    <w:rsid w:val="00E23440"/>
    <w:rsid w:val="00E250CD"/>
    <w:rsid w:val="00E25E89"/>
    <w:rsid w:val="00E30AD2"/>
    <w:rsid w:val="00E337AE"/>
    <w:rsid w:val="00E35C4F"/>
    <w:rsid w:val="00E36222"/>
    <w:rsid w:val="00E36952"/>
    <w:rsid w:val="00E36CB9"/>
    <w:rsid w:val="00E420BC"/>
    <w:rsid w:val="00E4328A"/>
    <w:rsid w:val="00E45687"/>
    <w:rsid w:val="00E45B2E"/>
    <w:rsid w:val="00E46097"/>
    <w:rsid w:val="00E47EAF"/>
    <w:rsid w:val="00E52B9D"/>
    <w:rsid w:val="00E53576"/>
    <w:rsid w:val="00E53C25"/>
    <w:rsid w:val="00E560A4"/>
    <w:rsid w:val="00E560B5"/>
    <w:rsid w:val="00E56667"/>
    <w:rsid w:val="00E56C22"/>
    <w:rsid w:val="00E57611"/>
    <w:rsid w:val="00E63C2D"/>
    <w:rsid w:val="00E6448F"/>
    <w:rsid w:val="00E64BA9"/>
    <w:rsid w:val="00E66097"/>
    <w:rsid w:val="00E70863"/>
    <w:rsid w:val="00E716B5"/>
    <w:rsid w:val="00E7198F"/>
    <w:rsid w:val="00E734AF"/>
    <w:rsid w:val="00E7453C"/>
    <w:rsid w:val="00E74D96"/>
    <w:rsid w:val="00E76DE0"/>
    <w:rsid w:val="00E8001F"/>
    <w:rsid w:val="00E800E8"/>
    <w:rsid w:val="00E82D51"/>
    <w:rsid w:val="00E8601B"/>
    <w:rsid w:val="00E87355"/>
    <w:rsid w:val="00E8783B"/>
    <w:rsid w:val="00E91C9B"/>
    <w:rsid w:val="00E91F8D"/>
    <w:rsid w:val="00E920C5"/>
    <w:rsid w:val="00E93753"/>
    <w:rsid w:val="00E958D7"/>
    <w:rsid w:val="00E97497"/>
    <w:rsid w:val="00EA44B2"/>
    <w:rsid w:val="00EA4C94"/>
    <w:rsid w:val="00EA58FA"/>
    <w:rsid w:val="00EA65C6"/>
    <w:rsid w:val="00EA69A6"/>
    <w:rsid w:val="00EB39C8"/>
    <w:rsid w:val="00EB57EA"/>
    <w:rsid w:val="00EB65A3"/>
    <w:rsid w:val="00EC0424"/>
    <w:rsid w:val="00EC0C7E"/>
    <w:rsid w:val="00EC38ED"/>
    <w:rsid w:val="00EC3E24"/>
    <w:rsid w:val="00EC40F6"/>
    <w:rsid w:val="00EC566D"/>
    <w:rsid w:val="00ED5B39"/>
    <w:rsid w:val="00ED72BB"/>
    <w:rsid w:val="00EE215D"/>
    <w:rsid w:val="00EE25EE"/>
    <w:rsid w:val="00EE50B9"/>
    <w:rsid w:val="00EE704F"/>
    <w:rsid w:val="00EF3DBD"/>
    <w:rsid w:val="00EF48BD"/>
    <w:rsid w:val="00EF55F9"/>
    <w:rsid w:val="00EF7FBA"/>
    <w:rsid w:val="00F01167"/>
    <w:rsid w:val="00F02EEB"/>
    <w:rsid w:val="00F035E5"/>
    <w:rsid w:val="00F0772F"/>
    <w:rsid w:val="00F1441F"/>
    <w:rsid w:val="00F16FD3"/>
    <w:rsid w:val="00F21FEF"/>
    <w:rsid w:val="00F2260D"/>
    <w:rsid w:val="00F24877"/>
    <w:rsid w:val="00F260CE"/>
    <w:rsid w:val="00F26341"/>
    <w:rsid w:val="00F268F6"/>
    <w:rsid w:val="00F27D5E"/>
    <w:rsid w:val="00F32348"/>
    <w:rsid w:val="00F34FD4"/>
    <w:rsid w:val="00F36692"/>
    <w:rsid w:val="00F37B4D"/>
    <w:rsid w:val="00F4004D"/>
    <w:rsid w:val="00F41540"/>
    <w:rsid w:val="00F41AA9"/>
    <w:rsid w:val="00F43CFC"/>
    <w:rsid w:val="00F44240"/>
    <w:rsid w:val="00F44535"/>
    <w:rsid w:val="00F449DD"/>
    <w:rsid w:val="00F476AA"/>
    <w:rsid w:val="00F50F2C"/>
    <w:rsid w:val="00F52B69"/>
    <w:rsid w:val="00F52F4E"/>
    <w:rsid w:val="00F532EA"/>
    <w:rsid w:val="00F53A99"/>
    <w:rsid w:val="00F54E9D"/>
    <w:rsid w:val="00F55B42"/>
    <w:rsid w:val="00F5606B"/>
    <w:rsid w:val="00F57B57"/>
    <w:rsid w:val="00F6085F"/>
    <w:rsid w:val="00F67C50"/>
    <w:rsid w:val="00F70C9E"/>
    <w:rsid w:val="00F713AF"/>
    <w:rsid w:val="00F71BFD"/>
    <w:rsid w:val="00F758C9"/>
    <w:rsid w:val="00F825E8"/>
    <w:rsid w:val="00F836EF"/>
    <w:rsid w:val="00F85EFA"/>
    <w:rsid w:val="00F875F6"/>
    <w:rsid w:val="00F87ACB"/>
    <w:rsid w:val="00F91B32"/>
    <w:rsid w:val="00F92C8D"/>
    <w:rsid w:val="00F949FF"/>
    <w:rsid w:val="00F97733"/>
    <w:rsid w:val="00FA03FF"/>
    <w:rsid w:val="00FA5B7E"/>
    <w:rsid w:val="00FA5BD0"/>
    <w:rsid w:val="00FB17C2"/>
    <w:rsid w:val="00FB2AB1"/>
    <w:rsid w:val="00FB3B87"/>
    <w:rsid w:val="00FB5204"/>
    <w:rsid w:val="00FB5480"/>
    <w:rsid w:val="00FB70CF"/>
    <w:rsid w:val="00FC1015"/>
    <w:rsid w:val="00FC4072"/>
    <w:rsid w:val="00FC4CC4"/>
    <w:rsid w:val="00FC67B2"/>
    <w:rsid w:val="00FC74CA"/>
    <w:rsid w:val="00FC7C84"/>
    <w:rsid w:val="00FD0B2C"/>
    <w:rsid w:val="00FD10C7"/>
    <w:rsid w:val="00FD3474"/>
    <w:rsid w:val="00FD7CE1"/>
    <w:rsid w:val="00FE09DF"/>
    <w:rsid w:val="00FE2726"/>
    <w:rsid w:val="00FE2A0F"/>
    <w:rsid w:val="00FE3D08"/>
    <w:rsid w:val="00FE42E8"/>
    <w:rsid w:val="00FE56B3"/>
    <w:rsid w:val="00FE7AE7"/>
    <w:rsid w:val="00FF016C"/>
    <w:rsid w:val="00FF0BD7"/>
    <w:rsid w:val="00FF190B"/>
    <w:rsid w:val="00FF31BA"/>
    <w:rsid w:val="00FF3A06"/>
    <w:rsid w:val="00FF54F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44A0092D-ED79-734E-B5E7-44334596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p1">
    <w:name w:val="p1"/>
    <w:basedOn w:val="Normal"/>
    <w:rsid w:val="00D85B93"/>
    <w:pPr>
      <w:jc w:val="left"/>
    </w:pPr>
    <w:rPr>
      <w:rFonts w:ascii="Helvetica" w:hAnsi="Helvetica" w:cs="Times New Roman"/>
      <w:sz w:val="20"/>
      <w:szCs w:val="20"/>
      <w:lang w:val="es-ES_tradnl"/>
    </w:rPr>
  </w:style>
  <w:style w:type="character" w:customStyle="1" w:styleId="apple-converted-space">
    <w:name w:val="apple-converted-space"/>
    <w:basedOn w:val="Fuentedeprrafopredeter"/>
    <w:rsid w:val="00D418AE"/>
  </w:style>
  <w:style w:type="table" w:styleId="Tablaconcuadrcula">
    <w:name w:val="Table Grid"/>
    <w:basedOn w:val="Tablanormal"/>
    <w:uiPriority w:val="39"/>
    <w:rsid w:val="006E6F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176384339">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250165299">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376050756">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40045511">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961690539">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69867815">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17007335">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026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3CD2-0513-4FEB-903B-646C3292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7A3E7F2C-424F-3E42-80B0-7C7E6801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2321</Words>
  <Characters>12769</Characters>
  <Application>Microsoft Macintosh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Paula Ponce De León Martinez</cp:lastModifiedBy>
  <cp:revision>2</cp:revision>
  <cp:lastPrinted>2020-10-28T23:04:00Z</cp:lastPrinted>
  <dcterms:created xsi:type="dcterms:W3CDTF">2020-12-04T13:54:00Z</dcterms:created>
  <dcterms:modified xsi:type="dcterms:W3CDTF">2020-12-04T13:54:00Z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