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94A924" w14:textId="77777777" w:rsidR="000C5DB7" w:rsidRPr="005C41E9" w:rsidRDefault="000C5DB7" w:rsidP="005C41E9">
      <w:pPr>
        <w:pStyle w:val="NoSpacing"/>
        <w:rPr>
          <w:szCs w:val="24"/>
        </w:rPr>
      </w:pPr>
      <w:r w:rsidRPr="005C41E9">
        <w:rPr>
          <w:szCs w:val="24"/>
        </w:rPr>
        <w:t>CONSEJERO PONENTE: JAIME ENRIQUE RODRÍGUEZ NAVAS</w:t>
      </w:r>
    </w:p>
    <w:p w14:paraId="50299F1F" w14:textId="77777777" w:rsidR="00F91B32" w:rsidRPr="005C41E9" w:rsidRDefault="00F91B32" w:rsidP="005C41E9">
      <w:pPr>
        <w:spacing w:line="276" w:lineRule="auto"/>
        <w:contextualSpacing/>
        <w:rPr>
          <w:b/>
          <w:bCs/>
          <w:sz w:val="24"/>
          <w:szCs w:val="24"/>
        </w:rPr>
      </w:pPr>
    </w:p>
    <w:p w14:paraId="08FDD8A8" w14:textId="618FB921" w:rsidR="001A5D58" w:rsidRPr="005C41E9" w:rsidRDefault="00366361" w:rsidP="005C41E9">
      <w:pPr>
        <w:spacing w:line="276" w:lineRule="auto"/>
        <w:contextualSpacing/>
        <w:rPr>
          <w:bCs/>
          <w:sz w:val="24"/>
          <w:szCs w:val="24"/>
        </w:rPr>
      </w:pPr>
      <w:r w:rsidRPr="005C41E9">
        <w:rPr>
          <w:bCs/>
          <w:sz w:val="24"/>
          <w:szCs w:val="24"/>
        </w:rPr>
        <w:t>Bogotá D.C., veintiséis (26) de octubre de dos mil veinte (2020)</w:t>
      </w:r>
    </w:p>
    <w:p w14:paraId="61BE0CD0" w14:textId="77777777" w:rsidR="00366361" w:rsidRPr="005C41E9" w:rsidRDefault="00366361" w:rsidP="005C41E9">
      <w:pPr>
        <w:spacing w:line="276" w:lineRule="auto"/>
        <w:contextualSpacing/>
        <w:rPr>
          <w:b/>
          <w:sz w:val="24"/>
          <w:szCs w:val="24"/>
        </w:rPr>
      </w:pPr>
    </w:p>
    <w:p w14:paraId="7E0741C3" w14:textId="77777777" w:rsidR="00366361" w:rsidRPr="005C41E9" w:rsidRDefault="00366361" w:rsidP="005C41E9">
      <w:pPr>
        <w:spacing w:line="276" w:lineRule="auto"/>
        <w:ind w:left="1620" w:hanging="1620"/>
        <w:contextualSpacing/>
        <w:rPr>
          <w:b/>
          <w:sz w:val="24"/>
          <w:szCs w:val="24"/>
        </w:rPr>
      </w:pPr>
      <w:r w:rsidRPr="005C41E9">
        <w:rPr>
          <w:b/>
          <w:sz w:val="24"/>
          <w:szCs w:val="24"/>
        </w:rPr>
        <w:t xml:space="preserve">Referencia: </w:t>
      </w:r>
      <w:r w:rsidRPr="005C41E9">
        <w:rPr>
          <w:b/>
          <w:sz w:val="24"/>
          <w:szCs w:val="24"/>
        </w:rPr>
        <w:tab/>
      </w:r>
      <w:r w:rsidRPr="005C41E9">
        <w:rPr>
          <w:sz w:val="24"/>
          <w:szCs w:val="24"/>
        </w:rPr>
        <w:t>Acción de Tutela</w:t>
      </w:r>
    </w:p>
    <w:p w14:paraId="7772C15C" w14:textId="77777777" w:rsidR="00366361" w:rsidRPr="005C41E9" w:rsidRDefault="00366361" w:rsidP="005C41E9">
      <w:pPr>
        <w:spacing w:line="276" w:lineRule="auto"/>
        <w:ind w:left="1620" w:hanging="1620"/>
        <w:contextualSpacing/>
        <w:rPr>
          <w:sz w:val="24"/>
          <w:szCs w:val="24"/>
        </w:rPr>
      </w:pPr>
      <w:r w:rsidRPr="005C41E9">
        <w:rPr>
          <w:b/>
          <w:sz w:val="24"/>
          <w:szCs w:val="24"/>
        </w:rPr>
        <w:t>Radicación:</w:t>
      </w:r>
      <w:r w:rsidRPr="005C41E9">
        <w:rPr>
          <w:b/>
          <w:sz w:val="24"/>
          <w:szCs w:val="24"/>
        </w:rPr>
        <w:tab/>
      </w:r>
      <w:r w:rsidRPr="005C41E9">
        <w:rPr>
          <w:sz w:val="24"/>
          <w:szCs w:val="24"/>
        </w:rPr>
        <w:t>11001-03-15-000-2020-04100-00</w:t>
      </w:r>
    </w:p>
    <w:p w14:paraId="0870D971" w14:textId="77777777" w:rsidR="00366361" w:rsidRPr="005C41E9" w:rsidRDefault="00366361" w:rsidP="005C41E9">
      <w:pPr>
        <w:spacing w:line="276" w:lineRule="auto"/>
        <w:ind w:left="1620" w:hanging="1620"/>
        <w:contextualSpacing/>
        <w:rPr>
          <w:sz w:val="24"/>
          <w:szCs w:val="24"/>
        </w:rPr>
      </w:pPr>
      <w:r w:rsidRPr="005C41E9">
        <w:rPr>
          <w:b/>
          <w:sz w:val="24"/>
          <w:szCs w:val="24"/>
        </w:rPr>
        <w:t>Accionante:</w:t>
      </w:r>
      <w:r w:rsidRPr="005C41E9">
        <w:rPr>
          <w:b/>
          <w:sz w:val="24"/>
          <w:szCs w:val="24"/>
        </w:rPr>
        <w:tab/>
      </w:r>
      <w:r w:rsidRPr="005C41E9">
        <w:rPr>
          <w:bCs/>
          <w:sz w:val="24"/>
          <w:szCs w:val="24"/>
        </w:rPr>
        <w:t>Edgar Enrique Leguizamón Alberto</w:t>
      </w:r>
    </w:p>
    <w:p w14:paraId="6C5270A1" w14:textId="77777777" w:rsidR="00366361" w:rsidRPr="005C41E9" w:rsidRDefault="00366361" w:rsidP="005C41E9">
      <w:pPr>
        <w:spacing w:line="276" w:lineRule="auto"/>
        <w:ind w:left="1620" w:right="51" w:hanging="1620"/>
        <w:contextualSpacing/>
        <w:rPr>
          <w:bCs/>
          <w:sz w:val="24"/>
          <w:szCs w:val="24"/>
        </w:rPr>
      </w:pPr>
      <w:r w:rsidRPr="005C41E9">
        <w:rPr>
          <w:b/>
          <w:sz w:val="24"/>
          <w:szCs w:val="24"/>
        </w:rPr>
        <w:t>Accionados:</w:t>
      </w:r>
      <w:r w:rsidRPr="005C41E9">
        <w:rPr>
          <w:b/>
          <w:sz w:val="24"/>
          <w:szCs w:val="24"/>
        </w:rPr>
        <w:tab/>
      </w:r>
      <w:r w:rsidRPr="005C41E9">
        <w:rPr>
          <w:bCs/>
          <w:sz w:val="24"/>
          <w:szCs w:val="24"/>
        </w:rPr>
        <w:t>Juzgado Primero Administrativo del Circuito Judicial de Yopal y Tribunal Administrativo del Casanare</w:t>
      </w:r>
    </w:p>
    <w:p w14:paraId="56FB1AEA" w14:textId="77777777" w:rsidR="001A5D58" w:rsidRPr="005C41E9" w:rsidRDefault="001A5D58" w:rsidP="005C41E9">
      <w:pPr>
        <w:spacing w:line="276" w:lineRule="auto"/>
        <w:ind w:right="51"/>
        <w:contextualSpacing/>
        <w:rPr>
          <w:b/>
          <w:sz w:val="24"/>
          <w:szCs w:val="24"/>
        </w:rPr>
      </w:pPr>
    </w:p>
    <w:p w14:paraId="5502B028" w14:textId="2DBBA438" w:rsidR="000C5DB7" w:rsidRPr="005C41E9" w:rsidRDefault="000C5DB7" w:rsidP="005C41E9">
      <w:pPr>
        <w:pBdr>
          <w:bottom w:val="single" w:sz="12" w:space="0" w:color="auto"/>
        </w:pBdr>
        <w:spacing w:line="276" w:lineRule="auto"/>
        <w:ind w:left="2832" w:hanging="2832"/>
        <w:contextualSpacing/>
        <w:rPr>
          <w:b/>
          <w:sz w:val="24"/>
          <w:szCs w:val="24"/>
        </w:rPr>
      </w:pPr>
      <w:r w:rsidRPr="005C41E9">
        <w:rPr>
          <w:b/>
          <w:sz w:val="24"/>
          <w:szCs w:val="24"/>
        </w:rPr>
        <w:t xml:space="preserve">SENTENCIA DE </w:t>
      </w:r>
      <w:r w:rsidR="001A5D58" w:rsidRPr="005C41E9">
        <w:rPr>
          <w:b/>
          <w:sz w:val="24"/>
          <w:szCs w:val="24"/>
        </w:rPr>
        <w:t>PRIMERA</w:t>
      </w:r>
      <w:r w:rsidRPr="005C41E9">
        <w:rPr>
          <w:b/>
          <w:sz w:val="24"/>
          <w:szCs w:val="24"/>
        </w:rPr>
        <w:t xml:space="preserve"> INSTANCIA</w:t>
      </w:r>
    </w:p>
    <w:p w14:paraId="632CC7FE" w14:textId="77777777" w:rsidR="000C5DB7" w:rsidRPr="005C41E9" w:rsidRDefault="000C5DB7" w:rsidP="005C41E9">
      <w:pPr>
        <w:spacing w:line="276" w:lineRule="auto"/>
        <w:contextualSpacing/>
        <w:rPr>
          <w:b/>
          <w:sz w:val="24"/>
          <w:szCs w:val="24"/>
        </w:rPr>
      </w:pPr>
    </w:p>
    <w:p w14:paraId="480156D4" w14:textId="50F83D84" w:rsidR="0097486A" w:rsidRPr="005C41E9" w:rsidRDefault="000C5DB7" w:rsidP="005C41E9">
      <w:pPr>
        <w:spacing w:line="276" w:lineRule="auto"/>
        <w:contextualSpacing/>
        <w:rPr>
          <w:sz w:val="24"/>
          <w:szCs w:val="24"/>
        </w:rPr>
      </w:pPr>
      <w:r w:rsidRPr="005C41E9">
        <w:rPr>
          <w:sz w:val="24"/>
          <w:szCs w:val="24"/>
        </w:rPr>
        <w:t>La Sala decide</w:t>
      </w:r>
      <w:r w:rsidR="0097486A" w:rsidRPr="005C41E9">
        <w:rPr>
          <w:sz w:val="24"/>
          <w:szCs w:val="24"/>
        </w:rPr>
        <w:t xml:space="preserve"> </w:t>
      </w:r>
      <w:r w:rsidR="005717A7" w:rsidRPr="005C41E9">
        <w:rPr>
          <w:sz w:val="24"/>
          <w:szCs w:val="24"/>
        </w:rPr>
        <w:t xml:space="preserve">la </w:t>
      </w:r>
      <w:r w:rsidR="009E4D16" w:rsidRPr="005C41E9">
        <w:rPr>
          <w:sz w:val="24"/>
          <w:szCs w:val="24"/>
        </w:rPr>
        <w:t>solicitud de amparo</w:t>
      </w:r>
      <w:r w:rsidR="005717A7" w:rsidRPr="005C41E9">
        <w:rPr>
          <w:sz w:val="24"/>
          <w:szCs w:val="24"/>
        </w:rPr>
        <w:t xml:space="preserve"> que</w:t>
      </w:r>
      <w:r w:rsidR="00A545B5" w:rsidRPr="005C41E9">
        <w:rPr>
          <w:sz w:val="24"/>
          <w:szCs w:val="24"/>
        </w:rPr>
        <w:t xml:space="preserve"> </w:t>
      </w:r>
      <w:r w:rsidR="005717A7" w:rsidRPr="005C41E9">
        <w:rPr>
          <w:sz w:val="24"/>
          <w:szCs w:val="24"/>
        </w:rPr>
        <w:t>present</w:t>
      </w:r>
      <w:r w:rsidR="00A545B5" w:rsidRPr="005C41E9">
        <w:rPr>
          <w:sz w:val="24"/>
          <w:szCs w:val="24"/>
        </w:rPr>
        <w:t>ó</w:t>
      </w:r>
      <w:r w:rsidR="005717A7" w:rsidRPr="005C41E9">
        <w:rPr>
          <w:sz w:val="24"/>
          <w:szCs w:val="24"/>
        </w:rPr>
        <w:t xml:space="preserve"> </w:t>
      </w:r>
      <w:r w:rsidR="00366361" w:rsidRPr="005C41E9">
        <w:rPr>
          <w:sz w:val="24"/>
          <w:szCs w:val="24"/>
        </w:rPr>
        <w:t>Edgar Enrique Leguizamón Alberto</w:t>
      </w:r>
      <w:r w:rsidR="00B93639" w:rsidRPr="005C41E9">
        <w:rPr>
          <w:sz w:val="24"/>
          <w:szCs w:val="24"/>
        </w:rPr>
        <w:t xml:space="preserve"> </w:t>
      </w:r>
      <w:r w:rsidR="005717A7" w:rsidRPr="005C41E9">
        <w:rPr>
          <w:sz w:val="24"/>
          <w:szCs w:val="24"/>
        </w:rPr>
        <w:t xml:space="preserve">contra </w:t>
      </w:r>
      <w:r w:rsidR="00366361" w:rsidRPr="005C41E9">
        <w:rPr>
          <w:sz w:val="24"/>
          <w:szCs w:val="24"/>
        </w:rPr>
        <w:t>el Juzgado Primero Administrativo del Circuito Judicial de Yopal y el Tribunal Administrativo del Casanare</w:t>
      </w:r>
      <w:r w:rsidR="0020077C" w:rsidRPr="005C41E9">
        <w:rPr>
          <w:sz w:val="24"/>
          <w:szCs w:val="24"/>
        </w:rPr>
        <w:t>.</w:t>
      </w:r>
    </w:p>
    <w:p w14:paraId="766CF102" w14:textId="77777777" w:rsidR="00E57BB4" w:rsidRPr="005C41E9" w:rsidRDefault="00E57BB4" w:rsidP="005C41E9">
      <w:pPr>
        <w:spacing w:line="276" w:lineRule="auto"/>
        <w:contextualSpacing/>
        <w:rPr>
          <w:sz w:val="24"/>
          <w:szCs w:val="24"/>
        </w:rPr>
      </w:pPr>
    </w:p>
    <w:p w14:paraId="4C66CC71" w14:textId="77777777" w:rsidR="000C5DB7" w:rsidRPr="005C41E9" w:rsidRDefault="000C5DB7" w:rsidP="005C41E9">
      <w:pPr>
        <w:pStyle w:val="Heading1"/>
        <w:spacing w:before="0" w:after="0"/>
        <w:rPr>
          <w:rFonts w:cs="Arial"/>
          <w:kern w:val="0"/>
          <w:szCs w:val="24"/>
        </w:rPr>
      </w:pPr>
      <w:r w:rsidRPr="005C41E9">
        <w:rPr>
          <w:rFonts w:cs="Arial"/>
          <w:kern w:val="0"/>
          <w:szCs w:val="24"/>
        </w:rPr>
        <w:t>ANTECEDENTES</w:t>
      </w:r>
    </w:p>
    <w:p w14:paraId="1EBDE87D" w14:textId="77777777" w:rsidR="00E57BB4" w:rsidRPr="005C41E9" w:rsidRDefault="00E57BB4" w:rsidP="005C41E9">
      <w:pPr>
        <w:pStyle w:val="Heading2"/>
        <w:numPr>
          <w:ilvl w:val="0"/>
          <w:numId w:val="0"/>
        </w:numPr>
        <w:spacing w:before="0" w:after="0" w:line="276" w:lineRule="auto"/>
        <w:rPr>
          <w:rFonts w:cs="Arial"/>
          <w:szCs w:val="24"/>
          <w:lang w:eastAsia="es-ES"/>
        </w:rPr>
      </w:pPr>
    </w:p>
    <w:p w14:paraId="768CCA4A" w14:textId="77777777" w:rsidR="00FF190B" w:rsidRPr="005C41E9" w:rsidRDefault="000C5DB7" w:rsidP="005C41E9">
      <w:pPr>
        <w:pStyle w:val="Heading2"/>
        <w:spacing w:before="0" w:after="0" w:line="276" w:lineRule="auto"/>
        <w:ind w:left="0" w:firstLine="0"/>
        <w:rPr>
          <w:rFonts w:cs="Arial"/>
          <w:szCs w:val="24"/>
          <w:lang w:eastAsia="es-ES"/>
        </w:rPr>
      </w:pPr>
      <w:r w:rsidRPr="005C41E9">
        <w:rPr>
          <w:rFonts w:cs="Arial"/>
          <w:szCs w:val="24"/>
          <w:lang w:eastAsia="es-ES"/>
        </w:rPr>
        <w:t>Solicitud de tutela</w:t>
      </w:r>
    </w:p>
    <w:p w14:paraId="123972A5" w14:textId="77777777" w:rsidR="00FF190B" w:rsidRPr="005C41E9" w:rsidRDefault="00FF190B" w:rsidP="005C41E9">
      <w:pPr>
        <w:overflowPunct w:val="0"/>
        <w:autoSpaceDE w:val="0"/>
        <w:autoSpaceDN w:val="0"/>
        <w:adjustRightInd w:val="0"/>
        <w:spacing w:line="276" w:lineRule="auto"/>
        <w:contextualSpacing/>
        <w:textAlignment w:val="baseline"/>
        <w:rPr>
          <w:sz w:val="24"/>
          <w:szCs w:val="24"/>
        </w:rPr>
      </w:pPr>
    </w:p>
    <w:p w14:paraId="5D5B8FE7" w14:textId="3B70B728" w:rsidR="00366361" w:rsidRPr="005C41E9" w:rsidRDefault="00366361" w:rsidP="005C41E9">
      <w:pPr>
        <w:spacing w:line="276" w:lineRule="auto"/>
        <w:rPr>
          <w:sz w:val="24"/>
          <w:szCs w:val="24"/>
        </w:rPr>
      </w:pPr>
      <w:r w:rsidRPr="005C41E9">
        <w:rPr>
          <w:sz w:val="24"/>
          <w:szCs w:val="24"/>
        </w:rPr>
        <w:t>Edgar Enrique Leguizamón Alberto, por conducto de apoderado judicial, presentó solicitud de amparo</w:t>
      </w:r>
      <w:r w:rsidRPr="005C41E9">
        <w:rPr>
          <w:sz w:val="24"/>
          <w:szCs w:val="24"/>
          <w:vertAlign w:val="superscript"/>
        </w:rPr>
        <w:footnoteReference w:id="2"/>
      </w:r>
      <w:r w:rsidRPr="005C41E9">
        <w:rPr>
          <w:sz w:val="24"/>
          <w:szCs w:val="24"/>
        </w:rPr>
        <w:t xml:space="preserve"> de sus derechos fundamentales al debido proceso y </w:t>
      </w:r>
      <w:r w:rsidR="00DE364B" w:rsidRPr="005C41E9">
        <w:rPr>
          <w:sz w:val="24"/>
          <w:szCs w:val="24"/>
        </w:rPr>
        <w:t>al</w:t>
      </w:r>
      <w:r w:rsidRPr="005C41E9">
        <w:rPr>
          <w:sz w:val="24"/>
          <w:szCs w:val="24"/>
        </w:rPr>
        <w:t xml:space="preserve"> acceso a la administración de justicia. Tales garantías las consideró vulneradas por el Juzgado Primero Administrativo del Circuito Judicial de Yopal y el Tribunal Administrativo del Casanare. Lo anterior, con ocasión de los autos proferidos el 7 de noviembre de 2019 y el 12 de marzo de 2020, que declararon la caducidad de la demanda ejecutiva interpuesta por él contra la Unidad Administrativa Especial de Gestión Pensional y Contribuciones Parafiscales de la Protección Social (UGPP)</w:t>
      </w:r>
      <w:r w:rsidRPr="005C41E9">
        <w:rPr>
          <w:sz w:val="24"/>
          <w:szCs w:val="24"/>
          <w:vertAlign w:val="superscript"/>
        </w:rPr>
        <w:footnoteReference w:id="3"/>
      </w:r>
      <w:r w:rsidRPr="005C41E9">
        <w:rPr>
          <w:sz w:val="24"/>
          <w:szCs w:val="24"/>
        </w:rPr>
        <w:t>.</w:t>
      </w:r>
    </w:p>
    <w:p w14:paraId="4B65184E" w14:textId="77777777" w:rsidR="00366361" w:rsidRPr="005C41E9" w:rsidRDefault="00366361" w:rsidP="005C41E9">
      <w:pPr>
        <w:spacing w:line="276" w:lineRule="auto"/>
        <w:contextualSpacing/>
        <w:rPr>
          <w:rFonts w:eastAsia="Verdana"/>
          <w:sz w:val="24"/>
          <w:szCs w:val="24"/>
        </w:rPr>
      </w:pPr>
    </w:p>
    <w:p w14:paraId="3FAB417C" w14:textId="77777777" w:rsidR="000C5DB7" w:rsidRPr="005C41E9" w:rsidRDefault="000C5DB7" w:rsidP="005C41E9">
      <w:pPr>
        <w:numPr>
          <w:ilvl w:val="0"/>
          <w:numId w:val="3"/>
        </w:numPr>
        <w:spacing w:line="276" w:lineRule="auto"/>
        <w:ind w:left="0" w:firstLine="0"/>
        <w:contextualSpacing/>
        <w:rPr>
          <w:rFonts w:eastAsia="Verdana"/>
          <w:b/>
          <w:sz w:val="24"/>
          <w:szCs w:val="24"/>
        </w:rPr>
      </w:pPr>
      <w:r w:rsidRPr="005C41E9">
        <w:rPr>
          <w:rFonts w:eastAsia="Verdana"/>
          <w:b/>
          <w:sz w:val="24"/>
          <w:szCs w:val="24"/>
        </w:rPr>
        <w:t>Hechos</w:t>
      </w:r>
    </w:p>
    <w:p w14:paraId="27FBFA21" w14:textId="337EA2A8" w:rsidR="00166AF6" w:rsidRPr="005C41E9" w:rsidRDefault="00166AF6" w:rsidP="005C41E9">
      <w:pPr>
        <w:spacing w:line="276" w:lineRule="auto"/>
        <w:contextualSpacing/>
        <w:rPr>
          <w:rFonts w:eastAsia="Verdana"/>
          <w:sz w:val="24"/>
          <w:szCs w:val="24"/>
        </w:rPr>
      </w:pPr>
    </w:p>
    <w:p w14:paraId="415E4ECF" w14:textId="536CCEE3" w:rsidR="00CD7409" w:rsidRPr="005C41E9" w:rsidRDefault="00DE364B" w:rsidP="005C41E9">
      <w:pPr>
        <w:pStyle w:val="ListParagraph"/>
        <w:numPr>
          <w:ilvl w:val="1"/>
          <w:numId w:val="3"/>
        </w:numPr>
        <w:spacing w:line="276" w:lineRule="auto"/>
        <w:ind w:left="0" w:firstLine="0"/>
        <w:rPr>
          <w:sz w:val="24"/>
          <w:szCs w:val="24"/>
        </w:rPr>
      </w:pPr>
      <w:r w:rsidRPr="005C41E9">
        <w:rPr>
          <w:rFonts w:eastAsia="Verdana"/>
          <w:sz w:val="24"/>
          <w:szCs w:val="24"/>
        </w:rPr>
        <w:t>Edgar Enrique Leguizamón Alberto interpuso demanda ejecutiva contra la UGPP</w:t>
      </w:r>
      <w:r w:rsidRPr="005C41E9">
        <w:rPr>
          <w:rStyle w:val="FootnoteReference"/>
          <w:sz w:val="24"/>
          <w:szCs w:val="24"/>
        </w:rPr>
        <w:footnoteReference w:id="4"/>
      </w:r>
      <w:r w:rsidRPr="005C41E9">
        <w:rPr>
          <w:rFonts w:eastAsia="Verdana"/>
          <w:sz w:val="24"/>
          <w:szCs w:val="24"/>
        </w:rPr>
        <w:t xml:space="preserve"> con el fin de reclamar el pago de los intereses moratorios derivados de la condena impuesta por el Juzgado Primero Administrativo del Circuito Judicial de Yopal, a través de la sentencia del 12 de marzo de 2009</w:t>
      </w:r>
      <w:r w:rsidRPr="005C41E9">
        <w:rPr>
          <w:rStyle w:val="FootnoteReference"/>
          <w:sz w:val="24"/>
          <w:szCs w:val="24"/>
        </w:rPr>
        <w:footnoteReference w:id="5"/>
      </w:r>
      <w:r w:rsidRPr="005C41E9">
        <w:rPr>
          <w:rFonts w:eastAsia="Verdana"/>
          <w:sz w:val="24"/>
          <w:szCs w:val="24"/>
        </w:rPr>
        <w:t xml:space="preserve">, proferida dentro de la acción de nulidad y restablecimiento del derecho promovida por </w:t>
      </w:r>
      <w:r w:rsidR="00AF22FA">
        <w:rPr>
          <w:rFonts w:eastAsia="Verdana"/>
          <w:sz w:val="24"/>
          <w:szCs w:val="24"/>
        </w:rPr>
        <w:t>el citado señor</w:t>
      </w:r>
      <w:r w:rsidRPr="005C41E9">
        <w:rPr>
          <w:rFonts w:eastAsia="Verdana"/>
          <w:sz w:val="24"/>
          <w:szCs w:val="24"/>
        </w:rPr>
        <w:t xml:space="preserve"> contra la entonces Caja Nacional de Previsión Social (CAJANAL).</w:t>
      </w:r>
    </w:p>
    <w:p w14:paraId="735011F8" w14:textId="77777777" w:rsidR="00DE364B" w:rsidRPr="005C41E9" w:rsidRDefault="00DE364B" w:rsidP="005C41E9">
      <w:pPr>
        <w:pStyle w:val="ListParagraph"/>
        <w:spacing w:line="276" w:lineRule="auto"/>
        <w:ind w:left="0"/>
        <w:rPr>
          <w:sz w:val="24"/>
          <w:szCs w:val="24"/>
        </w:rPr>
      </w:pPr>
    </w:p>
    <w:p w14:paraId="29B5018D" w14:textId="284BB093" w:rsidR="002931E4" w:rsidRPr="005C41E9" w:rsidRDefault="002931E4" w:rsidP="005C41E9">
      <w:pPr>
        <w:pStyle w:val="ListParagraph"/>
        <w:numPr>
          <w:ilvl w:val="1"/>
          <w:numId w:val="3"/>
        </w:numPr>
        <w:spacing w:line="276" w:lineRule="auto"/>
        <w:ind w:left="0" w:firstLine="0"/>
        <w:rPr>
          <w:sz w:val="24"/>
          <w:szCs w:val="24"/>
        </w:rPr>
      </w:pPr>
      <w:r w:rsidRPr="005C41E9">
        <w:rPr>
          <w:sz w:val="24"/>
          <w:szCs w:val="24"/>
        </w:rPr>
        <w:t>El Juzgado Primero Administrativo del Circuito Judicial de Yopal, en auto proferido el 7 de noviembre de 2019</w:t>
      </w:r>
      <w:r w:rsidR="00E96CF0" w:rsidRPr="005C41E9">
        <w:rPr>
          <w:rStyle w:val="FootnoteReference"/>
          <w:sz w:val="24"/>
          <w:szCs w:val="24"/>
        </w:rPr>
        <w:footnoteReference w:id="6"/>
      </w:r>
      <w:r w:rsidRPr="005C41E9">
        <w:rPr>
          <w:sz w:val="24"/>
          <w:szCs w:val="24"/>
        </w:rPr>
        <w:t xml:space="preserve">, declaró </w:t>
      </w:r>
      <w:r w:rsidR="0065146B" w:rsidRPr="005C41E9">
        <w:rPr>
          <w:sz w:val="24"/>
          <w:szCs w:val="24"/>
        </w:rPr>
        <w:t>caducada</w:t>
      </w:r>
      <w:r w:rsidRPr="005C41E9">
        <w:rPr>
          <w:sz w:val="24"/>
          <w:szCs w:val="24"/>
        </w:rPr>
        <w:t xml:space="preserve"> la demanda en mención.</w:t>
      </w:r>
      <w:r w:rsidR="00AE5368" w:rsidRPr="005C41E9">
        <w:rPr>
          <w:sz w:val="24"/>
          <w:szCs w:val="24"/>
        </w:rPr>
        <w:t xml:space="preserve"> </w:t>
      </w:r>
      <w:r w:rsidR="0065146B" w:rsidRPr="005C41E9">
        <w:rPr>
          <w:sz w:val="24"/>
          <w:szCs w:val="24"/>
        </w:rPr>
        <w:t xml:space="preserve">Para </w:t>
      </w:r>
      <w:r w:rsidR="00AE5368" w:rsidRPr="005C41E9">
        <w:rPr>
          <w:sz w:val="24"/>
          <w:szCs w:val="24"/>
        </w:rPr>
        <w:lastRenderedPageBreak/>
        <w:t xml:space="preserve">ese </w:t>
      </w:r>
      <w:r w:rsidR="0065146B" w:rsidRPr="005C41E9">
        <w:rPr>
          <w:sz w:val="24"/>
          <w:szCs w:val="24"/>
        </w:rPr>
        <w:t>juez</w:t>
      </w:r>
      <w:r w:rsidR="00AE5368" w:rsidRPr="005C41E9">
        <w:rPr>
          <w:sz w:val="24"/>
          <w:szCs w:val="24"/>
        </w:rPr>
        <w:t xml:space="preserve">, </w:t>
      </w:r>
      <w:r w:rsidR="0065146B" w:rsidRPr="005C41E9">
        <w:rPr>
          <w:sz w:val="24"/>
          <w:szCs w:val="24"/>
        </w:rPr>
        <w:t>el fallo</w:t>
      </w:r>
      <w:r w:rsidR="00AE5368" w:rsidRPr="005C41E9">
        <w:rPr>
          <w:sz w:val="24"/>
          <w:szCs w:val="24"/>
        </w:rPr>
        <w:t xml:space="preserve"> que se exhibió como título ejecutivo quedó ejecutoriad</w:t>
      </w:r>
      <w:r w:rsidR="0065146B" w:rsidRPr="005C41E9">
        <w:rPr>
          <w:sz w:val="24"/>
          <w:szCs w:val="24"/>
        </w:rPr>
        <w:t>o</w:t>
      </w:r>
      <w:r w:rsidR="00AE5368" w:rsidRPr="005C41E9">
        <w:rPr>
          <w:sz w:val="24"/>
          <w:szCs w:val="24"/>
        </w:rPr>
        <w:t xml:space="preserve"> el 26 de marzo de 2009. Con base en ello, </w:t>
      </w:r>
      <w:r w:rsidR="0065146B" w:rsidRPr="005C41E9">
        <w:rPr>
          <w:sz w:val="24"/>
          <w:szCs w:val="24"/>
        </w:rPr>
        <w:t>afirmó que el</w:t>
      </w:r>
      <w:r w:rsidR="00AE5368" w:rsidRPr="005C41E9">
        <w:rPr>
          <w:sz w:val="24"/>
          <w:szCs w:val="24"/>
        </w:rPr>
        <w:t xml:space="preserve"> cumplimiento </w:t>
      </w:r>
      <w:r w:rsidR="0065146B" w:rsidRPr="005C41E9">
        <w:rPr>
          <w:sz w:val="24"/>
          <w:szCs w:val="24"/>
        </w:rPr>
        <w:t xml:space="preserve">de ese proveído </w:t>
      </w:r>
      <w:r w:rsidR="00AE5368" w:rsidRPr="005C41E9">
        <w:rPr>
          <w:sz w:val="24"/>
          <w:szCs w:val="24"/>
        </w:rPr>
        <w:t>se hizo exigible dieciocho meses después, es decir, el 26 de septiembre de 2010.</w:t>
      </w:r>
      <w:r w:rsidR="0065146B" w:rsidRPr="005C41E9">
        <w:rPr>
          <w:sz w:val="24"/>
          <w:szCs w:val="24"/>
        </w:rPr>
        <w:t xml:space="preserve"> Luego, advirtió que los términos de prescripción y caducidad respecto de la extinta CAJANAL, quedaron suspendidos entre el 12 de junio de 2009 y el 11 de junio de 2013. A partir de lo anterior, señaló que el momento de exigibilidad de la providencia en comento ocurrió dentro </w:t>
      </w:r>
      <w:r w:rsidR="00842583" w:rsidRPr="005C41E9">
        <w:rPr>
          <w:sz w:val="24"/>
          <w:szCs w:val="24"/>
        </w:rPr>
        <w:t>del interregno</w:t>
      </w:r>
      <w:r w:rsidR="0065146B" w:rsidRPr="005C41E9">
        <w:rPr>
          <w:sz w:val="24"/>
          <w:szCs w:val="24"/>
        </w:rPr>
        <w:t xml:space="preserve"> en que los términos bajo consulta estaban suspendidos. Por tanto, en el caso concreto, la caducidad debía contarse desde el 12 de junio de 2013 hasta el 12 de junio de 2018. Así las cosas, encontró caducada la demanda por haberse radicado </w:t>
      </w:r>
      <w:r w:rsidR="00842583" w:rsidRPr="005C41E9">
        <w:rPr>
          <w:sz w:val="24"/>
          <w:szCs w:val="24"/>
        </w:rPr>
        <w:t xml:space="preserve">esta </w:t>
      </w:r>
      <w:r w:rsidR="0065146B" w:rsidRPr="005C41E9">
        <w:rPr>
          <w:sz w:val="24"/>
          <w:szCs w:val="24"/>
        </w:rPr>
        <w:t xml:space="preserve">solamente hasta el </w:t>
      </w:r>
      <w:r w:rsidR="00271AB7" w:rsidRPr="005C41E9">
        <w:rPr>
          <w:sz w:val="24"/>
          <w:szCs w:val="24"/>
        </w:rPr>
        <w:t>“</w:t>
      </w:r>
      <w:r w:rsidR="0065146B" w:rsidRPr="005C41E9">
        <w:rPr>
          <w:sz w:val="24"/>
          <w:szCs w:val="24"/>
        </w:rPr>
        <w:t>21 de febrero de 2019</w:t>
      </w:r>
      <w:r w:rsidR="00271AB7" w:rsidRPr="005C41E9">
        <w:rPr>
          <w:sz w:val="24"/>
          <w:szCs w:val="24"/>
        </w:rPr>
        <w:t>”</w:t>
      </w:r>
      <w:r w:rsidR="00271AB7" w:rsidRPr="005C41E9">
        <w:rPr>
          <w:rStyle w:val="FootnoteReference"/>
          <w:sz w:val="24"/>
          <w:szCs w:val="24"/>
        </w:rPr>
        <w:footnoteReference w:id="7"/>
      </w:r>
      <w:r w:rsidR="0065146B" w:rsidRPr="005C41E9">
        <w:rPr>
          <w:sz w:val="24"/>
          <w:szCs w:val="24"/>
        </w:rPr>
        <w:t>.</w:t>
      </w:r>
    </w:p>
    <w:p w14:paraId="44142B73" w14:textId="77777777" w:rsidR="00232883" w:rsidRPr="005C41E9" w:rsidRDefault="00232883" w:rsidP="005C41E9">
      <w:pPr>
        <w:pStyle w:val="ListParagraph"/>
        <w:spacing w:line="276" w:lineRule="auto"/>
        <w:rPr>
          <w:sz w:val="24"/>
          <w:szCs w:val="24"/>
        </w:rPr>
      </w:pPr>
    </w:p>
    <w:p w14:paraId="5C5500FF" w14:textId="26ADD1D6" w:rsidR="00232883" w:rsidRPr="005C41E9" w:rsidRDefault="00232883" w:rsidP="005C41E9">
      <w:pPr>
        <w:pStyle w:val="ListParagraph"/>
        <w:numPr>
          <w:ilvl w:val="1"/>
          <w:numId w:val="3"/>
        </w:numPr>
        <w:spacing w:line="276" w:lineRule="auto"/>
        <w:ind w:left="0" w:firstLine="0"/>
        <w:rPr>
          <w:sz w:val="24"/>
          <w:szCs w:val="24"/>
        </w:rPr>
      </w:pPr>
      <w:r w:rsidRPr="005C41E9">
        <w:rPr>
          <w:sz w:val="24"/>
          <w:szCs w:val="24"/>
        </w:rPr>
        <w:t xml:space="preserve">Inconforme con lo resuelto, el demandante interpuso recurso de apelación. En su memorial, afirmó que el </w:t>
      </w:r>
      <w:r w:rsidRPr="005C41E9">
        <w:rPr>
          <w:i/>
          <w:iCs/>
          <w:sz w:val="24"/>
          <w:szCs w:val="24"/>
        </w:rPr>
        <w:t>a quo</w:t>
      </w:r>
      <w:r w:rsidRPr="005C41E9">
        <w:rPr>
          <w:sz w:val="24"/>
          <w:szCs w:val="24"/>
        </w:rPr>
        <w:t xml:space="preserve"> no advirtió que los términos para demandar a CAJANAL estuvieron en suspenso desde el 12 de junio de 2009 hasta el 12 de junio de 2013. Con base en lo anterior, solicitó que la decisión recurrida fuera revocada.</w:t>
      </w:r>
    </w:p>
    <w:p w14:paraId="3F5DB6F1" w14:textId="77777777" w:rsidR="00C85729" w:rsidRPr="005C41E9" w:rsidRDefault="00C85729" w:rsidP="005C41E9">
      <w:pPr>
        <w:spacing w:line="276" w:lineRule="auto"/>
        <w:rPr>
          <w:sz w:val="24"/>
          <w:szCs w:val="24"/>
        </w:rPr>
      </w:pPr>
    </w:p>
    <w:p w14:paraId="15D24996" w14:textId="59CB7E0C" w:rsidR="00C85729" w:rsidRPr="005C41E9" w:rsidRDefault="00C85729" w:rsidP="005C41E9">
      <w:pPr>
        <w:pStyle w:val="ListParagraph"/>
        <w:numPr>
          <w:ilvl w:val="1"/>
          <w:numId w:val="3"/>
        </w:numPr>
        <w:spacing w:line="276" w:lineRule="auto"/>
        <w:ind w:left="0" w:firstLine="0"/>
        <w:rPr>
          <w:sz w:val="24"/>
          <w:szCs w:val="24"/>
        </w:rPr>
      </w:pPr>
      <w:r w:rsidRPr="005C41E9">
        <w:rPr>
          <w:sz w:val="24"/>
          <w:szCs w:val="24"/>
        </w:rPr>
        <w:t xml:space="preserve">El Tribunal Administrativo del Casanare, en segunda instancia, </w:t>
      </w:r>
      <w:r w:rsidR="00964044" w:rsidRPr="005C41E9">
        <w:rPr>
          <w:sz w:val="24"/>
          <w:szCs w:val="24"/>
        </w:rPr>
        <w:t>en</w:t>
      </w:r>
      <w:r w:rsidRPr="005C41E9">
        <w:rPr>
          <w:sz w:val="24"/>
          <w:szCs w:val="24"/>
        </w:rPr>
        <w:t xml:space="preserve"> auto dictado el 12 de marzo de 2020</w:t>
      </w:r>
      <w:r w:rsidR="00E96CF0" w:rsidRPr="005C41E9">
        <w:rPr>
          <w:rStyle w:val="FootnoteReference"/>
          <w:sz w:val="24"/>
          <w:szCs w:val="24"/>
        </w:rPr>
        <w:footnoteReference w:id="8"/>
      </w:r>
      <w:r w:rsidRPr="005C41E9">
        <w:rPr>
          <w:sz w:val="24"/>
          <w:szCs w:val="24"/>
        </w:rPr>
        <w:t>, confirmó la decisión apelada.</w:t>
      </w:r>
      <w:r w:rsidR="0064012F" w:rsidRPr="005C41E9">
        <w:rPr>
          <w:sz w:val="24"/>
          <w:szCs w:val="24"/>
        </w:rPr>
        <w:t xml:space="preserve"> </w:t>
      </w:r>
      <w:r w:rsidR="00964044" w:rsidRPr="005C41E9">
        <w:rPr>
          <w:sz w:val="24"/>
          <w:szCs w:val="24"/>
        </w:rPr>
        <w:t>Al respecto</w:t>
      </w:r>
      <w:r w:rsidR="0064012F" w:rsidRPr="005C41E9">
        <w:rPr>
          <w:sz w:val="24"/>
          <w:szCs w:val="24"/>
        </w:rPr>
        <w:t xml:space="preserve">, tuvo en cuenta que la providencia cuyo cumplimiento se pretendía fue proferida el 12 de marzo de 2009 y ejecutoriada el 26 de ese mes y año. Después, evidenció que la materialización de ese proveído se hizo exigible desde el 27 de septiembre de 2010. Seguidamente, indicó que el </w:t>
      </w:r>
      <w:r w:rsidR="0064012F" w:rsidRPr="005C41E9">
        <w:rPr>
          <w:i/>
          <w:iCs/>
          <w:sz w:val="24"/>
          <w:szCs w:val="24"/>
        </w:rPr>
        <w:t>a quo</w:t>
      </w:r>
      <w:r w:rsidR="0064012F" w:rsidRPr="005C41E9">
        <w:rPr>
          <w:sz w:val="24"/>
          <w:szCs w:val="24"/>
        </w:rPr>
        <w:t xml:space="preserve"> había acertado al precisar que los términos bajo estudio, en lo que atañe a CAJANAL, habían quedado suspendidos entre el 12 de junio de 2009 hasta el 11 de junio de 2013. </w:t>
      </w:r>
      <w:r w:rsidR="00F413A4" w:rsidRPr="005C41E9">
        <w:rPr>
          <w:sz w:val="24"/>
          <w:szCs w:val="24"/>
        </w:rPr>
        <w:t xml:space="preserve">En consecuencia, concluyó que el plazo para demandar debía contarse desde el 12 de junio de 2013 hasta el 12 de junio de 2018, día en que venció, pues la demanda se radicó el </w:t>
      </w:r>
      <w:r w:rsidR="00271AB7" w:rsidRPr="005C41E9">
        <w:rPr>
          <w:sz w:val="24"/>
          <w:szCs w:val="24"/>
        </w:rPr>
        <w:t>“</w:t>
      </w:r>
      <w:r w:rsidR="00F413A4" w:rsidRPr="005C41E9">
        <w:rPr>
          <w:sz w:val="24"/>
          <w:szCs w:val="24"/>
        </w:rPr>
        <w:t>26 de febrero de 2019</w:t>
      </w:r>
      <w:r w:rsidR="00271AB7" w:rsidRPr="005C41E9">
        <w:rPr>
          <w:sz w:val="24"/>
          <w:szCs w:val="24"/>
        </w:rPr>
        <w:t>”</w:t>
      </w:r>
      <w:r w:rsidR="00271AB7" w:rsidRPr="005C41E9">
        <w:rPr>
          <w:rStyle w:val="FootnoteReference"/>
          <w:sz w:val="24"/>
          <w:szCs w:val="24"/>
        </w:rPr>
        <w:footnoteReference w:id="9"/>
      </w:r>
      <w:r w:rsidR="00F413A4" w:rsidRPr="005C41E9">
        <w:rPr>
          <w:sz w:val="24"/>
          <w:szCs w:val="24"/>
        </w:rPr>
        <w:t>.</w:t>
      </w:r>
    </w:p>
    <w:p w14:paraId="4B7C2985" w14:textId="715CDA24" w:rsidR="00D531F9" w:rsidRPr="005C41E9" w:rsidRDefault="00D531F9" w:rsidP="005C41E9">
      <w:pPr>
        <w:spacing w:line="276" w:lineRule="auto"/>
        <w:rPr>
          <w:b/>
          <w:bCs/>
          <w:sz w:val="24"/>
          <w:szCs w:val="24"/>
        </w:rPr>
      </w:pPr>
    </w:p>
    <w:p w14:paraId="62F83F9F" w14:textId="7A20ED20" w:rsidR="0065349D" w:rsidRPr="005C41E9" w:rsidRDefault="000C5DB7" w:rsidP="005C41E9">
      <w:pPr>
        <w:numPr>
          <w:ilvl w:val="0"/>
          <w:numId w:val="3"/>
        </w:numPr>
        <w:overflowPunct w:val="0"/>
        <w:autoSpaceDE w:val="0"/>
        <w:autoSpaceDN w:val="0"/>
        <w:adjustRightInd w:val="0"/>
        <w:spacing w:line="276" w:lineRule="auto"/>
        <w:ind w:left="0" w:firstLine="0"/>
        <w:contextualSpacing/>
        <w:rPr>
          <w:rFonts w:eastAsia="Times New Roman"/>
          <w:b/>
          <w:sz w:val="24"/>
          <w:szCs w:val="24"/>
          <w:lang w:eastAsia="es-ES"/>
        </w:rPr>
      </w:pPr>
      <w:r w:rsidRPr="005C41E9">
        <w:rPr>
          <w:rFonts w:eastAsia="Times New Roman"/>
          <w:b/>
          <w:sz w:val="24"/>
          <w:szCs w:val="24"/>
          <w:lang w:eastAsia="es-ES"/>
        </w:rPr>
        <w:t>Pretensiones de tutela</w:t>
      </w:r>
    </w:p>
    <w:p w14:paraId="5C35EA85" w14:textId="77777777" w:rsidR="0065349D" w:rsidRPr="005C41E9" w:rsidRDefault="0065349D" w:rsidP="005C41E9">
      <w:pPr>
        <w:overflowPunct w:val="0"/>
        <w:autoSpaceDE w:val="0"/>
        <w:autoSpaceDN w:val="0"/>
        <w:adjustRightInd w:val="0"/>
        <w:spacing w:line="276" w:lineRule="auto"/>
        <w:contextualSpacing/>
        <w:rPr>
          <w:rFonts w:eastAsia="Times New Roman"/>
          <w:b/>
          <w:sz w:val="24"/>
          <w:szCs w:val="24"/>
          <w:lang w:eastAsia="es-ES"/>
        </w:rPr>
      </w:pPr>
    </w:p>
    <w:p w14:paraId="53626092" w14:textId="3A8EBFCF" w:rsidR="002E5558" w:rsidRPr="005C41E9" w:rsidRDefault="004E6B14" w:rsidP="005C41E9">
      <w:pPr>
        <w:overflowPunct w:val="0"/>
        <w:autoSpaceDE w:val="0"/>
        <w:autoSpaceDN w:val="0"/>
        <w:adjustRightInd w:val="0"/>
        <w:spacing w:line="276" w:lineRule="auto"/>
        <w:contextualSpacing/>
        <w:rPr>
          <w:rFonts w:eastAsia="Times New Roman"/>
          <w:b/>
          <w:sz w:val="24"/>
          <w:szCs w:val="24"/>
          <w:lang w:eastAsia="es-ES"/>
        </w:rPr>
      </w:pPr>
      <w:r w:rsidRPr="005C41E9">
        <w:rPr>
          <w:sz w:val="24"/>
          <w:szCs w:val="24"/>
        </w:rPr>
        <w:t>El actor solicitó que los autos enjuiciados se dejen sin efectos jurídicos y que, en su lugar, se ordene dictar providencia de reemplazo</w:t>
      </w:r>
      <w:r w:rsidR="002D033B" w:rsidRPr="005C41E9">
        <w:rPr>
          <w:sz w:val="24"/>
          <w:szCs w:val="24"/>
        </w:rPr>
        <w:t>,</w:t>
      </w:r>
      <w:r w:rsidRPr="005C41E9">
        <w:rPr>
          <w:sz w:val="24"/>
          <w:szCs w:val="24"/>
        </w:rPr>
        <w:t xml:space="preserve"> en </w:t>
      </w:r>
      <w:r w:rsidR="002D033B" w:rsidRPr="005C41E9">
        <w:rPr>
          <w:sz w:val="24"/>
          <w:szCs w:val="24"/>
        </w:rPr>
        <w:t>la</w:t>
      </w:r>
      <w:r w:rsidRPr="005C41E9">
        <w:rPr>
          <w:sz w:val="24"/>
          <w:szCs w:val="24"/>
        </w:rPr>
        <w:t xml:space="preserve"> que se libre mandamiento de pago contra la UGPP por los conceptos indicados en la respectiva demanda ejecutiva.</w:t>
      </w:r>
    </w:p>
    <w:p w14:paraId="2F4F9A5B" w14:textId="77777777" w:rsidR="00552192" w:rsidRPr="005C41E9" w:rsidRDefault="00552192" w:rsidP="005C41E9">
      <w:pPr>
        <w:pStyle w:val="ListParagraph"/>
        <w:overflowPunct w:val="0"/>
        <w:autoSpaceDE w:val="0"/>
        <w:autoSpaceDN w:val="0"/>
        <w:adjustRightInd w:val="0"/>
        <w:spacing w:line="276" w:lineRule="auto"/>
        <w:ind w:left="0"/>
        <w:rPr>
          <w:sz w:val="24"/>
          <w:szCs w:val="24"/>
        </w:rPr>
      </w:pPr>
    </w:p>
    <w:p w14:paraId="1A1C16A6" w14:textId="77777777" w:rsidR="000C5DB7" w:rsidRPr="005C41E9" w:rsidRDefault="000C5DB7" w:rsidP="005C41E9">
      <w:pPr>
        <w:numPr>
          <w:ilvl w:val="0"/>
          <w:numId w:val="3"/>
        </w:numPr>
        <w:overflowPunct w:val="0"/>
        <w:autoSpaceDE w:val="0"/>
        <w:autoSpaceDN w:val="0"/>
        <w:adjustRightInd w:val="0"/>
        <w:spacing w:line="276" w:lineRule="auto"/>
        <w:ind w:left="0" w:firstLine="0"/>
        <w:contextualSpacing/>
        <w:rPr>
          <w:sz w:val="24"/>
          <w:szCs w:val="24"/>
        </w:rPr>
      </w:pPr>
      <w:r w:rsidRPr="005C41E9">
        <w:rPr>
          <w:rFonts w:eastAsia="Arial Unicode MS"/>
          <w:b/>
          <w:sz w:val="24"/>
          <w:szCs w:val="24"/>
        </w:rPr>
        <w:t>Argumentos de la solicitud de tutela</w:t>
      </w:r>
    </w:p>
    <w:p w14:paraId="429DA94F" w14:textId="39692AA2" w:rsidR="00166AF6" w:rsidRPr="005C41E9" w:rsidRDefault="00166AF6" w:rsidP="005C41E9">
      <w:pPr>
        <w:overflowPunct w:val="0"/>
        <w:autoSpaceDE w:val="0"/>
        <w:autoSpaceDN w:val="0"/>
        <w:adjustRightInd w:val="0"/>
        <w:spacing w:line="276" w:lineRule="auto"/>
        <w:contextualSpacing/>
        <w:rPr>
          <w:sz w:val="24"/>
          <w:szCs w:val="24"/>
        </w:rPr>
      </w:pPr>
    </w:p>
    <w:p w14:paraId="6B6CB16F" w14:textId="7AC1B5F7" w:rsidR="008C42C6" w:rsidRPr="005C41E9" w:rsidRDefault="00202A0B" w:rsidP="005C41E9">
      <w:pPr>
        <w:pStyle w:val="ListParagraph"/>
        <w:overflowPunct w:val="0"/>
        <w:autoSpaceDE w:val="0"/>
        <w:autoSpaceDN w:val="0"/>
        <w:adjustRightInd w:val="0"/>
        <w:spacing w:line="276" w:lineRule="auto"/>
        <w:ind w:left="0"/>
        <w:rPr>
          <w:sz w:val="24"/>
          <w:szCs w:val="24"/>
        </w:rPr>
      </w:pPr>
      <w:r w:rsidRPr="005C41E9">
        <w:rPr>
          <w:sz w:val="24"/>
          <w:szCs w:val="24"/>
        </w:rPr>
        <w:t>Para el actor, los autos censurados incurrieron “en un defecto sustancial y probatorio”</w:t>
      </w:r>
      <w:r w:rsidRPr="005C41E9">
        <w:rPr>
          <w:rStyle w:val="FootnoteReference"/>
          <w:sz w:val="24"/>
          <w:szCs w:val="24"/>
        </w:rPr>
        <w:footnoteReference w:id="10"/>
      </w:r>
      <w:r w:rsidRPr="005C41E9">
        <w:rPr>
          <w:sz w:val="24"/>
          <w:szCs w:val="24"/>
        </w:rPr>
        <w:t>. En su criterio, las providencias reprochadas contabilizaron la caducidad solamente con base en lo dispuesto en la letra “k” del artículo 164 de la Ley 1437 de 2011.</w:t>
      </w:r>
      <w:r w:rsidR="006617FB" w:rsidRPr="005C41E9">
        <w:rPr>
          <w:sz w:val="24"/>
          <w:szCs w:val="24"/>
        </w:rPr>
        <w:t xml:space="preserve"> En ese orden de ideas, no tuvieron en cuenta que los términos para demandar a CAJANAL estuvieron suspendidos entre el 12 de junio de 2009 y el 12 de junio de 2013, lo que hacía imposible acudir ante la administración de justicia.</w:t>
      </w:r>
      <w:r w:rsidR="00D112C5" w:rsidRPr="005C41E9">
        <w:rPr>
          <w:sz w:val="24"/>
          <w:szCs w:val="24"/>
        </w:rPr>
        <w:t xml:space="preserve"> Por tal motivo, concluyó</w:t>
      </w:r>
      <w:r w:rsidR="00EF6B57" w:rsidRPr="005C41E9">
        <w:rPr>
          <w:sz w:val="24"/>
          <w:szCs w:val="24"/>
        </w:rPr>
        <w:t xml:space="preserve"> que</w:t>
      </w:r>
      <w:r w:rsidR="00D112C5" w:rsidRPr="005C41E9">
        <w:rPr>
          <w:sz w:val="24"/>
          <w:szCs w:val="24"/>
        </w:rPr>
        <w:t xml:space="preserve"> </w:t>
      </w:r>
      <w:r w:rsidR="00D112C5" w:rsidRPr="005C41E9">
        <w:rPr>
          <w:sz w:val="24"/>
          <w:szCs w:val="24"/>
        </w:rPr>
        <w:lastRenderedPageBreak/>
        <w:t>las decisiones atacadas constituyen una vía de hecho</w:t>
      </w:r>
      <w:r w:rsidR="00EF6B57" w:rsidRPr="005C41E9">
        <w:rPr>
          <w:sz w:val="24"/>
          <w:szCs w:val="24"/>
        </w:rPr>
        <w:t xml:space="preserve"> que</w:t>
      </w:r>
      <w:r w:rsidR="009C0B94" w:rsidRPr="005C41E9">
        <w:rPr>
          <w:sz w:val="24"/>
          <w:szCs w:val="24"/>
        </w:rPr>
        <w:t xml:space="preserve"> está vulnerando sus derechos fundamentales</w:t>
      </w:r>
      <w:r w:rsidR="00D112C5" w:rsidRPr="005C41E9">
        <w:rPr>
          <w:sz w:val="24"/>
          <w:szCs w:val="24"/>
        </w:rPr>
        <w:t>.</w:t>
      </w:r>
    </w:p>
    <w:p w14:paraId="4D1AE410" w14:textId="77777777" w:rsidR="00D214EE" w:rsidRPr="005C41E9" w:rsidRDefault="00D214EE" w:rsidP="005C41E9">
      <w:pPr>
        <w:pStyle w:val="ListParagraph"/>
        <w:overflowPunct w:val="0"/>
        <w:autoSpaceDE w:val="0"/>
        <w:autoSpaceDN w:val="0"/>
        <w:adjustRightInd w:val="0"/>
        <w:spacing w:line="276" w:lineRule="auto"/>
        <w:ind w:left="0"/>
        <w:rPr>
          <w:sz w:val="24"/>
          <w:szCs w:val="24"/>
        </w:rPr>
      </w:pPr>
    </w:p>
    <w:p w14:paraId="6E13F4BD" w14:textId="77777777" w:rsidR="000C5DB7" w:rsidRPr="005C41E9" w:rsidRDefault="00E800E8" w:rsidP="005C41E9">
      <w:pPr>
        <w:numPr>
          <w:ilvl w:val="0"/>
          <w:numId w:val="3"/>
        </w:numPr>
        <w:overflowPunct w:val="0"/>
        <w:autoSpaceDE w:val="0"/>
        <w:autoSpaceDN w:val="0"/>
        <w:adjustRightInd w:val="0"/>
        <w:spacing w:line="276" w:lineRule="auto"/>
        <w:ind w:left="0" w:firstLine="0"/>
        <w:contextualSpacing/>
        <w:rPr>
          <w:rFonts w:eastAsia="Times New Roman"/>
          <w:b/>
          <w:sz w:val="24"/>
          <w:szCs w:val="24"/>
          <w:lang w:eastAsia="es-ES"/>
        </w:rPr>
      </w:pPr>
      <w:r w:rsidRPr="005C41E9">
        <w:rPr>
          <w:b/>
          <w:sz w:val="24"/>
          <w:szCs w:val="24"/>
        </w:rPr>
        <w:t>Trámite</w:t>
      </w:r>
      <w:r w:rsidR="00166AF6" w:rsidRPr="005C41E9">
        <w:rPr>
          <w:b/>
          <w:sz w:val="24"/>
          <w:szCs w:val="24"/>
        </w:rPr>
        <w:t xml:space="preserve"> de tutela e intervenciones  </w:t>
      </w:r>
    </w:p>
    <w:p w14:paraId="0EA0EF99" w14:textId="77777777" w:rsidR="000C5DB7" w:rsidRPr="005C41E9" w:rsidRDefault="000C5DB7" w:rsidP="005C41E9">
      <w:pPr>
        <w:overflowPunct w:val="0"/>
        <w:autoSpaceDE w:val="0"/>
        <w:autoSpaceDN w:val="0"/>
        <w:adjustRightInd w:val="0"/>
        <w:spacing w:line="276" w:lineRule="auto"/>
        <w:contextualSpacing/>
        <w:rPr>
          <w:b/>
          <w:sz w:val="24"/>
          <w:szCs w:val="24"/>
        </w:rPr>
      </w:pPr>
    </w:p>
    <w:p w14:paraId="5FB229BD" w14:textId="52F52386" w:rsidR="00E57BB4" w:rsidRPr="005C41E9" w:rsidRDefault="00261359" w:rsidP="005C41E9">
      <w:pPr>
        <w:pStyle w:val="ListParagraph"/>
        <w:numPr>
          <w:ilvl w:val="1"/>
          <w:numId w:val="3"/>
        </w:numPr>
        <w:overflowPunct w:val="0"/>
        <w:autoSpaceDE w:val="0"/>
        <w:autoSpaceDN w:val="0"/>
        <w:adjustRightInd w:val="0"/>
        <w:spacing w:line="276" w:lineRule="auto"/>
        <w:ind w:left="0" w:firstLine="0"/>
        <w:rPr>
          <w:rFonts w:eastAsia="Verdana"/>
          <w:sz w:val="24"/>
          <w:szCs w:val="24"/>
        </w:rPr>
      </w:pPr>
      <w:r w:rsidRPr="005C41E9">
        <w:rPr>
          <w:rFonts w:eastAsia="Verdana"/>
          <w:sz w:val="24"/>
          <w:szCs w:val="24"/>
        </w:rPr>
        <w:t xml:space="preserve">El despacho sustanciador, mediante auto proferido el </w:t>
      </w:r>
      <w:r w:rsidR="00A6604D" w:rsidRPr="005C41E9">
        <w:rPr>
          <w:color w:val="000000"/>
          <w:sz w:val="24"/>
          <w:szCs w:val="24"/>
          <w:lang w:eastAsia="en-US"/>
        </w:rPr>
        <w:t>23</w:t>
      </w:r>
      <w:r w:rsidR="00563912" w:rsidRPr="005C41E9">
        <w:rPr>
          <w:color w:val="000000"/>
          <w:sz w:val="24"/>
          <w:szCs w:val="24"/>
          <w:lang w:eastAsia="en-US"/>
        </w:rPr>
        <w:t xml:space="preserve"> de </w:t>
      </w:r>
      <w:r w:rsidR="0071161E" w:rsidRPr="005C41E9">
        <w:rPr>
          <w:color w:val="000000"/>
          <w:sz w:val="24"/>
          <w:szCs w:val="24"/>
          <w:lang w:eastAsia="en-US"/>
        </w:rPr>
        <w:t>septiembre</w:t>
      </w:r>
      <w:r w:rsidR="00563912" w:rsidRPr="005C41E9">
        <w:rPr>
          <w:color w:val="000000"/>
          <w:sz w:val="24"/>
          <w:szCs w:val="24"/>
          <w:lang w:eastAsia="en-US"/>
        </w:rPr>
        <w:t xml:space="preserve"> de </w:t>
      </w:r>
      <w:r w:rsidR="000813DB" w:rsidRPr="005C41E9">
        <w:rPr>
          <w:color w:val="000000"/>
          <w:sz w:val="24"/>
          <w:szCs w:val="24"/>
          <w:lang w:eastAsia="en-US"/>
        </w:rPr>
        <w:t>2020</w:t>
      </w:r>
      <w:r w:rsidR="007046B1" w:rsidRPr="005C41E9">
        <w:rPr>
          <w:rStyle w:val="FootnoteReference"/>
          <w:color w:val="000000"/>
          <w:sz w:val="24"/>
          <w:szCs w:val="24"/>
          <w:lang w:eastAsia="en-US"/>
        </w:rPr>
        <w:footnoteReference w:id="11"/>
      </w:r>
      <w:r w:rsidRPr="005C41E9">
        <w:rPr>
          <w:rFonts w:eastAsia="Verdana"/>
          <w:sz w:val="24"/>
          <w:szCs w:val="24"/>
        </w:rPr>
        <w:t xml:space="preserve">, admitió la </w:t>
      </w:r>
      <w:r w:rsidR="00563912" w:rsidRPr="005C41E9">
        <w:rPr>
          <w:rFonts w:eastAsia="Verdana"/>
          <w:sz w:val="24"/>
          <w:szCs w:val="24"/>
        </w:rPr>
        <w:t>solicitud de tutela</w:t>
      </w:r>
      <w:r w:rsidR="00193204" w:rsidRPr="005C41E9">
        <w:rPr>
          <w:rFonts w:eastAsia="Verdana"/>
          <w:sz w:val="24"/>
          <w:szCs w:val="24"/>
        </w:rPr>
        <w:t>. Así mismo</w:t>
      </w:r>
      <w:r w:rsidR="005416C8" w:rsidRPr="005C41E9">
        <w:rPr>
          <w:rFonts w:eastAsia="Verdana"/>
          <w:sz w:val="24"/>
          <w:szCs w:val="24"/>
        </w:rPr>
        <w:t xml:space="preserve">, </w:t>
      </w:r>
      <w:r w:rsidR="0071161E" w:rsidRPr="005C41E9">
        <w:rPr>
          <w:rFonts w:eastAsia="Verdana"/>
          <w:sz w:val="24"/>
          <w:szCs w:val="24"/>
        </w:rPr>
        <w:t xml:space="preserve">vinculó </w:t>
      </w:r>
      <w:r w:rsidR="00A6604D" w:rsidRPr="005C41E9">
        <w:rPr>
          <w:rFonts w:eastAsia="Verdana"/>
          <w:sz w:val="24"/>
          <w:szCs w:val="24"/>
        </w:rPr>
        <w:t>a la UGPP</w:t>
      </w:r>
      <w:r w:rsidR="00193204" w:rsidRPr="005C41E9">
        <w:rPr>
          <w:rFonts w:eastAsia="Verdana"/>
          <w:sz w:val="24"/>
          <w:szCs w:val="24"/>
        </w:rPr>
        <w:t>.</w:t>
      </w:r>
      <w:r w:rsidR="00A6604D" w:rsidRPr="005C41E9">
        <w:rPr>
          <w:rFonts w:eastAsia="Verdana"/>
          <w:sz w:val="24"/>
          <w:szCs w:val="24"/>
        </w:rPr>
        <w:t xml:space="preserve"> Además, requirió al Consejo Superior de la Judicatura para que informara si sobre el apoderado de la parte actora recaía alguna sanción disciplinaria. La anterior solicitud se basó en que la consulta realizada por medio de la página web de la Rama Judicial no permitió saber con certeza si el abogado en comento podía </w:t>
      </w:r>
      <w:r w:rsidR="003A5878" w:rsidRPr="005C41E9">
        <w:rPr>
          <w:rFonts w:eastAsia="Verdana"/>
          <w:sz w:val="24"/>
          <w:szCs w:val="24"/>
        </w:rPr>
        <w:t>ejecutar el poder que le fue conferido</w:t>
      </w:r>
      <w:r w:rsidR="00A6604D" w:rsidRPr="005C41E9">
        <w:rPr>
          <w:rFonts w:eastAsia="Verdana"/>
          <w:sz w:val="24"/>
          <w:szCs w:val="24"/>
        </w:rPr>
        <w:t>.</w:t>
      </w:r>
    </w:p>
    <w:p w14:paraId="2E61D3F5" w14:textId="77777777" w:rsidR="00FA6D2D" w:rsidRPr="005C41E9" w:rsidRDefault="00FA6D2D" w:rsidP="005C41E9">
      <w:pPr>
        <w:pStyle w:val="ListParagraph"/>
        <w:overflowPunct w:val="0"/>
        <w:autoSpaceDE w:val="0"/>
        <w:autoSpaceDN w:val="0"/>
        <w:adjustRightInd w:val="0"/>
        <w:spacing w:line="276" w:lineRule="auto"/>
        <w:ind w:left="0"/>
        <w:rPr>
          <w:rFonts w:eastAsia="Verdana"/>
          <w:sz w:val="24"/>
          <w:szCs w:val="24"/>
        </w:rPr>
      </w:pPr>
    </w:p>
    <w:p w14:paraId="47C5B116" w14:textId="170E69DC" w:rsidR="007046B1" w:rsidRPr="005C41E9" w:rsidRDefault="006F558A" w:rsidP="005C41E9">
      <w:pPr>
        <w:pStyle w:val="ListParagraph"/>
        <w:numPr>
          <w:ilvl w:val="1"/>
          <w:numId w:val="3"/>
        </w:numPr>
        <w:overflowPunct w:val="0"/>
        <w:autoSpaceDE w:val="0"/>
        <w:autoSpaceDN w:val="0"/>
        <w:adjustRightInd w:val="0"/>
        <w:spacing w:line="276" w:lineRule="auto"/>
        <w:ind w:left="0" w:firstLine="0"/>
        <w:rPr>
          <w:rFonts w:eastAsia="Verdana"/>
          <w:sz w:val="24"/>
          <w:szCs w:val="24"/>
        </w:rPr>
      </w:pPr>
      <w:r w:rsidRPr="005C41E9">
        <w:rPr>
          <w:rFonts w:eastAsia="Verdana"/>
          <w:sz w:val="24"/>
          <w:szCs w:val="24"/>
        </w:rPr>
        <w:t xml:space="preserve">El </w:t>
      </w:r>
      <w:r w:rsidRPr="005C41E9">
        <w:rPr>
          <w:rFonts w:eastAsia="Verdana"/>
          <w:b/>
          <w:bCs/>
          <w:sz w:val="24"/>
          <w:szCs w:val="24"/>
        </w:rPr>
        <w:t xml:space="preserve">Consejo Superior de la Judicatura </w:t>
      </w:r>
      <w:r w:rsidRPr="005C41E9">
        <w:rPr>
          <w:rFonts w:eastAsia="Verdana"/>
          <w:sz w:val="24"/>
          <w:szCs w:val="24"/>
        </w:rPr>
        <w:t>informó</w:t>
      </w:r>
      <w:r w:rsidRPr="005C41E9">
        <w:rPr>
          <w:rStyle w:val="FootnoteReference"/>
          <w:rFonts w:eastAsia="Verdana"/>
          <w:sz w:val="24"/>
          <w:szCs w:val="24"/>
        </w:rPr>
        <w:footnoteReference w:id="12"/>
      </w:r>
      <w:r w:rsidRPr="005C41E9">
        <w:rPr>
          <w:rFonts w:eastAsia="Verdana"/>
          <w:sz w:val="24"/>
          <w:szCs w:val="24"/>
        </w:rPr>
        <w:t xml:space="preserve"> que el referido apoderado fue objeto de censura, mediante providencia dictada dentro del proceso disciplinario identificado con el n.° único de radicación 11001-11-02-000-2012-03376-01. Al respecto, precisó que la sanción en cita tuvo fecha de finalización el 5 de octubre de 2015. Por tanto, concluyó, a la fecha, el abogado en referencia no está sancionado.</w:t>
      </w:r>
    </w:p>
    <w:p w14:paraId="26823043" w14:textId="77777777" w:rsidR="006F558A" w:rsidRPr="005C41E9" w:rsidRDefault="006F558A" w:rsidP="005C41E9">
      <w:pPr>
        <w:pStyle w:val="ListParagraph"/>
        <w:overflowPunct w:val="0"/>
        <w:autoSpaceDE w:val="0"/>
        <w:autoSpaceDN w:val="0"/>
        <w:adjustRightInd w:val="0"/>
        <w:spacing w:line="276" w:lineRule="auto"/>
        <w:ind w:left="0"/>
        <w:rPr>
          <w:rFonts w:eastAsia="Verdana"/>
          <w:sz w:val="24"/>
          <w:szCs w:val="24"/>
        </w:rPr>
      </w:pPr>
    </w:p>
    <w:p w14:paraId="4ED6AF03" w14:textId="137789BE" w:rsidR="007046B1" w:rsidRPr="005C41E9" w:rsidRDefault="007046B1" w:rsidP="005C41E9">
      <w:pPr>
        <w:pStyle w:val="ListParagraph"/>
        <w:numPr>
          <w:ilvl w:val="1"/>
          <w:numId w:val="3"/>
        </w:numPr>
        <w:overflowPunct w:val="0"/>
        <w:autoSpaceDE w:val="0"/>
        <w:autoSpaceDN w:val="0"/>
        <w:adjustRightInd w:val="0"/>
        <w:spacing w:line="276" w:lineRule="auto"/>
        <w:ind w:left="0" w:firstLine="0"/>
        <w:rPr>
          <w:rFonts w:eastAsia="Verdana"/>
          <w:sz w:val="24"/>
          <w:szCs w:val="24"/>
        </w:rPr>
      </w:pPr>
      <w:r w:rsidRPr="005C41E9">
        <w:rPr>
          <w:rFonts w:eastAsia="Verdana"/>
          <w:sz w:val="24"/>
          <w:szCs w:val="24"/>
        </w:rPr>
        <w:t xml:space="preserve">El </w:t>
      </w:r>
      <w:r w:rsidRPr="005C41E9">
        <w:rPr>
          <w:rFonts w:eastAsia="Verdana"/>
          <w:b/>
          <w:bCs/>
          <w:sz w:val="24"/>
          <w:szCs w:val="24"/>
        </w:rPr>
        <w:t xml:space="preserve">Juzgado </w:t>
      </w:r>
      <w:r w:rsidR="00ED3C8B" w:rsidRPr="005C41E9">
        <w:rPr>
          <w:rFonts w:eastAsia="Verdana"/>
          <w:b/>
          <w:bCs/>
          <w:sz w:val="24"/>
          <w:szCs w:val="24"/>
        </w:rPr>
        <w:t>Primero</w:t>
      </w:r>
      <w:r w:rsidRPr="005C41E9">
        <w:rPr>
          <w:rFonts w:eastAsia="Verdana"/>
          <w:b/>
          <w:bCs/>
          <w:sz w:val="24"/>
          <w:szCs w:val="24"/>
        </w:rPr>
        <w:t xml:space="preserve"> Administrativo del Circuito Judicial de </w:t>
      </w:r>
      <w:r w:rsidR="00ED3C8B" w:rsidRPr="005C41E9">
        <w:rPr>
          <w:rFonts w:eastAsia="Verdana"/>
          <w:b/>
          <w:bCs/>
          <w:sz w:val="24"/>
          <w:szCs w:val="24"/>
        </w:rPr>
        <w:t>Yopal</w:t>
      </w:r>
      <w:r w:rsidRPr="005C41E9">
        <w:rPr>
          <w:rFonts w:eastAsia="Verdana"/>
          <w:sz w:val="24"/>
          <w:szCs w:val="24"/>
        </w:rPr>
        <w:t xml:space="preserve"> </w:t>
      </w:r>
      <w:r w:rsidR="00BD5048" w:rsidRPr="005C41E9">
        <w:rPr>
          <w:rFonts w:eastAsia="Verdana"/>
          <w:sz w:val="24"/>
          <w:szCs w:val="24"/>
        </w:rPr>
        <w:t>dijo</w:t>
      </w:r>
      <w:r w:rsidRPr="005C41E9">
        <w:rPr>
          <w:rStyle w:val="FootnoteReference"/>
          <w:rFonts w:eastAsia="Verdana"/>
          <w:sz w:val="24"/>
          <w:szCs w:val="24"/>
        </w:rPr>
        <w:footnoteReference w:id="13"/>
      </w:r>
      <w:r w:rsidR="00BD5048" w:rsidRPr="005C41E9">
        <w:rPr>
          <w:rFonts w:eastAsia="Verdana"/>
          <w:sz w:val="24"/>
          <w:szCs w:val="24"/>
        </w:rPr>
        <w:t xml:space="preserve"> que, en el auto </w:t>
      </w:r>
      <w:r w:rsidR="00765289" w:rsidRPr="005C41E9">
        <w:rPr>
          <w:rFonts w:eastAsia="Verdana"/>
          <w:sz w:val="24"/>
          <w:szCs w:val="24"/>
        </w:rPr>
        <w:t>dictado</w:t>
      </w:r>
      <w:r w:rsidR="00BD5048" w:rsidRPr="005C41E9">
        <w:rPr>
          <w:rFonts w:eastAsia="Verdana"/>
          <w:sz w:val="24"/>
          <w:szCs w:val="24"/>
        </w:rPr>
        <w:t xml:space="preserve"> por esa autoridad, </w:t>
      </w:r>
      <w:r w:rsidR="00765289" w:rsidRPr="005C41E9">
        <w:rPr>
          <w:rFonts w:eastAsia="Verdana"/>
          <w:sz w:val="24"/>
          <w:szCs w:val="24"/>
        </w:rPr>
        <w:t xml:space="preserve">sí </w:t>
      </w:r>
      <w:r w:rsidR="00BD5048" w:rsidRPr="005C41E9">
        <w:rPr>
          <w:rFonts w:eastAsia="Verdana"/>
          <w:sz w:val="24"/>
          <w:szCs w:val="24"/>
        </w:rPr>
        <w:t xml:space="preserve">se estudió lo relacionado con la suspensión de los términos de prescripción y caducidad de las obligaciones a cargo de CAJANAL. A partir de ahí, se </w:t>
      </w:r>
      <w:r w:rsidR="00EF6B57" w:rsidRPr="005C41E9">
        <w:rPr>
          <w:rFonts w:eastAsia="Verdana"/>
          <w:sz w:val="24"/>
          <w:szCs w:val="24"/>
        </w:rPr>
        <w:t>evidenció</w:t>
      </w:r>
      <w:r w:rsidR="00BD5048" w:rsidRPr="005C41E9">
        <w:rPr>
          <w:rFonts w:eastAsia="Verdana"/>
          <w:sz w:val="24"/>
          <w:szCs w:val="24"/>
        </w:rPr>
        <w:t xml:space="preserve"> la caducidad de la demanda ejecutiva instaurada por el actor.</w:t>
      </w:r>
    </w:p>
    <w:p w14:paraId="05B963D7" w14:textId="77777777" w:rsidR="00765289" w:rsidRPr="005C41E9" w:rsidRDefault="00765289" w:rsidP="005C41E9">
      <w:pPr>
        <w:spacing w:line="276" w:lineRule="auto"/>
        <w:rPr>
          <w:rFonts w:eastAsia="Verdana"/>
          <w:sz w:val="24"/>
          <w:szCs w:val="24"/>
        </w:rPr>
      </w:pPr>
    </w:p>
    <w:p w14:paraId="2C098ED6" w14:textId="6E830321" w:rsidR="00765289" w:rsidRPr="005C41E9" w:rsidRDefault="00A436A8" w:rsidP="005C41E9">
      <w:pPr>
        <w:pStyle w:val="ListParagraph"/>
        <w:numPr>
          <w:ilvl w:val="1"/>
          <w:numId w:val="3"/>
        </w:numPr>
        <w:overflowPunct w:val="0"/>
        <w:autoSpaceDE w:val="0"/>
        <w:autoSpaceDN w:val="0"/>
        <w:adjustRightInd w:val="0"/>
        <w:spacing w:line="276" w:lineRule="auto"/>
        <w:ind w:left="0" w:firstLine="0"/>
        <w:rPr>
          <w:rFonts w:eastAsia="Verdana"/>
          <w:sz w:val="24"/>
          <w:szCs w:val="24"/>
        </w:rPr>
      </w:pPr>
      <w:r w:rsidRPr="005C41E9">
        <w:rPr>
          <w:rFonts w:eastAsia="Verdana"/>
          <w:sz w:val="24"/>
          <w:szCs w:val="24"/>
        </w:rPr>
        <w:t xml:space="preserve">El </w:t>
      </w:r>
      <w:r w:rsidRPr="005C41E9">
        <w:rPr>
          <w:rFonts w:eastAsia="Verdana"/>
          <w:b/>
          <w:bCs/>
          <w:sz w:val="24"/>
          <w:szCs w:val="24"/>
        </w:rPr>
        <w:t>Tribunal Administrativo del Casanare</w:t>
      </w:r>
      <w:r w:rsidRPr="005C41E9">
        <w:rPr>
          <w:rFonts w:eastAsia="Verdana"/>
          <w:sz w:val="24"/>
          <w:szCs w:val="24"/>
        </w:rPr>
        <w:t xml:space="preserve"> afirmó</w:t>
      </w:r>
      <w:r w:rsidRPr="005C41E9">
        <w:rPr>
          <w:rStyle w:val="FootnoteReference"/>
          <w:rFonts w:eastAsia="Verdana"/>
          <w:sz w:val="24"/>
          <w:szCs w:val="24"/>
        </w:rPr>
        <w:footnoteReference w:id="14"/>
      </w:r>
      <w:r w:rsidRPr="005C41E9">
        <w:rPr>
          <w:rFonts w:eastAsia="Verdana"/>
          <w:sz w:val="24"/>
          <w:szCs w:val="24"/>
        </w:rPr>
        <w:t xml:space="preserve"> que</w:t>
      </w:r>
      <w:r w:rsidR="00F821F8" w:rsidRPr="005C41E9">
        <w:rPr>
          <w:rFonts w:eastAsia="Verdana"/>
          <w:sz w:val="24"/>
          <w:szCs w:val="24"/>
        </w:rPr>
        <w:t xml:space="preserve">, en la decisión atacada, </w:t>
      </w:r>
      <w:r w:rsidR="009621B7" w:rsidRPr="005C41E9">
        <w:rPr>
          <w:rFonts w:eastAsia="Verdana"/>
          <w:sz w:val="24"/>
          <w:szCs w:val="24"/>
        </w:rPr>
        <w:t xml:space="preserve">sí </w:t>
      </w:r>
      <w:r w:rsidR="00F821F8" w:rsidRPr="005C41E9">
        <w:rPr>
          <w:rFonts w:eastAsia="Verdana"/>
          <w:sz w:val="24"/>
          <w:szCs w:val="24"/>
        </w:rPr>
        <w:t xml:space="preserve">se tuvo </w:t>
      </w:r>
      <w:r w:rsidR="00F821F8" w:rsidRPr="005C41E9">
        <w:rPr>
          <w:sz w:val="24"/>
          <w:szCs w:val="24"/>
        </w:rPr>
        <w:t xml:space="preserve">en cuenta el periodo de suspensión de la caducidad, establecido durante el proceso de liquidación de CAJANAL. De ahí se </w:t>
      </w:r>
      <w:r w:rsidR="00EF6B57" w:rsidRPr="005C41E9">
        <w:rPr>
          <w:sz w:val="24"/>
          <w:szCs w:val="24"/>
        </w:rPr>
        <w:t>avizoró</w:t>
      </w:r>
      <w:r w:rsidR="00F821F8" w:rsidRPr="005C41E9">
        <w:rPr>
          <w:sz w:val="24"/>
          <w:szCs w:val="24"/>
        </w:rPr>
        <w:t xml:space="preserve"> que el ejecutivo de interés del accionante se promovió cuando ya había fenecido la oportunidad legal para el efecto.</w:t>
      </w:r>
    </w:p>
    <w:p w14:paraId="5489717E" w14:textId="77777777" w:rsidR="001F335A" w:rsidRPr="005C41E9" w:rsidRDefault="001F335A" w:rsidP="005C41E9">
      <w:pPr>
        <w:spacing w:line="276" w:lineRule="auto"/>
        <w:rPr>
          <w:rFonts w:eastAsia="Verdana"/>
          <w:sz w:val="24"/>
          <w:szCs w:val="24"/>
        </w:rPr>
      </w:pPr>
    </w:p>
    <w:p w14:paraId="19B24FD8" w14:textId="495C4D85" w:rsidR="001816BE" w:rsidRPr="005C41E9" w:rsidRDefault="009621B7" w:rsidP="005C41E9">
      <w:pPr>
        <w:pStyle w:val="ListParagraph"/>
        <w:numPr>
          <w:ilvl w:val="1"/>
          <w:numId w:val="3"/>
        </w:numPr>
        <w:overflowPunct w:val="0"/>
        <w:autoSpaceDE w:val="0"/>
        <w:autoSpaceDN w:val="0"/>
        <w:adjustRightInd w:val="0"/>
        <w:spacing w:line="276" w:lineRule="auto"/>
        <w:ind w:left="0" w:firstLine="0"/>
        <w:rPr>
          <w:rFonts w:eastAsia="Verdana"/>
          <w:sz w:val="24"/>
          <w:szCs w:val="24"/>
        </w:rPr>
      </w:pPr>
      <w:r w:rsidRPr="005C41E9">
        <w:rPr>
          <w:rFonts w:eastAsia="Verdana"/>
          <w:sz w:val="24"/>
          <w:szCs w:val="24"/>
        </w:rPr>
        <w:t>La</w:t>
      </w:r>
      <w:r w:rsidR="007E1DA5" w:rsidRPr="005C41E9">
        <w:rPr>
          <w:rFonts w:eastAsia="Verdana"/>
          <w:b/>
          <w:bCs/>
          <w:sz w:val="24"/>
          <w:szCs w:val="24"/>
        </w:rPr>
        <w:t xml:space="preserve"> </w:t>
      </w:r>
      <w:r w:rsidRPr="005C41E9">
        <w:rPr>
          <w:rFonts w:eastAsia="Verdana"/>
          <w:b/>
          <w:bCs/>
          <w:sz w:val="24"/>
          <w:szCs w:val="24"/>
        </w:rPr>
        <w:t>UGPP</w:t>
      </w:r>
      <w:r w:rsidR="00FE6F63" w:rsidRPr="005C41E9">
        <w:rPr>
          <w:rFonts w:eastAsia="Verdana"/>
          <w:sz w:val="24"/>
          <w:szCs w:val="24"/>
        </w:rPr>
        <w:t xml:space="preserve"> </w:t>
      </w:r>
      <w:r w:rsidR="00A33EC6" w:rsidRPr="005C41E9">
        <w:rPr>
          <w:rFonts w:eastAsia="Verdana"/>
          <w:sz w:val="24"/>
          <w:szCs w:val="24"/>
        </w:rPr>
        <w:t>aseveró</w:t>
      </w:r>
      <w:r w:rsidR="00743EA6" w:rsidRPr="005C41E9">
        <w:rPr>
          <w:rStyle w:val="FootnoteReference"/>
          <w:rFonts w:eastAsia="Verdana"/>
          <w:sz w:val="24"/>
          <w:szCs w:val="24"/>
        </w:rPr>
        <w:footnoteReference w:id="15"/>
      </w:r>
      <w:r w:rsidR="00A33EC6" w:rsidRPr="005C41E9">
        <w:rPr>
          <w:rFonts w:eastAsia="Verdana"/>
          <w:sz w:val="24"/>
          <w:szCs w:val="24"/>
        </w:rPr>
        <w:t xml:space="preserve"> que</w:t>
      </w:r>
      <w:r w:rsidR="00DF3E2A" w:rsidRPr="005C41E9">
        <w:rPr>
          <w:rFonts w:eastAsia="Verdana"/>
          <w:sz w:val="24"/>
          <w:szCs w:val="24"/>
        </w:rPr>
        <w:t xml:space="preserve"> el actor está tomando la presente acción como una </w:t>
      </w:r>
      <w:r w:rsidR="00EF6B57" w:rsidRPr="005C41E9">
        <w:rPr>
          <w:rFonts w:eastAsia="Verdana"/>
          <w:sz w:val="24"/>
          <w:szCs w:val="24"/>
        </w:rPr>
        <w:t>nueva oportunidad</w:t>
      </w:r>
      <w:r w:rsidR="00DF3E2A" w:rsidRPr="005C41E9">
        <w:rPr>
          <w:rFonts w:eastAsia="Verdana"/>
          <w:sz w:val="24"/>
          <w:szCs w:val="24"/>
        </w:rPr>
        <w:t xml:space="preserve"> para ventilar un asunto que ya le fue analizado bajo el debido proceso y la doble instancia. A ello agregó que no se probó la existencia de un perjuicio irremediable. Por lo anterior, solicitó que se declare la improcedencia del amparo.</w:t>
      </w:r>
    </w:p>
    <w:p w14:paraId="2D5287C7" w14:textId="77777777" w:rsidR="00BA6DF5" w:rsidRPr="005C41E9" w:rsidRDefault="00BA6DF5" w:rsidP="005C41E9">
      <w:pPr>
        <w:pStyle w:val="ListParagraph"/>
        <w:overflowPunct w:val="0"/>
        <w:autoSpaceDE w:val="0"/>
        <w:autoSpaceDN w:val="0"/>
        <w:adjustRightInd w:val="0"/>
        <w:spacing w:line="276" w:lineRule="auto"/>
        <w:ind w:left="0"/>
        <w:rPr>
          <w:rFonts w:eastAsia="Verdana"/>
          <w:sz w:val="24"/>
          <w:szCs w:val="24"/>
        </w:rPr>
      </w:pPr>
    </w:p>
    <w:p w14:paraId="3DA09BAF" w14:textId="77777777" w:rsidR="00155E78" w:rsidRPr="005C41E9" w:rsidRDefault="000C5DB7" w:rsidP="005C41E9">
      <w:pPr>
        <w:pStyle w:val="Heading1"/>
        <w:spacing w:before="0" w:after="0"/>
        <w:rPr>
          <w:rFonts w:cs="Arial"/>
          <w:kern w:val="0"/>
          <w:szCs w:val="24"/>
        </w:rPr>
      </w:pPr>
      <w:r w:rsidRPr="005C41E9">
        <w:rPr>
          <w:rFonts w:cs="Arial"/>
          <w:kern w:val="0"/>
          <w:szCs w:val="24"/>
        </w:rPr>
        <w:t>CONSIDERACIONES</w:t>
      </w:r>
    </w:p>
    <w:p w14:paraId="558155F9" w14:textId="77777777" w:rsidR="00E57BB4" w:rsidRPr="005C41E9" w:rsidRDefault="00E57BB4" w:rsidP="005C41E9">
      <w:pPr>
        <w:spacing w:line="276" w:lineRule="auto"/>
        <w:rPr>
          <w:sz w:val="22"/>
          <w:szCs w:val="22"/>
        </w:rPr>
      </w:pPr>
    </w:p>
    <w:p w14:paraId="5DCC23A5" w14:textId="77777777" w:rsidR="000C5DB7" w:rsidRPr="005C41E9" w:rsidRDefault="000C5DB7" w:rsidP="005C41E9">
      <w:pPr>
        <w:numPr>
          <w:ilvl w:val="0"/>
          <w:numId w:val="1"/>
        </w:numPr>
        <w:spacing w:line="276" w:lineRule="auto"/>
        <w:ind w:left="0" w:firstLine="0"/>
        <w:contextualSpacing/>
        <w:rPr>
          <w:b/>
          <w:sz w:val="24"/>
          <w:szCs w:val="24"/>
        </w:rPr>
      </w:pPr>
      <w:r w:rsidRPr="005C41E9">
        <w:rPr>
          <w:b/>
          <w:sz w:val="24"/>
          <w:szCs w:val="24"/>
        </w:rPr>
        <w:t>Competencia</w:t>
      </w:r>
    </w:p>
    <w:p w14:paraId="1B28E563" w14:textId="2F37B350" w:rsidR="000C7E44" w:rsidRPr="005C41E9" w:rsidRDefault="000C7E44" w:rsidP="005C41E9">
      <w:pPr>
        <w:overflowPunct w:val="0"/>
        <w:autoSpaceDE w:val="0"/>
        <w:autoSpaceDN w:val="0"/>
        <w:adjustRightInd w:val="0"/>
        <w:spacing w:line="276" w:lineRule="auto"/>
        <w:contextualSpacing/>
        <w:rPr>
          <w:rFonts w:eastAsia="Times New Roman"/>
          <w:sz w:val="22"/>
          <w:szCs w:val="22"/>
          <w:lang w:eastAsia="es-ES"/>
        </w:rPr>
      </w:pPr>
      <w:bookmarkStart w:id="0" w:name="_Hlk35352023"/>
    </w:p>
    <w:p w14:paraId="3E605A0F" w14:textId="51FFF520" w:rsidR="00754BBE" w:rsidRPr="005C41E9" w:rsidRDefault="00754BBE" w:rsidP="005C41E9">
      <w:pPr>
        <w:overflowPunct w:val="0"/>
        <w:autoSpaceDE w:val="0"/>
        <w:autoSpaceDN w:val="0"/>
        <w:adjustRightInd w:val="0"/>
        <w:spacing w:line="276" w:lineRule="auto"/>
        <w:contextualSpacing/>
        <w:rPr>
          <w:rFonts w:eastAsia="Times New Roman"/>
          <w:sz w:val="24"/>
          <w:szCs w:val="24"/>
          <w:lang w:eastAsia="es-ES"/>
        </w:rPr>
      </w:pPr>
      <w:r w:rsidRPr="005C41E9">
        <w:rPr>
          <w:rFonts w:eastAsia="Times New Roman"/>
          <w:sz w:val="24"/>
          <w:szCs w:val="24"/>
          <w:lang w:eastAsia="es-ES"/>
        </w:rPr>
        <w:t xml:space="preserve">Esta Sala es competente para decidir la presente acción de tutela, en virtud de lo establecido en el artículo 86 </w:t>
      </w:r>
      <w:r w:rsidR="006E1E45" w:rsidRPr="005C41E9">
        <w:rPr>
          <w:rFonts w:eastAsia="Times New Roman"/>
          <w:sz w:val="24"/>
          <w:szCs w:val="24"/>
          <w:lang w:eastAsia="es-ES"/>
        </w:rPr>
        <w:t>Superior</w:t>
      </w:r>
      <w:r w:rsidRPr="005C41E9">
        <w:rPr>
          <w:rFonts w:eastAsia="Times New Roman"/>
          <w:sz w:val="24"/>
          <w:szCs w:val="24"/>
          <w:lang w:eastAsia="es-ES"/>
        </w:rPr>
        <w:t xml:space="preserve">, el artículo 37 del Decreto 2591 de 1991, el </w:t>
      </w:r>
      <w:r w:rsidRPr="005C41E9">
        <w:rPr>
          <w:rFonts w:eastAsia="Times New Roman"/>
          <w:sz w:val="24"/>
          <w:szCs w:val="24"/>
          <w:lang w:eastAsia="es-ES"/>
        </w:rPr>
        <w:lastRenderedPageBreak/>
        <w:t>Decreto 1069 de 2015, modificado por el Decreto 1983 de 2017, y el Acuerdo 080 de 12 de marzo de 2019</w:t>
      </w:r>
      <w:r w:rsidR="00430BCE" w:rsidRPr="005C41E9">
        <w:rPr>
          <w:rFonts w:eastAsia="Times New Roman"/>
          <w:sz w:val="24"/>
          <w:szCs w:val="24"/>
          <w:lang w:eastAsia="es-ES"/>
        </w:rPr>
        <w:t>, expedido por la Sala Plena de esta Corporación</w:t>
      </w:r>
      <w:r w:rsidRPr="005C41E9">
        <w:rPr>
          <w:rStyle w:val="FootnoteReference"/>
          <w:rFonts w:eastAsia="Times New Roman"/>
          <w:sz w:val="24"/>
          <w:szCs w:val="24"/>
          <w:lang w:eastAsia="es-ES"/>
        </w:rPr>
        <w:footnoteReference w:id="16"/>
      </w:r>
      <w:r w:rsidRPr="005C41E9">
        <w:rPr>
          <w:rFonts w:eastAsia="Times New Roman"/>
          <w:sz w:val="24"/>
          <w:szCs w:val="24"/>
          <w:lang w:eastAsia="es-ES"/>
        </w:rPr>
        <w:t>.</w:t>
      </w:r>
    </w:p>
    <w:p w14:paraId="636BBA18" w14:textId="77777777" w:rsidR="00673FD7" w:rsidRPr="005C41E9" w:rsidRDefault="00673FD7" w:rsidP="005C41E9">
      <w:pPr>
        <w:overflowPunct w:val="0"/>
        <w:autoSpaceDE w:val="0"/>
        <w:autoSpaceDN w:val="0"/>
        <w:adjustRightInd w:val="0"/>
        <w:spacing w:line="276" w:lineRule="auto"/>
        <w:contextualSpacing/>
        <w:rPr>
          <w:rFonts w:eastAsia="Times New Roman"/>
          <w:sz w:val="24"/>
          <w:szCs w:val="24"/>
          <w:lang w:eastAsia="es-ES"/>
        </w:rPr>
      </w:pPr>
    </w:p>
    <w:bookmarkEnd w:id="0"/>
    <w:p w14:paraId="33A686F0" w14:textId="61FDF8A4" w:rsidR="004C0AE1" w:rsidRPr="005C41E9" w:rsidRDefault="005A45A6" w:rsidP="005C41E9">
      <w:pPr>
        <w:pStyle w:val="ListParagraph"/>
        <w:numPr>
          <w:ilvl w:val="0"/>
          <w:numId w:val="1"/>
        </w:numPr>
        <w:spacing w:line="276" w:lineRule="auto"/>
        <w:ind w:left="0" w:firstLine="0"/>
        <w:rPr>
          <w:b/>
          <w:sz w:val="24"/>
          <w:szCs w:val="24"/>
        </w:rPr>
      </w:pPr>
      <w:r w:rsidRPr="005C41E9">
        <w:rPr>
          <w:b/>
          <w:sz w:val="24"/>
          <w:szCs w:val="24"/>
        </w:rPr>
        <w:t>Procedibilidad de la acción</w:t>
      </w:r>
    </w:p>
    <w:p w14:paraId="16937451" w14:textId="16055456" w:rsidR="004C0AE1" w:rsidRPr="005C41E9" w:rsidRDefault="004C0AE1" w:rsidP="005C41E9">
      <w:pPr>
        <w:spacing w:line="276" w:lineRule="auto"/>
        <w:rPr>
          <w:b/>
          <w:sz w:val="24"/>
          <w:szCs w:val="24"/>
        </w:rPr>
      </w:pPr>
    </w:p>
    <w:p w14:paraId="11EDCBD1" w14:textId="41C675D3" w:rsidR="004569B5" w:rsidRPr="005C41E9" w:rsidRDefault="004569B5" w:rsidP="005C41E9">
      <w:pPr>
        <w:spacing w:line="276" w:lineRule="auto"/>
        <w:contextualSpacing/>
        <w:rPr>
          <w:rFonts w:eastAsia="Arial"/>
          <w:color w:val="000000" w:themeColor="text1"/>
          <w:sz w:val="24"/>
          <w:szCs w:val="24"/>
        </w:rPr>
      </w:pPr>
      <w:r w:rsidRPr="005C41E9">
        <w:rPr>
          <w:rFonts w:eastAsia="Arial"/>
          <w:color w:val="000000" w:themeColor="text1"/>
          <w:sz w:val="24"/>
          <w:szCs w:val="24"/>
        </w:rPr>
        <w:t>En los casos en que la solicitud de amparo ataca una providencia judicial, la doctrina constitucional ha indicado que el juez de tutela debe, en forma preliminar, realizar un examen de procedibilidad general de la acción</w:t>
      </w:r>
      <w:r w:rsidR="00B46D3D" w:rsidRPr="005C41E9">
        <w:rPr>
          <w:rFonts w:eastAsia="Arial"/>
          <w:color w:val="000000" w:themeColor="text1"/>
          <w:sz w:val="24"/>
          <w:szCs w:val="24"/>
        </w:rPr>
        <w:t>,</w:t>
      </w:r>
      <w:r w:rsidRPr="005C41E9">
        <w:rPr>
          <w:rFonts w:eastAsia="Arial"/>
          <w:color w:val="000000" w:themeColor="text1"/>
          <w:sz w:val="24"/>
          <w:szCs w:val="24"/>
        </w:rPr>
        <w:t xml:space="preserve"> pues, solo una vez verificada la observancia de los requisitos que la determinan, procede el pronunciamiento de fondo sobre la problemática jurídica que el actor plantea en función de los defectos que reprocha a la actuación acusada y conforme a las causales específicas de procedencia de la acción de tutela contra providencias judiciales</w:t>
      </w:r>
      <w:r w:rsidRPr="005C41E9">
        <w:rPr>
          <w:sz w:val="24"/>
          <w:szCs w:val="24"/>
          <w:vertAlign w:val="superscript"/>
        </w:rPr>
        <w:footnoteReference w:id="17"/>
      </w:r>
      <w:r w:rsidRPr="005C41E9">
        <w:rPr>
          <w:rFonts w:eastAsia="Arial"/>
          <w:color w:val="000000" w:themeColor="text1"/>
          <w:sz w:val="24"/>
          <w:szCs w:val="24"/>
        </w:rPr>
        <w:t>.</w:t>
      </w:r>
    </w:p>
    <w:p w14:paraId="58B8014A" w14:textId="77777777" w:rsidR="00B46D3D" w:rsidRPr="005C41E9" w:rsidRDefault="00B46D3D" w:rsidP="005C41E9">
      <w:pPr>
        <w:spacing w:line="276" w:lineRule="auto"/>
        <w:contextualSpacing/>
        <w:rPr>
          <w:rFonts w:eastAsia="Arial"/>
          <w:color w:val="000000"/>
          <w:sz w:val="24"/>
          <w:szCs w:val="24"/>
        </w:rPr>
      </w:pPr>
    </w:p>
    <w:p w14:paraId="2616628E" w14:textId="77777777" w:rsidR="00B46D3D" w:rsidRPr="005C41E9" w:rsidRDefault="00B46D3D" w:rsidP="005C41E9">
      <w:pPr>
        <w:spacing w:line="276" w:lineRule="auto"/>
        <w:contextualSpacing/>
        <w:rPr>
          <w:rFonts w:eastAsia="Arial"/>
          <w:color w:val="000000"/>
          <w:sz w:val="24"/>
          <w:szCs w:val="24"/>
          <w:vertAlign w:val="superscript"/>
        </w:rPr>
      </w:pPr>
      <w:r w:rsidRPr="005C41E9">
        <w:rPr>
          <w:rFonts w:eastAsia="Arial"/>
          <w:color w:val="000000"/>
          <w:sz w:val="24"/>
          <w:szCs w:val="24"/>
        </w:rPr>
        <w:t>De conformidad con lo anterior, en el presente apartado se efectuará el examen correspondiente a los requisitos generales de procedibilidad de la presente acción.</w:t>
      </w:r>
    </w:p>
    <w:p w14:paraId="4E8633DC" w14:textId="77777777" w:rsidR="00854DE9" w:rsidRPr="005C41E9" w:rsidRDefault="00854DE9" w:rsidP="005C41E9">
      <w:pPr>
        <w:spacing w:line="276" w:lineRule="auto"/>
        <w:contextualSpacing/>
        <w:rPr>
          <w:sz w:val="24"/>
          <w:szCs w:val="24"/>
        </w:rPr>
      </w:pPr>
    </w:p>
    <w:p w14:paraId="0D806AF9" w14:textId="69585716" w:rsidR="00854DE9" w:rsidRPr="005C41E9" w:rsidRDefault="00854DE9" w:rsidP="005C41E9">
      <w:pPr>
        <w:numPr>
          <w:ilvl w:val="1"/>
          <w:numId w:val="1"/>
        </w:numPr>
        <w:spacing w:line="276" w:lineRule="auto"/>
        <w:ind w:left="0" w:firstLine="0"/>
        <w:contextualSpacing/>
        <w:rPr>
          <w:rFonts w:eastAsia="Verdana"/>
          <w:sz w:val="24"/>
          <w:szCs w:val="24"/>
        </w:rPr>
      </w:pPr>
      <w:bookmarkStart w:id="1" w:name="_ftnref21"/>
      <w:bookmarkEnd w:id="1"/>
      <w:r w:rsidRPr="005C41E9">
        <w:rPr>
          <w:rFonts w:eastAsia="Verdana"/>
          <w:sz w:val="24"/>
          <w:szCs w:val="24"/>
        </w:rPr>
        <w:t xml:space="preserve">El actor </w:t>
      </w:r>
      <w:r w:rsidR="002729D1" w:rsidRPr="005C41E9">
        <w:rPr>
          <w:rFonts w:eastAsia="Verdana"/>
          <w:sz w:val="24"/>
          <w:szCs w:val="24"/>
        </w:rPr>
        <w:t>obró</w:t>
      </w:r>
      <w:r w:rsidRPr="005C41E9">
        <w:rPr>
          <w:rFonts w:eastAsia="Verdana"/>
          <w:sz w:val="24"/>
          <w:szCs w:val="24"/>
        </w:rPr>
        <w:t xml:space="preserve"> como demandante en el ejecutivo dentro del cual se profirieron los </w:t>
      </w:r>
      <w:r w:rsidR="00A110CF" w:rsidRPr="005C41E9">
        <w:rPr>
          <w:rFonts w:eastAsia="Verdana"/>
          <w:sz w:val="24"/>
          <w:szCs w:val="24"/>
        </w:rPr>
        <w:t>autos</w:t>
      </w:r>
      <w:r w:rsidRPr="005C41E9">
        <w:rPr>
          <w:rFonts w:eastAsia="Verdana"/>
          <w:sz w:val="24"/>
          <w:szCs w:val="24"/>
        </w:rPr>
        <w:t xml:space="preserve"> accionados. Así mismo, </w:t>
      </w:r>
      <w:r w:rsidR="00A110CF" w:rsidRPr="005C41E9">
        <w:rPr>
          <w:rFonts w:eastAsia="Verdana"/>
          <w:sz w:val="24"/>
          <w:szCs w:val="24"/>
        </w:rPr>
        <w:t>el Juzgado Primero Administrativo del Circuito Judicial de Yopal y</w:t>
      </w:r>
      <w:r w:rsidRPr="005C41E9">
        <w:rPr>
          <w:rFonts w:eastAsia="Verdana"/>
          <w:sz w:val="24"/>
          <w:szCs w:val="24"/>
        </w:rPr>
        <w:t xml:space="preserve"> el Tribunal Administrativo </w:t>
      </w:r>
      <w:r w:rsidR="00D73A65">
        <w:rPr>
          <w:rFonts w:eastAsia="Verdana"/>
          <w:sz w:val="24"/>
          <w:szCs w:val="24"/>
        </w:rPr>
        <w:t>del Casanare</w:t>
      </w:r>
      <w:r w:rsidRPr="005C41E9">
        <w:rPr>
          <w:rFonts w:eastAsia="Verdana"/>
          <w:sz w:val="24"/>
          <w:szCs w:val="24"/>
        </w:rPr>
        <w:t xml:space="preserve"> fueron las autoridades judiciales que dictaron las providencias reprochadas. Por tanto, la Sala encuentra satisfecho el presupuesto de</w:t>
      </w:r>
      <w:r w:rsidRPr="005C41E9">
        <w:rPr>
          <w:rFonts w:eastAsia="Verdana"/>
          <w:b/>
          <w:bCs/>
          <w:sz w:val="24"/>
          <w:szCs w:val="24"/>
        </w:rPr>
        <w:t xml:space="preserve"> legitimación</w:t>
      </w:r>
      <w:r w:rsidRPr="005C41E9">
        <w:rPr>
          <w:sz w:val="24"/>
          <w:szCs w:val="24"/>
          <w:vertAlign w:val="superscript"/>
        </w:rPr>
        <w:footnoteReference w:id="18"/>
      </w:r>
      <w:r w:rsidRPr="005C41E9">
        <w:rPr>
          <w:rFonts w:eastAsia="Verdana"/>
          <w:b/>
          <w:bCs/>
          <w:sz w:val="24"/>
          <w:szCs w:val="24"/>
        </w:rPr>
        <w:t xml:space="preserve"> por activa y por pasiva </w:t>
      </w:r>
      <w:r w:rsidRPr="005C41E9">
        <w:rPr>
          <w:rFonts w:eastAsia="Verdana"/>
          <w:sz w:val="24"/>
          <w:szCs w:val="24"/>
        </w:rPr>
        <w:t>para esta causa.</w:t>
      </w:r>
    </w:p>
    <w:p w14:paraId="7E5D4901" w14:textId="2C718960" w:rsidR="005A40F2" w:rsidRPr="005C41E9" w:rsidRDefault="005A40F2" w:rsidP="005C41E9">
      <w:pPr>
        <w:spacing w:line="276" w:lineRule="auto"/>
        <w:contextualSpacing/>
        <w:rPr>
          <w:sz w:val="24"/>
          <w:szCs w:val="24"/>
        </w:rPr>
      </w:pPr>
    </w:p>
    <w:p w14:paraId="1AAFE638" w14:textId="685279BE" w:rsidR="00B46D3D" w:rsidRPr="005C41E9" w:rsidRDefault="00B46D3D" w:rsidP="005C41E9">
      <w:pPr>
        <w:spacing w:line="276" w:lineRule="auto"/>
        <w:contextualSpacing/>
        <w:rPr>
          <w:sz w:val="24"/>
          <w:szCs w:val="24"/>
        </w:rPr>
      </w:pPr>
      <w:r w:rsidRPr="005C41E9">
        <w:rPr>
          <w:sz w:val="24"/>
          <w:szCs w:val="24"/>
        </w:rPr>
        <w:t>En lo que atañe a la UGPP, se observa que es necesario mantenerla vinculada a esta acción. Su calidad de demandada en el trámite ejecutivo identificado en precedencia requiere mantenerla enterada del desarrollo de este proceso y permitirle que participe.</w:t>
      </w:r>
    </w:p>
    <w:p w14:paraId="3F156D54" w14:textId="77777777" w:rsidR="00B46D3D" w:rsidRPr="005C41E9" w:rsidRDefault="00B46D3D" w:rsidP="005C41E9">
      <w:pPr>
        <w:spacing w:line="276" w:lineRule="auto"/>
        <w:contextualSpacing/>
        <w:rPr>
          <w:sz w:val="24"/>
          <w:szCs w:val="24"/>
        </w:rPr>
      </w:pPr>
    </w:p>
    <w:p w14:paraId="4F3A157D" w14:textId="7162C9BA" w:rsidR="002C58AC" w:rsidRPr="005C41E9" w:rsidRDefault="002C58AC" w:rsidP="005C41E9">
      <w:pPr>
        <w:pStyle w:val="ListParagraph"/>
        <w:numPr>
          <w:ilvl w:val="1"/>
          <w:numId w:val="1"/>
        </w:numPr>
        <w:overflowPunct w:val="0"/>
        <w:autoSpaceDE w:val="0"/>
        <w:autoSpaceDN w:val="0"/>
        <w:adjustRightInd w:val="0"/>
        <w:spacing w:line="276" w:lineRule="auto"/>
        <w:ind w:left="0" w:firstLine="0"/>
        <w:rPr>
          <w:rFonts w:eastAsia="Times New Roman"/>
          <w:sz w:val="24"/>
          <w:szCs w:val="24"/>
          <w:lang w:eastAsia="es-ES"/>
        </w:rPr>
      </w:pPr>
      <w:r w:rsidRPr="005C41E9">
        <w:rPr>
          <w:rFonts w:eastAsia="Times New Roman"/>
          <w:sz w:val="24"/>
          <w:szCs w:val="24"/>
          <w:lang w:eastAsia="es-ES"/>
        </w:rPr>
        <w:t>Estudiad</w:t>
      </w:r>
      <w:r w:rsidR="002729D1" w:rsidRPr="005C41E9">
        <w:rPr>
          <w:rFonts w:eastAsia="Times New Roman"/>
          <w:sz w:val="24"/>
          <w:szCs w:val="24"/>
          <w:lang w:eastAsia="es-ES"/>
        </w:rPr>
        <w:t>a la anterior exigencia</w:t>
      </w:r>
      <w:r w:rsidRPr="005C41E9">
        <w:rPr>
          <w:rFonts w:eastAsia="Times New Roman"/>
          <w:sz w:val="24"/>
          <w:szCs w:val="24"/>
          <w:lang w:eastAsia="es-ES"/>
        </w:rPr>
        <w:t xml:space="preserve">, se debe </w:t>
      </w:r>
      <w:r w:rsidR="005A40F2" w:rsidRPr="005C41E9">
        <w:rPr>
          <w:rFonts w:eastAsia="Times New Roman"/>
          <w:sz w:val="24"/>
          <w:szCs w:val="24"/>
          <w:lang w:eastAsia="es-ES"/>
        </w:rPr>
        <w:t xml:space="preserve">verificar si el escrito de amparo expresa </w:t>
      </w:r>
      <w:r w:rsidR="005A40F2" w:rsidRPr="005C41E9">
        <w:rPr>
          <w:rFonts w:eastAsia="Times New Roman"/>
          <w:b/>
          <w:sz w:val="24"/>
          <w:szCs w:val="24"/>
          <w:lang w:eastAsia="es-ES"/>
        </w:rPr>
        <w:t>de manera clara y suficiente los hechos y los fundamentos de la afectación de derechos que se imputa a la</w:t>
      </w:r>
      <w:r w:rsidRPr="005C41E9">
        <w:rPr>
          <w:rFonts w:eastAsia="Times New Roman"/>
          <w:b/>
          <w:sz w:val="24"/>
          <w:szCs w:val="24"/>
          <w:lang w:eastAsia="es-ES"/>
        </w:rPr>
        <w:t>s</w:t>
      </w:r>
      <w:r w:rsidR="005A40F2" w:rsidRPr="005C41E9">
        <w:rPr>
          <w:rFonts w:eastAsia="Times New Roman"/>
          <w:b/>
          <w:sz w:val="24"/>
          <w:szCs w:val="24"/>
          <w:lang w:eastAsia="es-ES"/>
        </w:rPr>
        <w:t xml:space="preserve"> decisi</w:t>
      </w:r>
      <w:r w:rsidRPr="005C41E9">
        <w:rPr>
          <w:rFonts w:eastAsia="Times New Roman"/>
          <w:b/>
          <w:sz w:val="24"/>
          <w:szCs w:val="24"/>
          <w:lang w:eastAsia="es-ES"/>
        </w:rPr>
        <w:t>ones</w:t>
      </w:r>
      <w:r w:rsidR="005A40F2" w:rsidRPr="005C41E9">
        <w:rPr>
          <w:rFonts w:eastAsia="Times New Roman"/>
          <w:b/>
          <w:sz w:val="24"/>
          <w:szCs w:val="24"/>
          <w:lang w:eastAsia="es-ES"/>
        </w:rPr>
        <w:t xml:space="preserve"> judicial</w:t>
      </w:r>
      <w:r w:rsidRPr="005C41E9">
        <w:rPr>
          <w:rFonts w:eastAsia="Times New Roman"/>
          <w:b/>
          <w:sz w:val="24"/>
          <w:szCs w:val="24"/>
          <w:lang w:eastAsia="es-ES"/>
        </w:rPr>
        <w:t>es</w:t>
      </w:r>
      <w:r w:rsidR="005A40F2" w:rsidRPr="005C41E9">
        <w:rPr>
          <w:rFonts w:eastAsia="Times New Roman"/>
          <w:b/>
          <w:sz w:val="24"/>
          <w:szCs w:val="24"/>
          <w:lang w:eastAsia="es-ES"/>
        </w:rPr>
        <w:t xml:space="preserve"> </w:t>
      </w:r>
      <w:r w:rsidRPr="005C41E9">
        <w:rPr>
          <w:rFonts w:eastAsia="Times New Roman"/>
          <w:b/>
          <w:sz w:val="24"/>
          <w:szCs w:val="24"/>
          <w:lang w:eastAsia="es-ES"/>
        </w:rPr>
        <w:t>enjuiciadas</w:t>
      </w:r>
      <w:r w:rsidR="005A40F2" w:rsidRPr="005C41E9">
        <w:rPr>
          <w:rFonts w:eastAsia="Times New Roman"/>
          <w:b/>
          <w:sz w:val="24"/>
          <w:szCs w:val="24"/>
          <w:lang w:eastAsia="es-ES"/>
        </w:rPr>
        <w:t>.</w:t>
      </w:r>
      <w:r w:rsidR="005A40F2" w:rsidRPr="005C41E9">
        <w:rPr>
          <w:rFonts w:eastAsia="Times New Roman"/>
          <w:bCs/>
          <w:sz w:val="24"/>
          <w:szCs w:val="24"/>
          <w:lang w:eastAsia="es-ES"/>
        </w:rPr>
        <w:t xml:space="preserve"> </w:t>
      </w:r>
    </w:p>
    <w:p w14:paraId="02573FB2" w14:textId="77777777" w:rsidR="002C58AC" w:rsidRPr="005C41E9" w:rsidRDefault="002C58AC" w:rsidP="005C41E9">
      <w:pPr>
        <w:spacing w:line="276" w:lineRule="auto"/>
        <w:rPr>
          <w:rFonts w:eastAsia="Times New Roman"/>
          <w:sz w:val="24"/>
          <w:szCs w:val="24"/>
          <w:lang w:eastAsia="es-ES"/>
        </w:rPr>
      </w:pPr>
    </w:p>
    <w:p w14:paraId="67413A2E" w14:textId="5D889CD8" w:rsidR="002C58AC" w:rsidRPr="005C41E9" w:rsidRDefault="005A40F2" w:rsidP="005C41E9">
      <w:pPr>
        <w:pStyle w:val="ListParagraph"/>
        <w:overflowPunct w:val="0"/>
        <w:autoSpaceDE w:val="0"/>
        <w:autoSpaceDN w:val="0"/>
        <w:adjustRightInd w:val="0"/>
        <w:spacing w:line="276" w:lineRule="auto"/>
        <w:ind w:left="0"/>
        <w:rPr>
          <w:rFonts w:eastAsia="Times New Roman"/>
          <w:sz w:val="24"/>
          <w:szCs w:val="24"/>
          <w:lang w:eastAsia="es-ES"/>
        </w:rPr>
      </w:pPr>
      <w:r w:rsidRPr="005C41E9">
        <w:rPr>
          <w:rFonts w:eastAsia="Times New Roman"/>
          <w:sz w:val="24"/>
          <w:szCs w:val="24"/>
          <w:lang w:eastAsia="es-ES"/>
        </w:rPr>
        <w:t xml:space="preserve">En cuanto al cargo formulado en la solicitud de tutela, el requisito bajo análisis </w:t>
      </w:r>
      <w:r w:rsidRPr="005C41E9">
        <w:rPr>
          <w:rFonts w:eastAsia="Times New Roman"/>
          <w:i/>
          <w:iCs/>
          <w:sz w:val="24"/>
          <w:szCs w:val="24"/>
          <w:lang w:eastAsia="es-ES"/>
        </w:rPr>
        <w:t>no</w:t>
      </w:r>
      <w:r w:rsidRPr="005C41E9">
        <w:rPr>
          <w:rFonts w:eastAsia="Times New Roman"/>
          <w:sz w:val="24"/>
          <w:szCs w:val="24"/>
          <w:lang w:eastAsia="es-ES"/>
        </w:rPr>
        <w:t xml:space="preserve"> se cumple. Ello ocurre porque el actor no </w:t>
      </w:r>
      <w:r w:rsidR="00673FD7" w:rsidRPr="005C41E9">
        <w:rPr>
          <w:rFonts w:eastAsia="Times New Roman"/>
          <w:sz w:val="24"/>
          <w:szCs w:val="24"/>
          <w:lang w:eastAsia="es-ES"/>
        </w:rPr>
        <w:t>satisfizo</w:t>
      </w:r>
      <w:r w:rsidRPr="005C41E9">
        <w:rPr>
          <w:rFonts w:eastAsia="Times New Roman"/>
          <w:sz w:val="24"/>
          <w:szCs w:val="24"/>
          <w:lang w:eastAsia="es-ES"/>
        </w:rPr>
        <w:t xml:space="preserve"> la </w:t>
      </w:r>
      <w:r w:rsidRPr="005C41E9">
        <w:rPr>
          <w:rFonts w:eastAsia="Times New Roman"/>
          <w:i/>
          <w:iCs/>
          <w:sz w:val="24"/>
          <w:szCs w:val="24"/>
          <w:lang w:eastAsia="es-ES"/>
        </w:rPr>
        <w:t>carga argumentativa</w:t>
      </w:r>
      <w:r w:rsidRPr="005C41E9">
        <w:rPr>
          <w:rFonts w:eastAsia="Times New Roman"/>
          <w:sz w:val="24"/>
          <w:szCs w:val="24"/>
          <w:lang w:eastAsia="es-ES"/>
        </w:rPr>
        <w:t xml:space="preserve"> que se exige al momento de cuestionar en sede de tutela una providencia. En concreto, tal como está </w:t>
      </w:r>
      <w:r w:rsidRPr="005C41E9">
        <w:rPr>
          <w:rFonts w:eastAsia="Times New Roman"/>
          <w:sz w:val="24"/>
          <w:szCs w:val="24"/>
          <w:lang w:eastAsia="es-ES"/>
        </w:rPr>
        <w:lastRenderedPageBreak/>
        <w:t xml:space="preserve">planteado el reproche, la Sala no observa que el accionante haya indicado cuál es el aspecto de los autos </w:t>
      </w:r>
      <w:r w:rsidR="002C58AC" w:rsidRPr="005C41E9">
        <w:rPr>
          <w:rFonts w:eastAsia="Times New Roman"/>
          <w:sz w:val="24"/>
          <w:szCs w:val="24"/>
          <w:lang w:eastAsia="es-ES"/>
        </w:rPr>
        <w:t>censurados</w:t>
      </w:r>
      <w:r w:rsidRPr="005C41E9">
        <w:rPr>
          <w:rFonts w:eastAsia="Times New Roman"/>
          <w:sz w:val="24"/>
          <w:szCs w:val="24"/>
          <w:lang w:eastAsia="es-ES"/>
        </w:rPr>
        <w:t xml:space="preserve"> que requiere de un examen constitucional. </w:t>
      </w:r>
    </w:p>
    <w:p w14:paraId="602B1FA4" w14:textId="77777777" w:rsidR="002C58AC" w:rsidRPr="005C41E9" w:rsidRDefault="002C58AC" w:rsidP="005C41E9">
      <w:pPr>
        <w:pStyle w:val="ListParagraph"/>
        <w:overflowPunct w:val="0"/>
        <w:autoSpaceDE w:val="0"/>
        <w:autoSpaceDN w:val="0"/>
        <w:adjustRightInd w:val="0"/>
        <w:spacing w:line="276" w:lineRule="auto"/>
        <w:ind w:left="0"/>
        <w:rPr>
          <w:rFonts w:eastAsia="Times New Roman"/>
          <w:sz w:val="24"/>
          <w:szCs w:val="24"/>
          <w:lang w:eastAsia="es-ES"/>
        </w:rPr>
      </w:pPr>
    </w:p>
    <w:p w14:paraId="77420464" w14:textId="6401F3B9" w:rsidR="002C58AC" w:rsidRPr="005C41E9" w:rsidRDefault="002C58AC" w:rsidP="005C41E9">
      <w:pPr>
        <w:pStyle w:val="ListParagraph"/>
        <w:overflowPunct w:val="0"/>
        <w:autoSpaceDE w:val="0"/>
        <w:autoSpaceDN w:val="0"/>
        <w:adjustRightInd w:val="0"/>
        <w:spacing w:line="276" w:lineRule="auto"/>
        <w:ind w:left="0"/>
        <w:rPr>
          <w:rFonts w:eastAsia="Times New Roman"/>
          <w:sz w:val="24"/>
          <w:szCs w:val="24"/>
          <w:lang w:eastAsia="es-ES"/>
        </w:rPr>
      </w:pPr>
      <w:r w:rsidRPr="005C41E9">
        <w:rPr>
          <w:rFonts w:eastAsia="Times New Roman"/>
          <w:sz w:val="24"/>
          <w:szCs w:val="24"/>
          <w:lang w:eastAsia="es-ES"/>
        </w:rPr>
        <w:t>E</w:t>
      </w:r>
      <w:r w:rsidR="005A40F2" w:rsidRPr="005C41E9">
        <w:rPr>
          <w:rFonts w:eastAsia="Times New Roman"/>
          <w:sz w:val="24"/>
          <w:szCs w:val="24"/>
          <w:lang w:eastAsia="es-ES"/>
        </w:rPr>
        <w:t xml:space="preserve">l solicitante afirma que las providencias atacadas no tuvieron en cuenta el periodo durante el cual los términos de prescripción y caducidad estuvieron suspendidos con respecto a la </w:t>
      </w:r>
      <w:r w:rsidRPr="005C41E9">
        <w:rPr>
          <w:rFonts w:eastAsia="Times New Roman"/>
          <w:sz w:val="24"/>
          <w:szCs w:val="24"/>
          <w:lang w:eastAsia="es-ES"/>
        </w:rPr>
        <w:t>extinta</w:t>
      </w:r>
      <w:r w:rsidR="005A40F2" w:rsidRPr="005C41E9">
        <w:rPr>
          <w:rFonts w:eastAsia="Times New Roman"/>
          <w:sz w:val="24"/>
          <w:szCs w:val="24"/>
          <w:lang w:eastAsia="es-ES"/>
        </w:rPr>
        <w:t xml:space="preserve"> CAJANAL. No obstante, en los proveídos en cita se nota que </w:t>
      </w:r>
      <w:r w:rsidRPr="005C41E9">
        <w:rPr>
          <w:rFonts w:eastAsia="Times New Roman"/>
          <w:sz w:val="24"/>
          <w:szCs w:val="24"/>
          <w:lang w:eastAsia="es-ES"/>
        </w:rPr>
        <w:t>los falladores accionados contabilizaron la caducidad del proceso ejecutivo incoado por el peticionario solo a partir de que finalizó ese periodo de suspensión. De ese modo, la argumentación presentada en el memorial introductorio</w:t>
      </w:r>
      <w:r w:rsidR="005A40F2" w:rsidRPr="005C41E9">
        <w:rPr>
          <w:rFonts w:eastAsia="Times New Roman"/>
          <w:sz w:val="24"/>
          <w:szCs w:val="24"/>
          <w:lang w:eastAsia="es-ES"/>
        </w:rPr>
        <w:t xml:space="preserve"> </w:t>
      </w:r>
      <w:r w:rsidRPr="005C41E9">
        <w:rPr>
          <w:rFonts w:eastAsia="Times New Roman"/>
          <w:sz w:val="24"/>
          <w:szCs w:val="24"/>
          <w:lang w:eastAsia="es-ES"/>
        </w:rPr>
        <w:t>de este proceso no se comprende, pues asume que no se advirtió un aspecto procesal que fue el que sirvió de base para arribar a la conclusión contenida en esas decisiones judiciales.</w:t>
      </w:r>
    </w:p>
    <w:p w14:paraId="39EFF04D" w14:textId="77777777" w:rsidR="00B46D3D" w:rsidRPr="005C41E9" w:rsidRDefault="00B46D3D" w:rsidP="005C41E9">
      <w:pPr>
        <w:pStyle w:val="ListParagraph"/>
        <w:overflowPunct w:val="0"/>
        <w:autoSpaceDE w:val="0"/>
        <w:autoSpaceDN w:val="0"/>
        <w:adjustRightInd w:val="0"/>
        <w:spacing w:line="276" w:lineRule="auto"/>
        <w:ind w:left="0"/>
        <w:rPr>
          <w:rFonts w:eastAsia="Times New Roman"/>
          <w:sz w:val="24"/>
          <w:szCs w:val="24"/>
          <w:lang w:eastAsia="es-ES"/>
        </w:rPr>
      </w:pPr>
    </w:p>
    <w:p w14:paraId="4C6AB505" w14:textId="1FD5FD35" w:rsidR="005A40F2" w:rsidRPr="005C41E9" w:rsidRDefault="002C58AC" w:rsidP="005C41E9">
      <w:pPr>
        <w:pStyle w:val="ListParagraph"/>
        <w:overflowPunct w:val="0"/>
        <w:autoSpaceDE w:val="0"/>
        <w:autoSpaceDN w:val="0"/>
        <w:adjustRightInd w:val="0"/>
        <w:spacing w:line="276" w:lineRule="auto"/>
        <w:ind w:left="0"/>
        <w:rPr>
          <w:rFonts w:eastAsia="Times New Roman"/>
          <w:sz w:val="24"/>
          <w:szCs w:val="24"/>
          <w:lang w:eastAsia="es-ES"/>
        </w:rPr>
      </w:pPr>
      <w:r w:rsidRPr="005C41E9">
        <w:rPr>
          <w:rFonts w:eastAsia="Times New Roman"/>
          <w:sz w:val="24"/>
          <w:szCs w:val="24"/>
          <w:lang w:eastAsia="es-ES"/>
        </w:rPr>
        <w:t>De lo evidenciado se desprende que, para atender el cargo propuesto, se requeriría efectuar un examen integral de la actuación procesal censurada por el actor</w:t>
      </w:r>
      <w:r w:rsidR="00695F51" w:rsidRPr="005C41E9">
        <w:rPr>
          <w:rFonts w:eastAsia="Times New Roman"/>
          <w:sz w:val="24"/>
          <w:szCs w:val="24"/>
          <w:vertAlign w:val="superscript"/>
          <w:lang w:eastAsia="es-ES"/>
        </w:rPr>
        <w:footnoteReference w:id="19"/>
      </w:r>
      <w:r w:rsidR="002729D1" w:rsidRPr="005C41E9">
        <w:rPr>
          <w:rFonts w:eastAsia="Times New Roman"/>
          <w:sz w:val="24"/>
          <w:szCs w:val="24"/>
          <w:lang w:eastAsia="es-ES"/>
        </w:rPr>
        <w:t>. Así, se tendría que contabilizar la caducidad declarada por las accionadas</w:t>
      </w:r>
      <w:r w:rsidRPr="005C41E9">
        <w:rPr>
          <w:rFonts w:eastAsia="Times New Roman"/>
          <w:sz w:val="24"/>
          <w:szCs w:val="24"/>
          <w:lang w:eastAsia="es-ES"/>
        </w:rPr>
        <w:t>. S</w:t>
      </w:r>
      <w:r w:rsidR="005A40F2" w:rsidRPr="005C41E9">
        <w:rPr>
          <w:rFonts w:eastAsia="Times New Roman"/>
          <w:sz w:val="24"/>
          <w:szCs w:val="24"/>
          <w:lang w:eastAsia="es-ES"/>
        </w:rPr>
        <w:t xml:space="preserve">in embargo, </w:t>
      </w:r>
      <w:r w:rsidRPr="005C41E9">
        <w:rPr>
          <w:rFonts w:eastAsia="Times New Roman"/>
          <w:sz w:val="24"/>
          <w:szCs w:val="24"/>
          <w:lang w:eastAsia="es-ES"/>
        </w:rPr>
        <w:t xml:space="preserve">tal proceder desconocería que </w:t>
      </w:r>
      <w:r w:rsidR="005A40F2" w:rsidRPr="005C41E9">
        <w:rPr>
          <w:rFonts w:eastAsia="Times New Roman"/>
          <w:sz w:val="24"/>
          <w:szCs w:val="24"/>
          <w:lang w:eastAsia="es-ES"/>
        </w:rPr>
        <w:t xml:space="preserve">la tutela </w:t>
      </w:r>
      <w:r w:rsidRPr="005C41E9">
        <w:rPr>
          <w:rFonts w:eastAsia="Times New Roman"/>
          <w:sz w:val="24"/>
          <w:szCs w:val="24"/>
          <w:lang w:eastAsia="es-ES"/>
        </w:rPr>
        <w:t>es una</w:t>
      </w:r>
      <w:r w:rsidR="005A40F2" w:rsidRPr="005C41E9">
        <w:rPr>
          <w:rFonts w:eastAsia="Times New Roman"/>
          <w:sz w:val="24"/>
          <w:szCs w:val="24"/>
          <w:lang w:eastAsia="es-ES"/>
        </w:rPr>
        <w:t xml:space="preserve"> acción subsidiaria y complementaria</w:t>
      </w:r>
      <w:r w:rsidR="005A40F2" w:rsidRPr="005C41E9">
        <w:rPr>
          <w:sz w:val="24"/>
          <w:szCs w:val="24"/>
          <w:vertAlign w:val="superscript"/>
          <w:lang w:eastAsia="es-ES"/>
        </w:rPr>
        <w:footnoteReference w:id="20"/>
      </w:r>
      <w:r w:rsidR="005A40F2" w:rsidRPr="005C41E9">
        <w:rPr>
          <w:rFonts w:eastAsia="Times New Roman"/>
          <w:sz w:val="24"/>
          <w:szCs w:val="24"/>
          <w:lang w:eastAsia="es-ES"/>
        </w:rPr>
        <w:t>.</w:t>
      </w:r>
      <w:r w:rsidR="00673FD7" w:rsidRPr="005C41E9">
        <w:rPr>
          <w:rFonts w:eastAsia="Times New Roman"/>
          <w:sz w:val="24"/>
          <w:szCs w:val="24"/>
          <w:lang w:eastAsia="es-ES"/>
        </w:rPr>
        <w:t xml:space="preserve"> Así mismo, debe precisarse que </w:t>
      </w:r>
      <w:r w:rsidR="007B6A0F" w:rsidRPr="005C41E9">
        <w:rPr>
          <w:rFonts w:eastAsia="Times New Roman"/>
          <w:sz w:val="24"/>
          <w:szCs w:val="24"/>
          <w:lang w:eastAsia="es-ES"/>
        </w:rPr>
        <w:t>el reproche tampoco</w:t>
      </w:r>
      <w:r w:rsidR="00673FD7" w:rsidRPr="005C41E9">
        <w:rPr>
          <w:rFonts w:eastAsia="Times New Roman"/>
          <w:sz w:val="24"/>
          <w:szCs w:val="24"/>
          <w:lang w:eastAsia="es-ES"/>
        </w:rPr>
        <w:t xml:space="preserve"> goza de </w:t>
      </w:r>
      <w:r w:rsidR="00673FD7" w:rsidRPr="005C41E9">
        <w:rPr>
          <w:rFonts w:eastAsia="Times New Roman"/>
          <w:b/>
          <w:bCs/>
          <w:sz w:val="24"/>
          <w:szCs w:val="24"/>
          <w:lang w:eastAsia="es-ES"/>
        </w:rPr>
        <w:t>relevancia constitucional</w:t>
      </w:r>
      <w:r w:rsidR="00673FD7" w:rsidRPr="005C41E9">
        <w:rPr>
          <w:rFonts w:eastAsia="Times New Roman"/>
          <w:sz w:val="24"/>
          <w:szCs w:val="24"/>
          <w:lang w:eastAsia="es-ES"/>
        </w:rPr>
        <w:t>, pues no demarca la competencia del juez de tutela, en contraste con la del juez del ejecutivo</w:t>
      </w:r>
      <w:r w:rsidR="00673FD7" w:rsidRPr="005C41E9">
        <w:rPr>
          <w:rFonts w:eastAsia="Times New Roman"/>
          <w:sz w:val="24"/>
          <w:szCs w:val="24"/>
          <w:vertAlign w:val="superscript"/>
          <w:lang w:eastAsia="es-ES"/>
        </w:rPr>
        <w:footnoteReference w:id="21"/>
      </w:r>
      <w:r w:rsidR="00673FD7" w:rsidRPr="005C41E9">
        <w:rPr>
          <w:rFonts w:eastAsia="Times New Roman"/>
          <w:sz w:val="24"/>
          <w:szCs w:val="24"/>
          <w:lang w:eastAsia="es-ES"/>
        </w:rPr>
        <w:t>. De hecho, la argumentación expuesta en la solicitud de amparo es una transcripción del memorial de apelación</w:t>
      </w:r>
      <w:r w:rsidR="00673FD7" w:rsidRPr="005C41E9">
        <w:rPr>
          <w:rStyle w:val="FootnoteReference"/>
          <w:rFonts w:eastAsia="Times New Roman"/>
          <w:sz w:val="24"/>
          <w:szCs w:val="24"/>
          <w:lang w:eastAsia="es-ES"/>
        </w:rPr>
        <w:footnoteReference w:id="22"/>
      </w:r>
      <w:r w:rsidR="00673FD7" w:rsidRPr="005C41E9">
        <w:rPr>
          <w:rFonts w:eastAsia="Times New Roman"/>
          <w:sz w:val="24"/>
          <w:szCs w:val="24"/>
          <w:lang w:eastAsia="es-ES"/>
        </w:rPr>
        <w:t>, radicado con el fin de controvertir el auto de primera instancia censurado en este proceso</w:t>
      </w:r>
      <w:r w:rsidR="000845B1" w:rsidRPr="005C41E9">
        <w:rPr>
          <w:rFonts w:eastAsia="Times New Roman"/>
          <w:sz w:val="24"/>
          <w:szCs w:val="24"/>
          <w:lang w:eastAsia="es-ES"/>
        </w:rPr>
        <w:t>.</w:t>
      </w:r>
      <w:r w:rsidR="005C41E9">
        <w:rPr>
          <w:rFonts w:eastAsia="Times New Roman"/>
          <w:sz w:val="24"/>
          <w:szCs w:val="24"/>
          <w:lang w:eastAsia="es-ES"/>
        </w:rPr>
        <w:t xml:space="preserve"> Así, en el escrito de tutela </w:t>
      </w:r>
      <w:r w:rsidR="00673FD7" w:rsidRPr="005C41E9">
        <w:rPr>
          <w:rFonts w:eastAsia="Times New Roman"/>
          <w:sz w:val="24"/>
          <w:szCs w:val="24"/>
          <w:lang w:eastAsia="es-ES"/>
        </w:rPr>
        <w:t xml:space="preserve">se </w:t>
      </w:r>
      <w:r w:rsidR="000845B1" w:rsidRPr="005C41E9">
        <w:rPr>
          <w:rFonts w:eastAsia="Times New Roman"/>
          <w:sz w:val="24"/>
          <w:szCs w:val="24"/>
          <w:lang w:eastAsia="es-ES"/>
        </w:rPr>
        <w:t>dice</w:t>
      </w:r>
      <w:r w:rsidR="00673FD7" w:rsidRPr="005C41E9">
        <w:rPr>
          <w:rFonts w:eastAsia="Times New Roman"/>
          <w:sz w:val="24"/>
          <w:szCs w:val="24"/>
          <w:lang w:eastAsia="es-ES"/>
        </w:rPr>
        <w:t xml:space="preserve"> de nuevo que no se tuvo en cuenta la suspensión </w:t>
      </w:r>
      <w:r w:rsidR="007B6A0F" w:rsidRPr="005C41E9">
        <w:rPr>
          <w:rFonts w:eastAsia="Times New Roman"/>
          <w:sz w:val="24"/>
          <w:szCs w:val="24"/>
          <w:lang w:eastAsia="es-ES"/>
        </w:rPr>
        <w:t xml:space="preserve">de los términos para demandar a CAJANAL </w:t>
      </w:r>
      <w:r w:rsidR="00673FD7" w:rsidRPr="005C41E9">
        <w:rPr>
          <w:rFonts w:eastAsia="Times New Roman"/>
          <w:sz w:val="24"/>
          <w:szCs w:val="24"/>
          <w:lang w:eastAsia="es-ES"/>
        </w:rPr>
        <w:t xml:space="preserve">y </w:t>
      </w:r>
      <w:r w:rsidR="00695F51" w:rsidRPr="005C41E9">
        <w:rPr>
          <w:rFonts w:eastAsia="Times New Roman"/>
          <w:sz w:val="24"/>
          <w:szCs w:val="24"/>
          <w:lang w:eastAsia="es-ES"/>
        </w:rPr>
        <w:t xml:space="preserve">se </w:t>
      </w:r>
      <w:r w:rsidR="00673FD7" w:rsidRPr="005C41E9">
        <w:rPr>
          <w:rFonts w:eastAsia="Times New Roman"/>
          <w:sz w:val="24"/>
          <w:szCs w:val="24"/>
          <w:lang w:eastAsia="es-ES"/>
        </w:rPr>
        <w:t>omite</w:t>
      </w:r>
      <w:r w:rsidR="005C41E9" w:rsidRPr="005C41E9">
        <w:rPr>
          <w:rFonts w:eastAsia="Times New Roman"/>
          <w:sz w:val="24"/>
          <w:szCs w:val="24"/>
          <w:lang w:eastAsia="es-ES"/>
        </w:rPr>
        <w:t>n</w:t>
      </w:r>
      <w:r w:rsidR="00673FD7" w:rsidRPr="005C41E9">
        <w:rPr>
          <w:rFonts w:eastAsia="Times New Roman"/>
          <w:sz w:val="24"/>
          <w:szCs w:val="24"/>
          <w:lang w:eastAsia="es-ES"/>
        </w:rPr>
        <w:t xml:space="preserve"> completamente las razones que llevaron al tribunal a confirmar</w:t>
      </w:r>
      <w:r w:rsidR="007B6A0F" w:rsidRPr="005C41E9">
        <w:rPr>
          <w:rFonts w:eastAsia="Times New Roman"/>
          <w:sz w:val="24"/>
          <w:szCs w:val="24"/>
          <w:lang w:eastAsia="es-ES"/>
        </w:rPr>
        <w:t xml:space="preserve"> la decisión apelada</w:t>
      </w:r>
      <w:r w:rsidR="00673FD7" w:rsidRPr="005C41E9">
        <w:rPr>
          <w:rFonts w:eastAsia="Times New Roman"/>
          <w:sz w:val="24"/>
          <w:szCs w:val="24"/>
          <w:lang w:eastAsia="es-ES"/>
        </w:rPr>
        <w:t xml:space="preserve">. Por lo tanto, la protesta bajo examen se torna improcedente. </w:t>
      </w:r>
      <w:r w:rsidR="005A40F2" w:rsidRPr="005C41E9">
        <w:rPr>
          <w:rFonts w:eastAsia="Times New Roman"/>
          <w:sz w:val="24"/>
          <w:szCs w:val="24"/>
          <w:lang w:eastAsia="es-ES"/>
        </w:rPr>
        <w:t xml:space="preserve">En conclusión, el </w:t>
      </w:r>
      <w:r w:rsidR="00A0443F" w:rsidRPr="005C41E9">
        <w:rPr>
          <w:rFonts w:eastAsia="Times New Roman"/>
          <w:sz w:val="24"/>
          <w:szCs w:val="24"/>
          <w:lang w:eastAsia="es-ES"/>
        </w:rPr>
        <w:t>cargo bajo estudio</w:t>
      </w:r>
      <w:r w:rsidR="005A40F2" w:rsidRPr="005C41E9">
        <w:rPr>
          <w:rFonts w:eastAsia="Times New Roman"/>
          <w:sz w:val="24"/>
          <w:szCs w:val="24"/>
          <w:lang w:eastAsia="es-ES"/>
        </w:rPr>
        <w:t xml:space="preserve"> </w:t>
      </w:r>
      <w:r w:rsidR="00A0443F" w:rsidRPr="005C41E9">
        <w:rPr>
          <w:rFonts w:eastAsia="Times New Roman"/>
          <w:sz w:val="24"/>
          <w:szCs w:val="24"/>
          <w:lang w:eastAsia="es-ES"/>
        </w:rPr>
        <w:t>resulta ambiguo y oscuro, lo que impide su examen</w:t>
      </w:r>
      <w:r w:rsidR="005A40F2" w:rsidRPr="005C41E9">
        <w:rPr>
          <w:rFonts w:eastAsia="Times New Roman"/>
          <w:sz w:val="24"/>
          <w:szCs w:val="24"/>
          <w:lang w:eastAsia="es-ES"/>
        </w:rPr>
        <w:t>.</w:t>
      </w:r>
    </w:p>
    <w:p w14:paraId="6A5B942C" w14:textId="77777777" w:rsidR="00612A30" w:rsidRPr="005C41E9" w:rsidRDefault="00612A30" w:rsidP="005C41E9">
      <w:pPr>
        <w:spacing w:line="276" w:lineRule="auto"/>
        <w:rPr>
          <w:rFonts w:eastAsia="Times New Roman"/>
          <w:bCs/>
          <w:sz w:val="24"/>
          <w:szCs w:val="24"/>
          <w:lang w:eastAsia="es-ES"/>
        </w:rPr>
      </w:pPr>
    </w:p>
    <w:p w14:paraId="6F3B84C6" w14:textId="77777777" w:rsidR="002A1D6D" w:rsidRPr="005C41E9" w:rsidRDefault="002A1D6D" w:rsidP="005C41E9">
      <w:pPr>
        <w:pStyle w:val="Heading1"/>
        <w:spacing w:before="0" w:after="0"/>
        <w:ind w:hanging="147"/>
        <w:rPr>
          <w:rFonts w:cs="Arial"/>
          <w:kern w:val="0"/>
          <w:szCs w:val="24"/>
        </w:rPr>
      </w:pPr>
      <w:r w:rsidRPr="005C41E9">
        <w:rPr>
          <w:rFonts w:cs="Arial"/>
          <w:kern w:val="0"/>
          <w:szCs w:val="24"/>
        </w:rPr>
        <w:t>DECISIÓN</w:t>
      </w:r>
    </w:p>
    <w:p w14:paraId="59619CFC" w14:textId="77777777" w:rsidR="002A1D6D" w:rsidRPr="005C41E9" w:rsidRDefault="002A1D6D" w:rsidP="005C41E9">
      <w:pPr>
        <w:spacing w:line="276" w:lineRule="auto"/>
        <w:contextualSpacing/>
        <w:rPr>
          <w:rFonts w:eastAsia="Times New Roman"/>
          <w:sz w:val="24"/>
          <w:szCs w:val="24"/>
        </w:rPr>
      </w:pPr>
    </w:p>
    <w:p w14:paraId="10D04F89" w14:textId="54E6D311" w:rsidR="002A1D6D" w:rsidRPr="005C41E9" w:rsidRDefault="002A1D6D" w:rsidP="005C41E9">
      <w:pPr>
        <w:spacing w:line="276" w:lineRule="auto"/>
        <w:contextualSpacing/>
        <w:rPr>
          <w:rFonts w:eastAsia="Times New Roman"/>
          <w:sz w:val="24"/>
          <w:szCs w:val="24"/>
        </w:rPr>
      </w:pPr>
      <w:r w:rsidRPr="005C41E9">
        <w:rPr>
          <w:rFonts w:eastAsia="Times New Roman"/>
          <w:sz w:val="24"/>
          <w:szCs w:val="24"/>
        </w:rPr>
        <w:t>En mérito de lo expuesto, el Consejo de Estado, Sala de lo Contencioso Administrativo, Sección Tercera, Subsección C, administrando justicia en nombre de la República y por autoridad de la ley,</w:t>
      </w:r>
    </w:p>
    <w:p w14:paraId="363C0C31" w14:textId="396FFAF4" w:rsidR="00CB0163" w:rsidRPr="005C41E9" w:rsidRDefault="00CB0163" w:rsidP="005C41E9">
      <w:pPr>
        <w:spacing w:line="276" w:lineRule="auto"/>
        <w:contextualSpacing/>
        <w:jc w:val="center"/>
        <w:rPr>
          <w:rFonts w:eastAsia="Times New Roman"/>
          <w:sz w:val="24"/>
          <w:szCs w:val="24"/>
        </w:rPr>
      </w:pPr>
    </w:p>
    <w:p w14:paraId="17FB3A16" w14:textId="1BF0107F" w:rsidR="005C41E9" w:rsidRPr="005C41E9" w:rsidRDefault="005C41E9" w:rsidP="005C41E9">
      <w:pPr>
        <w:spacing w:line="276" w:lineRule="auto"/>
        <w:contextualSpacing/>
        <w:jc w:val="center"/>
        <w:rPr>
          <w:rFonts w:eastAsia="Times New Roman"/>
          <w:sz w:val="24"/>
          <w:szCs w:val="24"/>
        </w:rPr>
      </w:pPr>
    </w:p>
    <w:p w14:paraId="63B59BF2" w14:textId="77777777" w:rsidR="005C41E9" w:rsidRPr="005C41E9" w:rsidRDefault="005C41E9" w:rsidP="005C41E9">
      <w:pPr>
        <w:spacing w:line="276" w:lineRule="auto"/>
        <w:contextualSpacing/>
        <w:jc w:val="center"/>
        <w:rPr>
          <w:rFonts w:eastAsia="Times New Roman"/>
          <w:sz w:val="24"/>
          <w:szCs w:val="24"/>
        </w:rPr>
      </w:pPr>
    </w:p>
    <w:p w14:paraId="2287E209" w14:textId="77777777" w:rsidR="000C5DB7" w:rsidRPr="005C41E9" w:rsidRDefault="002A1D6D" w:rsidP="005C41E9">
      <w:pPr>
        <w:pStyle w:val="RESUELVE"/>
        <w:spacing w:before="0" w:after="0"/>
        <w:rPr>
          <w:rFonts w:cs="Arial"/>
          <w:kern w:val="0"/>
          <w:szCs w:val="24"/>
          <w:lang w:val="es-CO"/>
        </w:rPr>
      </w:pPr>
      <w:r w:rsidRPr="005C41E9">
        <w:rPr>
          <w:rFonts w:cs="Arial"/>
          <w:kern w:val="0"/>
          <w:szCs w:val="24"/>
          <w:lang w:val="es-CO"/>
        </w:rPr>
        <w:lastRenderedPageBreak/>
        <w:t>FALLA</w:t>
      </w:r>
    </w:p>
    <w:p w14:paraId="3E987887" w14:textId="05AD1986" w:rsidR="00383B43" w:rsidRPr="005C41E9" w:rsidRDefault="00383B43" w:rsidP="005C41E9">
      <w:pPr>
        <w:spacing w:line="276" w:lineRule="auto"/>
        <w:jc w:val="center"/>
        <w:rPr>
          <w:rFonts w:eastAsia="Verdana"/>
          <w:b/>
          <w:sz w:val="24"/>
          <w:szCs w:val="24"/>
        </w:rPr>
      </w:pPr>
    </w:p>
    <w:p w14:paraId="141D1946" w14:textId="5242D181" w:rsidR="000F4FF8" w:rsidRPr="005C41E9" w:rsidRDefault="000F4FF8" w:rsidP="005C41E9">
      <w:pPr>
        <w:pStyle w:val="ListParagraph"/>
        <w:numPr>
          <w:ilvl w:val="0"/>
          <w:numId w:val="27"/>
        </w:numPr>
        <w:spacing w:line="276" w:lineRule="auto"/>
        <w:ind w:left="0" w:firstLine="0"/>
        <w:rPr>
          <w:rFonts w:eastAsia="Times New Roman"/>
          <w:bCs/>
          <w:sz w:val="24"/>
          <w:szCs w:val="24"/>
        </w:rPr>
      </w:pPr>
      <w:bookmarkStart w:id="3" w:name="_Hlk40368302"/>
      <w:r w:rsidRPr="005C41E9">
        <w:rPr>
          <w:rFonts w:eastAsia="Times New Roman"/>
          <w:b/>
          <w:sz w:val="24"/>
          <w:szCs w:val="24"/>
        </w:rPr>
        <w:t>DECLARAR</w:t>
      </w:r>
      <w:r w:rsidRPr="005C41E9">
        <w:rPr>
          <w:rFonts w:eastAsia="Times New Roman"/>
          <w:bCs/>
          <w:sz w:val="24"/>
          <w:szCs w:val="24"/>
        </w:rPr>
        <w:t xml:space="preserve"> la improcedencia de la acción de tutela presentada por </w:t>
      </w:r>
      <w:r w:rsidR="00DF3E2A" w:rsidRPr="005C41E9">
        <w:rPr>
          <w:rFonts w:eastAsia="Times New Roman"/>
          <w:bCs/>
          <w:sz w:val="24"/>
          <w:szCs w:val="24"/>
        </w:rPr>
        <w:t>Edgar Enrique Leguizamón Alberto</w:t>
      </w:r>
      <w:r w:rsidRPr="005C41E9">
        <w:rPr>
          <w:rFonts w:eastAsia="Times New Roman"/>
          <w:bCs/>
          <w:sz w:val="24"/>
          <w:szCs w:val="24"/>
        </w:rPr>
        <w:t xml:space="preserve"> contra </w:t>
      </w:r>
      <w:r w:rsidR="00DF3E2A" w:rsidRPr="005C41E9">
        <w:rPr>
          <w:rFonts w:eastAsia="Times New Roman"/>
          <w:bCs/>
          <w:sz w:val="24"/>
          <w:szCs w:val="24"/>
        </w:rPr>
        <w:t>el Juzgado Primero Administrativo del Circuito Judicial de Yopal y el Tribunal Administrativo del Casanare</w:t>
      </w:r>
      <w:r w:rsidRPr="005C41E9">
        <w:rPr>
          <w:rFonts w:eastAsia="Times New Roman"/>
          <w:bCs/>
          <w:sz w:val="24"/>
          <w:szCs w:val="24"/>
        </w:rPr>
        <w:t xml:space="preserve">, por </w:t>
      </w:r>
      <w:r w:rsidR="00DF3E2A" w:rsidRPr="005C41E9">
        <w:rPr>
          <w:rFonts w:eastAsia="Times New Roman"/>
          <w:bCs/>
          <w:sz w:val="24"/>
          <w:szCs w:val="24"/>
        </w:rPr>
        <w:t>los</w:t>
      </w:r>
      <w:r w:rsidRPr="005C41E9">
        <w:rPr>
          <w:rFonts w:eastAsia="Times New Roman"/>
          <w:bCs/>
          <w:sz w:val="24"/>
          <w:szCs w:val="24"/>
        </w:rPr>
        <w:t xml:space="preserve"> </w:t>
      </w:r>
      <w:r w:rsidR="00DF3E2A" w:rsidRPr="005C41E9">
        <w:rPr>
          <w:rFonts w:eastAsia="Times New Roman"/>
          <w:bCs/>
          <w:sz w:val="24"/>
          <w:szCs w:val="24"/>
        </w:rPr>
        <w:t>motivos</w:t>
      </w:r>
      <w:r w:rsidRPr="005C41E9">
        <w:rPr>
          <w:rFonts w:eastAsia="Times New Roman"/>
          <w:bCs/>
          <w:sz w:val="24"/>
          <w:szCs w:val="24"/>
        </w:rPr>
        <w:t xml:space="preserve"> </w:t>
      </w:r>
      <w:r w:rsidR="00DF3E2A" w:rsidRPr="005C41E9">
        <w:rPr>
          <w:rFonts w:eastAsia="Times New Roman"/>
          <w:bCs/>
          <w:sz w:val="24"/>
          <w:szCs w:val="24"/>
        </w:rPr>
        <w:t>expuestos</w:t>
      </w:r>
      <w:r w:rsidRPr="005C41E9">
        <w:rPr>
          <w:rFonts w:eastAsia="Times New Roman"/>
          <w:bCs/>
          <w:sz w:val="24"/>
          <w:szCs w:val="24"/>
        </w:rPr>
        <w:t xml:space="preserve"> en la parte </w:t>
      </w:r>
      <w:r w:rsidR="00DF3E2A" w:rsidRPr="005C41E9">
        <w:rPr>
          <w:rFonts w:eastAsia="Times New Roman"/>
          <w:bCs/>
          <w:sz w:val="24"/>
          <w:szCs w:val="24"/>
        </w:rPr>
        <w:t>considerativa</w:t>
      </w:r>
      <w:r w:rsidRPr="005C41E9">
        <w:rPr>
          <w:rFonts w:eastAsia="Times New Roman"/>
          <w:bCs/>
          <w:sz w:val="24"/>
          <w:szCs w:val="24"/>
        </w:rPr>
        <w:t xml:space="preserve"> del presente </w:t>
      </w:r>
      <w:r w:rsidR="00DF3E2A" w:rsidRPr="005C41E9">
        <w:rPr>
          <w:rFonts w:eastAsia="Times New Roman"/>
          <w:bCs/>
          <w:sz w:val="24"/>
          <w:szCs w:val="24"/>
        </w:rPr>
        <w:t>proveído</w:t>
      </w:r>
      <w:r w:rsidRPr="005C41E9">
        <w:rPr>
          <w:rFonts w:eastAsia="Times New Roman"/>
          <w:bCs/>
          <w:sz w:val="24"/>
          <w:szCs w:val="24"/>
        </w:rPr>
        <w:t>.</w:t>
      </w:r>
    </w:p>
    <w:p w14:paraId="4FB72462" w14:textId="77777777" w:rsidR="00FC3614" w:rsidRPr="005C41E9" w:rsidRDefault="00FC3614" w:rsidP="005C41E9">
      <w:pPr>
        <w:pStyle w:val="ListParagraph"/>
        <w:spacing w:line="276" w:lineRule="auto"/>
        <w:ind w:left="0"/>
        <w:rPr>
          <w:rFonts w:eastAsia="Verdana"/>
          <w:bCs/>
          <w:sz w:val="24"/>
          <w:szCs w:val="24"/>
        </w:rPr>
      </w:pPr>
    </w:p>
    <w:p w14:paraId="755D2FA1" w14:textId="2E890880" w:rsidR="004C0AE1" w:rsidRPr="005C41E9" w:rsidRDefault="004C0AE1" w:rsidP="005C41E9">
      <w:pPr>
        <w:pStyle w:val="ListParagraph"/>
        <w:numPr>
          <w:ilvl w:val="0"/>
          <w:numId w:val="27"/>
        </w:numPr>
        <w:spacing w:line="276" w:lineRule="auto"/>
        <w:ind w:left="0" w:firstLine="0"/>
        <w:rPr>
          <w:rFonts w:eastAsia="Verdana"/>
          <w:sz w:val="24"/>
          <w:szCs w:val="24"/>
        </w:rPr>
      </w:pPr>
      <w:r w:rsidRPr="005C41E9">
        <w:rPr>
          <w:rFonts w:eastAsia="Verdana"/>
          <w:b/>
          <w:sz w:val="24"/>
          <w:szCs w:val="24"/>
        </w:rPr>
        <w:t xml:space="preserve">NOTIFICAR </w:t>
      </w:r>
      <w:r w:rsidRPr="005C41E9">
        <w:rPr>
          <w:rFonts w:eastAsia="Verdana"/>
          <w:sz w:val="24"/>
          <w:szCs w:val="24"/>
        </w:rPr>
        <w:t>la presente decisión a las partes y a los interesados por el medio más expedito.</w:t>
      </w:r>
    </w:p>
    <w:p w14:paraId="5A17E39A" w14:textId="77777777" w:rsidR="00FC3614" w:rsidRPr="005C41E9" w:rsidRDefault="00FC3614" w:rsidP="005C41E9">
      <w:pPr>
        <w:pStyle w:val="ListParagraph"/>
        <w:spacing w:line="276" w:lineRule="auto"/>
        <w:ind w:left="0"/>
        <w:rPr>
          <w:rFonts w:eastAsia="Verdana"/>
          <w:sz w:val="24"/>
          <w:szCs w:val="24"/>
        </w:rPr>
      </w:pPr>
    </w:p>
    <w:p w14:paraId="7DFE9682" w14:textId="2C024241" w:rsidR="004C0AE1" w:rsidRPr="005C41E9" w:rsidRDefault="004C0AE1" w:rsidP="005C41E9">
      <w:pPr>
        <w:pStyle w:val="ListParagraph"/>
        <w:numPr>
          <w:ilvl w:val="0"/>
          <w:numId w:val="27"/>
        </w:numPr>
        <w:spacing w:line="276" w:lineRule="auto"/>
        <w:ind w:left="0" w:firstLine="0"/>
        <w:rPr>
          <w:rFonts w:eastAsia="Verdana"/>
          <w:sz w:val="24"/>
          <w:szCs w:val="24"/>
        </w:rPr>
      </w:pPr>
      <w:r w:rsidRPr="005C41E9">
        <w:rPr>
          <w:rFonts w:eastAsia="Verdana"/>
          <w:b/>
          <w:sz w:val="24"/>
          <w:szCs w:val="24"/>
        </w:rPr>
        <w:t xml:space="preserve">ENVIAR </w:t>
      </w:r>
      <w:r w:rsidRPr="005C41E9">
        <w:rPr>
          <w:rFonts w:eastAsia="Verdana"/>
          <w:sz w:val="24"/>
          <w:szCs w:val="24"/>
        </w:rPr>
        <w:t xml:space="preserve">la presente providencia a la Corte Constitucional para su eventual revisión, en el caso de no ser impugnada.  </w:t>
      </w:r>
    </w:p>
    <w:bookmarkEnd w:id="3"/>
    <w:p w14:paraId="654CE2A3" w14:textId="26A81CAF" w:rsidR="003538E2" w:rsidRPr="005C41E9" w:rsidRDefault="00EA188F" w:rsidP="005C41E9">
      <w:pPr>
        <w:tabs>
          <w:tab w:val="left" w:pos="3263"/>
        </w:tabs>
        <w:spacing w:line="276" w:lineRule="auto"/>
        <w:contextualSpacing/>
        <w:rPr>
          <w:rFonts w:eastAsia="Verdana"/>
          <w:b/>
          <w:sz w:val="24"/>
          <w:szCs w:val="24"/>
        </w:rPr>
      </w:pPr>
      <w:r w:rsidRPr="005C41E9">
        <w:rPr>
          <w:rFonts w:eastAsia="Verdana"/>
          <w:b/>
          <w:sz w:val="24"/>
          <w:szCs w:val="24"/>
        </w:rPr>
        <w:tab/>
      </w:r>
    </w:p>
    <w:p w14:paraId="17B7F027" w14:textId="672A8568" w:rsidR="00A64EF5" w:rsidRPr="005C41E9" w:rsidRDefault="000C5DB7" w:rsidP="005C41E9">
      <w:pPr>
        <w:spacing w:line="276" w:lineRule="auto"/>
        <w:contextualSpacing/>
        <w:rPr>
          <w:rFonts w:eastAsia="Verdana"/>
          <w:b/>
          <w:sz w:val="24"/>
          <w:szCs w:val="24"/>
        </w:rPr>
      </w:pPr>
      <w:r w:rsidRPr="005C41E9">
        <w:rPr>
          <w:rFonts w:eastAsia="Verdana"/>
          <w:b/>
          <w:sz w:val="24"/>
          <w:szCs w:val="24"/>
        </w:rPr>
        <w:t>NOTIFÍQUESE Y CÚMPLASE</w:t>
      </w:r>
    </w:p>
    <w:p w14:paraId="10DF878B" w14:textId="0F310EFB" w:rsidR="00A652AA" w:rsidRPr="005C41E9" w:rsidRDefault="00A652AA" w:rsidP="005C41E9">
      <w:pPr>
        <w:spacing w:line="276" w:lineRule="auto"/>
        <w:contextualSpacing/>
        <w:jc w:val="center"/>
        <w:rPr>
          <w:rFonts w:eastAsia="Verdana"/>
          <w:b/>
          <w:sz w:val="24"/>
          <w:szCs w:val="24"/>
        </w:rPr>
      </w:pPr>
    </w:p>
    <w:p w14:paraId="6818678E" w14:textId="0B49B185" w:rsidR="003E141B" w:rsidRPr="005C41E9" w:rsidRDefault="003E141B" w:rsidP="005C41E9">
      <w:pPr>
        <w:spacing w:line="276" w:lineRule="auto"/>
        <w:contextualSpacing/>
        <w:jc w:val="center"/>
        <w:rPr>
          <w:rFonts w:eastAsia="Verdana"/>
          <w:b/>
          <w:sz w:val="24"/>
          <w:szCs w:val="24"/>
        </w:rPr>
      </w:pPr>
    </w:p>
    <w:p w14:paraId="252BE341" w14:textId="1FBA0756" w:rsidR="003E141B" w:rsidRPr="005C41E9" w:rsidRDefault="003E141B" w:rsidP="005C41E9">
      <w:pPr>
        <w:spacing w:line="276" w:lineRule="auto"/>
        <w:contextualSpacing/>
        <w:jc w:val="center"/>
        <w:rPr>
          <w:rFonts w:eastAsia="Verdana"/>
          <w:b/>
          <w:sz w:val="24"/>
          <w:szCs w:val="24"/>
        </w:rPr>
      </w:pPr>
    </w:p>
    <w:p w14:paraId="3EB83619" w14:textId="77777777" w:rsidR="003E141B" w:rsidRPr="005C41E9" w:rsidRDefault="003E141B" w:rsidP="005C41E9">
      <w:pPr>
        <w:spacing w:line="276" w:lineRule="auto"/>
        <w:contextualSpacing/>
        <w:jc w:val="center"/>
        <w:rPr>
          <w:rFonts w:eastAsia="Verdana"/>
          <w:b/>
          <w:sz w:val="24"/>
          <w:szCs w:val="24"/>
        </w:rPr>
      </w:pPr>
    </w:p>
    <w:p w14:paraId="60E15F96" w14:textId="79F360E7" w:rsidR="000C5DB7" w:rsidRPr="005C41E9" w:rsidRDefault="006C4EED" w:rsidP="005C41E9">
      <w:pPr>
        <w:spacing w:line="276" w:lineRule="auto"/>
        <w:contextualSpacing/>
        <w:jc w:val="center"/>
        <w:rPr>
          <w:rFonts w:eastAsia="Verdana"/>
          <w:b/>
          <w:sz w:val="24"/>
          <w:szCs w:val="24"/>
        </w:rPr>
      </w:pPr>
      <w:r w:rsidRPr="005C41E9">
        <w:rPr>
          <w:rFonts w:eastAsia="Verdana"/>
          <w:b/>
          <w:sz w:val="24"/>
          <w:szCs w:val="24"/>
        </w:rPr>
        <w:t>GUILLERMO SÁNCHEZ LUQUE</w:t>
      </w:r>
    </w:p>
    <w:p w14:paraId="411CDC80" w14:textId="77777777" w:rsidR="000C5DB7" w:rsidRPr="005C41E9" w:rsidRDefault="000C5DB7" w:rsidP="005C41E9">
      <w:pPr>
        <w:spacing w:line="276" w:lineRule="auto"/>
        <w:contextualSpacing/>
        <w:jc w:val="center"/>
        <w:rPr>
          <w:rFonts w:eastAsia="Verdana"/>
          <w:b/>
          <w:sz w:val="24"/>
          <w:szCs w:val="24"/>
        </w:rPr>
      </w:pPr>
      <w:r w:rsidRPr="005C41E9">
        <w:rPr>
          <w:rFonts w:eastAsia="Verdana"/>
          <w:b/>
          <w:sz w:val="24"/>
          <w:szCs w:val="24"/>
        </w:rPr>
        <w:t>Presidente de Sala</w:t>
      </w:r>
    </w:p>
    <w:p w14:paraId="3EDA8713" w14:textId="01253DF0" w:rsidR="00A652AA" w:rsidRPr="005C41E9" w:rsidRDefault="00D73A65" w:rsidP="005C41E9">
      <w:pPr>
        <w:spacing w:line="276" w:lineRule="auto"/>
        <w:contextualSpacing/>
        <w:jc w:val="center"/>
        <w:rPr>
          <w:rFonts w:eastAsia="Verdana"/>
          <w:b/>
          <w:sz w:val="24"/>
          <w:szCs w:val="24"/>
        </w:rPr>
      </w:pPr>
      <w:r w:rsidRPr="00D73A65">
        <w:rPr>
          <w:rFonts w:eastAsia="Verdana"/>
          <w:b/>
          <w:sz w:val="24"/>
          <w:szCs w:val="24"/>
        </w:rPr>
        <w:t>Aclaración de voto Cfr. Rad. 11001-03-15-000-2019-01299-00</w:t>
      </w:r>
    </w:p>
    <w:p w14:paraId="7064609A" w14:textId="55DADB58" w:rsidR="003E141B" w:rsidRPr="005C41E9" w:rsidRDefault="003E141B" w:rsidP="005C41E9">
      <w:pPr>
        <w:spacing w:line="276" w:lineRule="auto"/>
        <w:contextualSpacing/>
        <w:jc w:val="center"/>
        <w:rPr>
          <w:rFonts w:eastAsia="Verdana"/>
          <w:b/>
          <w:sz w:val="24"/>
          <w:szCs w:val="24"/>
        </w:rPr>
      </w:pPr>
    </w:p>
    <w:p w14:paraId="481DB249" w14:textId="77777777" w:rsidR="003E141B" w:rsidRPr="005C41E9" w:rsidRDefault="003E141B" w:rsidP="005C41E9">
      <w:pPr>
        <w:spacing w:line="276" w:lineRule="auto"/>
        <w:contextualSpacing/>
        <w:jc w:val="center"/>
        <w:rPr>
          <w:rFonts w:eastAsia="Verdana"/>
          <w:b/>
          <w:sz w:val="24"/>
          <w:szCs w:val="24"/>
        </w:rPr>
      </w:pPr>
    </w:p>
    <w:p w14:paraId="6F391B15" w14:textId="13FE018C" w:rsidR="00AB3CF6" w:rsidRDefault="00AB3CF6" w:rsidP="005C41E9">
      <w:pPr>
        <w:spacing w:line="276" w:lineRule="auto"/>
        <w:contextualSpacing/>
        <w:jc w:val="center"/>
        <w:rPr>
          <w:rFonts w:eastAsia="Verdana"/>
          <w:b/>
          <w:sz w:val="24"/>
          <w:szCs w:val="24"/>
        </w:rPr>
      </w:pPr>
    </w:p>
    <w:p w14:paraId="128E1DEC" w14:textId="77777777" w:rsidR="00D73A65" w:rsidRPr="005C41E9" w:rsidRDefault="00D73A65" w:rsidP="005C41E9">
      <w:pPr>
        <w:spacing w:line="276" w:lineRule="auto"/>
        <w:contextualSpacing/>
        <w:jc w:val="center"/>
        <w:rPr>
          <w:rFonts w:eastAsia="Verdana"/>
          <w:b/>
          <w:sz w:val="24"/>
          <w:szCs w:val="24"/>
        </w:rPr>
      </w:pPr>
    </w:p>
    <w:p w14:paraId="4787C33E" w14:textId="77777777" w:rsidR="000C5DB7" w:rsidRPr="005C41E9" w:rsidRDefault="006C4EED" w:rsidP="005C41E9">
      <w:pPr>
        <w:spacing w:line="276" w:lineRule="auto"/>
        <w:contextualSpacing/>
        <w:jc w:val="center"/>
        <w:rPr>
          <w:rFonts w:eastAsia="Verdana"/>
          <w:b/>
          <w:sz w:val="24"/>
          <w:szCs w:val="24"/>
        </w:rPr>
      </w:pPr>
      <w:r w:rsidRPr="005C41E9">
        <w:rPr>
          <w:rFonts w:eastAsia="Verdana"/>
          <w:b/>
          <w:sz w:val="24"/>
          <w:szCs w:val="24"/>
        </w:rPr>
        <w:t>JAIME ENRIQUE RODRÍGUEZ NAVAS</w:t>
      </w:r>
    </w:p>
    <w:p w14:paraId="3E59EA34" w14:textId="77777777" w:rsidR="000C5DB7" w:rsidRPr="005C41E9" w:rsidRDefault="000C5DB7" w:rsidP="005C41E9">
      <w:pPr>
        <w:spacing w:line="276" w:lineRule="auto"/>
        <w:contextualSpacing/>
        <w:jc w:val="center"/>
        <w:rPr>
          <w:rFonts w:eastAsia="Verdana"/>
          <w:b/>
          <w:sz w:val="24"/>
          <w:szCs w:val="24"/>
        </w:rPr>
      </w:pPr>
      <w:r w:rsidRPr="005C41E9">
        <w:rPr>
          <w:rFonts w:eastAsia="Verdana"/>
          <w:b/>
          <w:sz w:val="24"/>
          <w:szCs w:val="24"/>
        </w:rPr>
        <w:t>Magistrado</w:t>
      </w:r>
    </w:p>
    <w:p w14:paraId="10F53A36" w14:textId="364D62E7" w:rsidR="00A652AA" w:rsidRPr="005C41E9" w:rsidRDefault="00A652AA" w:rsidP="005C41E9">
      <w:pPr>
        <w:spacing w:line="276" w:lineRule="auto"/>
        <w:contextualSpacing/>
        <w:jc w:val="center"/>
        <w:rPr>
          <w:rFonts w:eastAsia="Verdana"/>
          <w:b/>
          <w:sz w:val="24"/>
          <w:szCs w:val="24"/>
        </w:rPr>
      </w:pPr>
    </w:p>
    <w:p w14:paraId="51D7FD3A" w14:textId="661A7495" w:rsidR="003E141B" w:rsidRPr="005C41E9" w:rsidRDefault="003E141B" w:rsidP="005C41E9">
      <w:pPr>
        <w:spacing w:line="276" w:lineRule="auto"/>
        <w:contextualSpacing/>
        <w:jc w:val="center"/>
        <w:rPr>
          <w:rFonts w:eastAsia="Verdana"/>
          <w:b/>
          <w:sz w:val="24"/>
          <w:szCs w:val="24"/>
        </w:rPr>
      </w:pPr>
    </w:p>
    <w:p w14:paraId="1FF76228" w14:textId="77777777" w:rsidR="003E141B" w:rsidRPr="005C41E9" w:rsidRDefault="003E141B" w:rsidP="005C41E9">
      <w:pPr>
        <w:spacing w:line="276" w:lineRule="auto"/>
        <w:contextualSpacing/>
        <w:jc w:val="center"/>
        <w:rPr>
          <w:rFonts w:eastAsia="Verdana"/>
          <w:b/>
          <w:sz w:val="24"/>
          <w:szCs w:val="24"/>
        </w:rPr>
      </w:pPr>
    </w:p>
    <w:p w14:paraId="73622E55" w14:textId="77777777" w:rsidR="00AB3CF6" w:rsidRPr="005C41E9" w:rsidRDefault="00AB3CF6" w:rsidP="005C41E9">
      <w:pPr>
        <w:spacing w:line="276" w:lineRule="auto"/>
        <w:contextualSpacing/>
        <w:jc w:val="center"/>
        <w:rPr>
          <w:rFonts w:eastAsia="Verdana"/>
          <w:b/>
          <w:sz w:val="24"/>
          <w:szCs w:val="24"/>
        </w:rPr>
      </w:pPr>
    </w:p>
    <w:p w14:paraId="5E00FC79" w14:textId="77777777" w:rsidR="000C5DB7" w:rsidRPr="005C41E9" w:rsidRDefault="000C5DB7" w:rsidP="005C41E9">
      <w:pPr>
        <w:spacing w:line="276" w:lineRule="auto"/>
        <w:contextualSpacing/>
        <w:jc w:val="center"/>
        <w:rPr>
          <w:rFonts w:eastAsia="Verdana"/>
          <w:b/>
          <w:sz w:val="24"/>
          <w:szCs w:val="24"/>
        </w:rPr>
      </w:pPr>
      <w:r w:rsidRPr="005C41E9">
        <w:rPr>
          <w:rFonts w:eastAsia="Verdana"/>
          <w:b/>
          <w:sz w:val="24"/>
          <w:szCs w:val="24"/>
        </w:rPr>
        <w:t>NICOLÁS YEPES CORRALES</w:t>
      </w:r>
    </w:p>
    <w:p w14:paraId="12E21CD1" w14:textId="07783A66" w:rsidR="00A64EF5" w:rsidRPr="005C41E9" w:rsidRDefault="000C5DB7" w:rsidP="005C41E9">
      <w:pPr>
        <w:spacing w:line="276" w:lineRule="auto"/>
        <w:contextualSpacing/>
        <w:jc w:val="center"/>
        <w:rPr>
          <w:rFonts w:eastAsia="Verdana"/>
          <w:b/>
          <w:sz w:val="24"/>
          <w:szCs w:val="24"/>
        </w:rPr>
      </w:pPr>
      <w:r w:rsidRPr="005C41E9">
        <w:rPr>
          <w:rFonts w:eastAsia="Verdana"/>
          <w:b/>
          <w:sz w:val="24"/>
          <w:szCs w:val="24"/>
        </w:rPr>
        <w:t>Magistrado</w:t>
      </w:r>
    </w:p>
    <w:sectPr w:rsidR="00A64EF5" w:rsidRPr="005C41E9" w:rsidSect="00E57BB4">
      <w:headerReference w:type="default" r:id="rId11"/>
      <w:footerReference w:type="default" r:id="rId12"/>
      <w:headerReference w:type="first" r:id="rId13"/>
      <w:footerReference w:type="first" r:id="rId14"/>
      <w:pgSz w:w="12242" w:h="18722" w:code="14"/>
      <w:pgMar w:top="2552" w:right="1418" w:bottom="1985" w:left="1701"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63F4E3" w14:textId="77777777" w:rsidR="00F90FFC" w:rsidRDefault="00F90FFC" w:rsidP="00117091">
      <w:r>
        <w:separator/>
      </w:r>
    </w:p>
  </w:endnote>
  <w:endnote w:type="continuationSeparator" w:id="0">
    <w:p w14:paraId="31BDBE06" w14:textId="77777777" w:rsidR="00F90FFC" w:rsidRDefault="00F90FFC" w:rsidP="00117091">
      <w:r>
        <w:continuationSeparator/>
      </w:r>
    </w:p>
  </w:endnote>
  <w:endnote w:type="continuationNotice" w:id="1">
    <w:p w14:paraId="5A6E51CB" w14:textId="77777777" w:rsidR="00F90FFC" w:rsidRDefault="00F90F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5E122B" w14:paraId="22CC7AFE" w14:textId="77777777" w:rsidTr="00B6429B">
      <w:trPr>
        <w:jc w:val="right"/>
      </w:trPr>
      <w:tc>
        <w:tcPr>
          <w:tcW w:w="4795" w:type="dxa"/>
          <w:vAlign w:val="center"/>
        </w:tcPr>
        <w:p w14:paraId="1A1DAD26" w14:textId="77777777" w:rsidR="005E122B" w:rsidRDefault="005E122B" w:rsidP="00B6429B">
          <w:pPr>
            <w:pStyle w:val="Header"/>
            <w:jc w:val="center"/>
            <w:rPr>
              <w:color w:val="767171"/>
              <w:sz w:val="20"/>
              <w:szCs w:val="20"/>
            </w:rPr>
          </w:pPr>
          <w:r w:rsidRPr="00A21194">
            <w:rPr>
              <w:color w:val="767171"/>
              <w:sz w:val="20"/>
              <w:szCs w:val="20"/>
            </w:rPr>
            <w:t>Calle 12 No. 7-65 – Tel: (57-1) 350-6700 – Bogotá D.C. – Colombia</w:t>
          </w:r>
        </w:p>
        <w:p w14:paraId="7F88392F" w14:textId="77777777" w:rsidR="005E122B" w:rsidRPr="00A21194" w:rsidRDefault="005E122B" w:rsidP="00B6429B">
          <w:pPr>
            <w:pStyle w:val="Header"/>
            <w:jc w:val="center"/>
            <w:rPr>
              <w:caps/>
              <w:color w:val="000000"/>
            </w:rPr>
          </w:pPr>
          <w:r w:rsidRPr="00A21194">
            <w:rPr>
              <w:color w:val="767171"/>
              <w:sz w:val="20"/>
              <w:szCs w:val="20"/>
            </w:rPr>
            <w:t>www.consejodeestado.gov.co</w:t>
          </w:r>
        </w:p>
      </w:tc>
      <w:tc>
        <w:tcPr>
          <w:tcW w:w="250" w:type="pct"/>
          <w:shd w:val="clear" w:color="auto" w:fill="auto"/>
          <w:vAlign w:val="center"/>
        </w:tcPr>
        <w:p w14:paraId="2806AAA0" w14:textId="77777777" w:rsidR="005E122B" w:rsidRPr="00B6429B" w:rsidRDefault="005E122B" w:rsidP="00B6429B">
          <w:pPr>
            <w:pStyle w:val="Footer"/>
            <w:jc w:val="center"/>
          </w:pPr>
          <w:r w:rsidRPr="00B6429B">
            <w:fldChar w:fldCharType="begin"/>
          </w:r>
          <w:r w:rsidRPr="00B6429B">
            <w:instrText>PAGE   \* MERGEFORMAT</w:instrText>
          </w:r>
          <w:r w:rsidRPr="00B6429B">
            <w:fldChar w:fldCharType="separate"/>
          </w:r>
          <w:r w:rsidRPr="00290777">
            <w:rPr>
              <w:noProof/>
              <w:lang w:val="es-ES"/>
            </w:rPr>
            <w:t>12</w:t>
          </w:r>
          <w:r w:rsidRPr="00B6429B">
            <w:fldChar w:fldCharType="end"/>
          </w:r>
        </w:p>
      </w:tc>
    </w:tr>
  </w:tbl>
  <w:p w14:paraId="199724F6" w14:textId="77777777" w:rsidR="005E122B" w:rsidRPr="008C0DBE" w:rsidRDefault="005E122B" w:rsidP="00394A69">
    <w:pPr>
      <w:pStyle w:val="Footer"/>
      <w:jc w:val="center"/>
      <w:rPr>
        <w:color w:val="76717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5E122B" w14:paraId="1D900BCF" w14:textId="77777777" w:rsidTr="00B6429B">
      <w:trPr>
        <w:jc w:val="right"/>
      </w:trPr>
      <w:tc>
        <w:tcPr>
          <w:tcW w:w="4795" w:type="dxa"/>
          <w:vAlign w:val="center"/>
        </w:tcPr>
        <w:p w14:paraId="505917EF" w14:textId="77777777" w:rsidR="005E122B" w:rsidRDefault="005E122B" w:rsidP="00850A42">
          <w:pPr>
            <w:pStyle w:val="Header"/>
            <w:tabs>
              <w:tab w:val="clear" w:pos="4252"/>
              <w:tab w:val="clear" w:pos="8504"/>
            </w:tabs>
            <w:jc w:val="center"/>
            <w:rPr>
              <w:color w:val="767171"/>
              <w:sz w:val="20"/>
              <w:szCs w:val="20"/>
            </w:rPr>
          </w:pPr>
          <w:r w:rsidRPr="00A21194">
            <w:rPr>
              <w:color w:val="767171"/>
              <w:sz w:val="20"/>
              <w:szCs w:val="20"/>
            </w:rPr>
            <w:t>Calle 12 No. 7-65 – Tel: (57-1) 350-6700 – Bogotá D.C. – Colombia</w:t>
          </w:r>
        </w:p>
        <w:p w14:paraId="04F80AD6" w14:textId="77777777" w:rsidR="005E122B" w:rsidRPr="00A21194" w:rsidRDefault="005E122B" w:rsidP="00850A42">
          <w:pPr>
            <w:pStyle w:val="Header"/>
            <w:tabs>
              <w:tab w:val="clear" w:pos="4252"/>
              <w:tab w:val="clear" w:pos="8504"/>
            </w:tabs>
            <w:jc w:val="center"/>
            <w:rPr>
              <w:caps/>
              <w:color w:val="000000"/>
            </w:rPr>
          </w:pPr>
          <w:r w:rsidRPr="00A21194">
            <w:rPr>
              <w:color w:val="767171"/>
              <w:sz w:val="20"/>
              <w:szCs w:val="20"/>
            </w:rPr>
            <w:t>www.consejodeestado.gov.co</w:t>
          </w:r>
        </w:p>
      </w:tc>
      <w:tc>
        <w:tcPr>
          <w:tcW w:w="250" w:type="pct"/>
          <w:shd w:val="clear" w:color="auto" w:fill="auto"/>
          <w:vAlign w:val="center"/>
        </w:tcPr>
        <w:p w14:paraId="3AC47382" w14:textId="77777777" w:rsidR="005E122B" w:rsidRPr="00B6429B" w:rsidRDefault="005E122B" w:rsidP="00850A42">
          <w:pPr>
            <w:pStyle w:val="Footer"/>
            <w:tabs>
              <w:tab w:val="clear" w:pos="4252"/>
              <w:tab w:val="clear" w:pos="8504"/>
            </w:tabs>
            <w:jc w:val="center"/>
          </w:pPr>
          <w:r w:rsidRPr="00B6429B">
            <w:fldChar w:fldCharType="begin"/>
          </w:r>
          <w:r w:rsidRPr="00B6429B">
            <w:instrText>PAGE   \* MERGEFORMAT</w:instrText>
          </w:r>
          <w:r w:rsidRPr="00B6429B">
            <w:fldChar w:fldCharType="separate"/>
          </w:r>
          <w:r w:rsidRPr="00290777">
            <w:rPr>
              <w:noProof/>
              <w:lang w:val="es-ES"/>
            </w:rPr>
            <w:t>1</w:t>
          </w:r>
          <w:r w:rsidRPr="00B6429B">
            <w:fldChar w:fldCharType="end"/>
          </w:r>
        </w:p>
      </w:tc>
    </w:tr>
  </w:tbl>
  <w:p w14:paraId="3A21C5E9" w14:textId="77777777" w:rsidR="005E122B" w:rsidRDefault="005E122B" w:rsidP="00850A42">
    <w:pPr>
      <w:pStyle w:val="Footer"/>
      <w:tabs>
        <w:tab w:val="clear" w:pos="4252"/>
        <w:tab w:val="clear"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E9E1B4" w14:textId="77777777" w:rsidR="00F90FFC" w:rsidRDefault="00F90FFC" w:rsidP="00117091">
      <w:r>
        <w:separator/>
      </w:r>
    </w:p>
  </w:footnote>
  <w:footnote w:type="continuationSeparator" w:id="0">
    <w:p w14:paraId="60FC7DD1" w14:textId="77777777" w:rsidR="00F90FFC" w:rsidRDefault="00F90FFC" w:rsidP="00117091">
      <w:r>
        <w:continuationSeparator/>
      </w:r>
    </w:p>
  </w:footnote>
  <w:footnote w:type="continuationNotice" w:id="1">
    <w:p w14:paraId="5BF93F89" w14:textId="77777777" w:rsidR="00F90FFC" w:rsidRDefault="00F90FFC"/>
  </w:footnote>
  <w:footnote w:id="2">
    <w:p w14:paraId="1CAC77DF" w14:textId="77777777" w:rsidR="00366361" w:rsidRPr="0052553E" w:rsidRDefault="00366361" w:rsidP="00366361">
      <w:pPr>
        <w:pStyle w:val="FootnoteText"/>
      </w:pPr>
      <w:r>
        <w:rPr>
          <w:rStyle w:val="FootnoteReference"/>
        </w:rPr>
        <w:footnoteRef/>
      </w:r>
      <w:r>
        <w:t xml:space="preserve"> Ver, archivo, certificado </w:t>
      </w:r>
      <w:r w:rsidRPr="00A66623">
        <w:t>98FC2A4122330D3E 91C543E16372EDDA 8D845E084FD67196 33FCC55FBA47FDF4</w:t>
      </w:r>
      <w:r>
        <w:t>.</w:t>
      </w:r>
    </w:p>
  </w:footnote>
  <w:footnote w:id="3">
    <w:p w14:paraId="1F7F6F85" w14:textId="77777777" w:rsidR="00366361" w:rsidRPr="0020574F" w:rsidRDefault="00366361" w:rsidP="00366361">
      <w:pPr>
        <w:pStyle w:val="FootnoteText"/>
      </w:pPr>
      <w:r>
        <w:rPr>
          <w:rStyle w:val="FootnoteReference"/>
        </w:rPr>
        <w:footnoteRef/>
      </w:r>
      <w:r>
        <w:t xml:space="preserve"> </w:t>
      </w:r>
      <w:r w:rsidRPr="0020574F">
        <w:t>Identificada con el n.° único d</w:t>
      </w:r>
      <w:r>
        <w:t>e radicación 85001-33-33-001-2019-00356-01.</w:t>
      </w:r>
    </w:p>
  </w:footnote>
  <w:footnote w:id="4">
    <w:p w14:paraId="700842C8" w14:textId="77777777" w:rsidR="00DE364B" w:rsidRPr="00E96CF0" w:rsidRDefault="00DE364B" w:rsidP="00DE364B">
      <w:pPr>
        <w:pStyle w:val="FootnoteText"/>
      </w:pPr>
      <w:r>
        <w:rPr>
          <w:rStyle w:val="FootnoteReference"/>
        </w:rPr>
        <w:footnoteRef/>
      </w:r>
      <w:r>
        <w:t xml:space="preserve"> Obra en el mismo archivo identificado en la nota de pie de página n.° 1, pp. 10-18.</w:t>
      </w:r>
    </w:p>
  </w:footnote>
  <w:footnote w:id="5">
    <w:p w14:paraId="07F6E9F2" w14:textId="77777777" w:rsidR="00DE364B" w:rsidRPr="00E96CF0" w:rsidRDefault="00DE364B" w:rsidP="00DE364B">
      <w:pPr>
        <w:pStyle w:val="FootnoteText"/>
      </w:pPr>
      <w:r>
        <w:rPr>
          <w:rStyle w:val="FootnoteReference"/>
        </w:rPr>
        <w:footnoteRef/>
      </w:r>
      <w:r>
        <w:t xml:space="preserve"> Ibidem, pp. 19-26. El fallo en referencia fue objeto de aclaración mediante providencia del 16 de abril de 2009, obrante en el mismo archivo electrónico, pp. 27-28.</w:t>
      </w:r>
    </w:p>
  </w:footnote>
  <w:footnote w:id="6">
    <w:p w14:paraId="01F8B882" w14:textId="1F258525" w:rsidR="00E96CF0" w:rsidRPr="00AF22FA" w:rsidRDefault="00E96CF0">
      <w:pPr>
        <w:pStyle w:val="FootnoteText"/>
        <w:rPr>
          <w:lang w:val="en-US"/>
        </w:rPr>
      </w:pPr>
      <w:r>
        <w:rPr>
          <w:rStyle w:val="FootnoteReference"/>
        </w:rPr>
        <w:footnoteRef/>
      </w:r>
      <w:r w:rsidRPr="00AF22FA">
        <w:rPr>
          <w:lang w:val="en-US"/>
        </w:rPr>
        <w:t xml:space="preserve"> Ibid. pp. 49-50.</w:t>
      </w:r>
    </w:p>
  </w:footnote>
  <w:footnote w:id="7">
    <w:p w14:paraId="5DF0AAE3" w14:textId="4BB9DFFB" w:rsidR="00271AB7" w:rsidRPr="00AF22FA" w:rsidRDefault="00271AB7">
      <w:pPr>
        <w:pStyle w:val="FootnoteText"/>
        <w:rPr>
          <w:lang w:val="en-US"/>
        </w:rPr>
      </w:pPr>
      <w:r>
        <w:rPr>
          <w:rStyle w:val="FootnoteReference"/>
        </w:rPr>
        <w:footnoteRef/>
      </w:r>
      <w:r w:rsidRPr="00AF22FA">
        <w:rPr>
          <w:lang w:val="en-US"/>
        </w:rPr>
        <w:t xml:space="preserve"> Ibid. p. 49.</w:t>
      </w:r>
    </w:p>
  </w:footnote>
  <w:footnote w:id="8">
    <w:p w14:paraId="0B8DD1D0" w14:textId="3CECF566" w:rsidR="00E96CF0" w:rsidRPr="00EF6B57" w:rsidRDefault="00E96CF0">
      <w:pPr>
        <w:pStyle w:val="FootnoteText"/>
        <w:rPr>
          <w:lang w:val="en-US"/>
        </w:rPr>
      </w:pPr>
      <w:r>
        <w:rPr>
          <w:rStyle w:val="FootnoteReference"/>
        </w:rPr>
        <w:footnoteRef/>
      </w:r>
      <w:r w:rsidRPr="00EF6B57">
        <w:rPr>
          <w:lang w:val="en-US"/>
        </w:rPr>
        <w:t xml:space="preserve"> Ibid. pp. 51-57.</w:t>
      </w:r>
    </w:p>
  </w:footnote>
  <w:footnote w:id="9">
    <w:p w14:paraId="5E2584FA" w14:textId="5DABAFD5" w:rsidR="00271AB7" w:rsidRPr="00AF22FA" w:rsidRDefault="00271AB7">
      <w:pPr>
        <w:pStyle w:val="FootnoteText"/>
      </w:pPr>
      <w:r>
        <w:rPr>
          <w:rStyle w:val="FootnoteReference"/>
        </w:rPr>
        <w:footnoteRef/>
      </w:r>
      <w:r w:rsidRPr="00AF22FA">
        <w:t xml:space="preserve"> Ibid. p. 56.</w:t>
      </w:r>
    </w:p>
  </w:footnote>
  <w:footnote w:id="10">
    <w:p w14:paraId="0C870F26" w14:textId="786F1A20" w:rsidR="00202A0B" w:rsidRPr="00AF22FA" w:rsidRDefault="00202A0B">
      <w:pPr>
        <w:pStyle w:val="FootnoteText"/>
      </w:pPr>
      <w:r>
        <w:rPr>
          <w:rStyle w:val="FootnoteReference"/>
        </w:rPr>
        <w:footnoteRef/>
      </w:r>
      <w:r w:rsidRPr="00AF22FA">
        <w:t xml:space="preserve"> Ibid. p. 2.</w:t>
      </w:r>
    </w:p>
  </w:footnote>
  <w:footnote w:id="11">
    <w:p w14:paraId="320833F8" w14:textId="6BDC1F4B" w:rsidR="005E122B" w:rsidRPr="007046B1" w:rsidRDefault="005E122B">
      <w:pPr>
        <w:pStyle w:val="FootnoteText"/>
      </w:pPr>
      <w:r>
        <w:rPr>
          <w:rStyle w:val="FootnoteReference"/>
        </w:rPr>
        <w:footnoteRef/>
      </w:r>
      <w:r>
        <w:t xml:space="preserve"> Ver, archivo con certificado </w:t>
      </w:r>
      <w:r w:rsidR="00A6604D" w:rsidRPr="00A6604D">
        <w:t>657FA40CDB2932DA 39CB90DD240D0CEA 84C1F8C0905B6D9E 1562687BEB99647D</w:t>
      </w:r>
      <w:r>
        <w:t>.</w:t>
      </w:r>
    </w:p>
  </w:footnote>
  <w:footnote w:id="12">
    <w:p w14:paraId="3B5B5BEF" w14:textId="12228338" w:rsidR="006F558A" w:rsidRPr="006F558A" w:rsidRDefault="006F558A">
      <w:pPr>
        <w:pStyle w:val="FootnoteText"/>
      </w:pPr>
      <w:r>
        <w:rPr>
          <w:rStyle w:val="FootnoteReference"/>
        </w:rPr>
        <w:footnoteRef/>
      </w:r>
      <w:r>
        <w:t xml:space="preserve"> Ver, archivo con certificado </w:t>
      </w:r>
      <w:r w:rsidRPr="006F558A">
        <w:t>8E3D0050B6F2CA71 8E28D16F712F0B83 11F40031DB68088C 59EC6763E3564490</w:t>
      </w:r>
      <w:r>
        <w:t>.</w:t>
      </w:r>
      <w:r w:rsidR="00F75EDD">
        <w:t xml:space="preserve"> El informe está acompañado de dos constancias de antecedentes. Estas se identifican con los certificados </w:t>
      </w:r>
      <w:r w:rsidR="00F75EDD" w:rsidRPr="00F75EDD">
        <w:t>6CF644A1A9F8CA3D 2A88531F528C1225 6D14ADC321AC17B9 825A312C3E568D65</w:t>
      </w:r>
      <w:r w:rsidR="00F75EDD">
        <w:t xml:space="preserve"> y </w:t>
      </w:r>
      <w:r w:rsidR="00F75EDD" w:rsidRPr="00F75EDD">
        <w:t>F6BF89D53F159BA4 01E8F87A321944DE C4D2D4ABB14A1A5E 4F1EB6272ED725CA</w:t>
      </w:r>
      <w:r w:rsidR="00F75EDD">
        <w:t>. En la primera, figura la sanción de censura. En la segunda, se anuncia que, sobre el abogado, no está vigente sanción disciplinaria alguna.</w:t>
      </w:r>
    </w:p>
  </w:footnote>
  <w:footnote w:id="13">
    <w:p w14:paraId="353B2925" w14:textId="2BC1A062" w:rsidR="005E122B" w:rsidRPr="007046B1" w:rsidRDefault="005E122B">
      <w:pPr>
        <w:pStyle w:val="FootnoteText"/>
      </w:pPr>
      <w:r>
        <w:rPr>
          <w:rStyle w:val="FootnoteReference"/>
        </w:rPr>
        <w:footnoteRef/>
      </w:r>
      <w:r>
        <w:t xml:space="preserve"> Ver, archivo con certificado </w:t>
      </w:r>
      <w:r w:rsidR="00ED3C8B" w:rsidRPr="00ED3C8B">
        <w:t>C35B877B01C87E8D 334FC9E4BF7C7393 1453AD10ABAFB59B D1010F5C6BAD0167</w:t>
      </w:r>
      <w:r>
        <w:t>.</w:t>
      </w:r>
    </w:p>
  </w:footnote>
  <w:footnote w:id="14">
    <w:p w14:paraId="6AB0D57B" w14:textId="79DD6628" w:rsidR="00A436A8" w:rsidRPr="00A436A8" w:rsidRDefault="00A436A8">
      <w:pPr>
        <w:pStyle w:val="FootnoteText"/>
      </w:pPr>
      <w:r>
        <w:rPr>
          <w:rStyle w:val="FootnoteReference"/>
        </w:rPr>
        <w:footnoteRef/>
      </w:r>
      <w:r>
        <w:t xml:space="preserve"> Ver, archivo con certificado </w:t>
      </w:r>
      <w:r w:rsidRPr="00A436A8">
        <w:t>8E7E44383C4F3C59 7944F340CAD781B9 2377DAEAFC5749FF BCAFA8D3DB554E6D</w:t>
      </w:r>
      <w:r>
        <w:t>.</w:t>
      </w:r>
    </w:p>
  </w:footnote>
  <w:footnote w:id="15">
    <w:p w14:paraId="5144DF01" w14:textId="02064B0F" w:rsidR="005E122B" w:rsidRPr="00743EA6" w:rsidRDefault="005E122B">
      <w:pPr>
        <w:pStyle w:val="FootnoteText"/>
      </w:pPr>
      <w:r>
        <w:rPr>
          <w:rStyle w:val="FootnoteReference"/>
        </w:rPr>
        <w:footnoteRef/>
      </w:r>
      <w:r>
        <w:t xml:space="preserve"> Ver, archivo con certificado </w:t>
      </w:r>
      <w:r w:rsidR="00A33EC6" w:rsidRPr="00A33EC6">
        <w:t>8E0075C20D46B20F E4CBF37D58EE339B 9A229B4FDC126D8D 68114307DB28B91F</w:t>
      </w:r>
      <w:r>
        <w:t>.</w:t>
      </w:r>
    </w:p>
  </w:footnote>
  <w:footnote w:id="16">
    <w:p w14:paraId="70B2F86C" w14:textId="77777777" w:rsidR="005E122B" w:rsidRPr="00F224E5" w:rsidRDefault="005E122B" w:rsidP="00B363CB">
      <w:pPr>
        <w:pStyle w:val="FootnoteText"/>
      </w:pPr>
      <w:r w:rsidRPr="00F224E5">
        <w:rPr>
          <w:rStyle w:val="FootnoteReference"/>
          <w:szCs w:val="16"/>
        </w:rPr>
        <w:footnoteRef/>
      </w:r>
      <w:r w:rsidRPr="00F224E5">
        <w:t xml:space="preserve"> “Por medio del cual se modificó el reglamento interno del Consejo de Estado”.</w:t>
      </w:r>
    </w:p>
  </w:footnote>
  <w:footnote w:id="17">
    <w:p w14:paraId="1990FEEC" w14:textId="77777777" w:rsidR="004569B5" w:rsidRPr="00AD50BC" w:rsidRDefault="004569B5" w:rsidP="004569B5">
      <w:pPr>
        <w:pStyle w:val="FootnoteText"/>
      </w:pPr>
      <w:r w:rsidRPr="00AD50BC">
        <w:rPr>
          <w:rStyle w:val="FootnoteReference"/>
        </w:rPr>
        <w:footnoteRef/>
      </w:r>
      <w:r w:rsidRPr="00AD50BC">
        <w:t xml:space="preserve"> Las causales específicas de procedencia de la acción de tutela contra providencia judicial se concretan en los defectos o errores en que puede incurrir la decisión cuestionada, de modo que, si en una decisión judicial se presenta alguna de las causales específicas, podrá ser razón suficiente para el amparo constitucional. A saber: a) Defecto orgánico, que se presenta cuando el juez carece de competencia; b) defecto procedimental, que ocurre cuando la autoridad judicial actuó al margen del procedimiento establecido; c) defecto fáctico, esto es, cuando el juez no tuvo en cuenta el material de prueba obrante en el expediente para proferir decisión; d) defecto material o sustantivo, el que se origina en el evento en que se decida con fundamento en normas inexistentes o inconstitucionales, en contravía de ellas, o existe una evidente y grosera contradicción entre los fundamentos y la decisión; e) error inducido, cuando la autoridad judicial es víctima de engaño por terceros y el mismo lo condujo a tomar una decisión que afecta derechos fundamentales; f) decisión sin motivación, que implica el incumplimiento de los servidores judiciales de dar cuenta de los fundamentos fácticos y jurídicos de sus decisiones en el entendido que precisamente en esa motivación reposa la legitimidad de su órbita funcional; g) desconocimiento del precedente constitucional, cuando la Corte Constitucional establece el alcance de un derecho fundamental y el juez ordinario aplica una ley limitando sustancialmente dicho alcance y h) violación directa de la Constitución Política, cuando los jueces desconocen la aplicación de la Ley Fundamental, conforme al mandato consagrado en el artículo 4º de la Carta Política que antepone de manera preferente la aplicación de sus postulados.</w:t>
      </w:r>
    </w:p>
  </w:footnote>
  <w:footnote w:id="18">
    <w:p w14:paraId="6675B869" w14:textId="77777777" w:rsidR="00854DE9" w:rsidRPr="00BF16B8" w:rsidRDefault="00854DE9" w:rsidP="00854DE9">
      <w:pPr>
        <w:pStyle w:val="FootnoteText"/>
        <w:rPr>
          <w:szCs w:val="16"/>
          <w:lang w:val="fr-FR"/>
        </w:rPr>
      </w:pPr>
      <w:r w:rsidRPr="00BF16B8">
        <w:rPr>
          <w:rStyle w:val="FootnoteReference"/>
          <w:szCs w:val="16"/>
        </w:rPr>
        <w:footnoteRef/>
      </w:r>
      <w:r w:rsidRPr="00BF16B8">
        <w:rPr>
          <w:szCs w:val="16"/>
        </w:rPr>
        <w:t xml:space="preserve"> </w:t>
      </w:r>
      <w:r>
        <w:rPr>
          <w:szCs w:val="16"/>
        </w:rPr>
        <w:t>L</w:t>
      </w:r>
      <w:r w:rsidRPr="00BF16B8">
        <w:rPr>
          <w:szCs w:val="16"/>
        </w:rPr>
        <w:t xml:space="preserve">a legitimación en la causa por activa es exigencia contenida en la jurisprudencia de la Corte Constitucional. Al respecto, puede consultarse el siguiente fallo: </w:t>
      </w:r>
      <w:bookmarkStart w:id="2" w:name="_Hlk30924782"/>
      <w:r w:rsidRPr="00BF16B8">
        <w:rPr>
          <w:szCs w:val="16"/>
        </w:rPr>
        <w:t xml:space="preserve">Corte Constitucional. Sentencia T-511 de 2017. Dicha </w:t>
      </w:r>
      <w:bookmarkEnd w:id="2"/>
      <w:r w:rsidRPr="00BF16B8">
        <w:rPr>
          <w:szCs w:val="16"/>
        </w:rPr>
        <w:t xml:space="preserve">decisión judicial se soporta en las siguientes sentencias: Corte Constitucional. </w:t>
      </w:r>
      <w:r w:rsidRPr="00BF16B8">
        <w:rPr>
          <w:szCs w:val="16"/>
          <w:lang w:val="fr-FR"/>
        </w:rPr>
        <w:t xml:space="preserve">Sentencias T-416 de </w:t>
      </w:r>
      <w:proofErr w:type="gramStart"/>
      <w:r w:rsidRPr="00BF16B8">
        <w:rPr>
          <w:szCs w:val="16"/>
          <w:lang w:val="fr-FR"/>
        </w:rPr>
        <w:t>1997;</w:t>
      </w:r>
      <w:proofErr w:type="gramEnd"/>
      <w:r w:rsidRPr="00BF16B8">
        <w:rPr>
          <w:szCs w:val="16"/>
          <w:lang w:val="fr-FR"/>
        </w:rPr>
        <w:t xml:space="preserve"> T-086 de 2016; T-176 de 2011; T-435 de 2016, y SU-454 de 2016.</w:t>
      </w:r>
    </w:p>
  </w:footnote>
  <w:footnote w:id="19">
    <w:p w14:paraId="1B48EB96" w14:textId="67C07AF4" w:rsidR="00695F51" w:rsidRPr="00056DFC" w:rsidRDefault="00695F51" w:rsidP="00695F51">
      <w:pPr>
        <w:pStyle w:val="FootnoteText"/>
      </w:pPr>
      <w:r>
        <w:rPr>
          <w:rStyle w:val="FootnoteReference"/>
        </w:rPr>
        <w:footnoteRef/>
      </w:r>
      <w:r>
        <w:t xml:space="preserve"> </w:t>
      </w:r>
      <w:r w:rsidRPr="00056DFC">
        <w:t xml:space="preserve">“[L]os fundamentos de una decisión de tutela contra una sentencia judicial deben aclarar con transparencia la relevancia </w:t>
      </w:r>
      <w:proofErr w:type="spellStart"/>
      <w:r w:rsidRPr="00056DFC">
        <w:t>iusfundamental</w:t>
      </w:r>
      <w:proofErr w:type="spellEnd"/>
      <w:r w:rsidRPr="00056DFC">
        <w:t xml:space="preserve"> del punto que se discute y el juez debe contraerse a estudiar esta cuestión y ninguna otra. No se trata entonces de un mecanismo que permita al juez constitucional ordenar la anulación de decisiones que no comparte o suplantar al juez ordinario en su tarea de interpretar el derecho legislado y evaluar las pruebas del caso. De lo que se trata es de un mecanismo excepcional, subsidiario y residual para proteger los derechos fundamentales de quien […] se encuentra en condición de indefensión y que permite la aplicación uniforme y coherente – es decir segura y en condiciones de igualdad – de los derechos fundamentales a los distintos ámbitos del derecho”. Corte Constitucional. Sentencia C-590 de 2005</w:t>
      </w:r>
      <w:r w:rsidR="005C41E9">
        <w:t>”.</w:t>
      </w:r>
    </w:p>
  </w:footnote>
  <w:footnote w:id="20">
    <w:p w14:paraId="4632D0D5" w14:textId="77777777" w:rsidR="005A40F2" w:rsidRPr="00ED2018" w:rsidRDefault="005A40F2" w:rsidP="005A40F2">
      <w:pPr>
        <w:pStyle w:val="FootnoteText"/>
      </w:pPr>
      <w:r>
        <w:rPr>
          <w:rStyle w:val="FootnoteReference"/>
        </w:rPr>
        <w:footnoteRef/>
      </w:r>
      <w:r>
        <w:t xml:space="preserve"> Consejo de Estado, Sala de lo Contencioso Administrativo, Sección Tercera, Subsección C. Sentencias del </w:t>
      </w:r>
      <w:r w:rsidRPr="00ED2018">
        <w:t xml:space="preserve">21 de febrero de 2020, </w:t>
      </w:r>
      <w:r>
        <w:t>e</w:t>
      </w:r>
      <w:r w:rsidRPr="00ED2018">
        <w:t>xpediente n.° 2019-5066-00</w:t>
      </w:r>
      <w:r>
        <w:t>, 2 de abril de 2020, expediente n.° 2019-04904-01, y 5 de junio de 2020, expediente n.° 2020-00864-00. Corte Constitucional. Sentencia C-590 de 2005.</w:t>
      </w:r>
    </w:p>
  </w:footnote>
  <w:footnote w:id="21">
    <w:p w14:paraId="6B194F34" w14:textId="77777777" w:rsidR="00673FD7" w:rsidRPr="00056DFC" w:rsidRDefault="00673FD7" w:rsidP="00673FD7">
      <w:pPr>
        <w:pStyle w:val="FootnoteText"/>
      </w:pPr>
      <w:r>
        <w:rPr>
          <w:rStyle w:val="FootnoteReference"/>
        </w:rPr>
        <w:footnoteRef/>
      </w:r>
      <w:r>
        <w:t xml:space="preserve"> </w:t>
      </w:r>
      <w:r w:rsidRPr="00056DFC">
        <w:t>“[T]</w:t>
      </w:r>
      <w:proofErr w:type="spellStart"/>
      <w:r w:rsidRPr="00056DFC">
        <w:t>eniendo</w:t>
      </w:r>
      <w:proofErr w:type="spellEnd"/>
      <w:r w:rsidRPr="00056DFC">
        <w:t xml:space="preserve"> en cuenta que la tutela contra providencias judiciales no da lugar a una tercera instancia, ni puede reemplazar los recursos ordinarios, es necesario que la causa que origina la presentación de la acción suponga el desconocimiento de un derecho fundamental” Corte Constitucional. Sentencia T-422 de 2018.</w:t>
      </w:r>
    </w:p>
  </w:footnote>
  <w:footnote w:id="22">
    <w:p w14:paraId="450066B7" w14:textId="77777777" w:rsidR="00673FD7" w:rsidRPr="00B46D3D" w:rsidRDefault="00673FD7" w:rsidP="00673FD7">
      <w:pPr>
        <w:pStyle w:val="FootnoteText"/>
      </w:pPr>
      <w:r>
        <w:rPr>
          <w:rStyle w:val="FootnoteReference"/>
        </w:rPr>
        <w:footnoteRef/>
      </w:r>
      <w:r>
        <w:t xml:space="preserve"> Ver, archivo que se identifica con certificado </w:t>
      </w:r>
      <w:r w:rsidRPr="00B46D3D">
        <w:t>6A927588B0EF3DFE A62E278E403361D8 39EC66CCF17D14E8 E7C172571B5E5874</w:t>
      </w:r>
      <w:r>
        <w:t>, pp. 94-102. El archivo en cita contiene el cuaderno n.° 1 del proceso ejecutivo incoado por el actor.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22CBC" w14:textId="77777777" w:rsidR="005E122B" w:rsidRPr="00A15ACE" w:rsidRDefault="005E122B" w:rsidP="00203055">
    <w:pPr>
      <w:pStyle w:val="Header"/>
      <w:tabs>
        <w:tab w:val="clear" w:pos="4252"/>
        <w:tab w:val="clear" w:pos="8504"/>
      </w:tabs>
    </w:pPr>
    <w:r>
      <w:rPr>
        <w:noProof/>
        <w:lang w:eastAsia="es-CO"/>
      </w:rPr>
      <w:drawing>
        <wp:anchor distT="0" distB="0" distL="114300" distR="114300" simplePos="0" relativeHeight="251657728" behindDoc="0" locked="0" layoutInCell="1" allowOverlap="1" wp14:anchorId="428F8081" wp14:editId="1641B60C">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7AF10C" w14:textId="77777777" w:rsidR="005E122B" w:rsidRPr="00A15ACE" w:rsidRDefault="005E122B" w:rsidP="00203055">
    <w:pPr>
      <w:pStyle w:val="Header"/>
      <w:tabs>
        <w:tab w:val="clear" w:pos="4252"/>
        <w:tab w:val="clear" w:pos="8504"/>
      </w:tabs>
    </w:pPr>
  </w:p>
  <w:p w14:paraId="2A7E67E0" w14:textId="77777777" w:rsidR="005E122B" w:rsidRPr="00A15ACE" w:rsidRDefault="005E122B" w:rsidP="00203055">
    <w:pPr>
      <w:pStyle w:val="Header"/>
      <w:tabs>
        <w:tab w:val="clear" w:pos="4252"/>
        <w:tab w:val="clear" w:pos="8504"/>
      </w:tabs>
    </w:pPr>
    <w:r w:rsidRPr="0070023E">
      <w:rPr>
        <w:noProof/>
        <w:sz w:val="20"/>
        <w:szCs w:val="20"/>
        <w:lang w:eastAsia="es-CO"/>
      </w:rPr>
      <mc:AlternateContent>
        <mc:Choice Requires="wps">
          <w:drawing>
            <wp:anchor distT="0" distB="0" distL="114300" distR="114300" simplePos="0" relativeHeight="251656704" behindDoc="0" locked="0" layoutInCell="1" allowOverlap="1" wp14:anchorId="71F1B463" wp14:editId="60A2257C">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8A0571C"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strokeweight="2.25pt">
              <v:shadow color="#1f3763" opacity=".5" offset="1pt"/>
            </v:shape>
          </w:pict>
        </mc:Fallback>
      </mc:AlternateContent>
    </w:r>
  </w:p>
  <w:p w14:paraId="4E63C26F" w14:textId="4AF49474" w:rsidR="005E122B" w:rsidRPr="00F532EA" w:rsidRDefault="005E122B" w:rsidP="00203055">
    <w:pPr>
      <w:pStyle w:val="Header"/>
      <w:tabs>
        <w:tab w:val="clear" w:pos="4252"/>
        <w:tab w:val="clear" w:pos="8504"/>
      </w:tabs>
      <w:jc w:val="right"/>
      <w:rPr>
        <w:color w:val="767171"/>
        <w:sz w:val="20"/>
        <w:szCs w:val="20"/>
      </w:rPr>
    </w:pPr>
    <w:r w:rsidRPr="00F532EA">
      <w:rPr>
        <w:color w:val="767171"/>
        <w:sz w:val="20"/>
        <w:szCs w:val="20"/>
      </w:rPr>
      <w:t xml:space="preserve">Radicado: </w:t>
    </w:r>
    <w:r w:rsidRPr="007B3B39">
      <w:rPr>
        <w:color w:val="767171"/>
        <w:sz w:val="20"/>
        <w:szCs w:val="20"/>
      </w:rPr>
      <w:t>11001-03-15-000-2020-0</w:t>
    </w:r>
    <w:r w:rsidR="002931E4">
      <w:rPr>
        <w:color w:val="767171"/>
        <w:sz w:val="20"/>
        <w:szCs w:val="20"/>
      </w:rPr>
      <w:t>4100</w:t>
    </w:r>
    <w:r w:rsidRPr="007B3B39">
      <w:rPr>
        <w:color w:val="767171"/>
        <w:sz w:val="20"/>
        <w:szCs w:val="20"/>
      </w:rPr>
      <w:t>-00</w:t>
    </w:r>
  </w:p>
  <w:p w14:paraId="6426EFCB" w14:textId="76E8EB12" w:rsidR="005E122B" w:rsidRPr="00C4675E" w:rsidRDefault="005E122B" w:rsidP="00203055">
    <w:pPr>
      <w:pStyle w:val="Header"/>
      <w:tabs>
        <w:tab w:val="clear" w:pos="4252"/>
        <w:tab w:val="clear" w:pos="8504"/>
      </w:tabs>
      <w:jc w:val="right"/>
      <w:rPr>
        <w:color w:val="767171"/>
        <w:sz w:val="20"/>
        <w:szCs w:val="20"/>
      </w:rPr>
    </w:pPr>
    <w:r w:rsidRPr="00F532EA">
      <w:rPr>
        <w:color w:val="767171"/>
        <w:sz w:val="20"/>
        <w:szCs w:val="20"/>
      </w:rPr>
      <w:tab/>
    </w:r>
    <w:r w:rsidRPr="00F532EA">
      <w:rPr>
        <w:color w:val="767171"/>
        <w:sz w:val="20"/>
        <w:szCs w:val="20"/>
      </w:rPr>
      <w:tab/>
    </w:r>
    <w:r w:rsidR="002931E4">
      <w:rPr>
        <w:color w:val="767171"/>
        <w:sz w:val="20"/>
        <w:szCs w:val="20"/>
      </w:rPr>
      <w:t>Accionante</w:t>
    </w:r>
    <w:r>
      <w:rPr>
        <w:color w:val="767171"/>
        <w:sz w:val="20"/>
        <w:szCs w:val="20"/>
      </w:rPr>
      <w:t xml:space="preserve">: </w:t>
    </w:r>
    <w:r w:rsidR="002931E4">
      <w:rPr>
        <w:color w:val="767171"/>
        <w:sz w:val="20"/>
        <w:szCs w:val="20"/>
      </w:rPr>
      <w:t>Edgar Enrique Leguizamón Alberto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9586D" w14:textId="77777777" w:rsidR="005E122B" w:rsidRPr="00A15ACE" w:rsidRDefault="005E122B" w:rsidP="00850A42">
    <w:pPr>
      <w:pStyle w:val="Header"/>
      <w:tabs>
        <w:tab w:val="clear" w:pos="4252"/>
        <w:tab w:val="clear" w:pos="8504"/>
      </w:tabs>
    </w:pPr>
    <w:r>
      <w:rPr>
        <w:noProof/>
        <w:lang w:eastAsia="es-CO"/>
      </w:rPr>
      <w:drawing>
        <wp:anchor distT="0" distB="0" distL="114300" distR="114300" simplePos="0" relativeHeight="251658752" behindDoc="0" locked="0" layoutInCell="1" allowOverlap="1" wp14:anchorId="4784F910" wp14:editId="5353ADAF">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E24182" w14:textId="77777777" w:rsidR="005E122B" w:rsidRPr="00A15ACE" w:rsidRDefault="005E122B" w:rsidP="00850A42">
    <w:pPr>
      <w:pStyle w:val="Header"/>
      <w:tabs>
        <w:tab w:val="clear" w:pos="4252"/>
        <w:tab w:val="clear" w:pos="8504"/>
      </w:tabs>
      <w:rPr>
        <w:color w:val="767171"/>
      </w:rPr>
    </w:pPr>
  </w:p>
  <w:p w14:paraId="27F8185B" w14:textId="77777777" w:rsidR="005E122B" w:rsidRPr="007F276C" w:rsidRDefault="005E122B" w:rsidP="00EC5604">
    <w:pPr>
      <w:pStyle w:val="NoSpacing"/>
    </w:pPr>
    <w:r w:rsidRPr="007F276C">
      <w:t>CONSEJO DE ESTADO</w:t>
    </w:r>
  </w:p>
  <w:p w14:paraId="73CB25C2" w14:textId="77777777" w:rsidR="005E122B" w:rsidRPr="007F276C" w:rsidRDefault="005E122B" w:rsidP="00EC5604">
    <w:pPr>
      <w:pStyle w:val="NoSpacing"/>
    </w:pPr>
    <w:r w:rsidRPr="007F276C">
      <w:t>SALA DE LO CONTENCIOSO ADMINISTRATIVO</w:t>
    </w:r>
  </w:p>
  <w:p w14:paraId="53748759" w14:textId="77777777" w:rsidR="005E122B" w:rsidRPr="007F276C" w:rsidRDefault="005E122B" w:rsidP="00EC5604">
    <w:pPr>
      <w:pStyle w:val="NoSpacing"/>
    </w:pPr>
    <w:r w:rsidRPr="007F276C">
      <w:t>SECCIÓN TERCERA – SUBSECCIÓN C</w:t>
    </w:r>
  </w:p>
  <w:p w14:paraId="3879558C" w14:textId="77777777" w:rsidR="005E122B" w:rsidRDefault="005E122B" w:rsidP="00850A42">
    <w:pPr>
      <w:pStyle w:val="Header"/>
      <w:tabs>
        <w:tab w:val="clear" w:pos="4252"/>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55A68"/>
    <w:multiLevelType w:val="hybridMultilevel"/>
    <w:tmpl w:val="1D9AF256"/>
    <w:lvl w:ilvl="0" w:tplc="71C62E9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21E16"/>
    <w:multiLevelType w:val="multilevel"/>
    <w:tmpl w:val="7774FE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15:restartNumberingAfterBreak="0">
    <w:nsid w:val="07701001"/>
    <w:multiLevelType w:val="multilevel"/>
    <w:tmpl w:val="3AF081F4"/>
    <w:lvl w:ilvl="0">
      <w:start w:val="1"/>
      <w:numFmt w:val="decimal"/>
      <w:lvlText w:val="%1."/>
      <w:lvlJc w:val="left"/>
      <w:pPr>
        <w:ind w:left="360" w:hanging="360"/>
      </w:pPr>
      <w:rPr>
        <w:rFonts w:hint="default"/>
      </w:rPr>
    </w:lvl>
    <w:lvl w:ilvl="1">
      <w:start w:val="1"/>
      <w:numFmt w:val="none"/>
      <w:lvlText w:val="2.5."/>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E521F5"/>
    <w:multiLevelType w:val="hybridMultilevel"/>
    <w:tmpl w:val="481CAEE8"/>
    <w:lvl w:ilvl="0" w:tplc="43FA3ECA">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211DA"/>
    <w:multiLevelType w:val="hybridMultilevel"/>
    <w:tmpl w:val="BE2E816C"/>
    <w:lvl w:ilvl="0" w:tplc="DF2073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D4C1349"/>
    <w:multiLevelType w:val="hybridMultilevel"/>
    <w:tmpl w:val="BB30B85A"/>
    <w:lvl w:ilvl="0" w:tplc="0C94FA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7F2A4B"/>
    <w:multiLevelType w:val="hybridMultilevel"/>
    <w:tmpl w:val="8A123A5C"/>
    <w:lvl w:ilvl="0" w:tplc="7FF8CA56">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17264"/>
    <w:multiLevelType w:val="multilevel"/>
    <w:tmpl w:val="7774FE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9"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D374F73"/>
    <w:multiLevelType w:val="multilevel"/>
    <w:tmpl w:val="ABAEDE02"/>
    <w:lvl w:ilvl="0">
      <w:start w:val="1"/>
      <w:numFmt w:val="upperRoman"/>
      <w:pStyle w:val="Heading1"/>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7265EF3"/>
    <w:multiLevelType w:val="multilevel"/>
    <w:tmpl w:val="ABAEDE02"/>
    <w:numStyleLink w:val="Estilo1"/>
  </w:abstractNum>
  <w:abstractNum w:abstractNumId="12" w15:restartNumberingAfterBreak="0">
    <w:nsid w:val="3A407B3E"/>
    <w:multiLevelType w:val="hybridMultilevel"/>
    <w:tmpl w:val="8ED03882"/>
    <w:lvl w:ilvl="0" w:tplc="6C1E3D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C57DD"/>
    <w:multiLevelType w:val="hybridMultilevel"/>
    <w:tmpl w:val="05C47AA8"/>
    <w:lvl w:ilvl="0" w:tplc="8D1A8BA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EC1398C"/>
    <w:multiLevelType w:val="hybridMultilevel"/>
    <w:tmpl w:val="E0D4C2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48C7B9A"/>
    <w:multiLevelType w:val="multilevel"/>
    <w:tmpl w:val="ABAEDE02"/>
    <w:styleLink w:val="Estilo1"/>
    <w:lvl w:ilvl="0">
      <w:start w:val="3"/>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5090510"/>
    <w:multiLevelType w:val="hybridMultilevel"/>
    <w:tmpl w:val="865A96CA"/>
    <w:lvl w:ilvl="0" w:tplc="A8CE6A8A">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5F2A282F"/>
    <w:multiLevelType w:val="hybridMultilevel"/>
    <w:tmpl w:val="B10A7E36"/>
    <w:lvl w:ilvl="0" w:tplc="9FCAA5CA">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C41244"/>
    <w:multiLevelType w:val="multilevel"/>
    <w:tmpl w:val="771C0008"/>
    <w:lvl w:ilvl="0">
      <w:start w:val="1"/>
      <w:numFmt w:val="ordinalText"/>
      <w:lvlText w:val="%1."/>
      <w:lvlJc w:val="left"/>
      <w:pPr>
        <w:ind w:left="0" w:firstLine="0"/>
      </w:pPr>
      <w:rPr>
        <w:rFonts w:ascii="Arial" w:hAnsi="Arial" w:hint="default"/>
        <w:b/>
        <w:i w:val="0"/>
        <w:caps/>
        <w:strike w:val="0"/>
        <w:dstrike w:val="0"/>
        <w:vanish w:val="0"/>
        <w:sz w:val="24"/>
        <w:vertAlign w:val="baseline"/>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1" w15:restartNumberingAfterBreak="0">
    <w:nsid w:val="64BD6038"/>
    <w:multiLevelType w:val="multilevel"/>
    <w:tmpl w:val="A8E846F4"/>
    <w:lvl w:ilvl="0">
      <w:start w:val="1"/>
      <w:numFmt w:val="decimal"/>
      <w:lvlText w:val="%1."/>
      <w:lvlJc w:val="left"/>
      <w:pPr>
        <w:ind w:left="360" w:hanging="360"/>
      </w:pPr>
      <w:rPr>
        <w:rFonts w:hint="default"/>
      </w:rPr>
    </w:lvl>
    <w:lvl w:ilvl="1">
      <w:start w:val="1"/>
      <w:numFmt w:val="none"/>
      <w:lvlText w:val="2.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87C2289"/>
    <w:multiLevelType w:val="multilevel"/>
    <w:tmpl w:val="4DA05710"/>
    <w:lvl w:ilvl="0">
      <w:start w:val="1"/>
      <w:numFmt w:val="decimal"/>
      <w:lvlText w:val="%1."/>
      <w:lvlJc w:val="left"/>
      <w:pPr>
        <w:ind w:left="360" w:hanging="360"/>
      </w:pPr>
      <w:rPr>
        <w:rFonts w:hint="default"/>
      </w:rPr>
    </w:lvl>
    <w:lvl w:ilvl="1">
      <w:start w:val="1"/>
      <w:numFmt w:val="none"/>
      <w:lvlText w:val="2.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9B16B14"/>
    <w:multiLevelType w:val="hybridMultilevel"/>
    <w:tmpl w:val="51549D50"/>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891937"/>
    <w:multiLevelType w:val="hybridMultilevel"/>
    <w:tmpl w:val="00B699BA"/>
    <w:lvl w:ilvl="0" w:tplc="82744052">
      <w:start w:val="1"/>
      <w:numFmt w:val="decimal"/>
      <w:pStyle w:val="Heading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F1D7296"/>
    <w:multiLevelType w:val="hybridMultilevel"/>
    <w:tmpl w:val="7474F05E"/>
    <w:lvl w:ilvl="0" w:tplc="B42222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47252D"/>
    <w:multiLevelType w:val="hybridMultilevel"/>
    <w:tmpl w:val="3E9EAA42"/>
    <w:lvl w:ilvl="0" w:tplc="AA90D0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43753C"/>
    <w:multiLevelType w:val="multilevel"/>
    <w:tmpl w:val="AAA6266E"/>
    <w:lvl w:ilvl="0">
      <w:start w:val="1"/>
      <w:numFmt w:val="decimal"/>
      <w:lvlText w:val="%1."/>
      <w:lvlJc w:val="left"/>
      <w:pPr>
        <w:ind w:left="360" w:hanging="360"/>
      </w:pPr>
      <w:rPr>
        <w:rFonts w:hint="default"/>
      </w:rPr>
    </w:lvl>
    <w:lvl w:ilvl="1">
      <w:start w:val="1"/>
      <w:numFmt w:val="none"/>
      <w:lvlText w:val="2.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9"/>
  </w:num>
  <w:num w:numId="5">
    <w:abstractNumId w:val="10"/>
  </w:num>
  <w:num w:numId="6">
    <w:abstractNumId w:val="24"/>
  </w:num>
  <w:num w:numId="7">
    <w:abstractNumId w:val="16"/>
  </w:num>
  <w:num w:numId="8">
    <w:abstractNumId w:val="14"/>
  </w:num>
  <w:num w:numId="9">
    <w:abstractNumId w:val="15"/>
  </w:num>
  <w:num w:numId="10">
    <w:abstractNumId w:val="11"/>
  </w:num>
  <w:num w:numId="11">
    <w:abstractNumId w:val="6"/>
  </w:num>
  <w:num w:numId="12">
    <w:abstractNumId w:val="12"/>
  </w:num>
  <w:num w:numId="13">
    <w:abstractNumId w:val="7"/>
  </w:num>
  <w:num w:numId="14">
    <w:abstractNumId w:val="22"/>
  </w:num>
  <w:num w:numId="15">
    <w:abstractNumId w:val="2"/>
  </w:num>
  <w:num w:numId="16">
    <w:abstractNumId w:val="21"/>
  </w:num>
  <w:num w:numId="17">
    <w:abstractNumId w:val="27"/>
  </w:num>
  <w:num w:numId="18">
    <w:abstractNumId w:val="25"/>
  </w:num>
  <w:num w:numId="19">
    <w:abstractNumId w:val="19"/>
  </w:num>
  <w:num w:numId="20">
    <w:abstractNumId w:val="3"/>
  </w:num>
  <w:num w:numId="21">
    <w:abstractNumId w:val="4"/>
  </w:num>
  <w:num w:numId="22">
    <w:abstractNumId w:val="20"/>
  </w:num>
  <w:num w:numId="23">
    <w:abstractNumId w:val="13"/>
  </w:num>
  <w:num w:numId="24">
    <w:abstractNumId w:val="0"/>
  </w:num>
  <w:num w:numId="25">
    <w:abstractNumId w:val="8"/>
  </w:num>
  <w:num w:numId="26">
    <w:abstractNumId w:val="17"/>
  </w:num>
  <w:num w:numId="27">
    <w:abstractNumId w:val="23"/>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241"/>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2646"/>
    <w:rsid w:val="00002BCB"/>
    <w:rsid w:val="00003427"/>
    <w:rsid w:val="00003548"/>
    <w:rsid w:val="00006D3C"/>
    <w:rsid w:val="000078E1"/>
    <w:rsid w:val="00007CCA"/>
    <w:rsid w:val="00011912"/>
    <w:rsid w:val="0001211B"/>
    <w:rsid w:val="0001306A"/>
    <w:rsid w:val="000148D2"/>
    <w:rsid w:val="00014C90"/>
    <w:rsid w:val="00014D69"/>
    <w:rsid w:val="00016594"/>
    <w:rsid w:val="000165D0"/>
    <w:rsid w:val="00017CB3"/>
    <w:rsid w:val="000205FD"/>
    <w:rsid w:val="00020C81"/>
    <w:rsid w:val="00021439"/>
    <w:rsid w:val="00024CD3"/>
    <w:rsid w:val="00024ED7"/>
    <w:rsid w:val="00025115"/>
    <w:rsid w:val="00025159"/>
    <w:rsid w:val="00025657"/>
    <w:rsid w:val="00026643"/>
    <w:rsid w:val="000274C1"/>
    <w:rsid w:val="00030424"/>
    <w:rsid w:val="0003044A"/>
    <w:rsid w:val="00030D50"/>
    <w:rsid w:val="0003163C"/>
    <w:rsid w:val="00032747"/>
    <w:rsid w:val="000352C9"/>
    <w:rsid w:val="000369DF"/>
    <w:rsid w:val="00036A46"/>
    <w:rsid w:val="0003723B"/>
    <w:rsid w:val="00037471"/>
    <w:rsid w:val="00040E52"/>
    <w:rsid w:val="000412C2"/>
    <w:rsid w:val="000415BD"/>
    <w:rsid w:val="000447FE"/>
    <w:rsid w:val="0004512E"/>
    <w:rsid w:val="000452C0"/>
    <w:rsid w:val="0004588A"/>
    <w:rsid w:val="000460CA"/>
    <w:rsid w:val="00051CA2"/>
    <w:rsid w:val="000526A4"/>
    <w:rsid w:val="000529AB"/>
    <w:rsid w:val="00052B30"/>
    <w:rsid w:val="00052C39"/>
    <w:rsid w:val="0005325C"/>
    <w:rsid w:val="000544A4"/>
    <w:rsid w:val="000548C3"/>
    <w:rsid w:val="00055579"/>
    <w:rsid w:val="0005624F"/>
    <w:rsid w:val="000569D4"/>
    <w:rsid w:val="00056C68"/>
    <w:rsid w:val="00056DFC"/>
    <w:rsid w:val="00056EC2"/>
    <w:rsid w:val="00057AB2"/>
    <w:rsid w:val="00061B93"/>
    <w:rsid w:val="00061E0A"/>
    <w:rsid w:val="00062419"/>
    <w:rsid w:val="00062839"/>
    <w:rsid w:val="00062E7F"/>
    <w:rsid w:val="000632DC"/>
    <w:rsid w:val="00064461"/>
    <w:rsid w:val="00065394"/>
    <w:rsid w:val="000655DF"/>
    <w:rsid w:val="00066855"/>
    <w:rsid w:val="00066F0B"/>
    <w:rsid w:val="00067858"/>
    <w:rsid w:val="00070576"/>
    <w:rsid w:val="00070C82"/>
    <w:rsid w:val="00071226"/>
    <w:rsid w:val="000728E0"/>
    <w:rsid w:val="0007303A"/>
    <w:rsid w:val="00073869"/>
    <w:rsid w:val="0007389A"/>
    <w:rsid w:val="00077ABA"/>
    <w:rsid w:val="0008006A"/>
    <w:rsid w:val="000813DB"/>
    <w:rsid w:val="00082421"/>
    <w:rsid w:val="0008290D"/>
    <w:rsid w:val="000829E5"/>
    <w:rsid w:val="00082FCD"/>
    <w:rsid w:val="00083B8F"/>
    <w:rsid w:val="00083C27"/>
    <w:rsid w:val="000845B1"/>
    <w:rsid w:val="000876A6"/>
    <w:rsid w:val="00090310"/>
    <w:rsid w:val="00091755"/>
    <w:rsid w:val="00091E4D"/>
    <w:rsid w:val="000920C2"/>
    <w:rsid w:val="000937EE"/>
    <w:rsid w:val="00094AEA"/>
    <w:rsid w:val="00094E7B"/>
    <w:rsid w:val="0009717D"/>
    <w:rsid w:val="000A1E41"/>
    <w:rsid w:val="000A2262"/>
    <w:rsid w:val="000A2B33"/>
    <w:rsid w:val="000A34B6"/>
    <w:rsid w:val="000A39D7"/>
    <w:rsid w:val="000A42B2"/>
    <w:rsid w:val="000A4FB0"/>
    <w:rsid w:val="000A5554"/>
    <w:rsid w:val="000A7A33"/>
    <w:rsid w:val="000B0A38"/>
    <w:rsid w:val="000B15AE"/>
    <w:rsid w:val="000B42A8"/>
    <w:rsid w:val="000B51B3"/>
    <w:rsid w:val="000B7608"/>
    <w:rsid w:val="000C09E1"/>
    <w:rsid w:val="000C264F"/>
    <w:rsid w:val="000C2B43"/>
    <w:rsid w:val="000C3ED0"/>
    <w:rsid w:val="000C445C"/>
    <w:rsid w:val="000C456C"/>
    <w:rsid w:val="000C581D"/>
    <w:rsid w:val="000C5DB7"/>
    <w:rsid w:val="000C6D2E"/>
    <w:rsid w:val="000C7B4F"/>
    <w:rsid w:val="000C7E44"/>
    <w:rsid w:val="000D0E41"/>
    <w:rsid w:val="000D0FE6"/>
    <w:rsid w:val="000D16F0"/>
    <w:rsid w:val="000D223A"/>
    <w:rsid w:val="000D3C86"/>
    <w:rsid w:val="000D4D6C"/>
    <w:rsid w:val="000D546D"/>
    <w:rsid w:val="000D5563"/>
    <w:rsid w:val="000D6BFF"/>
    <w:rsid w:val="000D6E0F"/>
    <w:rsid w:val="000D7EE8"/>
    <w:rsid w:val="000E22EA"/>
    <w:rsid w:val="000E2D62"/>
    <w:rsid w:val="000E2F23"/>
    <w:rsid w:val="000E709F"/>
    <w:rsid w:val="000F04B3"/>
    <w:rsid w:val="000F053A"/>
    <w:rsid w:val="000F1B8D"/>
    <w:rsid w:val="000F1CE9"/>
    <w:rsid w:val="000F32A0"/>
    <w:rsid w:val="000F3570"/>
    <w:rsid w:val="000F46CE"/>
    <w:rsid w:val="000F4980"/>
    <w:rsid w:val="000F4FF8"/>
    <w:rsid w:val="000F6D77"/>
    <w:rsid w:val="000F7BDA"/>
    <w:rsid w:val="000F7E83"/>
    <w:rsid w:val="00101C60"/>
    <w:rsid w:val="00101E8A"/>
    <w:rsid w:val="0010217B"/>
    <w:rsid w:val="001038EA"/>
    <w:rsid w:val="001041C2"/>
    <w:rsid w:val="0010435F"/>
    <w:rsid w:val="001045A0"/>
    <w:rsid w:val="00106CCC"/>
    <w:rsid w:val="00106FB6"/>
    <w:rsid w:val="0011079E"/>
    <w:rsid w:val="00112F1A"/>
    <w:rsid w:val="00113BD7"/>
    <w:rsid w:val="00113CAE"/>
    <w:rsid w:val="00117091"/>
    <w:rsid w:val="001230E5"/>
    <w:rsid w:val="00124ED7"/>
    <w:rsid w:val="00125FBC"/>
    <w:rsid w:val="00126A63"/>
    <w:rsid w:val="00130F7C"/>
    <w:rsid w:val="00131078"/>
    <w:rsid w:val="001314F6"/>
    <w:rsid w:val="00132DD7"/>
    <w:rsid w:val="00133F91"/>
    <w:rsid w:val="0013529D"/>
    <w:rsid w:val="0013542E"/>
    <w:rsid w:val="00137438"/>
    <w:rsid w:val="00137807"/>
    <w:rsid w:val="00140BF3"/>
    <w:rsid w:val="00141670"/>
    <w:rsid w:val="001416A3"/>
    <w:rsid w:val="001462FA"/>
    <w:rsid w:val="0015060C"/>
    <w:rsid w:val="00150D25"/>
    <w:rsid w:val="001510A3"/>
    <w:rsid w:val="001518A5"/>
    <w:rsid w:val="00151CE2"/>
    <w:rsid w:val="001520C5"/>
    <w:rsid w:val="001524ED"/>
    <w:rsid w:val="00152A55"/>
    <w:rsid w:val="00152C23"/>
    <w:rsid w:val="0015433E"/>
    <w:rsid w:val="00154621"/>
    <w:rsid w:val="0015533A"/>
    <w:rsid w:val="00155E78"/>
    <w:rsid w:val="00156E62"/>
    <w:rsid w:val="0016141D"/>
    <w:rsid w:val="00161478"/>
    <w:rsid w:val="00163C26"/>
    <w:rsid w:val="001648E2"/>
    <w:rsid w:val="001652C6"/>
    <w:rsid w:val="001653CA"/>
    <w:rsid w:val="00165674"/>
    <w:rsid w:val="001658F7"/>
    <w:rsid w:val="00165F5A"/>
    <w:rsid w:val="00166AF6"/>
    <w:rsid w:val="00167331"/>
    <w:rsid w:val="001707E0"/>
    <w:rsid w:val="00170DE6"/>
    <w:rsid w:val="00170FDD"/>
    <w:rsid w:val="00171055"/>
    <w:rsid w:val="001718C1"/>
    <w:rsid w:val="0017254C"/>
    <w:rsid w:val="001728B3"/>
    <w:rsid w:val="00172B9D"/>
    <w:rsid w:val="001733AF"/>
    <w:rsid w:val="001737B9"/>
    <w:rsid w:val="00175800"/>
    <w:rsid w:val="00176539"/>
    <w:rsid w:val="00177946"/>
    <w:rsid w:val="00180162"/>
    <w:rsid w:val="00181571"/>
    <w:rsid w:val="001816BE"/>
    <w:rsid w:val="00182116"/>
    <w:rsid w:val="001835F7"/>
    <w:rsid w:val="00183FC5"/>
    <w:rsid w:val="00184DCA"/>
    <w:rsid w:val="0018534B"/>
    <w:rsid w:val="001859CD"/>
    <w:rsid w:val="00190A86"/>
    <w:rsid w:val="0019195B"/>
    <w:rsid w:val="00191F52"/>
    <w:rsid w:val="0019313B"/>
    <w:rsid w:val="00193204"/>
    <w:rsid w:val="00194ACD"/>
    <w:rsid w:val="00194CD0"/>
    <w:rsid w:val="00195702"/>
    <w:rsid w:val="00195C51"/>
    <w:rsid w:val="00196A2F"/>
    <w:rsid w:val="00197E69"/>
    <w:rsid w:val="001A06C7"/>
    <w:rsid w:val="001A2083"/>
    <w:rsid w:val="001A2E86"/>
    <w:rsid w:val="001A4A26"/>
    <w:rsid w:val="001A5AEB"/>
    <w:rsid w:val="001A5D58"/>
    <w:rsid w:val="001A6C86"/>
    <w:rsid w:val="001A78A0"/>
    <w:rsid w:val="001A7A33"/>
    <w:rsid w:val="001B2F00"/>
    <w:rsid w:val="001B368A"/>
    <w:rsid w:val="001B4B0D"/>
    <w:rsid w:val="001B586B"/>
    <w:rsid w:val="001B7AD5"/>
    <w:rsid w:val="001C16CB"/>
    <w:rsid w:val="001C3556"/>
    <w:rsid w:val="001C3610"/>
    <w:rsid w:val="001C3C1F"/>
    <w:rsid w:val="001C7B8D"/>
    <w:rsid w:val="001D1445"/>
    <w:rsid w:val="001D1E28"/>
    <w:rsid w:val="001D2CB4"/>
    <w:rsid w:val="001D2DA5"/>
    <w:rsid w:val="001D3797"/>
    <w:rsid w:val="001D47B7"/>
    <w:rsid w:val="001D4E62"/>
    <w:rsid w:val="001D79F8"/>
    <w:rsid w:val="001E0688"/>
    <w:rsid w:val="001E2A25"/>
    <w:rsid w:val="001E52CA"/>
    <w:rsid w:val="001E5970"/>
    <w:rsid w:val="001E622B"/>
    <w:rsid w:val="001E6CC0"/>
    <w:rsid w:val="001F039B"/>
    <w:rsid w:val="001F2150"/>
    <w:rsid w:val="001F21E4"/>
    <w:rsid w:val="001F2572"/>
    <w:rsid w:val="001F2F2C"/>
    <w:rsid w:val="001F335A"/>
    <w:rsid w:val="001F5570"/>
    <w:rsid w:val="001F6092"/>
    <w:rsid w:val="001F6E71"/>
    <w:rsid w:val="001F724D"/>
    <w:rsid w:val="001F7EE0"/>
    <w:rsid w:val="00200716"/>
    <w:rsid w:val="0020077C"/>
    <w:rsid w:val="00201EC3"/>
    <w:rsid w:val="00202697"/>
    <w:rsid w:val="00202A0B"/>
    <w:rsid w:val="00203055"/>
    <w:rsid w:val="002032B7"/>
    <w:rsid w:val="00206260"/>
    <w:rsid w:val="0020663C"/>
    <w:rsid w:val="00207C74"/>
    <w:rsid w:val="0021149F"/>
    <w:rsid w:val="00213BBF"/>
    <w:rsid w:val="00213FD0"/>
    <w:rsid w:val="00214673"/>
    <w:rsid w:val="00214D23"/>
    <w:rsid w:val="0021624A"/>
    <w:rsid w:val="00216E6F"/>
    <w:rsid w:val="00222D97"/>
    <w:rsid w:val="002230E3"/>
    <w:rsid w:val="00226D5E"/>
    <w:rsid w:val="0023111B"/>
    <w:rsid w:val="002317CA"/>
    <w:rsid w:val="00232883"/>
    <w:rsid w:val="00234985"/>
    <w:rsid w:val="002352A8"/>
    <w:rsid w:val="002361C0"/>
    <w:rsid w:val="00236539"/>
    <w:rsid w:val="002408E2"/>
    <w:rsid w:val="0024105D"/>
    <w:rsid w:val="002411B3"/>
    <w:rsid w:val="002430F4"/>
    <w:rsid w:val="00243BDE"/>
    <w:rsid w:val="00246239"/>
    <w:rsid w:val="002469BB"/>
    <w:rsid w:val="00247439"/>
    <w:rsid w:val="00247530"/>
    <w:rsid w:val="00247EF9"/>
    <w:rsid w:val="002503D6"/>
    <w:rsid w:val="00250E9C"/>
    <w:rsid w:val="0025202A"/>
    <w:rsid w:val="00253054"/>
    <w:rsid w:val="00254098"/>
    <w:rsid w:val="00254304"/>
    <w:rsid w:val="00255C52"/>
    <w:rsid w:val="002560D0"/>
    <w:rsid w:val="00256101"/>
    <w:rsid w:val="00256333"/>
    <w:rsid w:val="002606C6"/>
    <w:rsid w:val="00261359"/>
    <w:rsid w:val="002615EF"/>
    <w:rsid w:val="002623F3"/>
    <w:rsid w:val="00263885"/>
    <w:rsid w:val="00263EFA"/>
    <w:rsid w:val="00270632"/>
    <w:rsid w:val="00271AB7"/>
    <w:rsid w:val="0027276A"/>
    <w:rsid w:val="002729D1"/>
    <w:rsid w:val="00272E9D"/>
    <w:rsid w:val="002730CD"/>
    <w:rsid w:val="0027673C"/>
    <w:rsid w:val="0027712D"/>
    <w:rsid w:val="00281874"/>
    <w:rsid w:val="00282115"/>
    <w:rsid w:val="00283BF3"/>
    <w:rsid w:val="00284F8E"/>
    <w:rsid w:val="00285949"/>
    <w:rsid w:val="0028665C"/>
    <w:rsid w:val="00290777"/>
    <w:rsid w:val="002918C0"/>
    <w:rsid w:val="0029193E"/>
    <w:rsid w:val="00291B41"/>
    <w:rsid w:val="002929F3"/>
    <w:rsid w:val="00292B1A"/>
    <w:rsid w:val="00292CBD"/>
    <w:rsid w:val="002931E4"/>
    <w:rsid w:val="00293AE7"/>
    <w:rsid w:val="00294815"/>
    <w:rsid w:val="0029673C"/>
    <w:rsid w:val="00297F37"/>
    <w:rsid w:val="002A12C8"/>
    <w:rsid w:val="002A13AF"/>
    <w:rsid w:val="002A1D6D"/>
    <w:rsid w:val="002A3AAB"/>
    <w:rsid w:val="002A3BAC"/>
    <w:rsid w:val="002A4AF1"/>
    <w:rsid w:val="002A7398"/>
    <w:rsid w:val="002A77F8"/>
    <w:rsid w:val="002B41EA"/>
    <w:rsid w:val="002C12BC"/>
    <w:rsid w:val="002C15EA"/>
    <w:rsid w:val="002C1DA1"/>
    <w:rsid w:val="002C2B41"/>
    <w:rsid w:val="002C30E6"/>
    <w:rsid w:val="002C58AC"/>
    <w:rsid w:val="002C647A"/>
    <w:rsid w:val="002C6CFA"/>
    <w:rsid w:val="002C73F8"/>
    <w:rsid w:val="002C7F61"/>
    <w:rsid w:val="002D033B"/>
    <w:rsid w:val="002D2D5D"/>
    <w:rsid w:val="002D480B"/>
    <w:rsid w:val="002D4C6C"/>
    <w:rsid w:val="002D54E6"/>
    <w:rsid w:val="002D65CB"/>
    <w:rsid w:val="002D6FD7"/>
    <w:rsid w:val="002E0403"/>
    <w:rsid w:val="002E076B"/>
    <w:rsid w:val="002E1978"/>
    <w:rsid w:val="002E21B1"/>
    <w:rsid w:val="002E5558"/>
    <w:rsid w:val="002E5BD3"/>
    <w:rsid w:val="002E6005"/>
    <w:rsid w:val="002E6B64"/>
    <w:rsid w:val="002F05D2"/>
    <w:rsid w:val="002F29AA"/>
    <w:rsid w:val="002F559E"/>
    <w:rsid w:val="002F55F7"/>
    <w:rsid w:val="002F6402"/>
    <w:rsid w:val="002F70E0"/>
    <w:rsid w:val="003007FC"/>
    <w:rsid w:val="00300C92"/>
    <w:rsid w:val="00301A37"/>
    <w:rsid w:val="003020C9"/>
    <w:rsid w:val="00306515"/>
    <w:rsid w:val="00310385"/>
    <w:rsid w:val="00311642"/>
    <w:rsid w:val="00313179"/>
    <w:rsid w:val="0031393C"/>
    <w:rsid w:val="0031411D"/>
    <w:rsid w:val="00314BB1"/>
    <w:rsid w:val="00314CDC"/>
    <w:rsid w:val="0031514A"/>
    <w:rsid w:val="003172E7"/>
    <w:rsid w:val="00317E61"/>
    <w:rsid w:val="00320AD5"/>
    <w:rsid w:val="00321DAA"/>
    <w:rsid w:val="003229E1"/>
    <w:rsid w:val="00323712"/>
    <w:rsid w:val="00325683"/>
    <w:rsid w:val="00326057"/>
    <w:rsid w:val="0033074E"/>
    <w:rsid w:val="003311A5"/>
    <w:rsid w:val="00333248"/>
    <w:rsid w:val="00333B0A"/>
    <w:rsid w:val="00334307"/>
    <w:rsid w:val="0033439E"/>
    <w:rsid w:val="00335874"/>
    <w:rsid w:val="00336CB4"/>
    <w:rsid w:val="00337D57"/>
    <w:rsid w:val="003420B1"/>
    <w:rsid w:val="00342548"/>
    <w:rsid w:val="00346746"/>
    <w:rsid w:val="0035042A"/>
    <w:rsid w:val="003518AA"/>
    <w:rsid w:val="0035239F"/>
    <w:rsid w:val="003538E2"/>
    <w:rsid w:val="00354D7F"/>
    <w:rsid w:val="00356836"/>
    <w:rsid w:val="00357D33"/>
    <w:rsid w:val="00360658"/>
    <w:rsid w:val="00361284"/>
    <w:rsid w:val="00361478"/>
    <w:rsid w:val="0036181F"/>
    <w:rsid w:val="003622BB"/>
    <w:rsid w:val="00362E53"/>
    <w:rsid w:val="0036453A"/>
    <w:rsid w:val="00366361"/>
    <w:rsid w:val="00367126"/>
    <w:rsid w:val="003703E3"/>
    <w:rsid w:val="00370801"/>
    <w:rsid w:val="003739B7"/>
    <w:rsid w:val="00374674"/>
    <w:rsid w:val="00375FCA"/>
    <w:rsid w:val="003777E9"/>
    <w:rsid w:val="003802CE"/>
    <w:rsid w:val="00380417"/>
    <w:rsid w:val="0038210C"/>
    <w:rsid w:val="00382460"/>
    <w:rsid w:val="00382E4F"/>
    <w:rsid w:val="00383425"/>
    <w:rsid w:val="00383B43"/>
    <w:rsid w:val="00384507"/>
    <w:rsid w:val="003857FF"/>
    <w:rsid w:val="0038628B"/>
    <w:rsid w:val="00386328"/>
    <w:rsid w:val="00386A22"/>
    <w:rsid w:val="0038733B"/>
    <w:rsid w:val="00387BBC"/>
    <w:rsid w:val="00390E0D"/>
    <w:rsid w:val="0039113A"/>
    <w:rsid w:val="003922EE"/>
    <w:rsid w:val="00393B8E"/>
    <w:rsid w:val="00394A69"/>
    <w:rsid w:val="00395B08"/>
    <w:rsid w:val="00395B33"/>
    <w:rsid w:val="003961FD"/>
    <w:rsid w:val="00397AB0"/>
    <w:rsid w:val="003A04B7"/>
    <w:rsid w:val="003A12C4"/>
    <w:rsid w:val="003A15FB"/>
    <w:rsid w:val="003A2775"/>
    <w:rsid w:val="003A370B"/>
    <w:rsid w:val="003A3B76"/>
    <w:rsid w:val="003A3E8F"/>
    <w:rsid w:val="003A5878"/>
    <w:rsid w:val="003A6017"/>
    <w:rsid w:val="003A6275"/>
    <w:rsid w:val="003A6BD6"/>
    <w:rsid w:val="003A71A7"/>
    <w:rsid w:val="003A7246"/>
    <w:rsid w:val="003B2039"/>
    <w:rsid w:val="003B2F94"/>
    <w:rsid w:val="003B4515"/>
    <w:rsid w:val="003B455E"/>
    <w:rsid w:val="003B48E3"/>
    <w:rsid w:val="003B5090"/>
    <w:rsid w:val="003B557F"/>
    <w:rsid w:val="003C2AAE"/>
    <w:rsid w:val="003C417B"/>
    <w:rsid w:val="003C6216"/>
    <w:rsid w:val="003C7743"/>
    <w:rsid w:val="003C7C5F"/>
    <w:rsid w:val="003D026C"/>
    <w:rsid w:val="003D124C"/>
    <w:rsid w:val="003D1B94"/>
    <w:rsid w:val="003D1EDF"/>
    <w:rsid w:val="003D2002"/>
    <w:rsid w:val="003D51B0"/>
    <w:rsid w:val="003D5881"/>
    <w:rsid w:val="003D6619"/>
    <w:rsid w:val="003D66EE"/>
    <w:rsid w:val="003D7A44"/>
    <w:rsid w:val="003E141B"/>
    <w:rsid w:val="003E1DAC"/>
    <w:rsid w:val="003E2A02"/>
    <w:rsid w:val="003E2CA5"/>
    <w:rsid w:val="003E5BA0"/>
    <w:rsid w:val="003E5CD6"/>
    <w:rsid w:val="003E7CC1"/>
    <w:rsid w:val="003F0096"/>
    <w:rsid w:val="003F009B"/>
    <w:rsid w:val="003F297F"/>
    <w:rsid w:val="003F2BA3"/>
    <w:rsid w:val="003F366C"/>
    <w:rsid w:val="003F36EE"/>
    <w:rsid w:val="003F37C4"/>
    <w:rsid w:val="003F4116"/>
    <w:rsid w:val="003F4D24"/>
    <w:rsid w:val="003F4EE1"/>
    <w:rsid w:val="003F5444"/>
    <w:rsid w:val="003F72F7"/>
    <w:rsid w:val="003F7FF5"/>
    <w:rsid w:val="00400384"/>
    <w:rsid w:val="00400C3E"/>
    <w:rsid w:val="0040119D"/>
    <w:rsid w:val="0040289F"/>
    <w:rsid w:val="00402998"/>
    <w:rsid w:val="004035C8"/>
    <w:rsid w:val="00404D24"/>
    <w:rsid w:val="00405D91"/>
    <w:rsid w:val="00406023"/>
    <w:rsid w:val="00406723"/>
    <w:rsid w:val="00406E94"/>
    <w:rsid w:val="00407F60"/>
    <w:rsid w:val="00410EB4"/>
    <w:rsid w:val="00411B57"/>
    <w:rsid w:val="00412792"/>
    <w:rsid w:val="00412A0F"/>
    <w:rsid w:val="00412E7C"/>
    <w:rsid w:val="004144E9"/>
    <w:rsid w:val="004159A5"/>
    <w:rsid w:val="004168CB"/>
    <w:rsid w:val="00417300"/>
    <w:rsid w:val="00417B95"/>
    <w:rsid w:val="004211FA"/>
    <w:rsid w:val="004217E1"/>
    <w:rsid w:val="00423D44"/>
    <w:rsid w:val="00424723"/>
    <w:rsid w:val="00425E3D"/>
    <w:rsid w:val="00425E63"/>
    <w:rsid w:val="00425FFA"/>
    <w:rsid w:val="00426C95"/>
    <w:rsid w:val="00427FA5"/>
    <w:rsid w:val="00430389"/>
    <w:rsid w:val="00430BCE"/>
    <w:rsid w:val="00430D89"/>
    <w:rsid w:val="00433B85"/>
    <w:rsid w:val="00436284"/>
    <w:rsid w:val="00436468"/>
    <w:rsid w:val="004367A5"/>
    <w:rsid w:val="004415E5"/>
    <w:rsid w:val="004416B2"/>
    <w:rsid w:val="004439FB"/>
    <w:rsid w:val="00444AC1"/>
    <w:rsid w:val="00447956"/>
    <w:rsid w:val="00450C02"/>
    <w:rsid w:val="00450C41"/>
    <w:rsid w:val="004511DF"/>
    <w:rsid w:val="00451546"/>
    <w:rsid w:val="00452C9D"/>
    <w:rsid w:val="0045359E"/>
    <w:rsid w:val="0045375E"/>
    <w:rsid w:val="00455F7E"/>
    <w:rsid w:val="004569B5"/>
    <w:rsid w:val="00457921"/>
    <w:rsid w:val="004579EC"/>
    <w:rsid w:val="004612CF"/>
    <w:rsid w:val="00463046"/>
    <w:rsid w:val="0046322E"/>
    <w:rsid w:val="00464CD0"/>
    <w:rsid w:val="00464E3F"/>
    <w:rsid w:val="00471474"/>
    <w:rsid w:val="0047256F"/>
    <w:rsid w:val="00472CEB"/>
    <w:rsid w:val="00473FAD"/>
    <w:rsid w:val="00474222"/>
    <w:rsid w:val="00474A0E"/>
    <w:rsid w:val="00477E08"/>
    <w:rsid w:val="00482318"/>
    <w:rsid w:val="00482535"/>
    <w:rsid w:val="00482C06"/>
    <w:rsid w:val="004849BB"/>
    <w:rsid w:val="004857F6"/>
    <w:rsid w:val="00486538"/>
    <w:rsid w:val="00487CBE"/>
    <w:rsid w:val="00490435"/>
    <w:rsid w:val="004906F1"/>
    <w:rsid w:val="00491910"/>
    <w:rsid w:val="00491E34"/>
    <w:rsid w:val="00491E97"/>
    <w:rsid w:val="00491FF0"/>
    <w:rsid w:val="00492FF4"/>
    <w:rsid w:val="00494197"/>
    <w:rsid w:val="00496F57"/>
    <w:rsid w:val="0049700C"/>
    <w:rsid w:val="00497632"/>
    <w:rsid w:val="00497735"/>
    <w:rsid w:val="00497834"/>
    <w:rsid w:val="004A05F3"/>
    <w:rsid w:val="004A114E"/>
    <w:rsid w:val="004A1D38"/>
    <w:rsid w:val="004A36AE"/>
    <w:rsid w:val="004A398C"/>
    <w:rsid w:val="004A4024"/>
    <w:rsid w:val="004A4EAB"/>
    <w:rsid w:val="004A52F5"/>
    <w:rsid w:val="004A59E5"/>
    <w:rsid w:val="004B1D90"/>
    <w:rsid w:val="004B299D"/>
    <w:rsid w:val="004B301A"/>
    <w:rsid w:val="004B30D5"/>
    <w:rsid w:val="004B36F0"/>
    <w:rsid w:val="004B3FEC"/>
    <w:rsid w:val="004B5095"/>
    <w:rsid w:val="004B7140"/>
    <w:rsid w:val="004C0182"/>
    <w:rsid w:val="004C04FB"/>
    <w:rsid w:val="004C0AE1"/>
    <w:rsid w:val="004C2C11"/>
    <w:rsid w:val="004C4043"/>
    <w:rsid w:val="004C4137"/>
    <w:rsid w:val="004C67C1"/>
    <w:rsid w:val="004C77AD"/>
    <w:rsid w:val="004D04F5"/>
    <w:rsid w:val="004D17BF"/>
    <w:rsid w:val="004D2720"/>
    <w:rsid w:val="004D27D6"/>
    <w:rsid w:val="004D5983"/>
    <w:rsid w:val="004D63F2"/>
    <w:rsid w:val="004E10E6"/>
    <w:rsid w:val="004E1C85"/>
    <w:rsid w:val="004E3D73"/>
    <w:rsid w:val="004E4FEB"/>
    <w:rsid w:val="004E5C77"/>
    <w:rsid w:val="004E675F"/>
    <w:rsid w:val="004E6B14"/>
    <w:rsid w:val="004E7B0B"/>
    <w:rsid w:val="004F0B4E"/>
    <w:rsid w:val="004F0FBC"/>
    <w:rsid w:val="004F1109"/>
    <w:rsid w:val="004F1513"/>
    <w:rsid w:val="004F230B"/>
    <w:rsid w:val="004F479C"/>
    <w:rsid w:val="00502587"/>
    <w:rsid w:val="00502664"/>
    <w:rsid w:val="005026F9"/>
    <w:rsid w:val="00506D4B"/>
    <w:rsid w:val="005131D7"/>
    <w:rsid w:val="0051392B"/>
    <w:rsid w:val="00516BAD"/>
    <w:rsid w:val="0051712A"/>
    <w:rsid w:val="0052130C"/>
    <w:rsid w:val="0052175B"/>
    <w:rsid w:val="00521F8C"/>
    <w:rsid w:val="00522073"/>
    <w:rsid w:val="00522C55"/>
    <w:rsid w:val="00522ED1"/>
    <w:rsid w:val="0052754A"/>
    <w:rsid w:val="00527CD1"/>
    <w:rsid w:val="00530465"/>
    <w:rsid w:val="00530C33"/>
    <w:rsid w:val="00530CAD"/>
    <w:rsid w:val="00531FEC"/>
    <w:rsid w:val="005330DD"/>
    <w:rsid w:val="005342D0"/>
    <w:rsid w:val="005369A9"/>
    <w:rsid w:val="00537C67"/>
    <w:rsid w:val="0054069D"/>
    <w:rsid w:val="005416C8"/>
    <w:rsid w:val="005440CB"/>
    <w:rsid w:val="00551401"/>
    <w:rsid w:val="00552192"/>
    <w:rsid w:val="00552ED9"/>
    <w:rsid w:val="005560F0"/>
    <w:rsid w:val="005571AA"/>
    <w:rsid w:val="0055733F"/>
    <w:rsid w:val="0055792A"/>
    <w:rsid w:val="00561FED"/>
    <w:rsid w:val="00563912"/>
    <w:rsid w:val="00564601"/>
    <w:rsid w:val="005655FD"/>
    <w:rsid w:val="00566726"/>
    <w:rsid w:val="00566E33"/>
    <w:rsid w:val="005717A7"/>
    <w:rsid w:val="005722E5"/>
    <w:rsid w:val="0057285C"/>
    <w:rsid w:val="005733C9"/>
    <w:rsid w:val="00573FAF"/>
    <w:rsid w:val="00575E69"/>
    <w:rsid w:val="005800A5"/>
    <w:rsid w:val="00581C1E"/>
    <w:rsid w:val="00582F79"/>
    <w:rsid w:val="00583688"/>
    <w:rsid w:val="00584336"/>
    <w:rsid w:val="005852C9"/>
    <w:rsid w:val="00585CA2"/>
    <w:rsid w:val="0058626C"/>
    <w:rsid w:val="00586711"/>
    <w:rsid w:val="00587F5D"/>
    <w:rsid w:val="005909E4"/>
    <w:rsid w:val="00590B41"/>
    <w:rsid w:val="0059216D"/>
    <w:rsid w:val="005931E6"/>
    <w:rsid w:val="00593A3C"/>
    <w:rsid w:val="005940E9"/>
    <w:rsid w:val="00595B90"/>
    <w:rsid w:val="005A2272"/>
    <w:rsid w:val="005A358C"/>
    <w:rsid w:val="005A40F2"/>
    <w:rsid w:val="005A45A6"/>
    <w:rsid w:val="005A7BF4"/>
    <w:rsid w:val="005B214B"/>
    <w:rsid w:val="005B2D01"/>
    <w:rsid w:val="005B2EB5"/>
    <w:rsid w:val="005B367D"/>
    <w:rsid w:val="005B37FB"/>
    <w:rsid w:val="005B5A0A"/>
    <w:rsid w:val="005B6A92"/>
    <w:rsid w:val="005C1784"/>
    <w:rsid w:val="005C3C3B"/>
    <w:rsid w:val="005C3D39"/>
    <w:rsid w:val="005C41E9"/>
    <w:rsid w:val="005C7472"/>
    <w:rsid w:val="005C74EF"/>
    <w:rsid w:val="005C799D"/>
    <w:rsid w:val="005C7F5F"/>
    <w:rsid w:val="005D1791"/>
    <w:rsid w:val="005D4D8A"/>
    <w:rsid w:val="005D6EA9"/>
    <w:rsid w:val="005E0E19"/>
    <w:rsid w:val="005E122B"/>
    <w:rsid w:val="005E2C62"/>
    <w:rsid w:val="005E2EC4"/>
    <w:rsid w:val="005E3863"/>
    <w:rsid w:val="005E432F"/>
    <w:rsid w:val="005E4D69"/>
    <w:rsid w:val="005E5603"/>
    <w:rsid w:val="005E584D"/>
    <w:rsid w:val="005E7827"/>
    <w:rsid w:val="005F0AEA"/>
    <w:rsid w:val="005F1494"/>
    <w:rsid w:val="005F16EB"/>
    <w:rsid w:val="005F2B89"/>
    <w:rsid w:val="005F40F4"/>
    <w:rsid w:val="005F6CCA"/>
    <w:rsid w:val="005F6CDF"/>
    <w:rsid w:val="0060015E"/>
    <w:rsid w:val="00602CBE"/>
    <w:rsid w:val="00604DAB"/>
    <w:rsid w:val="006060F1"/>
    <w:rsid w:val="006063BC"/>
    <w:rsid w:val="00606477"/>
    <w:rsid w:val="0060666C"/>
    <w:rsid w:val="006070CE"/>
    <w:rsid w:val="00607415"/>
    <w:rsid w:val="00607BDA"/>
    <w:rsid w:val="00610DD6"/>
    <w:rsid w:val="00611569"/>
    <w:rsid w:val="00612942"/>
    <w:rsid w:val="00612A30"/>
    <w:rsid w:val="00612B41"/>
    <w:rsid w:val="006130D4"/>
    <w:rsid w:val="0061372C"/>
    <w:rsid w:val="00614285"/>
    <w:rsid w:val="006146CC"/>
    <w:rsid w:val="00616F27"/>
    <w:rsid w:val="00621F3E"/>
    <w:rsid w:val="006221E3"/>
    <w:rsid w:val="00623075"/>
    <w:rsid w:val="0062465F"/>
    <w:rsid w:val="00625C64"/>
    <w:rsid w:val="00625FAF"/>
    <w:rsid w:val="00626846"/>
    <w:rsid w:val="00630D1A"/>
    <w:rsid w:val="00632DE8"/>
    <w:rsid w:val="00633176"/>
    <w:rsid w:val="00634708"/>
    <w:rsid w:val="00636B95"/>
    <w:rsid w:val="00637192"/>
    <w:rsid w:val="006371BF"/>
    <w:rsid w:val="0064012F"/>
    <w:rsid w:val="00640A9B"/>
    <w:rsid w:val="0064394C"/>
    <w:rsid w:val="0064401F"/>
    <w:rsid w:val="00645259"/>
    <w:rsid w:val="00645A43"/>
    <w:rsid w:val="006464FB"/>
    <w:rsid w:val="00646E82"/>
    <w:rsid w:val="006470BC"/>
    <w:rsid w:val="0064767D"/>
    <w:rsid w:val="00651202"/>
    <w:rsid w:val="0065146B"/>
    <w:rsid w:val="00651F05"/>
    <w:rsid w:val="006526CE"/>
    <w:rsid w:val="00652923"/>
    <w:rsid w:val="00652F30"/>
    <w:rsid w:val="0065349D"/>
    <w:rsid w:val="00654042"/>
    <w:rsid w:val="00654081"/>
    <w:rsid w:val="00654E2D"/>
    <w:rsid w:val="00661116"/>
    <w:rsid w:val="006615F2"/>
    <w:rsid w:val="006617FB"/>
    <w:rsid w:val="00661B18"/>
    <w:rsid w:val="00663267"/>
    <w:rsid w:val="006640EE"/>
    <w:rsid w:val="006647A7"/>
    <w:rsid w:val="00664A8F"/>
    <w:rsid w:val="00665D51"/>
    <w:rsid w:val="00666FF1"/>
    <w:rsid w:val="006671AE"/>
    <w:rsid w:val="006706D2"/>
    <w:rsid w:val="00670737"/>
    <w:rsid w:val="0067099E"/>
    <w:rsid w:val="00671114"/>
    <w:rsid w:val="00673533"/>
    <w:rsid w:val="00673FD7"/>
    <w:rsid w:val="00674586"/>
    <w:rsid w:val="00675CE6"/>
    <w:rsid w:val="006765EB"/>
    <w:rsid w:val="00677410"/>
    <w:rsid w:val="00680602"/>
    <w:rsid w:val="00680FF9"/>
    <w:rsid w:val="006814B0"/>
    <w:rsid w:val="00684AA1"/>
    <w:rsid w:val="00685672"/>
    <w:rsid w:val="006857D9"/>
    <w:rsid w:val="006873A3"/>
    <w:rsid w:val="00690428"/>
    <w:rsid w:val="006919BE"/>
    <w:rsid w:val="00691E7B"/>
    <w:rsid w:val="0069241F"/>
    <w:rsid w:val="00693A50"/>
    <w:rsid w:val="0069532D"/>
    <w:rsid w:val="00695F51"/>
    <w:rsid w:val="0069605E"/>
    <w:rsid w:val="006A16DC"/>
    <w:rsid w:val="006A1F74"/>
    <w:rsid w:val="006A23D8"/>
    <w:rsid w:val="006A34A1"/>
    <w:rsid w:val="006A34E5"/>
    <w:rsid w:val="006A4D01"/>
    <w:rsid w:val="006A51CA"/>
    <w:rsid w:val="006A5267"/>
    <w:rsid w:val="006A6A96"/>
    <w:rsid w:val="006A6C73"/>
    <w:rsid w:val="006B03FA"/>
    <w:rsid w:val="006B04A5"/>
    <w:rsid w:val="006B2395"/>
    <w:rsid w:val="006B309E"/>
    <w:rsid w:val="006B5DAF"/>
    <w:rsid w:val="006B64B3"/>
    <w:rsid w:val="006B72E4"/>
    <w:rsid w:val="006B767B"/>
    <w:rsid w:val="006B773C"/>
    <w:rsid w:val="006C1525"/>
    <w:rsid w:val="006C1C99"/>
    <w:rsid w:val="006C205C"/>
    <w:rsid w:val="006C3044"/>
    <w:rsid w:val="006C3AF1"/>
    <w:rsid w:val="006C4EED"/>
    <w:rsid w:val="006C62D1"/>
    <w:rsid w:val="006C69B3"/>
    <w:rsid w:val="006C7533"/>
    <w:rsid w:val="006C7D96"/>
    <w:rsid w:val="006C7DFC"/>
    <w:rsid w:val="006D4799"/>
    <w:rsid w:val="006D501C"/>
    <w:rsid w:val="006D5036"/>
    <w:rsid w:val="006D62F9"/>
    <w:rsid w:val="006D64DD"/>
    <w:rsid w:val="006D69AE"/>
    <w:rsid w:val="006D6EB4"/>
    <w:rsid w:val="006D72A8"/>
    <w:rsid w:val="006D7300"/>
    <w:rsid w:val="006E042A"/>
    <w:rsid w:val="006E0B6B"/>
    <w:rsid w:val="006E1E45"/>
    <w:rsid w:val="006E2651"/>
    <w:rsid w:val="006E3553"/>
    <w:rsid w:val="006E5197"/>
    <w:rsid w:val="006E796C"/>
    <w:rsid w:val="006F07CA"/>
    <w:rsid w:val="006F558A"/>
    <w:rsid w:val="006F6047"/>
    <w:rsid w:val="006F6B3E"/>
    <w:rsid w:val="006F7FB5"/>
    <w:rsid w:val="0070023E"/>
    <w:rsid w:val="007006D3"/>
    <w:rsid w:val="007024F3"/>
    <w:rsid w:val="0070302B"/>
    <w:rsid w:val="007046B1"/>
    <w:rsid w:val="007051A6"/>
    <w:rsid w:val="00705B03"/>
    <w:rsid w:val="007063B9"/>
    <w:rsid w:val="00710385"/>
    <w:rsid w:val="0071161E"/>
    <w:rsid w:val="00711779"/>
    <w:rsid w:val="00712C40"/>
    <w:rsid w:val="00713313"/>
    <w:rsid w:val="007139E0"/>
    <w:rsid w:val="00714B9C"/>
    <w:rsid w:val="0071630C"/>
    <w:rsid w:val="00717C29"/>
    <w:rsid w:val="007202FA"/>
    <w:rsid w:val="0072221A"/>
    <w:rsid w:val="00722611"/>
    <w:rsid w:val="00722E06"/>
    <w:rsid w:val="0072325A"/>
    <w:rsid w:val="007238D9"/>
    <w:rsid w:val="00723A33"/>
    <w:rsid w:val="007245F6"/>
    <w:rsid w:val="0072475A"/>
    <w:rsid w:val="007250AD"/>
    <w:rsid w:val="007251C1"/>
    <w:rsid w:val="007306F0"/>
    <w:rsid w:val="007314C6"/>
    <w:rsid w:val="00735D0A"/>
    <w:rsid w:val="00736EEB"/>
    <w:rsid w:val="00737D47"/>
    <w:rsid w:val="0074082F"/>
    <w:rsid w:val="00740C5A"/>
    <w:rsid w:val="007414B9"/>
    <w:rsid w:val="007418C4"/>
    <w:rsid w:val="00741F18"/>
    <w:rsid w:val="0074235D"/>
    <w:rsid w:val="0074261B"/>
    <w:rsid w:val="00742FBF"/>
    <w:rsid w:val="007432B1"/>
    <w:rsid w:val="00743EA6"/>
    <w:rsid w:val="00745B75"/>
    <w:rsid w:val="00745D63"/>
    <w:rsid w:val="00746BE1"/>
    <w:rsid w:val="00746E9B"/>
    <w:rsid w:val="00746F77"/>
    <w:rsid w:val="00747577"/>
    <w:rsid w:val="00747F44"/>
    <w:rsid w:val="00750236"/>
    <w:rsid w:val="00750841"/>
    <w:rsid w:val="00750F23"/>
    <w:rsid w:val="00751493"/>
    <w:rsid w:val="007529DE"/>
    <w:rsid w:val="00752DEE"/>
    <w:rsid w:val="00753A51"/>
    <w:rsid w:val="00754B58"/>
    <w:rsid w:val="00754BBE"/>
    <w:rsid w:val="007557A9"/>
    <w:rsid w:val="00756826"/>
    <w:rsid w:val="0075763D"/>
    <w:rsid w:val="00757ADD"/>
    <w:rsid w:val="00760DAF"/>
    <w:rsid w:val="007612D5"/>
    <w:rsid w:val="00761A26"/>
    <w:rsid w:val="0076263E"/>
    <w:rsid w:val="007626EB"/>
    <w:rsid w:val="007633AC"/>
    <w:rsid w:val="00763A81"/>
    <w:rsid w:val="00765289"/>
    <w:rsid w:val="007655DB"/>
    <w:rsid w:val="00765992"/>
    <w:rsid w:val="00765EFA"/>
    <w:rsid w:val="00765F19"/>
    <w:rsid w:val="00766BEE"/>
    <w:rsid w:val="0076781E"/>
    <w:rsid w:val="00767CC7"/>
    <w:rsid w:val="00770D57"/>
    <w:rsid w:val="00771039"/>
    <w:rsid w:val="00771B83"/>
    <w:rsid w:val="00772623"/>
    <w:rsid w:val="00772CD7"/>
    <w:rsid w:val="00773A85"/>
    <w:rsid w:val="00774021"/>
    <w:rsid w:val="0077429B"/>
    <w:rsid w:val="007757A2"/>
    <w:rsid w:val="00777A36"/>
    <w:rsid w:val="007803E6"/>
    <w:rsid w:val="00780458"/>
    <w:rsid w:val="007809D4"/>
    <w:rsid w:val="00782CF7"/>
    <w:rsid w:val="00782EAA"/>
    <w:rsid w:val="0078333B"/>
    <w:rsid w:val="00784658"/>
    <w:rsid w:val="00784F26"/>
    <w:rsid w:val="0078794F"/>
    <w:rsid w:val="00790CD6"/>
    <w:rsid w:val="00790CDA"/>
    <w:rsid w:val="007913EA"/>
    <w:rsid w:val="00796276"/>
    <w:rsid w:val="00796E70"/>
    <w:rsid w:val="00796F9A"/>
    <w:rsid w:val="0079733F"/>
    <w:rsid w:val="007A3FDC"/>
    <w:rsid w:val="007A640B"/>
    <w:rsid w:val="007A6844"/>
    <w:rsid w:val="007B1DA9"/>
    <w:rsid w:val="007B3061"/>
    <w:rsid w:val="007B3218"/>
    <w:rsid w:val="007B3B39"/>
    <w:rsid w:val="007B6A0F"/>
    <w:rsid w:val="007B730B"/>
    <w:rsid w:val="007B7E81"/>
    <w:rsid w:val="007B7EB5"/>
    <w:rsid w:val="007C0A11"/>
    <w:rsid w:val="007C1352"/>
    <w:rsid w:val="007C2057"/>
    <w:rsid w:val="007C21C2"/>
    <w:rsid w:val="007C29DF"/>
    <w:rsid w:val="007C35EE"/>
    <w:rsid w:val="007C3972"/>
    <w:rsid w:val="007C3B44"/>
    <w:rsid w:val="007C4090"/>
    <w:rsid w:val="007C47D4"/>
    <w:rsid w:val="007C494C"/>
    <w:rsid w:val="007C50D7"/>
    <w:rsid w:val="007C603E"/>
    <w:rsid w:val="007C7F35"/>
    <w:rsid w:val="007D0C0A"/>
    <w:rsid w:val="007D2A26"/>
    <w:rsid w:val="007D32B8"/>
    <w:rsid w:val="007D4A96"/>
    <w:rsid w:val="007D7AC2"/>
    <w:rsid w:val="007D7C78"/>
    <w:rsid w:val="007E1DA5"/>
    <w:rsid w:val="007E362E"/>
    <w:rsid w:val="007E61ED"/>
    <w:rsid w:val="007E65C6"/>
    <w:rsid w:val="007E70A7"/>
    <w:rsid w:val="007E7740"/>
    <w:rsid w:val="007F0315"/>
    <w:rsid w:val="007F09AE"/>
    <w:rsid w:val="007F1E67"/>
    <w:rsid w:val="007F276C"/>
    <w:rsid w:val="007F3540"/>
    <w:rsid w:val="007F3C9F"/>
    <w:rsid w:val="007F4A34"/>
    <w:rsid w:val="00800315"/>
    <w:rsid w:val="00802C8D"/>
    <w:rsid w:val="008061DD"/>
    <w:rsid w:val="00806D0B"/>
    <w:rsid w:val="00814EE7"/>
    <w:rsid w:val="0081503E"/>
    <w:rsid w:val="00815C0C"/>
    <w:rsid w:val="00816225"/>
    <w:rsid w:val="0081790E"/>
    <w:rsid w:val="00817A38"/>
    <w:rsid w:val="00820D1B"/>
    <w:rsid w:val="008210A7"/>
    <w:rsid w:val="00821E6F"/>
    <w:rsid w:val="008222DE"/>
    <w:rsid w:val="00822EDC"/>
    <w:rsid w:val="008236D1"/>
    <w:rsid w:val="00823E1F"/>
    <w:rsid w:val="0083257F"/>
    <w:rsid w:val="008348FC"/>
    <w:rsid w:val="00834E38"/>
    <w:rsid w:val="00834E50"/>
    <w:rsid w:val="00834EE5"/>
    <w:rsid w:val="008351BA"/>
    <w:rsid w:val="00835345"/>
    <w:rsid w:val="00836845"/>
    <w:rsid w:val="008379FC"/>
    <w:rsid w:val="00841B82"/>
    <w:rsid w:val="00842583"/>
    <w:rsid w:val="008427B8"/>
    <w:rsid w:val="0084348B"/>
    <w:rsid w:val="0084349E"/>
    <w:rsid w:val="00843F89"/>
    <w:rsid w:val="00844FAB"/>
    <w:rsid w:val="00845A30"/>
    <w:rsid w:val="00846B52"/>
    <w:rsid w:val="00846CE5"/>
    <w:rsid w:val="008502CE"/>
    <w:rsid w:val="00850A42"/>
    <w:rsid w:val="0085100A"/>
    <w:rsid w:val="00851427"/>
    <w:rsid w:val="00851FCA"/>
    <w:rsid w:val="00854DE9"/>
    <w:rsid w:val="0085637F"/>
    <w:rsid w:val="008614E6"/>
    <w:rsid w:val="0086289E"/>
    <w:rsid w:val="00864025"/>
    <w:rsid w:val="0086442E"/>
    <w:rsid w:val="00865028"/>
    <w:rsid w:val="00865DF4"/>
    <w:rsid w:val="00866B54"/>
    <w:rsid w:val="0086790C"/>
    <w:rsid w:val="00867DC8"/>
    <w:rsid w:val="008706C2"/>
    <w:rsid w:val="00871943"/>
    <w:rsid w:val="008734EB"/>
    <w:rsid w:val="0087575B"/>
    <w:rsid w:val="00876879"/>
    <w:rsid w:val="0087702A"/>
    <w:rsid w:val="00877C97"/>
    <w:rsid w:val="00880936"/>
    <w:rsid w:val="008809A8"/>
    <w:rsid w:val="00880FEA"/>
    <w:rsid w:val="008820EC"/>
    <w:rsid w:val="00884359"/>
    <w:rsid w:val="0088505D"/>
    <w:rsid w:val="0088588A"/>
    <w:rsid w:val="00886430"/>
    <w:rsid w:val="008879C5"/>
    <w:rsid w:val="00890F96"/>
    <w:rsid w:val="0089261D"/>
    <w:rsid w:val="00892863"/>
    <w:rsid w:val="00892D72"/>
    <w:rsid w:val="00893ED3"/>
    <w:rsid w:val="0089753E"/>
    <w:rsid w:val="00897ED6"/>
    <w:rsid w:val="008A116A"/>
    <w:rsid w:val="008A12BD"/>
    <w:rsid w:val="008A14CF"/>
    <w:rsid w:val="008A23D0"/>
    <w:rsid w:val="008A2C93"/>
    <w:rsid w:val="008A3068"/>
    <w:rsid w:val="008A3076"/>
    <w:rsid w:val="008A34F4"/>
    <w:rsid w:val="008A5ED2"/>
    <w:rsid w:val="008A6CD7"/>
    <w:rsid w:val="008A7EF3"/>
    <w:rsid w:val="008B05BF"/>
    <w:rsid w:val="008B2D16"/>
    <w:rsid w:val="008B38DC"/>
    <w:rsid w:val="008B4ED7"/>
    <w:rsid w:val="008C0DBE"/>
    <w:rsid w:val="008C21A1"/>
    <w:rsid w:val="008C27D6"/>
    <w:rsid w:val="008C42C6"/>
    <w:rsid w:val="008C4606"/>
    <w:rsid w:val="008C64B2"/>
    <w:rsid w:val="008D0B76"/>
    <w:rsid w:val="008D2627"/>
    <w:rsid w:val="008D423A"/>
    <w:rsid w:val="008D7532"/>
    <w:rsid w:val="008D767D"/>
    <w:rsid w:val="008E0C73"/>
    <w:rsid w:val="008E13BF"/>
    <w:rsid w:val="008E252B"/>
    <w:rsid w:val="008E298A"/>
    <w:rsid w:val="008E4D9F"/>
    <w:rsid w:val="008E6441"/>
    <w:rsid w:val="008E715E"/>
    <w:rsid w:val="008E7395"/>
    <w:rsid w:val="008F1A88"/>
    <w:rsid w:val="008F2CC6"/>
    <w:rsid w:val="008F2DE2"/>
    <w:rsid w:val="008F3EBB"/>
    <w:rsid w:val="008F4C37"/>
    <w:rsid w:val="009001E6"/>
    <w:rsid w:val="00900991"/>
    <w:rsid w:val="00900BD2"/>
    <w:rsid w:val="00901468"/>
    <w:rsid w:val="00904417"/>
    <w:rsid w:val="00910739"/>
    <w:rsid w:val="00910958"/>
    <w:rsid w:val="00911C03"/>
    <w:rsid w:val="00911C2B"/>
    <w:rsid w:val="00911E9A"/>
    <w:rsid w:val="0091218A"/>
    <w:rsid w:val="00912CB6"/>
    <w:rsid w:val="00914565"/>
    <w:rsid w:val="009153D6"/>
    <w:rsid w:val="009161AD"/>
    <w:rsid w:val="0091664B"/>
    <w:rsid w:val="00920922"/>
    <w:rsid w:val="009210E8"/>
    <w:rsid w:val="009214E2"/>
    <w:rsid w:val="009219B6"/>
    <w:rsid w:val="0092314D"/>
    <w:rsid w:val="00924811"/>
    <w:rsid w:val="00924893"/>
    <w:rsid w:val="00924EA1"/>
    <w:rsid w:val="009269C2"/>
    <w:rsid w:val="00931630"/>
    <w:rsid w:val="00931A1C"/>
    <w:rsid w:val="0093378B"/>
    <w:rsid w:val="00936427"/>
    <w:rsid w:val="00940012"/>
    <w:rsid w:val="00940813"/>
    <w:rsid w:val="0094276D"/>
    <w:rsid w:val="00944EE1"/>
    <w:rsid w:val="009465E2"/>
    <w:rsid w:val="00947082"/>
    <w:rsid w:val="00950853"/>
    <w:rsid w:val="009509FF"/>
    <w:rsid w:val="00950A07"/>
    <w:rsid w:val="00950C1D"/>
    <w:rsid w:val="00950DF2"/>
    <w:rsid w:val="0095107B"/>
    <w:rsid w:val="009521CF"/>
    <w:rsid w:val="00953428"/>
    <w:rsid w:val="00955E2A"/>
    <w:rsid w:val="00956CDA"/>
    <w:rsid w:val="00960A82"/>
    <w:rsid w:val="009621B7"/>
    <w:rsid w:val="00962456"/>
    <w:rsid w:val="00963CEA"/>
    <w:rsid w:val="00964044"/>
    <w:rsid w:val="0096500D"/>
    <w:rsid w:val="0097486A"/>
    <w:rsid w:val="00974C6C"/>
    <w:rsid w:val="00975012"/>
    <w:rsid w:val="00975720"/>
    <w:rsid w:val="00975DB7"/>
    <w:rsid w:val="00975F3E"/>
    <w:rsid w:val="00976612"/>
    <w:rsid w:val="00977BB9"/>
    <w:rsid w:val="009813F3"/>
    <w:rsid w:val="00982E22"/>
    <w:rsid w:val="00986FEF"/>
    <w:rsid w:val="00987453"/>
    <w:rsid w:val="00987787"/>
    <w:rsid w:val="00990B08"/>
    <w:rsid w:val="00990E52"/>
    <w:rsid w:val="00992C0B"/>
    <w:rsid w:val="00993D09"/>
    <w:rsid w:val="00993E13"/>
    <w:rsid w:val="00994DA5"/>
    <w:rsid w:val="00995812"/>
    <w:rsid w:val="00995AEB"/>
    <w:rsid w:val="00995BD9"/>
    <w:rsid w:val="00995DE3"/>
    <w:rsid w:val="00995E58"/>
    <w:rsid w:val="00996170"/>
    <w:rsid w:val="00996286"/>
    <w:rsid w:val="0099659C"/>
    <w:rsid w:val="009973E5"/>
    <w:rsid w:val="009A178C"/>
    <w:rsid w:val="009A42FB"/>
    <w:rsid w:val="009A4799"/>
    <w:rsid w:val="009A56EF"/>
    <w:rsid w:val="009A5798"/>
    <w:rsid w:val="009A5B4D"/>
    <w:rsid w:val="009A6289"/>
    <w:rsid w:val="009A651F"/>
    <w:rsid w:val="009A6CB4"/>
    <w:rsid w:val="009A76A1"/>
    <w:rsid w:val="009A79BF"/>
    <w:rsid w:val="009B042D"/>
    <w:rsid w:val="009B24B3"/>
    <w:rsid w:val="009B27C4"/>
    <w:rsid w:val="009B2D07"/>
    <w:rsid w:val="009B2E40"/>
    <w:rsid w:val="009B42A6"/>
    <w:rsid w:val="009B5070"/>
    <w:rsid w:val="009B5153"/>
    <w:rsid w:val="009B677C"/>
    <w:rsid w:val="009C0B94"/>
    <w:rsid w:val="009C3540"/>
    <w:rsid w:val="009C416F"/>
    <w:rsid w:val="009C4B02"/>
    <w:rsid w:val="009C4B67"/>
    <w:rsid w:val="009C6FE1"/>
    <w:rsid w:val="009C71D4"/>
    <w:rsid w:val="009D01D4"/>
    <w:rsid w:val="009D175A"/>
    <w:rsid w:val="009D297F"/>
    <w:rsid w:val="009D2FF1"/>
    <w:rsid w:val="009D5833"/>
    <w:rsid w:val="009E1B05"/>
    <w:rsid w:val="009E2925"/>
    <w:rsid w:val="009E3E72"/>
    <w:rsid w:val="009E4D16"/>
    <w:rsid w:val="009E5458"/>
    <w:rsid w:val="009E5547"/>
    <w:rsid w:val="009E57E2"/>
    <w:rsid w:val="009E69B3"/>
    <w:rsid w:val="009E7A86"/>
    <w:rsid w:val="009E7C02"/>
    <w:rsid w:val="009E7CEB"/>
    <w:rsid w:val="009F3F52"/>
    <w:rsid w:val="009F48A3"/>
    <w:rsid w:val="009F5813"/>
    <w:rsid w:val="009F669B"/>
    <w:rsid w:val="009F7088"/>
    <w:rsid w:val="009F7ADC"/>
    <w:rsid w:val="00A00F78"/>
    <w:rsid w:val="00A02A1A"/>
    <w:rsid w:val="00A02F00"/>
    <w:rsid w:val="00A0319E"/>
    <w:rsid w:val="00A034A5"/>
    <w:rsid w:val="00A0443F"/>
    <w:rsid w:val="00A0511A"/>
    <w:rsid w:val="00A06F09"/>
    <w:rsid w:val="00A07979"/>
    <w:rsid w:val="00A110CF"/>
    <w:rsid w:val="00A122F5"/>
    <w:rsid w:val="00A143FA"/>
    <w:rsid w:val="00A15ACE"/>
    <w:rsid w:val="00A17FC9"/>
    <w:rsid w:val="00A20304"/>
    <w:rsid w:val="00A209EB"/>
    <w:rsid w:val="00A21194"/>
    <w:rsid w:val="00A232D8"/>
    <w:rsid w:val="00A238B4"/>
    <w:rsid w:val="00A23D1C"/>
    <w:rsid w:val="00A23E40"/>
    <w:rsid w:val="00A2479A"/>
    <w:rsid w:val="00A2598B"/>
    <w:rsid w:val="00A25C52"/>
    <w:rsid w:val="00A26DEE"/>
    <w:rsid w:val="00A271AB"/>
    <w:rsid w:val="00A272EF"/>
    <w:rsid w:val="00A27524"/>
    <w:rsid w:val="00A325F7"/>
    <w:rsid w:val="00A32EBF"/>
    <w:rsid w:val="00A32F07"/>
    <w:rsid w:val="00A33982"/>
    <w:rsid w:val="00A33EC6"/>
    <w:rsid w:val="00A35039"/>
    <w:rsid w:val="00A35B69"/>
    <w:rsid w:val="00A37038"/>
    <w:rsid w:val="00A37DEA"/>
    <w:rsid w:val="00A42700"/>
    <w:rsid w:val="00A436A8"/>
    <w:rsid w:val="00A4379F"/>
    <w:rsid w:val="00A43D51"/>
    <w:rsid w:val="00A45E51"/>
    <w:rsid w:val="00A46112"/>
    <w:rsid w:val="00A46507"/>
    <w:rsid w:val="00A467BD"/>
    <w:rsid w:val="00A46A73"/>
    <w:rsid w:val="00A50116"/>
    <w:rsid w:val="00A519A4"/>
    <w:rsid w:val="00A545B5"/>
    <w:rsid w:val="00A54ABB"/>
    <w:rsid w:val="00A554C0"/>
    <w:rsid w:val="00A5678A"/>
    <w:rsid w:val="00A56AAD"/>
    <w:rsid w:val="00A570A3"/>
    <w:rsid w:val="00A62957"/>
    <w:rsid w:val="00A62D0A"/>
    <w:rsid w:val="00A64A5B"/>
    <w:rsid w:val="00A64EF5"/>
    <w:rsid w:val="00A652AA"/>
    <w:rsid w:val="00A6604D"/>
    <w:rsid w:val="00A67531"/>
    <w:rsid w:val="00A704A1"/>
    <w:rsid w:val="00A70DE6"/>
    <w:rsid w:val="00A70E86"/>
    <w:rsid w:val="00A71579"/>
    <w:rsid w:val="00A71A58"/>
    <w:rsid w:val="00A71A9A"/>
    <w:rsid w:val="00A73868"/>
    <w:rsid w:val="00A73CDA"/>
    <w:rsid w:val="00A74138"/>
    <w:rsid w:val="00A7517D"/>
    <w:rsid w:val="00A75419"/>
    <w:rsid w:val="00A76D7F"/>
    <w:rsid w:val="00A770BF"/>
    <w:rsid w:val="00A77894"/>
    <w:rsid w:val="00A80A5B"/>
    <w:rsid w:val="00A82B13"/>
    <w:rsid w:val="00A82C56"/>
    <w:rsid w:val="00A83A39"/>
    <w:rsid w:val="00A841DA"/>
    <w:rsid w:val="00A84E72"/>
    <w:rsid w:val="00A8702B"/>
    <w:rsid w:val="00A8704A"/>
    <w:rsid w:val="00A904D9"/>
    <w:rsid w:val="00A92C21"/>
    <w:rsid w:val="00A93826"/>
    <w:rsid w:val="00A93D5C"/>
    <w:rsid w:val="00A96707"/>
    <w:rsid w:val="00A96DE7"/>
    <w:rsid w:val="00A97723"/>
    <w:rsid w:val="00A978E8"/>
    <w:rsid w:val="00AA3D20"/>
    <w:rsid w:val="00AA4F05"/>
    <w:rsid w:val="00AA5F1E"/>
    <w:rsid w:val="00AA5FA4"/>
    <w:rsid w:val="00AA70EF"/>
    <w:rsid w:val="00AB07D3"/>
    <w:rsid w:val="00AB1EC9"/>
    <w:rsid w:val="00AB1EDA"/>
    <w:rsid w:val="00AB33F4"/>
    <w:rsid w:val="00AB362D"/>
    <w:rsid w:val="00AB3CF6"/>
    <w:rsid w:val="00AB4B1D"/>
    <w:rsid w:val="00AB5F62"/>
    <w:rsid w:val="00AB7D21"/>
    <w:rsid w:val="00AC0C96"/>
    <w:rsid w:val="00AC11C2"/>
    <w:rsid w:val="00AC11C6"/>
    <w:rsid w:val="00AC1650"/>
    <w:rsid w:val="00AC38EB"/>
    <w:rsid w:val="00AC44AC"/>
    <w:rsid w:val="00AC6A07"/>
    <w:rsid w:val="00AC740F"/>
    <w:rsid w:val="00AC7CA4"/>
    <w:rsid w:val="00AD0441"/>
    <w:rsid w:val="00AD0B51"/>
    <w:rsid w:val="00AD11D6"/>
    <w:rsid w:val="00AD17A8"/>
    <w:rsid w:val="00AD4FC0"/>
    <w:rsid w:val="00AD53C7"/>
    <w:rsid w:val="00AD5CA6"/>
    <w:rsid w:val="00AD6454"/>
    <w:rsid w:val="00AD66A4"/>
    <w:rsid w:val="00AD71B4"/>
    <w:rsid w:val="00AD7F5D"/>
    <w:rsid w:val="00AD7F66"/>
    <w:rsid w:val="00AE087D"/>
    <w:rsid w:val="00AE26F1"/>
    <w:rsid w:val="00AE2EA2"/>
    <w:rsid w:val="00AE33A5"/>
    <w:rsid w:val="00AE5368"/>
    <w:rsid w:val="00AE5822"/>
    <w:rsid w:val="00AE590F"/>
    <w:rsid w:val="00AE7AE4"/>
    <w:rsid w:val="00AF11F8"/>
    <w:rsid w:val="00AF22FA"/>
    <w:rsid w:val="00AF3DF8"/>
    <w:rsid w:val="00AF4A54"/>
    <w:rsid w:val="00AF634C"/>
    <w:rsid w:val="00AF6EA1"/>
    <w:rsid w:val="00AF7E21"/>
    <w:rsid w:val="00B00068"/>
    <w:rsid w:val="00B00405"/>
    <w:rsid w:val="00B0128F"/>
    <w:rsid w:val="00B01435"/>
    <w:rsid w:val="00B02D12"/>
    <w:rsid w:val="00B02DB2"/>
    <w:rsid w:val="00B04C25"/>
    <w:rsid w:val="00B068EB"/>
    <w:rsid w:val="00B10CA1"/>
    <w:rsid w:val="00B12513"/>
    <w:rsid w:val="00B14389"/>
    <w:rsid w:val="00B156CB"/>
    <w:rsid w:val="00B171E1"/>
    <w:rsid w:val="00B172F1"/>
    <w:rsid w:val="00B235D1"/>
    <w:rsid w:val="00B251D5"/>
    <w:rsid w:val="00B25280"/>
    <w:rsid w:val="00B262E1"/>
    <w:rsid w:val="00B26F23"/>
    <w:rsid w:val="00B275D6"/>
    <w:rsid w:val="00B2765D"/>
    <w:rsid w:val="00B318AB"/>
    <w:rsid w:val="00B33EE5"/>
    <w:rsid w:val="00B35525"/>
    <w:rsid w:val="00B35F45"/>
    <w:rsid w:val="00B363CB"/>
    <w:rsid w:val="00B41339"/>
    <w:rsid w:val="00B41A3A"/>
    <w:rsid w:val="00B4391C"/>
    <w:rsid w:val="00B450CD"/>
    <w:rsid w:val="00B4551B"/>
    <w:rsid w:val="00B45FF3"/>
    <w:rsid w:val="00B46D3D"/>
    <w:rsid w:val="00B508E4"/>
    <w:rsid w:val="00B50C9F"/>
    <w:rsid w:val="00B51F0A"/>
    <w:rsid w:val="00B52F7E"/>
    <w:rsid w:val="00B5362F"/>
    <w:rsid w:val="00B54D2E"/>
    <w:rsid w:val="00B5545A"/>
    <w:rsid w:val="00B55B61"/>
    <w:rsid w:val="00B56B6F"/>
    <w:rsid w:val="00B61E92"/>
    <w:rsid w:val="00B62C8C"/>
    <w:rsid w:val="00B64025"/>
    <w:rsid w:val="00B6429B"/>
    <w:rsid w:val="00B65539"/>
    <w:rsid w:val="00B67367"/>
    <w:rsid w:val="00B70328"/>
    <w:rsid w:val="00B730B9"/>
    <w:rsid w:val="00B737AB"/>
    <w:rsid w:val="00B73C52"/>
    <w:rsid w:val="00B75612"/>
    <w:rsid w:val="00B76261"/>
    <w:rsid w:val="00B82CC5"/>
    <w:rsid w:val="00B833A2"/>
    <w:rsid w:val="00B836B6"/>
    <w:rsid w:val="00B84435"/>
    <w:rsid w:val="00B86487"/>
    <w:rsid w:val="00B866C5"/>
    <w:rsid w:val="00B86A42"/>
    <w:rsid w:val="00B87A4A"/>
    <w:rsid w:val="00B90700"/>
    <w:rsid w:val="00B9314A"/>
    <w:rsid w:val="00B93639"/>
    <w:rsid w:val="00B95F0C"/>
    <w:rsid w:val="00B966D7"/>
    <w:rsid w:val="00B96C65"/>
    <w:rsid w:val="00B97E8B"/>
    <w:rsid w:val="00BA0076"/>
    <w:rsid w:val="00BA0079"/>
    <w:rsid w:val="00BA04AC"/>
    <w:rsid w:val="00BA4D96"/>
    <w:rsid w:val="00BA6DF5"/>
    <w:rsid w:val="00BA736F"/>
    <w:rsid w:val="00BB078B"/>
    <w:rsid w:val="00BB08AD"/>
    <w:rsid w:val="00BB0A88"/>
    <w:rsid w:val="00BB0DD6"/>
    <w:rsid w:val="00BB0F97"/>
    <w:rsid w:val="00BB1249"/>
    <w:rsid w:val="00BB269D"/>
    <w:rsid w:val="00BB3126"/>
    <w:rsid w:val="00BB31E4"/>
    <w:rsid w:val="00BB4B62"/>
    <w:rsid w:val="00BB668E"/>
    <w:rsid w:val="00BB6B53"/>
    <w:rsid w:val="00BB79AE"/>
    <w:rsid w:val="00BC02EE"/>
    <w:rsid w:val="00BC1933"/>
    <w:rsid w:val="00BC198B"/>
    <w:rsid w:val="00BC2B58"/>
    <w:rsid w:val="00BC354A"/>
    <w:rsid w:val="00BC40E8"/>
    <w:rsid w:val="00BC410C"/>
    <w:rsid w:val="00BC44E0"/>
    <w:rsid w:val="00BC48AC"/>
    <w:rsid w:val="00BC5FD0"/>
    <w:rsid w:val="00BC60A1"/>
    <w:rsid w:val="00BC68F5"/>
    <w:rsid w:val="00BC6D20"/>
    <w:rsid w:val="00BD03DB"/>
    <w:rsid w:val="00BD0894"/>
    <w:rsid w:val="00BD21A2"/>
    <w:rsid w:val="00BD2EE0"/>
    <w:rsid w:val="00BD35D2"/>
    <w:rsid w:val="00BD3D4E"/>
    <w:rsid w:val="00BD4AAA"/>
    <w:rsid w:val="00BD5048"/>
    <w:rsid w:val="00BD67B1"/>
    <w:rsid w:val="00BD702F"/>
    <w:rsid w:val="00BD7BB3"/>
    <w:rsid w:val="00BE0A55"/>
    <w:rsid w:val="00BE381E"/>
    <w:rsid w:val="00BE3BA2"/>
    <w:rsid w:val="00BE79DE"/>
    <w:rsid w:val="00BF1357"/>
    <w:rsid w:val="00BF1F5D"/>
    <w:rsid w:val="00BF2ACB"/>
    <w:rsid w:val="00BF36A6"/>
    <w:rsid w:val="00BF3DD2"/>
    <w:rsid w:val="00BF44C7"/>
    <w:rsid w:val="00BF4B82"/>
    <w:rsid w:val="00BF59C3"/>
    <w:rsid w:val="00BF615E"/>
    <w:rsid w:val="00BF65F9"/>
    <w:rsid w:val="00BF6BE0"/>
    <w:rsid w:val="00BF6E3B"/>
    <w:rsid w:val="00C018AC"/>
    <w:rsid w:val="00C018AF"/>
    <w:rsid w:val="00C01B67"/>
    <w:rsid w:val="00C02383"/>
    <w:rsid w:val="00C0350E"/>
    <w:rsid w:val="00C046ED"/>
    <w:rsid w:val="00C051D4"/>
    <w:rsid w:val="00C1341B"/>
    <w:rsid w:val="00C17469"/>
    <w:rsid w:val="00C1751F"/>
    <w:rsid w:val="00C1783A"/>
    <w:rsid w:val="00C20342"/>
    <w:rsid w:val="00C20B8C"/>
    <w:rsid w:val="00C21972"/>
    <w:rsid w:val="00C24898"/>
    <w:rsid w:val="00C2504B"/>
    <w:rsid w:val="00C25A5A"/>
    <w:rsid w:val="00C25CD8"/>
    <w:rsid w:val="00C26F7E"/>
    <w:rsid w:val="00C30705"/>
    <w:rsid w:val="00C31031"/>
    <w:rsid w:val="00C3151A"/>
    <w:rsid w:val="00C335D8"/>
    <w:rsid w:val="00C37075"/>
    <w:rsid w:val="00C40C53"/>
    <w:rsid w:val="00C40F0A"/>
    <w:rsid w:val="00C41629"/>
    <w:rsid w:val="00C41E44"/>
    <w:rsid w:val="00C431EE"/>
    <w:rsid w:val="00C43CA0"/>
    <w:rsid w:val="00C44273"/>
    <w:rsid w:val="00C455ED"/>
    <w:rsid w:val="00C4675E"/>
    <w:rsid w:val="00C5019A"/>
    <w:rsid w:val="00C516FD"/>
    <w:rsid w:val="00C54211"/>
    <w:rsid w:val="00C546E4"/>
    <w:rsid w:val="00C54A33"/>
    <w:rsid w:val="00C57F47"/>
    <w:rsid w:val="00C63BB4"/>
    <w:rsid w:val="00C646B5"/>
    <w:rsid w:val="00C6598D"/>
    <w:rsid w:val="00C705D3"/>
    <w:rsid w:val="00C71575"/>
    <w:rsid w:val="00C7499C"/>
    <w:rsid w:val="00C749E4"/>
    <w:rsid w:val="00C7549A"/>
    <w:rsid w:val="00C77043"/>
    <w:rsid w:val="00C80169"/>
    <w:rsid w:val="00C809C1"/>
    <w:rsid w:val="00C831E4"/>
    <w:rsid w:val="00C836AA"/>
    <w:rsid w:val="00C84C2C"/>
    <w:rsid w:val="00C85729"/>
    <w:rsid w:val="00C85A21"/>
    <w:rsid w:val="00C86634"/>
    <w:rsid w:val="00C86677"/>
    <w:rsid w:val="00C874D9"/>
    <w:rsid w:val="00C87516"/>
    <w:rsid w:val="00C87E49"/>
    <w:rsid w:val="00C937B5"/>
    <w:rsid w:val="00C93B03"/>
    <w:rsid w:val="00C93D97"/>
    <w:rsid w:val="00C95BF9"/>
    <w:rsid w:val="00C961EB"/>
    <w:rsid w:val="00C96760"/>
    <w:rsid w:val="00C9780D"/>
    <w:rsid w:val="00C97C8B"/>
    <w:rsid w:val="00CA11D8"/>
    <w:rsid w:val="00CA199D"/>
    <w:rsid w:val="00CA36D4"/>
    <w:rsid w:val="00CA3BBF"/>
    <w:rsid w:val="00CA3EE2"/>
    <w:rsid w:val="00CA41F7"/>
    <w:rsid w:val="00CA4343"/>
    <w:rsid w:val="00CB0163"/>
    <w:rsid w:val="00CB32A2"/>
    <w:rsid w:val="00CB32BF"/>
    <w:rsid w:val="00CB3478"/>
    <w:rsid w:val="00CB36D5"/>
    <w:rsid w:val="00CB3811"/>
    <w:rsid w:val="00CB682D"/>
    <w:rsid w:val="00CC1FBA"/>
    <w:rsid w:val="00CC300F"/>
    <w:rsid w:val="00CC32D2"/>
    <w:rsid w:val="00CC3B4E"/>
    <w:rsid w:val="00CC3C1F"/>
    <w:rsid w:val="00CC4392"/>
    <w:rsid w:val="00CC4CC5"/>
    <w:rsid w:val="00CC4D58"/>
    <w:rsid w:val="00CC53D6"/>
    <w:rsid w:val="00CC590E"/>
    <w:rsid w:val="00CC5D36"/>
    <w:rsid w:val="00CC5ED3"/>
    <w:rsid w:val="00CC6298"/>
    <w:rsid w:val="00CD0094"/>
    <w:rsid w:val="00CD01F9"/>
    <w:rsid w:val="00CD0EFA"/>
    <w:rsid w:val="00CD0F10"/>
    <w:rsid w:val="00CD173E"/>
    <w:rsid w:val="00CD276C"/>
    <w:rsid w:val="00CD2865"/>
    <w:rsid w:val="00CD5AE0"/>
    <w:rsid w:val="00CD7409"/>
    <w:rsid w:val="00CD7CCD"/>
    <w:rsid w:val="00CE15AD"/>
    <w:rsid w:val="00CE1B91"/>
    <w:rsid w:val="00CE2BCD"/>
    <w:rsid w:val="00CF0257"/>
    <w:rsid w:val="00CF0D3E"/>
    <w:rsid w:val="00CF1574"/>
    <w:rsid w:val="00CF3DC0"/>
    <w:rsid w:val="00CF550B"/>
    <w:rsid w:val="00CF6C41"/>
    <w:rsid w:val="00CF73F2"/>
    <w:rsid w:val="00CF7C33"/>
    <w:rsid w:val="00D036C9"/>
    <w:rsid w:val="00D04C3B"/>
    <w:rsid w:val="00D04DD5"/>
    <w:rsid w:val="00D06D32"/>
    <w:rsid w:val="00D10BF6"/>
    <w:rsid w:val="00D112C5"/>
    <w:rsid w:val="00D13F74"/>
    <w:rsid w:val="00D142B7"/>
    <w:rsid w:val="00D15715"/>
    <w:rsid w:val="00D163C7"/>
    <w:rsid w:val="00D1738F"/>
    <w:rsid w:val="00D17D24"/>
    <w:rsid w:val="00D20A4F"/>
    <w:rsid w:val="00D20A6A"/>
    <w:rsid w:val="00D214EE"/>
    <w:rsid w:val="00D223EF"/>
    <w:rsid w:val="00D2354A"/>
    <w:rsid w:val="00D240B8"/>
    <w:rsid w:val="00D26885"/>
    <w:rsid w:val="00D26F78"/>
    <w:rsid w:val="00D2756B"/>
    <w:rsid w:val="00D27CA1"/>
    <w:rsid w:val="00D309C9"/>
    <w:rsid w:val="00D31837"/>
    <w:rsid w:val="00D330D5"/>
    <w:rsid w:val="00D335C1"/>
    <w:rsid w:val="00D33A97"/>
    <w:rsid w:val="00D3472E"/>
    <w:rsid w:val="00D366B0"/>
    <w:rsid w:val="00D36F8A"/>
    <w:rsid w:val="00D37444"/>
    <w:rsid w:val="00D406B3"/>
    <w:rsid w:val="00D40E41"/>
    <w:rsid w:val="00D40E8C"/>
    <w:rsid w:val="00D40E99"/>
    <w:rsid w:val="00D416B4"/>
    <w:rsid w:val="00D41890"/>
    <w:rsid w:val="00D4296B"/>
    <w:rsid w:val="00D43E93"/>
    <w:rsid w:val="00D44DCD"/>
    <w:rsid w:val="00D4551A"/>
    <w:rsid w:val="00D475E4"/>
    <w:rsid w:val="00D501C6"/>
    <w:rsid w:val="00D505FB"/>
    <w:rsid w:val="00D50864"/>
    <w:rsid w:val="00D51B08"/>
    <w:rsid w:val="00D529E0"/>
    <w:rsid w:val="00D531F9"/>
    <w:rsid w:val="00D53A8F"/>
    <w:rsid w:val="00D54205"/>
    <w:rsid w:val="00D55F7E"/>
    <w:rsid w:val="00D600AB"/>
    <w:rsid w:val="00D616B2"/>
    <w:rsid w:val="00D624F3"/>
    <w:rsid w:val="00D62793"/>
    <w:rsid w:val="00D62983"/>
    <w:rsid w:val="00D62B02"/>
    <w:rsid w:val="00D63230"/>
    <w:rsid w:val="00D63242"/>
    <w:rsid w:val="00D64D83"/>
    <w:rsid w:val="00D64F8A"/>
    <w:rsid w:val="00D65FE3"/>
    <w:rsid w:val="00D66CE4"/>
    <w:rsid w:val="00D66E26"/>
    <w:rsid w:val="00D67E46"/>
    <w:rsid w:val="00D7019D"/>
    <w:rsid w:val="00D729A8"/>
    <w:rsid w:val="00D73A65"/>
    <w:rsid w:val="00D73AE0"/>
    <w:rsid w:val="00D7505F"/>
    <w:rsid w:val="00D75789"/>
    <w:rsid w:val="00D76C32"/>
    <w:rsid w:val="00D80189"/>
    <w:rsid w:val="00D806D0"/>
    <w:rsid w:val="00D8189C"/>
    <w:rsid w:val="00D82E53"/>
    <w:rsid w:val="00D844E3"/>
    <w:rsid w:val="00D8491C"/>
    <w:rsid w:val="00D87C7A"/>
    <w:rsid w:val="00D87EC8"/>
    <w:rsid w:val="00D9472A"/>
    <w:rsid w:val="00D948A6"/>
    <w:rsid w:val="00D95612"/>
    <w:rsid w:val="00D97279"/>
    <w:rsid w:val="00D972EF"/>
    <w:rsid w:val="00D9777D"/>
    <w:rsid w:val="00D97F2C"/>
    <w:rsid w:val="00DA12CC"/>
    <w:rsid w:val="00DA14DC"/>
    <w:rsid w:val="00DA1CB2"/>
    <w:rsid w:val="00DA2A4A"/>
    <w:rsid w:val="00DA3194"/>
    <w:rsid w:val="00DA5033"/>
    <w:rsid w:val="00DA5F18"/>
    <w:rsid w:val="00DA7EF2"/>
    <w:rsid w:val="00DB1A31"/>
    <w:rsid w:val="00DB1C1B"/>
    <w:rsid w:val="00DB2506"/>
    <w:rsid w:val="00DB2C4E"/>
    <w:rsid w:val="00DB2E93"/>
    <w:rsid w:val="00DB3770"/>
    <w:rsid w:val="00DB4688"/>
    <w:rsid w:val="00DB51DA"/>
    <w:rsid w:val="00DB56D4"/>
    <w:rsid w:val="00DB74E0"/>
    <w:rsid w:val="00DB7A08"/>
    <w:rsid w:val="00DC0131"/>
    <w:rsid w:val="00DC0290"/>
    <w:rsid w:val="00DC02D0"/>
    <w:rsid w:val="00DC15C0"/>
    <w:rsid w:val="00DC2B10"/>
    <w:rsid w:val="00DC493D"/>
    <w:rsid w:val="00DC5A81"/>
    <w:rsid w:val="00DC5F18"/>
    <w:rsid w:val="00DC7090"/>
    <w:rsid w:val="00DC794C"/>
    <w:rsid w:val="00DC7E1D"/>
    <w:rsid w:val="00DD0CE5"/>
    <w:rsid w:val="00DD232E"/>
    <w:rsid w:val="00DD5111"/>
    <w:rsid w:val="00DD61A9"/>
    <w:rsid w:val="00DD65E2"/>
    <w:rsid w:val="00DD76EE"/>
    <w:rsid w:val="00DD7FFB"/>
    <w:rsid w:val="00DE08E6"/>
    <w:rsid w:val="00DE0F85"/>
    <w:rsid w:val="00DE12CD"/>
    <w:rsid w:val="00DE364B"/>
    <w:rsid w:val="00DE4636"/>
    <w:rsid w:val="00DE571D"/>
    <w:rsid w:val="00DE580F"/>
    <w:rsid w:val="00DE5C5C"/>
    <w:rsid w:val="00DE7123"/>
    <w:rsid w:val="00DE7CB0"/>
    <w:rsid w:val="00DF14DF"/>
    <w:rsid w:val="00DF2115"/>
    <w:rsid w:val="00DF3E2A"/>
    <w:rsid w:val="00DF5524"/>
    <w:rsid w:val="00DF557A"/>
    <w:rsid w:val="00DF6C91"/>
    <w:rsid w:val="00DF6FA2"/>
    <w:rsid w:val="00DF71CF"/>
    <w:rsid w:val="00DF76B7"/>
    <w:rsid w:val="00DF7AFE"/>
    <w:rsid w:val="00E0070F"/>
    <w:rsid w:val="00E01212"/>
    <w:rsid w:val="00E01574"/>
    <w:rsid w:val="00E01652"/>
    <w:rsid w:val="00E0291D"/>
    <w:rsid w:val="00E03AEC"/>
    <w:rsid w:val="00E03B42"/>
    <w:rsid w:val="00E03DEF"/>
    <w:rsid w:val="00E04A71"/>
    <w:rsid w:val="00E04F97"/>
    <w:rsid w:val="00E064B2"/>
    <w:rsid w:val="00E06852"/>
    <w:rsid w:val="00E104BC"/>
    <w:rsid w:val="00E13828"/>
    <w:rsid w:val="00E1568B"/>
    <w:rsid w:val="00E1568F"/>
    <w:rsid w:val="00E17EB5"/>
    <w:rsid w:val="00E17F01"/>
    <w:rsid w:val="00E20FE6"/>
    <w:rsid w:val="00E2456A"/>
    <w:rsid w:val="00E273A0"/>
    <w:rsid w:val="00E300ED"/>
    <w:rsid w:val="00E3070B"/>
    <w:rsid w:val="00E32A94"/>
    <w:rsid w:val="00E32E4D"/>
    <w:rsid w:val="00E3321E"/>
    <w:rsid w:val="00E3390E"/>
    <w:rsid w:val="00E33F71"/>
    <w:rsid w:val="00E343B1"/>
    <w:rsid w:val="00E34EDD"/>
    <w:rsid w:val="00E35D64"/>
    <w:rsid w:val="00E3705E"/>
    <w:rsid w:val="00E37783"/>
    <w:rsid w:val="00E37829"/>
    <w:rsid w:val="00E37BED"/>
    <w:rsid w:val="00E37E7A"/>
    <w:rsid w:val="00E4328A"/>
    <w:rsid w:val="00E436F1"/>
    <w:rsid w:val="00E442CB"/>
    <w:rsid w:val="00E45235"/>
    <w:rsid w:val="00E45687"/>
    <w:rsid w:val="00E46771"/>
    <w:rsid w:val="00E51B2D"/>
    <w:rsid w:val="00E52F93"/>
    <w:rsid w:val="00E541EB"/>
    <w:rsid w:val="00E542B7"/>
    <w:rsid w:val="00E5607E"/>
    <w:rsid w:val="00E560B5"/>
    <w:rsid w:val="00E57BB4"/>
    <w:rsid w:val="00E60F28"/>
    <w:rsid w:val="00E64789"/>
    <w:rsid w:val="00E6498D"/>
    <w:rsid w:val="00E650E3"/>
    <w:rsid w:val="00E7064A"/>
    <w:rsid w:val="00E70863"/>
    <w:rsid w:val="00E73B94"/>
    <w:rsid w:val="00E75382"/>
    <w:rsid w:val="00E75BD8"/>
    <w:rsid w:val="00E76464"/>
    <w:rsid w:val="00E800E8"/>
    <w:rsid w:val="00E80988"/>
    <w:rsid w:val="00E82C40"/>
    <w:rsid w:val="00E855AB"/>
    <w:rsid w:val="00E87355"/>
    <w:rsid w:val="00E913E4"/>
    <w:rsid w:val="00E91F2D"/>
    <w:rsid w:val="00E92A9D"/>
    <w:rsid w:val="00E932D1"/>
    <w:rsid w:val="00E93EF7"/>
    <w:rsid w:val="00E94A92"/>
    <w:rsid w:val="00E94D2A"/>
    <w:rsid w:val="00E95C25"/>
    <w:rsid w:val="00E960AE"/>
    <w:rsid w:val="00E9646F"/>
    <w:rsid w:val="00E96CF0"/>
    <w:rsid w:val="00E97628"/>
    <w:rsid w:val="00EA17A2"/>
    <w:rsid w:val="00EA188F"/>
    <w:rsid w:val="00EA21CE"/>
    <w:rsid w:val="00EA285A"/>
    <w:rsid w:val="00EA410A"/>
    <w:rsid w:val="00EA43E5"/>
    <w:rsid w:val="00EA4A4E"/>
    <w:rsid w:val="00EA58FA"/>
    <w:rsid w:val="00EA5ED3"/>
    <w:rsid w:val="00EA668C"/>
    <w:rsid w:val="00EB2E67"/>
    <w:rsid w:val="00EB3CE2"/>
    <w:rsid w:val="00EB3DA6"/>
    <w:rsid w:val="00EB461D"/>
    <w:rsid w:val="00EB46D9"/>
    <w:rsid w:val="00EB476D"/>
    <w:rsid w:val="00EB57EA"/>
    <w:rsid w:val="00EB7ADF"/>
    <w:rsid w:val="00EC0BE7"/>
    <w:rsid w:val="00EC1147"/>
    <w:rsid w:val="00EC1501"/>
    <w:rsid w:val="00EC1A07"/>
    <w:rsid w:val="00EC24B6"/>
    <w:rsid w:val="00EC2E4A"/>
    <w:rsid w:val="00EC38ED"/>
    <w:rsid w:val="00EC5604"/>
    <w:rsid w:val="00EC57FE"/>
    <w:rsid w:val="00EC6634"/>
    <w:rsid w:val="00EC693B"/>
    <w:rsid w:val="00EC7A8E"/>
    <w:rsid w:val="00ED0518"/>
    <w:rsid w:val="00ED062F"/>
    <w:rsid w:val="00ED08A7"/>
    <w:rsid w:val="00ED2018"/>
    <w:rsid w:val="00ED39D0"/>
    <w:rsid w:val="00ED3C8B"/>
    <w:rsid w:val="00ED4809"/>
    <w:rsid w:val="00ED4DF6"/>
    <w:rsid w:val="00ED72BB"/>
    <w:rsid w:val="00ED7A86"/>
    <w:rsid w:val="00ED7DC4"/>
    <w:rsid w:val="00EE40BF"/>
    <w:rsid w:val="00EE51B5"/>
    <w:rsid w:val="00EE62BE"/>
    <w:rsid w:val="00EE7AA7"/>
    <w:rsid w:val="00EF0F48"/>
    <w:rsid w:val="00EF16AD"/>
    <w:rsid w:val="00EF2F0A"/>
    <w:rsid w:val="00EF3512"/>
    <w:rsid w:val="00EF376F"/>
    <w:rsid w:val="00EF5741"/>
    <w:rsid w:val="00EF6B57"/>
    <w:rsid w:val="00EF717E"/>
    <w:rsid w:val="00F00A4C"/>
    <w:rsid w:val="00F01167"/>
    <w:rsid w:val="00F02D7E"/>
    <w:rsid w:val="00F036B1"/>
    <w:rsid w:val="00F0396F"/>
    <w:rsid w:val="00F0485C"/>
    <w:rsid w:val="00F04A7F"/>
    <w:rsid w:val="00F057F2"/>
    <w:rsid w:val="00F06C12"/>
    <w:rsid w:val="00F0772F"/>
    <w:rsid w:val="00F10774"/>
    <w:rsid w:val="00F13BC6"/>
    <w:rsid w:val="00F1441F"/>
    <w:rsid w:val="00F144B5"/>
    <w:rsid w:val="00F154B3"/>
    <w:rsid w:val="00F16566"/>
    <w:rsid w:val="00F16FD3"/>
    <w:rsid w:val="00F224E5"/>
    <w:rsid w:val="00F225BD"/>
    <w:rsid w:val="00F22D18"/>
    <w:rsid w:val="00F23DD7"/>
    <w:rsid w:val="00F24187"/>
    <w:rsid w:val="00F243D3"/>
    <w:rsid w:val="00F24BDD"/>
    <w:rsid w:val="00F2582E"/>
    <w:rsid w:val="00F259FA"/>
    <w:rsid w:val="00F26418"/>
    <w:rsid w:val="00F27B8C"/>
    <w:rsid w:val="00F301DA"/>
    <w:rsid w:val="00F30B4C"/>
    <w:rsid w:val="00F32FD0"/>
    <w:rsid w:val="00F3360D"/>
    <w:rsid w:val="00F35CDB"/>
    <w:rsid w:val="00F36A6D"/>
    <w:rsid w:val="00F37394"/>
    <w:rsid w:val="00F376D1"/>
    <w:rsid w:val="00F413A4"/>
    <w:rsid w:val="00F41540"/>
    <w:rsid w:val="00F421D1"/>
    <w:rsid w:val="00F42555"/>
    <w:rsid w:val="00F43478"/>
    <w:rsid w:val="00F43ACC"/>
    <w:rsid w:val="00F45824"/>
    <w:rsid w:val="00F45B4D"/>
    <w:rsid w:val="00F46229"/>
    <w:rsid w:val="00F5118C"/>
    <w:rsid w:val="00F528EC"/>
    <w:rsid w:val="00F53202"/>
    <w:rsid w:val="00F532EA"/>
    <w:rsid w:val="00F53629"/>
    <w:rsid w:val="00F55D4D"/>
    <w:rsid w:val="00F569E5"/>
    <w:rsid w:val="00F5707E"/>
    <w:rsid w:val="00F6020E"/>
    <w:rsid w:val="00F6085F"/>
    <w:rsid w:val="00F64D1A"/>
    <w:rsid w:val="00F67ABF"/>
    <w:rsid w:val="00F713AF"/>
    <w:rsid w:val="00F72AA5"/>
    <w:rsid w:val="00F731D7"/>
    <w:rsid w:val="00F73B6E"/>
    <w:rsid w:val="00F75EDD"/>
    <w:rsid w:val="00F77534"/>
    <w:rsid w:val="00F821F8"/>
    <w:rsid w:val="00F86F95"/>
    <w:rsid w:val="00F90007"/>
    <w:rsid w:val="00F905FF"/>
    <w:rsid w:val="00F90FFC"/>
    <w:rsid w:val="00F91B32"/>
    <w:rsid w:val="00F9278F"/>
    <w:rsid w:val="00F92E67"/>
    <w:rsid w:val="00F93036"/>
    <w:rsid w:val="00F933FD"/>
    <w:rsid w:val="00F93950"/>
    <w:rsid w:val="00FA0AC0"/>
    <w:rsid w:val="00FA0D85"/>
    <w:rsid w:val="00FA10FC"/>
    <w:rsid w:val="00FA1B6B"/>
    <w:rsid w:val="00FA2D41"/>
    <w:rsid w:val="00FA5BD0"/>
    <w:rsid w:val="00FA60E7"/>
    <w:rsid w:val="00FA6C81"/>
    <w:rsid w:val="00FA6D2D"/>
    <w:rsid w:val="00FB111A"/>
    <w:rsid w:val="00FB146A"/>
    <w:rsid w:val="00FB16F9"/>
    <w:rsid w:val="00FB41BE"/>
    <w:rsid w:val="00FB4369"/>
    <w:rsid w:val="00FB541A"/>
    <w:rsid w:val="00FB6A07"/>
    <w:rsid w:val="00FB6ABE"/>
    <w:rsid w:val="00FB79B2"/>
    <w:rsid w:val="00FC016E"/>
    <w:rsid w:val="00FC062D"/>
    <w:rsid w:val="00FC15D2"/>
    <w:rsid w:val="00FC2230"/>
    <w:rsid w:val="00FC3614"/>
    <w:rsid w:val="00FC649A"/>
    <w:rsid w:val="00FC7122"/>
    <w:rsid w:val="00FC7578"/>
    <w:rsid w:val="00FD1C98"/>
    <w:rsid w:val="00FD20B1"/>
    <w:rsid w:val="00FD23AB"/>
    <w:rsid w:val="00FD32A6"/>
    <w:rsid w:val="00FD3474"/>
    <w:rsid w:val="00FD5159"/>
    <w:rsid w:val="00FD51BD"/>
    <w:rsid w:val="00FD642E"/>
    <w:rsid w:val="00FD6C15"/>
    <w:rsid w:val="00FD76DB"/>
    <w:rsid w:val="00FE09DF"/>
    <w:rsid w:val="00FE0CE3"/>
    <w:rsid w:val="00FE1167"/>
    <w:rsid w:val="00FE203F"/>
    <w:rsid w:val="00FE2EAD"/>
    <w:rsid w:val="00FE3AAB"/>
    <w:rsid w:val="00FE3D08"/>
    <w:rsid w:val="00FE446F"/>
    <w:rsid w:val="00FE5739"/>
    <w:rsid w:val="00FE683A"/>
    <w:rsid w:val="00FE6F63"/>
    <w:rsid w:val="00FE7358"/>
    <w:rsid w:val="00FF0BD7"/>
    <w:rsid w:val="00FF0C8F"/>
    <w:rsid w:val="00FF0E57"/>
    <w:rsid w:val="00FF16BD"/>
    <w:rsid w:val="00FF182D"/>
    <w:rsid w:val="00FF190B"/>
    <w:rsid w:val="00FF3FEB"/>
    <w:rsid w:val="00FF4D50"/>
    <w:rsid w:val="00FF55A8"/>
    <w:rsid w:val="00FF5B79"/>
    <w:rsid w:val="00FF5B88"/>
    <w:rsid w:val="00FF6E97"/>
    <w:rsid w:val="00FF78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C4372"/>
  <w15:chartTrackingRefBased/>
  <w15:docId w15:val="{0E4283F6-223A-402D-B42F-3C24C105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C86"/>
    <w:pPr>
      <w:jc w:val="both"/>
    </w:pPr>
    <w:rPr>
      <w:sz w:val="16"/>
      <w:szCs w:val="16"/>
      <w:lang w:eastAsia="es-ES_tradnl"/>
    </w:rPr>
  </w:style>
  <w:style w:type="paragraph" w:styleId="Heading1">
    <w:name w:val="heading 1"/>
    <w:basedOn w:val="Normal"/>
    <w:next w:val="Normal"/>
    <w:link w:val="Heading1Ch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Heading2">
    <w:name w:val="heading 2"/>
    <w:basedOn w:val="Normal"/>
    <w:next w:val="Normal"/>
    <w:link w:val="Heading2Ch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Heading3">
    <w:name w:val="heading 3"/>
    <w:basedOn w:val="Heading1"/>
    <w:next w:val="Normal"/>
    <w:link w:val="Heading3Char"/>
    <w:uiPriority w:val="9"/>
    <w:unhideWhenUsed/>
    <w:qFormat/>
    <w:rsid w:val="00E87355"/>
    <w:pPr>
      <w:numPr>
        <w:numId w:val="0"/>
      </w:numPr>
      <w:spacing w:before="240" w:after="240"/>
      <w:outlineLvl w:val="2"/>
    </w:pPr>
    <w:rPr>
      <w:b w:val="0"/>
      <w:bCs w:val="0"/>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7091"/>
    <w:pPr>
      <w:tabs>
        <w:tab w:val="center" w:pos="4252"/>
        <w:tab w:val="right" w:pos="8504"/>
      </w:tabs>
    </w:pPr>
  </w:style>
  <w:style w:type="character" w:customStyle="1" w:styleId="HeaderChar">
    <w:name w:val="Header Char"/>
    <w:link w:val="Header"/>
    <w:uiPriority w:val="99"/>
    <w:rsid w:val="00117091"/>
    <w:rPr>
      <w:sz w:val="18"/>
      <w:szCs w:val="24"/>
      <w:lang w:eastAsia="en-US"/>
    </w:rPr>
  </w:style>
  <w:style w:type="paragraph" w:styleId="Footer">
    <w:name w:val="footer"/>
    <w:basedOn w:val="Normal"/>
    <w:link w:val="FooterChar"/>
    <w:uiPriority w:val="99"/>
    <w:unhideWhenUsed/>
    <w:rsid w:val="00117091"/>
    <w:pPr>
      <w:tabs>
        <w:tab w:val="center" w:pos="4252"/>
        <w:tab w:val="right" w:pos="8504"/>
      </w:tabs>
    </w:pPr>
  </w:style>
  <w:style w:type="character" w:customStyle="1" w:styleId="FooterChar">
    <w:name w:val="Footer Char"/>
    <w:link w:val="Footer"/>
    <w:uiPriority w:val="99"/>
    <w:rsid w:val="00117091"/>
    <w:rPr>
      <w:sz w:val="18"/>
      <w:szCs w:val="24"/>
      <w:lang w:eastAsia="en-US"/>
    </w:rPr>
  </w:style>
  <w:style w:type="character" w:styleId="Hyperlink">
    <w:name w:val="Hyperlink"/>
    <w:uiPriority w:val="99"/>
    <w:unhideWhenUsed/>
    <w:rsid w:val="00117091"/>
    <w:rPr>
      <w:color w:val="0563C1"/>
      <w:u w:val="single"/>
    </w:rPr>
  </w:style>
  <w:style w:type="paragraph" w:styleId="FootnoteText">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FootnoteTextChar1"/>
    <w:autoRedefine/>
    <w:uiPriority w:val="99"/>
    <w:unhideWhenUsed/>
    <w:qFormat/>
    <w:rsid w:val="00F224E5"/>
    <w:rPr>
      <w:szCs w:val="20"/>
    </w:rPr>
  </w:style>
  <w:style w:type="character" w:customStyle="1" w:styleId="FootnoteTextChar1">
    <w:name w:val="Footnote Text Char1"/>
    <w:aliases w:val="Footnote Text Char Char Char Char Char Char,Footnote Text Char Char Char Char Char1,Footnote reference Char,FA Fu Char,Footnote Text Char Char Char Char1,Footnote Text Char Char,Footnote referenc Char,texto de nota al pie Char"/>
    <w:link w:val="FootnoteText"/>
    <w:uiPriority w:val="99"/>
    <w:qFormat/>
    <w:rsid w:val="00F224E5"/>
    <w:rPr>
      <w:sz w:val="16"/>
      <w:lang w:eastAsia="es-ES_tradnl"/>
    </w:rPr>
  </w:style>
  <w:style w:type="character" w:styleId="FootnoteReferenc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uiPriority w:val="99"/>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uiPriority w:val="99"/>
    <w:qFormat/>
    <w:rsid w:val="000C5DB7"/>
    <w:rPr>
      <w:rFonts w:ascii="Palatino Linotype" w:hAnsi="Palatino Linotype"/>
      <w:sz w:val="20"/>
      <w:szCs w:val="20"/>
      <w:vertAlign w:val="superscript"/>
    </w:rPr>
  </w:style>
  <w:style w:type="character" w:customStyle="1" w:styleId="Heading1Char">
    <w:name w:val="Heading 1 Char"/>
    <w:link w:val="Heading1"/>
    <w:uiPriority w:val="9"/>
    <w:rsid w:val="00FF190B"/>
    <w:rPr>
      <w:rFonts w:eastAsia="Times New Roman" w:cs="Times New Roman"/>
      <w:b/>
      <w:bCs/>
      <w:caps/>
      <w:kern w:val="32"/>
      <w:sz w:val="24"/>
      <w:szCs w:val="32"/>
    </w:rPr>
  </w:style>
  <w:style w:type="character" w:customStyle="1" w:styleId="Heading2Char">
    <w:name w:val="Heading 2 Char"/>
    <w:link w:val="Heading2"/>
    <w:uiPriority w:val="9"/>
    <w:rsid w:val="007D4A96"/>
    <w:rPr>
      <w:rFonts w:eastAsia="Times New Roman" w:cs="Times New Roman"/>
      <w:b/>
      <w:bCs/>
      <w:iCs/>
      <w:sz w:val="24"/>
      <w:szCs w:val="28"/>
      <w:lang w:val="es-CO" w:eastAsia="es-ES_tradnl"/>
    </w:rPr>
  </w:style>
  <w:style w:type="paragraph" w:styleId="NoSpacing">
    <w:name w:val="No Spacing"/>
    <w:aliases w:val="Encabezado1"/>
    <w:link w:val="NoSpacingChar"/>
    <w:autoRedefine/>
    <w:uiPriority w:val="1"/>
    <w:qFormat/>
    <w:rsid w:val="00EC5604"/>
    <w:pPr>
      <w:spacing w:line="276" w:lineRule="auto"/>
      <w:ind w:left="709" w:hanging="709"/>
      <w:jc w:val="center"/>
    </w:pPr>
    <w:rPr>
      <w:b/>
      <w:caps/>
      <w:color w:val="000000"/>
      <w:sz w:val="24"/>
      <w:szCs w:val="16"/>
      <w:lang w:eastAsia="es-ES_tradnl"/>
    </w:rPr>
  </w:style>
  <w:style w:type="character" w:customStyle="1" w:styleId="NoSpacingChar">
    <w:name w:val="No Spacing Char"/>
    <w:aliases w:val="Encabezado1 Char"/>
    <w:link w:val="NoSpacing"/>
    <w:uiPriority w:val="1"/>
    <w:rsid w:val="00EC5604"/>
    <w:rPr>
      <w:b/>
      <w:caps/>
      <w:color w:val="000000"/>
      <w:sz w:val="24"/>
      <w:szCs w:val="16"/>
      <w:lang w:eastAsia="es-ES_tradnl"/>
    </w:rPr>
  </w:style>
  <w:style w:type="paragraph" w:styleId="Quote">
    <w:name w:val="Quote"/>
    <w:basedOn w:val="Normal"/>
    <w:next w:val="Normal"/>
    <w:link w:val="QuoteChar"/>
    <w:autoRedefine/>
    <w:uiPriority w:val="29"/>
    <w:qFormat/>
    <w:rsid w:val="00083B8F"/>
    <w:pPr>
      <w:ind w:left="862" w:right="862"/>
      <w:jc w:val="left"/>
    </w:pPr>
    <w:rPr>
      <w:i/>
      <w:iCs/>
      <w:color w:val="404040"/>
    </w:rPr>
  </w:style>
  <w:style w:type="character" w:customStyle="1" w:styleId="QuoteChar">
    <w:name w:val="Quote Char"/>
    <w:link w:val="Quote"/>
    <w:uiPriority w:val="29"/>
    <w:rsid w:val="00083B8F"/>
    <w:rPr>
      <w:i/>
      <w:iCs/>
      <w:color w:val="404040"/>
      <w:sz w:val="16"/>
      <w:szCs w:val="16"/>
    </w:rPr>
  </w:style>
  <w:style w:type="character" w:customStyle="1" w:styleId="Heading3Char">
    <w:name w:val="Heading 3 Char"/>
    <w:link w:val="Heading3"/>
    <w:uiPriority w:val="9"/>
    <w:rsid w:val="00E87355"/>
    <w:rPr>
      <w:rFonts w:eastAsia="Times New Roman" w:cs="Times New Roman"/>
      <w:caps/>
      <w:kern w:val="32"/>
      <w:sz w:val="24"/>
      <w:szCs w:val="26"/>
    </w:rPr>
  </w:style>
  <w:style w:type="paragraph" w:customStyle="1" w:styleId="RESUELVE">
    <w:name w:val="RESUELVE"/>
    <w:basedOn w:val="Heading3"/>
    <w:autoRedefine/>
    <w:qFormat/>
    <w:rsid w:val="00E87355"/>
    <w:pPr>
      <w:spacing w:before="360" w:after="360"/>
    </w:pPr>
    <w:rPr>
      <w:rFonts w:eastAsia="Verdana"/>
      <w:b/>
      <w:lang w:val="es-ES_tradnl"/>
    </w:rPr>
  </w:style>
  <w:style w:type="character" w:styleId="CommentReference">
    <w:name w:val="annotation reference"/>
    <w:uiPriority w:val="99"/>
    <w:semiHidden/>
    <w:unhideWhenUsed/>
    <w:rsid w:val="006146CC"/>
    <w:rPr>
      <w:sz w:val="16"/>
      <w:szCs w:val="16"/>
    </w:rPr>
  </w:style>
  <w:style w:type="paragraph" w:styleId="CommentText">
    <w:name w:val="annotation text"/>
    <w:basedOn w:val="Normal"/>
    <w:link w:val="CommentTextCh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CommentTextChar">
    <w:name w:val="Comment Text Char"/>
    <w:link w:val="CommentText"/>
    <w:uiPriority w:val="99"/>
    <w:semiHidden/>
    <w:rsid w:val="006146CC"/>
    <w:rPr>
      <w:rFonts w:ascii="Calibri" w:hAnsi="Calibri" w:cs="Times New Roman"/>
      <w:lang w:val="es-ES" w:eastAsia="en-US"/>
    </w:rPr>
  </w:style>
  <w:style w:type="paragraph" w:styleId="BalloonText">
    <w:name w:val="Balloon Text"/>
    <w:basedOn w:val="Normal"/>
    <w:link w:val="BalloonTextChar"/>
    <w:uiPriority w:val="99"/>
    <w:semiHidden/>
    <w:unhideWhenUsed/>
    <w:rsid w:val="006146CC"/>
    <w:rPr>
      <w:rFonts w:ascii="Segoe UI" w:hAnsi="Segoe UI" w:cs="Segoe UI"/>
      <w:sz w:val="18"/>
      <w:szCs w:val="18"/>
    </w:rPr>
  </w:style>
  <w:style w:type="character" w:customStyle="1" w:styleId="BalloonTextChar">
    <w:name w:val="Balloon Text Char"/>
    <w:link w:val="BalloonText"/>
    <w:uiPriority w:val="99"/>
    <w:semiHidden/>
    <w:rsid w:val="006146CC"/>
    <w:rPr>
      <w:rFonts w:ascii="Segoe UI" w:hAnsi="Segoe UI" w:cs="Segoe UI"/>
      <w:sz w:val="18"/>
      <w:szCs w:val="18"/>
      <w:lang w:eastAsia="es-ES_tradnl"/>
    </w:rPr>
  </w:style>
  <w:style w:type="paragraph" w:styleId="ListParagraph">
    <w:name w:val="List Paragraph"/>
    <w:basedOn w:val="Normal"/>
    <w:uiPriority w:val="34"/>
    <w:qFormat/>
    <w:rsid w:val="00B82CC5"/>
    <w:pPr>
      <w:ind w:left="720"/>
      <w:contextualSpacing/>
    </w:pPr>
  </w:style>
  <w:style w:type="numbering" w:customStyle="1" w:styleId="Estilo1">
    <w:name w:val="Estilo1"/>
    <w:uiPriority w:val="99"/>
    <w:rsid w:val="00025115"/>
    <w:pPr>
      <w:numPr>
        <w:numId w:val="9"/>
      </w:numPr>
    </w:pPr>
  </w:style>
  <w:style w:type="paragraph" w:styleId="List">
    <w:name w:val="List"/>
    <w:basedOn w:val="Normal"/>
    <w:uiPriority w:val="99"/>
    <w:unhideWhenUsed/>
    <w:rsid w:val="005F1494"/>
    <w:pPr>
      <w:ind w:left="283" w:hanging="283"/>
      <w:contextualSpacing/>
    </w:pPr>
  </w:style>
  <w:style w:type="paragraph" w:styleId="ListContinue">
    <w:name w:val="List Continue"/>
    <w:basedOn w:val="Normal"/>
    <w:uiPriority w:val="99"/>
    <w:unhideWhenUsed/>
    <w:rsid w:val="005F1494"/>
    <w:pPr>
      <w:spacing w:after="120"/>
      <w:ind w:left="283"/>
      <w:contextualSpacing/>
    </w:pPr>
  </w:style>
  <w:style w:type="paragraph" w:styleId="ListContinue2">
    <w:name w:val="List Continue 2"/>
    <w:basedOn w:val="Normal"/>
    <w:uiPriority w:val="99"/>
    <w:unhideWhenUsed/>
    <w:rsid w:val="005F1494"/>
    <w:pPr>
      <w:spacing w:after="120"/>
      <w:ind w:left="566"/>
      <w:contextualSpacing/>
    </w:pPr>
  </w:style>
  <w:style w:type="paragraph" w:styleId="BodyText">
    <w:name w:val="Body Text"/>
    <w:basedOn w:val="Normal"/>
    <w:link w:val="BodyTextChar"/>
    <w:uiPriority w:val="99"/>
    <w:unhideWhenUsed/>
    <w:rsid w:val="005F1494"/>
    <w:pPr>
      <w:spacing w:after="120"/>
    </w:pPr>
  </w:style>
  <w:style w:type="character" w:customStyle="1" w:styleId="BodyTextChar">
    <w:name w:val="Body Text Char"/>
    <w:basedOn w:val="DefaultParagraphFont"/>
    <w:link w:val="BodyText"/>
    <w:uiPriority w:val="99"/>
    <w:rsid w:val="005F1494"/>
    <w:rPr>
      <w:sz w:val="16"/>
      <w:szCs w:val="16"/>
      <w:lang w:eastAsia="es-ES_tradnl"/>
    </w:rPr>
  </w:style>
  <w:style w:type="table" w:styleId="TableGrid">
    <w:name w:val="Table Grid"/>
    <w:basedOn w:val="TableNormal"/>
    <w:uiPriority w:val="39"/>
    <w:rsid w:val="007314C6"/>
    <w:rPr>
      <w:rFonts w:ascii="Calibri" w:eastAsiaTheme="minorHAnsi" w:hAnsi="Calibr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C73F8"/>
    <w:rPr>
      <w:color w:val="605E5C"/>
      <w:shd w:val="clear" w:color="auto" w:fill="E1DFDD"/>
    </w:rPr>
  </w:style>
  <w:style w:type="character" w:styleId="UnresolvedMention">
    <w:name w:val="Unresolved Mention"/>
    <w:basedOn w:val="DefaultParagraphFont"/>
    <w:uiPriority w:val="99"/>
    <w:semiHidden/>
    <w:unhideWhenUsed/>
    <w:rsid w:val="00EC5604"/>
    <w:rPr>
      <w:color w:val="605E5C"/>
      <w:shd w:val="clear" w:color="auto" w:fill="E1DFDD"/>
    </w:rPr>
  </w:style>
  <w:style w:type="paragraph" w:styleId="Revision">
    <w:name w:val="Revision"/>
    <w:hidden/>
    <w:uiPriority w:val="99"/>
    <w:semiHidden/>
    <w:rsid w:val="00EC5604"/>
    <w:rPr>
      <w:sz w:val="16"/>
      <w:szCs w:val="16"/>
      <w:lang w:eastAsia="es-ES_tradnl"/>
    </w:rPr>
  </w:style>
  <w:style w:type="character" w:customStyle="1" w:styleId="apple-converted-space">
    <w:name w:val="apple-converted-space"/>
    <w:rsid w:val="006A6A96"/>
  </w:style>
  <w:style w:type="paragraph" w:styleId="Bibliography">
    <w:name w:val="Bibliography"/>
    <w:basedOn w:val="Normal"/>
    <w:next w:val="Normal"/>
    <w:uiPriority w:val="37"/>
    <w:unhideWhenUsed/>
    <w:rsid w:val="00990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027353">
      <w:bodyDiv w:val="1"/>
      <w:marLeft w:val="0"/>
      <w:marRight w:val="0"/>
      <w:marTop w:val="0"/>
      <w:marBottom w:val="0"/>
      <w:divBdr>
        <w:top w:val="none" w:sz="0" w:space="0" w:color="auto"/>
        <w:left w:val="none" w:sz="0" w:space="0" w:color="auto"/>
        <w:bottom w:val="none" w:sz="0" w:space="0" w:color="auto"/>
        <w:right w:val="none" w:sz="0" w:space="0" w:color="auto"/>
      </w:divBdr>
    </w:div>
    <w:div w:id="155150058">
      <w:bodyDiv w:val="1"/>
      <w:marLeft w:val="0"/>
      <w:marRight w:val="0"/>
      <w:marTop w:val="0"/>
      <w:marBottom w:val="0"/>
      <w:divBdr>
        <w:top w:val="none" w:sz="0" w:space="0" w:color="auto"/>
        <w:left w:val="none" w:sz="0" w:space="0" w:color="auto"/>
        <w:bottom w:val="none" w:sz="0" w:space="0" w:color="auto"/>
        <w:right w:val="none" w:sz="0" w:space="0" w:color="auto"/>
      </w:divBdr>
    </w:div>
    <w:div w:id="215749427">
      <w:bodyDiv w:val="1"/>
      <w:marLeft w:val="0"/>
      <w:marRight w:val="0"/>
      <w:marTop w:val="0"/>
      <w:marBottom w:val="0"/>
      <w:divBdr>
        <w:top w:val="none" w:sz="0" w:space="0" w:color="auto"/>
        <w:left w:val="none" w:sz="0" w:space="0" w:color="auto"/>
        <w:bottom w:val="none" w:sz="0" w:space="0" w:color="auto"/>
        <w:right w:val="none" w:sz="0" w:space="0" w:color="auto"/>
      </w:divBdr>
    </w:div>
    <w:div w:id="1451433561">
      <w:bodyDiv w:val="1"/>
      <w:marLeft w:val="0"/>
      <w:marRight w:val="0"/>
      <w:marTop w:val="0"/>
      <w:marBottom w:val="0"/>
      <w:divBdr>
        <w:top w:val="none" w:sz="0" w:space="0" w:color="auto"/>
        <w:left w:val="none" w:sz="0" w:space="0" w:color="auto"/>
        <w:bottom w:val="none" w:sz="0" w:space="0" w:color="auto"/>
        <w:right w:val="none" w:sz="0" w:space="0" w:color="auto"/>
      </w:divBdr>
    </w:div>
    <w:div w:id="1524200981">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82335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Cop02</b:Tag>
    <b:SourceType>Book</b:SourceType>
    <b:Guid>{3A655269-3C6F-4714-9694-5D90FDA49406}</b:Guid>
    <b:Title>Introducción a la Lógica</b:Title>
    <b:Year>2002</b:Year>
    <b:City>México D.F.</b:City>
    <b:Publisher>Editorial Limusa</b:Publisher>
    <b:Author>
      <b:Author>
        <b:NameList>
          <b:Person>
            <b:Last>Copi</b:Last>
            <b:Middle>M.</b:Middle>
            <b:First>Irving</b:First>
          </b:Person>
          <b:Person>
            <b:Last>Cohen</b:Last>
            <b:First>Carl</b:First>
          </b:Person>
        </b:NameList>
      </b:Author>
      <b:Translator>
        <b:NameList>
          <b:Person>
            <b:Last>González Ruiz</b:Last>
            <b:Middle>Antonio</b:Middle>
            <b:First>Edgar</b:First>
          </b:Person>
        </b:NameList>
      </b:Translator>
    </b:Author>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6C0F31-FF1E-4A73-B8EE-8F020B53F89E}"/>
</file>

<file path=customXml/itemProps2.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3.xml><?xml version="1.0" encoding="utf-8"?>
<ds:datastoreItem xmlns:ds="http://schemas.openxmlformats.org/officeDocument/2006/customXml" ds:itemID="{22A1039F-8868-4BE3-B63A-D6AD4108411B}">
  <ds:schemaRefs>
    <ds:schemaRef ds:uri="http://schemas.openxmlformats.org/officeDocument/2006/bibliography"/>
  </ds:schemaRefs>
</ds:datastoreItem>
</file>

<file path=customXml/itemProps4.xml><?xml version="1.0" encoding="utf-8"?>
<ds:datastoreItem xmlns:ds="http://schemas.openxmlformats.org/officeDocument/2006/customXml" ds:itemID="{0EA701F8-230E-4F4A-B900-C2B394D0F5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4308</TotalTime>
  <Pages>6</Pages>
  <Words>1762</Words>
  <Characters>10050</Characters>
  <Application>Microsoft Office Word</Application>
  <DocSecurity>0</DocSecurity>
  <Lines>83</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Calle 12 No. 7-65 – Tel: (57-1) 350-6700 – Bogotá D.C. – Colombiawww.consejodeestado.gov.co</dc:creator>
  <cp:keywords/>
  <dc:description/>
  <cp:lastModifiedBy>Diego Nicolás Pardo Motta</cp:lastModifiedBy>
  <cp:revision>788</cp:revision>
  <cp:lastPrinted>2020-03-11T14:38:00Z</cp:lastPrinted>
  <dcterms:created xsi:type="dcterms:W3CDTF">2020-07-28T19:45:00Z</dcterms:created>
  <dcterms:modified xsi:type="dcterms:W3CDTF">2020-11-04T15:28:00Z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