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E3ABF" w14:textId="77777777" w:rsidR="002174A7" w:rsidRPr="004B22FB" w:rsidRDefault="002174A7" w:rsidP="004B22FB">
      <w:pPr>
        <w:keepNext/>
        <w:autoSpaceDE w:val="0"/>
        <w:autoSpaceDN w:val="0"/>
        <w:spacing w:after="0" w:line="360" w:lineRule="auto"/>
        <w:jc w:val="center"/>
        <w:outlineLvl w:val="2"/>
        <w:rPr>
          <w:rFonts w:ascii="Arial" w:eastAsia="Times New Roman" w:hAnsi="Arial" w:cs="Arial"/>
          <w:b/>
          <w:bCs/>
          <w:sz w:val="24"/>
          <w:szCs w:val="24"/>
          <w:lang w:eastAsia="es-ES"/>
        </w:rPr>
      </w:pPr>
      <w:bookmarkStart w:id="0" w:name="_GoBack"/>
      <w:bookmarkEnd w:id="0"/>
      <w:r w:rsidRPr="004B22FB">
        <w:rPr>
          <w:rFonts w:ascii="Arial" w:eastAsia="Times New Roman" w:hAnsi="Arial" w:cs="Arial"/>
          <w:b/>
          <w:bCs/>
          <w:sz w:val="24"/>
          <w:szCs w:val="24"/>
          <w:lang w:eastAsia="es-ES"/>
        </w:rPr>
        <w:t>Consejero de Estado: NICOLÁS YEPES CORRALES</w:t>
      </w:r>
    </w:p>
    <w:p w14:paraId="5FC08FF2" w14:textId="77777777" w:rsidR="002174A7" w:rsidRPr="004B22FB" w:rsidRDefault="002174A7" w:rsidP="004B22FB">
      <w:pPr>
        <w:spacing w:after="0" w:line="360" w:lineRule="auto"/>
        <w:rPr>
          <w:rFonts w:ascii="Arial" w:eastAsia="Calibri" w:hAnsi="Arial" w:cs="Arial"/>
          <w:sz w:val="24"/>
          <w:szCs w:val="24"/>
        </w:rPr>
      </w:pPr>
    </w:p>
    <w:p w14:paraId="795F1997" w14:textId="77777777" w:rsidR="002174A7" w:rsidRPr="004B22FB" w:rsidRDefault="002174A7" w:rsidP="004B22FB">
      <w:pPr>
        <w:spacing w:after="0" w:line="240" w:lineRule="auto"/>
        <w:rPr>
          <w:rFonts w:ascii="Arial" w:eastAsia="Calibri" w:hAnsi="Arial" w:cs="Arial"/>
          <w:b/>
          <w:sz w:val="24"/>
          <w:szCs w:val="24"/>
        </w:rPr>
      </w:pPr>
      <w:r w:rsidRPr="004B22FB">
        <w:rPr>
          <w:rFonts w:ascii="Arial" w:eastAsia="Calibri" w:hAnsi="Arial" w:cs="Arial"/>
          <w:b/>
          <w:sz w:val="24"/>
          <w:szCs w:val="24"/>
        </w:rPr>
        <w:t xml:space="preserve">Señores </w:t>
      </w:r>
    </w:p>
    <w:p w14:paraId="5065BE86" w14:textId="77777777" w:rsidR="002174A7" w:rsidRPr="004B22FB" w:rsidRDefault="002174A7" w:rsidP="004B22FB">
      <w:pPr>
        <w:spacing w:after="0" w:line="240" w:lineRule="auto"/>
        <w:jc w:val="both"/>
        <w:rPr>
          <w:rFonts w:ascii="Arial" w:eastAsia="Calibri" w:hAnsi="Arial" w:cs="Arial"/>
          <w:sz w:val="24"/>
          <w:szCs w:val="24"/>
        </w:rPr>
      </w:pPr>
      <w:r w:rsidRPr="004B22FB">
        <w:rPr>
          <w:rFonts w:ascii="Arial" w:eastAsia="Calibri" w:hAnsi="Arial" w:cs="Arial"/>
          <w:sz w:val="24"/>
          <w:szCs w:val="24"/>
        </w:rPr>
        <w:t xml:space="preserve">Consejeros de Estado integrantes de la Subsección C de la Sección Tercera de la Sala de lo Contencioso Administrativo </w:t>
      </w:r>
    </w:p>
    <w:p w14:paraId="6A4B0081" w14:textId="77777777" w:rsidR="002174A7" w:rsidRPr="004B22FB" w:rsidRDefault="002174A7" w:rsidP="004B22FB">
      <w:pPr>
        <w:spacing w:after="0" w:line="240" w:lineRule="auto"/>
        <w:rPr>
          <w:rFonts w:ascii="Arial" w:eastAsia="Calibri" w:hAnsi="Arial" w:cs="Arial"/>
          <w:sz w:val="24"/>
          <w:szCs w:val="24"/>
        </w:rPr>
      </w:pPr>
    </w:p>
    <w:p w14:paraId="5A5F4F4B" w14:textId="4904473A" w:rsidR="002174A7" w:rsidRPr="004B22FB" w:rsidRDefault="002174A7" w:rsidP="004B22FB">
      <w:pPr>
        <w:tabs>
          <w:tab w:val="left" w:pos="1985"/>
        </w:tabs>
        <w:spacing w:after="0" w:line="240" w:lineRule="auto"/>
        <w:jc w:val="both"/>
        <w:rPr>
          <w:rFonts w:ascii="Arial" w:eastAsia="Calibri" w:hAnsi="Arial" w:cs="Arial"/>
          <w:sz w:val="24"/>
          <w:szCs w:val="24"/>
        </w:rPr>
      </w:pPr>
      <w:r w:rsidRPr="004B22FB">
        <w:rPr>
          <w:rFonts w:ascii="Arial" w:eastAsia="Calibri" w:hAnsi="Arial" w:cs="Arial"/>
          <w:b/>
          <w:sz w:val="24"/>
          <w:szCs w:val="24"/>
        </w:rPr>
        <w:t xml:space="preserve">Radicación: </w:t>
      </w:r>
      <w:r w:rsidRPr="004B22FB">
        <w:rPr>
          <w:rFonts w:ascii="Arial" w:eastAsia="Calibri" w:hAnsi="Arial" w:cs="Arial"/>
          <w:b/>
          <w:sz w:val="24"/>
          <w:szCs w:val="24"/>
        </w:rPr>
        <w:tab/>
      </w:r>
      <w:r w:rsidR="00051AC8" w:rsidRPr="005237D1">
        <w:rPr>
          <w:rFonts w:ascii="Arial" w:hAnsi="Arial" w:cs="Arial"/>
          <w:bCs/>
          <w:sz w:val="24"/>
          <w:szCs w:val="24"/>
          <w:lang w:val="es-ES"/>
        </w:rPr>
        <w:t>11001-03-15-000-2020-0</w:t>
      </w:r>
      <w:r w:rsidR="00051AC8">
        <w:rPr>
          <w:rFonts w:ascii="Arial" w:hAnsi="Arial" w:cs="Arial"/>
          <w:bCs/>
          <w:sz w:val="24"/>
          <w:szCs w:val="24"/>
          <w:lang w:val="es-ES"/>
        </w:rPr>
        <w:t>4252</w:t>
      </w:r>
      <w:r w:rsidR="00051AC8" w:rsidRPr="005237D1">
        <w:rPr>
          <w:rFonts w:ascii="Arial" w:hAnsi="Arial" w:cs="Arial"/>
          <w:bCs/>
          <w:sz w:val="24"/>
          <w:szCs w:val="24"/>
          <w:lang w:val="es-ES"/>
        </w:rPr>
        <w:t>-00</w:t>
      </w:r>
    </w:p>
    <w:p w14:paraId="1571E8CF" w14:textId="7FBEC844" w:rsidR="002174A7" w:rsidRPr="004B22FB" w:rsidRDefault="002174A7" w:rsidP="004B22FB">
      <w:pPr>
        <w:tabs>
          <w:tab w:val="left" w:pos="1985"/>
        </w:tabs>
        <w:spacing w:after="0" w:line="240" w:lineRule="auto"/>
        <w:ind w:left="1985" w:hanging="1980"/>
        <w:jc w:val="both"/>
        <w:rPr>
          <w:rFonts w:ascii="Arial" w:eastAsia="Calibri" w:hAnsi="Arial" w:cs="Arial"/>
          <w:sz w:val="24"/>
          <w:szCs w:val="24"/>
        </w:rPr>
      </w:pPr>
      <w:r w:rsidRPr="004B22FB">
        <w:rPr>
          <w:rFonts w:ascii="Arial" w:eastAsia="Calibri" w:hAnsi="Arial" w:cs="Arial"/>
          <w:b/>
          <w:sz w:val="24"/>
          <w:szCs w:val="24"/>
        </w:rPr>
        <w:t xml:space="preserve">Accionante: </w:t>
      </w:r>
      <w:r w:rsidRPr="004B22FB">
        <w:rPr>
          <w:rFonts w:ascii="Arial" w:eastAsia="Calibri" w:hAnsi="Arial" w:cs="Arial"/>
          <w:b/>
          <w:sz w:val="24"/>
          <w:szCs w:val="24"/>
        </w:rPr>
        <w:tab/>
      </w:r>
      <w:r w:rsidR="00051AC8">
        <w:rPr>
          <w:rFonts w:ascii="Arial" w:hAnsi="Arial" w:cs="Arial"/>
          <w:bCs/>
          <w:sz w:val="24"/>
          <w:szCs w:val="24"/>
        </w:rPr>
        <w:t>Antonio Saúl Cardona Castrillón</w:t>
      </w:r>
    </w:p>
    <w:p w14:paraId="4DFD0AA4" w14:textId="1F0DC2A6" w:rsidR="002174A7" w:rsidRPr="004B22FB" w:rsidRDefault="002174A7" w:rsidP="004B22FB">
      <w:pPr>
        <w:tabs>
          <w:tab w:val="left" w:pos="1985"/>
        </w:tabs>
        <w:spacing w:after="0" w:line="240" w:lineRule="auto"/>
        <w:ind w:left="1980" w:right="51" w:hanging="1980"/>
        <w:jc w:val="both"/>
        <w:rPr>
          <w:rFonts w:ascii="Arial" w:eastAsia="Calibri" w:hAnsi="Arial" w:cs="Arial"/>
          <w:bCs/>
          <w:sz w:val="24"/>
          <w:szCs w:val="24"/>
        </w:rPr>
      </w:pPr>
      <w:r w:rsidRPr="004B22FB">
        <w:rPr>
          <w:rFonts w:ascii="Arial" w:eastAsia="Calibri" w:hAnsi="Arial" w:cs="Arial"/>
          <w:b/>
          <w:sz w:val="24"/>
          <w:szCs w:val="24"/>
        </w:rPr>
        <w:t xml:space="preserve">Accionado: </w:t>
      </w:r>
      <w:r w:rsidRPr="004B22FB">
        <w:rPr>
          <w:rFonts w:ascii="Arial" w:eastAsia="Calibri" w:hAnsi="Arial" w:cs="Arial"/>
          <w:b/>
          <w:sz w:val="24"/>
          <w:szCs w:val="24"/>
        </w:rPr>
        <w:tab/>
      </w:r>
      <w:r w:rsidR="00051AC8">
        <w:rPr>
          <w:rFonts w:ascii="Arial" w:eastAsia="Times New Roman" w:hAnsi="Arial" w:cs="Arial"/>
          <w:bCs/>
          <w:sz w:val="24"/>
          <w:szCs w:val="24"/>
          <w:lang w:val="es-ES" w:eastAsia="es-ES"/>
        </w:rPr>
        <w:t>Sala Transitoria de la Sección Segunda del Tribunal Administrativo de Cundinamarca</w:t>
      </w:r>
    </w:p>
    <w:p w14:paraId="7F8E0D51" w14:textId="2463E90C" w:rsidR="002174A7" w:rsidRPr="004B22FB" w:rsidRDefault="002174A7" w:rsidP="004B22FB">
      <w:pPr>
        <w:spacing w:after="0" w:line="240" w:lineRule="auto"/>
        <w:jc w:val="both"/>
        <w:rPr>
          <w:rFonts w:ascii="Arial" w:eastAsia="Calibri" w:hAnsi="Arial" w:cs="Arial"/>
          <w:bCs/>
          <w:sz w:val="24"/>
          <w:szCs w:val="24"/>
        </w:rPr>
      </w:pPr>
      <w:r w:rsidRPr="004B22FB">
        <w:rPr>
          <w:rFonts w:ascii="Arial" w:eastAsia="Calibri" w:hAnsi="Arial" w:cs="Arial"/>
          <w:b/>
          <w:sz w:val="24"/>
          <w:szCs w:val="24"/>
        </w:rPr>
        <w:t>Asunto:</w:t>
      </w:r>
      <w:r w:rsidR="00051AC8">
        <w:rPr>
          <w:rFonts w:ascii="Arial" w:eastAsia="Calibri" w:hAnsi="Arial" w:cs="Arial"/>
          <w:b/>
          <w:sz w:val="24"/>
          <w:szCs w:val="24"/>
        </w:rPr>
        <w:t xml:space="preserve">                </w:t>
      </w:r>
      <w:r w:rsidRPr="004B22FB">
        <w:rPr>
          <w:rFonts w:ascii="Arial" w:eastAsia="Calibri" w:hAnsi="Arial" w:cs="Arial"/>
          <w:bCs/>
          <w:sz w:val="24"/>
          <w:szCs w:val="24"/>
        </w:rPr>
        <w:t xml:space="preserve">Manifestación de </w:t>
      </w:r>
      <w:r w:rsidR="00757A41" w:rsidRPr="004B22FB">
        <w:rPr>
          <w:rFonts w:ascii="Arial" w:eastAsia="Calibri" w:hAnsi="Arial" w:cs="Arial"/>
          <w:bCs/>
          <w:sz w:val="24"/>
          <w:szCs w:val="24"/>
        </w:rPr>
        <w:t>i</w:t>
      </w:r>
      <w:r w:rsidRPr="004B22FB">
        <w:rPr>
          <w:rFonts w:ascii="Arial" w:eastAsia="Calibri" w:hAnsi="Arial" w:cs="Arial"/>
          <w:bCs/>
          <w:sz w:val="24"/>
          <w:szCs w:val="24"/>
        </w:rPr>
        <w:t xml:space="preserve">mpedimento </w:t>
      </w:r>
    </w:p>
    <w:p w14:paraId="07A1D12B" w14:textId="77777777" w:rsidR="002174A7" w:rsidRPr="00853D34" w:rsidRDefault="002174A7" w:rsidP="00853D34">
      <w:pPr>
        <w:spacing w:after="0" w:line="360" w:lineRule="auto"/>
        <w:rPr>
          <w:rFonts w:ascii="Arial" w:eastAsia="Calibri" w:hAnsi="Arial" w:cs="Arial"/>
          <w:sz w:val="24"/>
          <w:szCs w:val="24"/>
        </w:rPr>
      </w:pPr>
    </w:p>
    <w:p w14:paraId="65E21218" w14:textId="77777777" w:rsidR="002174A7" w:rsidRPr="00853D34" w:rsidRDefault="002174A7" w:rsidP="00853D34">
      <w:pPr>
        <w:spacing w:after="0" w:line="360" w:lineRule="auto"/>
        <w:jc w:val="center"/>
        <w:rPr>
          <w:rFonts w:ascii="Arial" w:eastAsia="Calibri" w:hAnsi="Arial" w:cs="Arial"/>
          <w:b/>
          <w:bCs/>
          <w:sz w:val="24"/>
          <w:szCs w:val="24"/>
        </w:rPr>
      </w:pPr>
      <w:r w:rsidRPr="00853D34">
        <w:rPr>
          <w:rFonts w:ascii="Arial" w:eastAsia="Calibri" w:hAnsi="Arial" w:cs="Arial"/>
          <w:b/>
          <w:bCs/>
          <w:sz w:val="24"/>
          <w:szCs w:val="24"/>
        </w:rPr>
        <w:t>I. ANTECEDENTES</w:t>
      </w:r>
    </w:p>
    <w:p w14:paraId="2CDD1AC1" w14:textId="77777777" w:rsidR="002174A7" w:rsidRPr="00853D34" w:rsidRDefault="002174A7" w:rsidP="00853D34">
      <w:pPr>
        <w:spacing w:after="0" w:line="360" w:lineRule="auto"/>
        <w:jc w:val="both"/>
        <w:rPr>
          <w:rFonts w:ascii="Arial" w:eastAsia="Calibri" w:hAnsi="Arial" w:cs="Arial"/>
          <w:b/>
          <w:bCs/>
          <w:sz w:val="24"/>
          <w:szCs w:val="24"/>
        </w:rPr>
      </w:pPr>
    </w:p>
    <w:p w14:paraId="39583781" w14:textId="77777777" w:rsidR="002174A7" w:rsidRPr="00853D34" w:rsidRDefault="00DA7270" w:rsidP="00853D34">
      <w:pPr>
        <w:spacing w:after="0" w:line="360" w:lineRule="auto"/>
        <w:jc w:val="both"/>
        <w:rPr>
          <w:rFonts w:ascii="Arial" w:eastAsia="Calibri" w:hAnsi="Arial" w:cs="Arial"/>
          <w:b/>
          <w:sz w:val="24"/>
          <w:szCs w:val="24"/>
        </w:rPr>
      </w:pPr>
      <w:r w:rsidRPr="00853D34">
        <w:rPr>
          <w:rFonts w:ascii="Arial" w:eastAsia="Calibri" w:hAnsi="Arial" w:cs="Arial"/>
          <w:b/>
          <w:sz w:val="24"/>
          <w:szCs w:val="24"/>
        </w:rPr>
        <w:t>1.</w:t>
      </w:r>
      <w:r w:rsidR="002174A7" w:rsidRPr="00853D34">
        <w:rPr>
          <w:rFonts w:ascii="Arial" w:eastAsia="Calibri" w:hAnsi="Arial" w:cs="Arial"/>
          <w:b/>
          <w:sz w:val="24"/>
          <w:szCs w:val="24"/>
        </w:rPr>
        <w:t xml:space="preserve">1.- Solicitud de amparo </w:t>
      </w:r>
    </w:p>
    <w:p w14:paraId="08561E18" w14:textId="77777777" w:rsidR="002174A7" w:rsidRPr="00853D34" w:rsidRDefault="002174A7" w:rsidP="00853D34">
      <w:pPr>
        <w:spacing w:after="0" w:line="360" w:lineRule="auto"/>
        <w:jc w:val="both"/>
        <w:rPr>
          <w:rFonts w:ascii="Arial" w:eastAsia="Calibri" w:hAnsi="Arial" w:cs="Arial"/>
          <w:sz w:val="24"/>
          <w:szCs w:val="24"/>
        </w:rPr>
      </w:pPr>
    </w:p>
    <w:p w14:paraId="5AEF1226" w14:textId="3E261984" w:rsidR="0047723E" w:rsidRPr="00853D34" w:rsidRDefault="00DA7270" w:rsidP="00853D34">
      <w:pPr>
        <w:spacing w:after="0" w:line="360" w:lineRule="auto"/>
        <w:jc w:val="both"/>
        <w:rPr>
          <w:rFonts w:ascii="Arial" w:eastAsia="Times New Roman" w:hAnsi="Arial" w:cs="Arial"/>
          <w:sz w:val="24"/>
          <w:szCs w:val="24"/>
          <w:lang w:eastAsia="es-ES"/>
        </w:rPr>
      </w:pPr>
      <w:r w:rsidRPr="00853D34">
        <w:rPr>
          <w:rFonts w:ascii="Arial" w:eastAsia="Calibri" w:hAnsi="Arial" w:cs="Arial"/>
          <w:bCs/>
          <w:sz w:val="24"/>
          <w:szCs w:val="24"/>
        </w:rPr>
        <w:t>1.</w:t>
      </w:r>
      <w:r w:rsidR="002174A7" w:rsidRPr="00853D34">
        <w:rPr>
          <w:rFonts w:ascii="Arial" w:eastAsia="Calibri" w:hAnsi="Arial" w:cs="Arial"/>
          <w:bCs/>
          <w:sz w:val="24"/>
          <w:szCs w:val="24"/>
        </w:rPr>
        <w:t xml:space="preserve">1.1.- </w:t>
      </w:r>
      <w:r w:rsidR="00051AC8" w:rsidRPr="00853D34">
        <w:rPr>
          <w:rFonts w:ascii="Arial" w:hAnsi="Arial" w:cs="Arial"/>
          <w:sz w:val="24"/>
          <w:szCs w:val="24"/>
        </w:rPr>
        <w:t>El 28 de septiembre de 2020, el señor Antonio Saúl Cardona Castrillón, en nombre propio, interpuso acción de tutela en procura de la protección de su</w:t>
      </w:r>
      <w:r w:rsidR="00051AC8" w:rsidRPr="00853D34">
        <w:rPr>
          <w:rFonts w:ascii="Arial" w:eastAsia="Times New Roman" w:hAnsi="Arial" w:cs="Arial"/>
          <w:sz w:val="24"/>
          <w:szCs w:val="24"/>
          <w:lang w:eastAsia="es-ES"/>
        </w:rPr>
        <w:t xml:space="preserve"> derecho fundamental al debido proceso, en su sentir vulnerado </w:t>
      </w:r>
      <w:r w:rsidR="00051AC8" w:rsidRPr="00853D34">
        <w:rPr>
          <w:rFonts w:ascii="Arial" w:hAnsi="Arial" w:cs="Arial"/>
          <w:sz w:val="24"/>
          <w:szCs w:val="24"/>
          <w:lang w:val="es-ES"/>
        </w:rPr>
        <w:t xml:space="preserve">con la sentencia </w:t>
      </w:r>
      <w:r w:rsidR="00051AC8" w:rsidRPr="00853D34">
        <w:rPr>
          <w:rFonts w:ascii="Arial" w:eastAsia="Times New Roman" w:hAnsi="Arial" w:cs="Arial"/>
          <w:sz w:val="24"/>
          <w:szCs w:val="24"/>
          <w:lang w:eastAsia="es-ES"/>
        </w:rPr>
        <w:t>proferida el 29 de noviembre de 2019 por la Sala Transitoria de la Sección Segunda del Tribunal Administrativo de Cundinamarca, que revocó la decisión del 11 de julio de 2014 emitida por el Juzgado Sexto Administrativo de Medellín y negó las pretensiones de la demanda de nulidad y restablecimiento del derecho</w:t>
      </w:r>
      <w:r w:rsidR="00AA24EC" w:rsidRPr="00853D34">
        <w:rPr>
          <w:rFonts w:ascii="Arial" w:eastAsia="Times New Roman" w:hAnsi="Arial" w:cs="Arial"/>
          <w:sz w:val="24"/>
          <w:szCs w:val="24"/>
          <w:lang w:eastAsia="es-ES"/>
        </w:rPr>
        <w:t xml:space="preserve"> promovida </w:t>
      </w:r>
      <w:r w:rsidR="00883726">
        <w:rPr>
          <w:rFonts w:ascii="Arial" w:eastAsia="Times New Roman" w:hAnsi="Arial" w:cs="Arial"/>
          <w:sz w:val="24"/>
          <w:szCs w:val="24"/>
          <w:lang w:eastAsia="es-ES"/>
        </w:rPr>
        <w:t xml:space="preserve">en </w:t>
      </w:r>
      <w:r w:rsidR="00AA24EC" w:rsidRPr="00853D34">
        <w:rPr>
          <w:rFonts w:ascii="Arial" w:eastAsia="Times New Roman" w:hAnsi="Arial" w:cs="Arial"/>
          <w:sz w:val="24"/>
          <w:szCs w:val="24"/>
          <w:lang w:eastAsia="es-ES"/>
        </w:rPr>
        <w:t>contra</w:t>
      </w:r>
      <w:r w:rsidR="00883726">
        <w:rPr>
          <w:rFonts w:ascii="Arial" w:eastAsia="Times New Roman" w:hAnsi="Arial" w:cs="Arial"/>
          <w:sz w:val="24"/>
          <w:szCs w:val="24"/>
          <w:lang w:eastAsia="es-ES"/>
        </w:rPr>
        <w:t xml:space="preserve"> de</w:t>
      </w:r>
      <w:r w:rsidR="00AA24EC" w:rsidRPr="00853D34">
        <w:rPr>
          <w:rFonts w:ascii="Arial" w:eastAsia="Times New Roman" w:hAnsi="Arial" w:cs="Arial"/>
          <w:sz w:val="24"/>
          <w:szCs w:val="24"/>
          <w:lang w:eastAsia="es-ES"/>
        </w:rPr>
        <w:t xml:space="preserve"> la Procuraduría General de la Nación y</w:t>
      </w:r>
      <w:r w:rsidR="00883726">
        <w:rPr>
          <w:rFonts w:ascii="Arial" w:eastAsia="Times New Roman" w:hAnsi="Arial" w:cs="Arial"/>
          <w:sz w:val="24"/>
          <w:szCs w:val="24"/>
          <w:lang w:eastAsia="es-ES"/>
        </w:rPr>
        <w:t xml:space="preserve"> de</w:t>
      </w:r>
      <w:r w:rsidR="00AA24EC" w:rsidRPr="00853D34">
        <w:rPr>
          <w:rFonts w:ascii="Arial" w:eastAsia="Times New Roman" w:hAnsi="Arial" w:cs="Arial"/>
          <w:sz w:val="24"/>
          <w:szCs w:val="24"/>
          <w:lang w:eastAsia="es-ES"/>
        </w:rPr>
        <w:t xml:space="preserve"> la Dirección de Impuestos y Aduanas Nacionales (DIAN)</w:t>
      </w:r>
      <w:r w:rsidR="00051AC8" w:rsidRPr="00853D34">
        <w:rPr>
          <w:rFonts w:ascii="Arial" w:eastAsia="Times New Roman" w:hAnsi="Arial" w:cs="Arial"/>
          <w:sz w:val="24"/>
          <w:szCs w:val="24"/>
          <w:lang w:eastAsia="es-ES"/>
        </w:rPr>
        <w:t>, bajo el radicado No. 05001333100620110072301.</w:t>
      </w:r>
    </w:p>
    <w:p w14:paraId="12B8F0AB" w14:textId="77777777" w:rsidR="00051AC8" w:rsidRPr="00853D34" w:rsidRDefault="00051AC8" w:rsidP="00853D34">
      <w:pPr>
        <w:spacing w:after="0" w:line="360" w:lineRule="auto"/>
        <w:jc w:val="both"/>
        <w:rPr>
          <w:rFonts w:ascii="Arial" w:eastAsia="Times New Roman" w:hAnsi="Arial" w:cs="Arial"/>
          <w:sz w:val="24"/>
          <w:szCs w:val="24"/>
          <w:lang w:eastAsia="es-ES"/>
        </w:rPr>
      </w:pPr>
    </w:p>
    <w:p w14:paraId="51ED119B" w14:textId="6D7A0474" w:rsidR="00051AC8" w:rsidRPr="00B359A5" w:rsidRDefault="00DA7270" w:rsidP="00853D34">
      <w:pPr>
        <w:pStyle w:val="Sinespaciado"/>
        <w:spacing w:line="360" w:lineRule="auto"/>
        <w:ind w:right="49"/>
        <w:jc w:val="both"/>
        <w:rPr>
          <w:rFonts w:ascii="Arial" w:eastAsia="Times New Roman" w:hAnsi="Arial" w:cs="Arial"/>
          <w:sz w:val="24"/>
          <w:szCs w:val="24"/>
          <w:lang w:eastAsia="es-ES"/>
        </w:rPr>
      </w:pPr>
      <w:r w:rsidRPr="00853D34">
        <w:rPr>
          <w:rFonts w:ascii="Arial" w:eastAsia="Times New Roman" w:hAnsi="Arial" w:cs="Arial"/>
          <w:sz w:val="24"/>
          <w:szCs w:val="24"/>
          <w:lang w:eastAsia="es-ES"/>
        </w:rPr>
        <w:t>1.</w:t>
      </w:r>
      <w:r w:rsidR="0047723E" w:rsidRPr="00853D34">
        <w:rPr>
          <w:rFonts w:ascii="Arial" w:eastAsia="Times New Roman" w:hAnsi="Arial" w:cs="Arial"/>
          <w:sz w:val="24"/>
          <w:szCs w:val="24"/>
          <w:lang w:eastAsia="es-ES"/>
        </w:rPr>
        <w:t>1.2.-</w:t>
      </w:r>
      <w:r w:rsidR="0041516E" w:rsidRPr="00853D34">
        <w:rPr>
          <w:rFonts w:ascii="Arial" w:eastAsia="Times New Roman" w:hAnsi="Arial" w:cs="Arial"/>
          <w:sz w:val="24"/>
          <w:szCs w:val="24"/>
          <w:lang w:eastAsia="es-ES"/>
        </w:rPr>
        <w:t xml:space="preserve"> </w:t>
      </w:r>
      <w:r w:rsidR="00051AC8" w:rsidRPr="00853D34">
        <w:rPr>
          <w:rFonts w:ascii="Arial" w:hAnsi="Arial" w:cs="Arial"/>
          <w:sz w:val="24"/>
          <w:szCs w:val="24"/>
        </w:rPr>
        <w:t>El solicitante adujo que la providencia reprochada incurrió en los defectos orgánico y de desconocimiento del precedente ju</w:t>
      </w:r>
      <w:r w:rsidR="00B73A7A">
        <w:rPr>
          <w:rFonts w:ascii="Arial" w:hAnsi="Arial" w:cs="Arial"/>
          <w:sz w:val="24"/>
          <w:szCs w:val="24"/>
        </w:rPr>
        <w:t>dicial</w:t>
      </w:r>
      <w:r w:rsidR="00051AC8" w:rsidRPr="00853D34">
        <w:rPr>
          <w:rFonts w:ascii="Arial" w:hAnsi="Arial" w:cs="Arial"/>
          <w:sz w:val="24"/>
          <w:szCs w:val="24"/>
        </w:rPr>
        <w:t xml:space="preserve">, toda vez que </w:t>
      </w:r>
      <w:r w:rsidR="00051AC8" w:rsidRPr="00853D34">
        <w:rPr>
          <w:rFonts w:ascii="Arial" w:eastAsia="Times New Roman" w:hAnsi="Arial" w:cs="Arial"/>
          <w:sz w:val="24"/>
          <w:szCs w:val="24"/>
          <w:lang w:eastAsia="es-ES"/>
        </w:rPr>
        <w:t xml:space="preserve">se extralimitó en su competencia funcional al resolver la </w:t>
      </w:r>
      <w:r w:rsidR="00853D34" w:rsidRPr="00853D34">
        <w:rPr>
          <w:rFonts w:ascii="Arial" w:eastAsia="Times New Roman" w:hAnsi="Arial" w:cs="Arial"/>
          <w:sz w:val="24"/>
          <w:szCs w:val="24"/>
          <w:lang w:eastAsia="es-ES"/>
        </w:rPr>
        <w:t>alzada</w:t>
      </w:r>
      <w:r w:rsidR="00051AC8" w:rsidRPr="00853D34">
        <w:rPr>
          <w:rFonts w:ascii="Arial" w:eastAsia="Times New Roman" w:hAnsi="Arial" w:cs="Arial"/>
          <w:sz w:val="24"/>
          <w:szCs w:val="24"/>
          <w:lang w:eastAsia="es-ES"/>
        </w:rPr>
        <w:t xml:space="preserve"> </w:t>
      </w:r>
      <w:r w:rsidR="009A597A">
        <w:rPr>
          <w:rFonts w:ascii="Arial" w:eastAsia="Times New Roman" w:hAnsi="Arial" w:cs="Arial"/>
          <w:sz w:val="24"/>
          <w:szCs w:val="24"/>
          <w:lang w:eastAsia="es-ES"/>
        </w:rPr>
        <w:t xml:space="preserve">teniendo en cuenta </w:t>
      </w:r>
      <w:r w:rsidR="00051AC8" w:rsidRPr="00853D34">
        <w:rPr>
          <w:rFonts w:ascii="Arial" w:eastAsia="Times New Roman" w:hAnsi="Arial" w:cs="Arial"/>
          <w:sz w:val="24"/>
          <w:szCs w:val="24"/>
          <w:lang w:eastAsia="es-ES"/>
        </w:rPr>
        <w:t xml:space="preserve">aspectos que no fueron planteados </w:t>
      </w:r>
      <w:r w:rsidR="00AA24EC" w:rsidRPr="00853D34">
        <w:rPr>
          <w:rFonts w:ascii="Arial" w:eastAsia="Times New Roman" w:hAnsi="Arial" w:cs="Arial"/>
          <w:sz w:val="24"/>
          <w:szCs w:val="24"/>
          <w:lang w:eastAsia="es-ES"/>
        </w:rPr>
        <w:t xml:space="preserve">por la DIAN </w:t>
      </w:r>
      <w:r w:rsidR="00051AC8" w:rsidRPr="00853D34">
        <w:rPr>
          <w:rFonts w:ascii="Arial" w:eastAsia="Times New Roman" w:hAnsi="Arial" w:cs="Arial"/>
          <w:sz w:val="24"/>
          <w:szCs w:val="24"/>
          <w:lang w:eastAsia="es-ES"/>
        </w:rPr>
        <w:t xml:space="preserve">y omitió la posición que el Consejo de Estado ha sentado </w:t>
      </w:r>
      <w:r w:rsidR="009A597A">
        <w:rPr>
          <w:rFonts w:ascii="Arial" w:eastAsia="Times New Roman" w:hAnsi="Arial" w:cs="Arial"/>
          <w:sz w:val="24"/>
          <w:szCs w:val="24"/>
          <w:lang w:eastAsia="es-ES"/>
        </w:rPr>
        <w:t xml:space="preserve">respecto a </w:t>
      </w:r>
      <w:r w:rsidR="00051AC8" w:rsidRPr="00853D34">
        <w:rPr>
          <w:rFonts w:ascii="Arial" w:eastAsia="Times New Roman" w:hAnsi="Arial" w:cs="Arial"/>
          <w:sz w:val="24"/>
          <w:szCs w:val="24"/>
          <w:lang w:eastAsia="es-ES"/>
        </w:rPr>
        <w:t>la prima especial de servicios y la bonificación por gestión judicial, por lo que sobre est</w:t>
      </w:r>
      <w:r w:rsidR="008203DD" w:rsidRPr="00853D34">
        <w:rPr>
          <w:rFonts w:ascii="Arial" w:eastAsia="Times New Roman" w:hAnsi="Arial" w:cs="Arial"/>
          <w:sz w:val="24"/>
          <w:szCs w:val="24"/>
          <w:lang w:eastAsia="es-ES"/>
        </w:rPr>
        <w:t>o</w:t>
      </w:r>
      <w:r w:rsidR="00051AC8" w:rsidRPr="00853D34">
        <w:rPr>
          <w:rFonts w:ascii="Arial" w:eastAsia="Times New Roman" w:hAnsi="Arial" w:cs="Arial"/>
          <w:sz w:val="24"/>
          <w:szCs w:val="24"/>
          <w:lang w:eastAsia="es-ES"/>
        </w:rPr>
        <w:t>s</w:t>
      </w:r>
      <w:r w:rsidR="008203DD" w:rsidRPr="00853D34">
        <w:rPr>
          <w:rFonts w:ascii="Arial" w:eastAsia="Times New Roman" w:hAnsi="Arial" w:cs="Arial"/>
          <w:sz w:val="24"/>
          <w:szCs w:val="24"/>
          <w:lang w:eastAsia="es-ES"/>
        </w:rPr>
        <w:t xml:space="preserve"> rubros</w:t>
      </w:r>
      <w:r w:rsidR="00051AC8" w:rsidRPr="00853D34">
        <w:rPr>
          <w:rFonts w:ascii="Arial" w:eastAsia="Times New Roman" w:hAnsi="Arial" w:cs="Arial"/>
          <w:sz w:val="24"/>
          <w:szCs w:val="24"/>
          <w:lang w:eastAsia="es-ES"/>
        </w:rPr>
        <w:t xml:space="preserve"> también deb</w:t>
      </w:r>
      <w:r w:rsidR="008203DD" w:rsidRPr="00853D34">
        <w:rPr>
          <w:rFonts w:ascii="Arial" w:eastAsia="Times New Roman" w:hAnsi="Arial" w:cs="Arial"/>
          <w:sz w:val="24"/>
          <w:szCs w:val="24"/>
          <w:lang w:eastAsia="es-ES"/>
        </w:rPr>
        <w:t>iero</w:t>
      </w:r>
      <w:r w:rsidR="00051AC8" w:rsidRPr="00853D34">
        <w:rPr>
          <w:rFonts w:ascii="Arial" w:eastAsia="Times New Roman" w:hAnsi="Arial" w:cs="Arial"/>
          <w:sz w:val="24"/>
          <w:szCs w:val="24"/>
          <w:lang w:eastAsia="es-ES"/>
        </w:rPr>
        <w:t xml:space="preserve">n haberle aplicado la exención </w:t>
      </w:r>
      <w:r w:rsidR="00883726">
        <w:rPr>
          <w:rFonts w:ascii="Arial" w:eastAsia="Times New Roman" w:hAnsi="Arial" w:cs="Arial"/>
          <w:sz w:val="24"/>
          <w:szCs w:val="24"/>
          <w:lang w:eastAsia="es-ES"/>
        </w:rPr>
        <w:t xml:space="preserve">de que trata el </w:t>
      </w:r>
      <w:r w:rsidR="00051AC8" w:rsidRPr="00853D34">
        <w:rPr>
          <w:rFonts w:ascii="Arial" w:eastAsia="Times New Roman" w:hAnsi="Arial" w:cs="Arial"/>
          <w:sz w:val="24"/>
          <w:szCs w:val="24"/>
          <w:lang w:eastAsia="es-ES"/>
        </w:rPr>
        <w:t>numeral 7º</w:t>
      </w:r>
      <w:r w:rsidR="00883726" w:rsidRPr="00883726">
        <w:rPr>
          <w:rFonts w:ascii="Arial" w:eastAsia="Times New Roman" w:hAnsi="Arial" w:cs="Arial"/>
          <w:sz w:val="24"/>
          <w:szCs w:val="24"/>
          <w:lang w:eastAsia="es-ES"/>
        </w:rPr>
        <w:t xml:space="preserve"> </w:t>
      </w:r>
      <w:r w:rsidR="00883726" w:rsidRPr="00853D34">
        <w:rPr>
          <w:rFonts w:ascii="Arial" w:eastAsia="Times New Roman" w:hAnsi="Arial" w:cs="Arial"/>
          <w:sz w:val="24"/>
          <w:szCs w:val="24"/>
          <w:lang w:eastAsia="es-ES"/>
        </w:rPr>
        <w:t>del artículo 296</w:t>
      </w:r>
      <w:r w:rsidR="00051AC8" w:rsidRPr="00853D34">
        <w:rPr>
          <w:rFonts w:ascii="Arial" w:eastAsia="Times New Roman" w:hAnsi="Arial" w:cs="Arial"/>
          <w:sz w:val="24"/>
          <w:szCs w:val="24"/>
          <w:lang w:eastAsia="es-ES"/>
        </w:rPr>
        <w:t xml:space="preserve"> del Estatuto Tributario</w:t>
      </w:r>
      <w:r w:rsidR="00051AC8" w:rsidRPr="00853D34">
        <w:rPr>
          <w:rStyle w:val="Refdenotaalpie"/>
          <w:rFonts w:ascii="Arial" w:eastAsia="Times New Roman" w:hAnsi="Arial" w:cs="Arial"/>
          <w:sz w:val="24"/>
          <w:szCs w:val="24"/>
          <w:lang w:eastAsia="es-ES"/>
        </w:rPr>
        <w:footnoteReference w:id="1"/>
      </w:r>
      <w:r w:rsidR="00051AC8" w:rsidRPr="00853D34">
        <w:rPr>
          <w:rFonts w:ascii="Arial" w:eastAsia="Times New Roman" w:hAnsi="Arial" w:cs="Arial"/>
          <w:sz w:val="24"/>
          <w:szCs w:val="24"/>
          <w:lang w:eastAsia="es-ES"/>
        </w:rPr>
        <w:t xml:space="preserve">. </w:t>
      </w:r>
      <w:r w:rsidR="00051AC8" w:rsidRPr="00853D34">
        <w:rPr>
          <w:rFonts w:ascii="Arial" w:hAnsi="Arial" w:cs="Arial"/>
          <w:sz w:val="24"/>
          <w:szCs w:val="24"/>
        </w:rPr>
        <w:t xml:space="preserve"> </w:t>
      </w:r>
    </w:p>
    <w:p w14:paraId="06972034" w14:textId="77777777" w:rsidR="008E7C7E" w:rsidRPr="00853D34" w:rsidRDefault="008E7C7E" w:rsidP="00853D34">
      <w:pPr>
        <w:tabs>
          <w:tab w:val="left" w:pos="3810"/>
        </w:tabs>
        <w:spacing w:after="0" w:line="360" w:lineRule="auto"/>
        <w:jc w:val="both"/>
        <w:rPr>
          <w:rFonts w:ascii="Arial" w:hAnsi="Arial" w:cs="Arial"/>
          <w:sz w:val="24"/>
          <w:szCs w:val="24"/>
        </w:rPr>
      </w:pPr>
    </w:p>
    <w:p w14:paraId="6429A5A7" w14:textId="6612F080" w:rsidR="00DA7270" w:rsidRPr="00853D34" w:rsidRDefault="00DA7270" w:rsidP="00853D34">
      <w:pPr>
        <w:tabs>
          <w:tab w:val="left" w:pos="3810"/>
        </w:tabs>
        <w:spacing w:after="0" w:line="360" w:lineRule="auto"/>
        <w:jc w:val="both"/>
        <w:rPr>
          <w:rFonts w:ascii="Arial" w:hAnsi="Arial" w:cs="Arial"/>
          <w:sz w:val="24"/>
          <w:szCs w:val="24"/>
        </w:rPr>
      </w:pPr>
      <w:r w:rsidRPr="00853D34">
        <w:rPr>
          <w:rFonts w:ascii="Arial" w:hAnsi="Arial" w:cs="Arial"/>
          <w:sz w:val="24"/>
          <w:szCs w:val="24"/>
        </w:rPr>
        <w:t>1.</w:t>
      </w:r>
      <w:r w:rsidR="00273925" w:rsidRPr="00853D34">
        <w:rPr>
          <w:rFonts w:ascii="Arial" w:hAnsi="Arial" w:cs="Arial"/>
          <w:sz w:val="24"/>
          <w:szCs w:val="24"/>
        </w:rPr>
        <w:t xml:space="preserve">1.3.- </w:t>
      </w:r>
      <w:r w:rsidR="00CA0EB4" w:rsidRPr="00853D34">
        <w:rPr>
          <w:rFonts w:ascii="Arial" w:eastAsia="Calibri" w:hAnsi="Arial" w:cs="Arial"/>
          <w:bCs/>
          <w:sz w:val="24"/>
          <w:szCs w:val="24"/>
        </w:rPr>
        <w:t xml:space="preserve">La acción de tutela fue admitida </w:t>
      </w:r>
      <w:r w:rsidR="001B7BE0">
        <w:rPr>
          <w:rFonts w:ascii="Arial" w:eastAsia="Calibri" w:hAnsi="Arial" w:cs="Arial"/>
          <w:bCs/>
          <w:sz w:val="24"/>
          <w:szCs w:val="24"/>
        </w:rPr>
        <w:t xml:space="preserve">por el suscrito </w:t>
      </w:r>
      <w:r w:rsidR="00CA0EB4" w:rsidRPr="00853D34">
        <w:rPr>
          <w:rFonts w:ascii="Arial" w:eastAsia="Calibri" w:hAnsi="Arial" w:cs="Arial"/>
          <w:bCs/>
          <w:sz w:val="24"/>
          <w:szCs w:val="24"/>
        </w:rPr>
        <w:t xml:space="preserve">mediante auto del </w:t>
      </w:r>
      <w:r w:rsidR="00051AC8" w:rsidRPr="00853D34">
        <w:rPr>
          <w:rFonts w:ascii="Arial" w:eastAsia="Calibri" w:hAnsi="Arial" w:cs="Arial"/>
          <w:bCs/>
          <w:sz w:val="24"/>
          <w:szCs w:val="24"/>
        </w:rPr>
        <w:t>1</w:t>
      </w:r>
      <w:r w:rsidR="00B97534" w:rsidRPr="00853D34">
        <w:rPr>
          <w:rFonts w:ascii="Arial" w:eastAsia="Calibri" w:hAnsi="Arial" w:cs="Arial"/>
          <w:bCs/>
          <w:sz w:val="24"/>
          <w:szCs w:val="24"/>
        </w:rPr>
        <w:t>3</w:t>
      </w:r>
      <w:r w:rsidR="00CA0EB4" w:rsidRPr="00853D34">
        <w:rPr>
          <w:rFonts w:ascii="Arial" w:eastAsia="Calibri" w:hAnsi="Arial" w:cs="Arial"/>
          <w:bCs/>
          <w:sz w:val="24"/>
          <w:szCs w:val="24"/>
        </w:rPr>
        <w:t xml:space="preserve"> de </w:t>
      </w:r>
      <w:r w:rsidR="00B97534" w:rsidRPr="00853D34">
        <w:rPr>
          <w:rFonts w:ascii="Arial" w:eastAsia="Calibri" w:hAnsi="Arial" w:cs="Arial"/>
          <w:bCs/>
          <w:sz w:val="24"/>
          <w:szCs w:val="24"/>
        </w:rPr>
        <w:t>juli</w:t>
      </w:r>
      <w:r w:rsidR="00CA0EB4" w:rsidRPr="00853D34">
        <w:rPr>
          <w:rFonts w:ascii="Arial" w:eastAsia="Calibri" w:hAnsi="Arial" w:cs="Arial"/>
          <w:bCs/>
          <w:sz w:val="24"/>
          <w:szCs w:val="24"/>
        </w:rPr>
        <w:t>o de 2020</w:t>
      </w:r>
      <w:r w:rsidR="00B97534" w:rsidRPr="00853D34">
        <w:rPr>
          <w:rFonts w:ascii="Arial" w:eastAsia="Calibri" w:hAnsi="Arial" w:cs="Arial"/>
          <w:bCs/>
          <w:sz w:val="24"/>
          <w:szCs w:val="24"/>
        </w:rPr>
        <w:t xml:space="preserve">. </w:t>
      </w:r>
      <w:r w:rsidR="00273925" w:rsidRPr="00853D34">
        <w:rPr>
          <w:rFonts w:ascii="Arial" w:hAnsi="Arial" w:cs="Arial"/>
          <w:bCs/>
          <w:sz w:val="24"/>
          <w:szCs w:val="24"/>
        </w:rPr>
        <w:t xml:space="preserve">Así bien, encontrándose el proceso de la referencia para resolver </w:t>
      </w:r>
      <w:r w:rsidR="00B97534" w:rsidRPr="00853D34">
        <w:rPr>
          <w:rFonts w:ascii="Arial" w:hAnsi="Arial" w:cs="Arial"/>
          <w:bCs/>
          <w:sz w:val="24"/>
          <w:szCs w:val="24"/>
        </w:rPr>
        <w:t xml:space="preserve">la </w:t>
      </w:r>
      <w:r w:rsidR="00273925" w:rsidRPr="00853D34">
        <w:rPr>
          <w:rFonts w:ascii="Arial" w:hAnsi="Arial" w:cs="Arial"/>
          <w:bCs/>
          <w:sz w:val="24"/>
          <w:szCs w:val="24"/>
        </w:rPr>
        <w:t>primera instancia, se hace la siguiente</w:t>
      </w:r>
    </w:p>
    <w:p w14:paraId="1B157B4F" w14:textId="77777777" w:rsidR="002174A7" w:rsidRPr="00853D34" w:rsidRDefault="002174A7" w:rsidP="004B22FB">
      <w:pPr>
        <w:spacing w:after="0" w:line="360" w:lineRule="auto"/>
        <w:ind w:right="-93"/>
        <w:jc w:val="center"/>
        <w:rPr>
          <w:rFonts w:ascii="Arial" w:eastAsia="Calibri" w:hAnsi="Arial" w:cs="Arial"/>
          <w:b/>
          <w:sz w:val="24"/>
          <w:szCs w:val="24"/>
        </w:rPr>
      </w:pPr>
      <w:r w:rsidRPr="00853D34">
        <w:rPr>
          <w:rFonts w:ascii="Arial" w:eastAsia="Calibri" w:hAnsi="Arial" w:cs="Arial"/>
          <w:b/>
          <w:sz w:val="24"/>
          <w:szCs w:val="24"/>
        </w:rPr>
        <w:lastRenderedPageBreak/>
        <w:t xml:space="preserve">II. MANIFESTACIÓN DE IMPEDIMENTO </w:t>
      </w:r>
    </w:p>
    <w:p w14:paraId="22283907" w14:textId="77777777" w:rsidR="002174A7" w:rsidRPr="00853D34" w:rsidRDefault="002174A7" w:rsidP="004B22FB">
      <w:pPr>
        <w:spacing w:after="0" w:line="360" w:lineRule="auto"/>
        <w:jc w:val="center"/>
        <w:rPr>
          <w:rFonts w:ascii="Arial" w:eastAsia="Calibri" w:hAnsi="Arial" w:cs="Arial"/>
          <w:b/>
          <w:bCs/>
          <w:sz w:val="24"/>
          <w:szCs w:val="24"/>
        </w:rPr>
      </w:pPr>
    </w:p>
    <w:p w14:paraId="7C208546" w14:textId="61A19E7D" w:rsidR="002174A7" w:rsidRPr="00853D34" w:rsidRDefault="002174A7" w:rsidP="004B22FB">
      <w:pPr>
        <w:spacing w:after="0" w:line="360" w:lineRule="auto"/>
        <w:jc w:val="both"/>
        <w:rPr>
          <w:rFonts w:ascii="Arial" w:eastAsia="Calibri" w:hAnsi="Arial" w:cs="Arial"/>
          <w:b/>
          <w:bCs/>
          <w:sz w:val="24"/>
          <w:szCs w:val="24"/>
          <w:shd w:val="clear" w:color="auto" w:fill="FFFFFF"/>
        </w:rPr>
      </w:pPr>
      <w:r w:rsidRPr="00853D34">
        <w:rPr>
          <w:rFonts w:ascii="Arial" w:eastAsia="Calibri" w:hAnsi="Arial" w:cs="Arial"/>
          <w:bCs/>
          <w:sz w:val="24"/>
          <w:szCs w:val="24"/>
        </w:rPr>
        <w:t>2.1.- De acuerdo con lo señalado en el artículo 39</w:t>
      </w:r>
      <w:r w:rsidR="00314B92" w:rsidRPr="00853D34">
        <w:rPr>
          <w:rStyle w:val="Refdenotaalpie"/>
          <w:rFonts w:ascii="Arial" w:eastAsia="Calibri" w:hAnsi="Arial" w:cs="Arial"/>
          <w:bCs/>
          <w:sz w:val="24"/>
          <w:szCs w:val="24"/>
        </w:rPr>
        <w:footnoteReference w:id="2"/>
      </w:r>
      <w:r w:rsidRPr="00853D34">
        <w:rPr>
          <w:rFonts w:ascii="Arial" w:eastAsia="Calibri" w:hAnsi="Arial" w:cs="Arial"/>
          <w:bCs/>
          <w:sz w:val="24"/>
          <w:szCs w:val="24"/>
        </w:rPr>
        <w:t xml:space="preserve"> del Decreto 2591 de 1991</w:t>
      </w:r>
      <w:r w:rsidR="00B97534" w:rsidRPr="00853D34">
        <w:rPr>
          <w:rFonts w:ascii="Arial" w:eastAsia="Calibri" w:hAnsi="Arial" w:cs="Arial"/>
          <w:bCs/>
          <w:sz w:val="24"/>
          <w:szCs w:val="24"/>
        </w:rPr>
        <w:t>,</w:t>
      </w:r>
      <w:r w:rsidRPr="00853D34">
        <w:rPr>
          <w:rFonts w:ascii="Arial" w:eastAsia="Calibri" w:hAnsi="Arial" w:cs="Arial"/>
          <w:bCs/>
          <w:sz w:val="24"/>
          <w:szCs w:val="24"/>
        </w:rPr>
        <w:t xml:space="preserve"> </w:t>
      </w:r>
      <w:r w:rsidRPr="00853D34">
        <w:rPr>
          <w:rFonts w:ascii="Arial" w:eastAsia="Calibri" w:hAnsi="Arial" w:cs="Arial"/>
          <w:bCs/>
          <w:sz w:val="24"/>
          <w:szCs w:val="24"/>
          <w:shd w:val="clear" w:color="auto" w:fill="FFFFFF"/>
        </w:rPr>
        <w:t>“</w:t>
      </w:r>
      <w:r w:rsidRPr="00853D34">
        <w:rPr>
          <w:rFonts w:ascii="Arial" w:eastAsia="Calibri" w:hAnsi="Arial" w:cs="Arial"/>
          <w:bCs/>
          <w:i/>
          <w:sz w:val="24"/>
          <w:szCs w:val="24"/>
          <w:shd w:val="clear" w:color="auto" w:fill="FFFFFF"/>
        </w:rPr>
        <w:t>Por el cual se reglamenta la acción de tutela consagrada en el artículo 86 de la Constitución Política</w:t>
      </w:r>
      <w:r w:rsidRPr="00853D34">
        <w:rPr>
          <w:rFonts w:ascii="Arial" w:eastAsia="Calibri" w:hAnsi="Arial" w:cs="Arial"/>
          <w:bCs/>
          <w:sz w:val="24"/>
          <w:szCs w:val="24"/>
          <w:shd w:val="clear" w:color="auto" w:fill="FFFFFF"/>
        </w:rPr>
        <w:t>”, dado que en materia de la acción tuitiva no es procedente la recusación, el juez que la conozca debe declara</w:t>
      </w:r>
      <w:r w:rsidR="00B97534" w:rsidRPr="00853D34">
        <w:rPr>
          <w:rFonts w:ascii="Arial" w:eastAsia="Calibri" w:hAnsi="Arial" w:cs="Arial"/>
          <w:bCs/>
          <w:sz w:val="24"/>
          <w:szCs w:val="24"/>
          <w:shd w:val="clear" w:color="auto" w:fill="FFFFFF"/>
        </w:rPr>
        <w:t>r</w:t>
      </w:r>
      <w:r w:rsidRPr="00853D34">
        <w:rPr>
          <w:rFonts w:ascii="Arial" w:eastAsia="Calibri" w:hAnsi="Arial" w:cs="Arial"/>
          <w:bCs/>
          <w:sz w:val="24"/>
          <w:szCs w:val="24"/>
          <w:shd w:val="clear" w:color="auto" w:fill="FFFFFF"/>
        </w:rPr>
        <w:t>se impedido siempre que concurran las causales del Código de Procedimiento Penal, so pena de incurrir en las sanciones correspondientes.</w:t>
      </w:r>
      <w:r w:rsidRPr="00853D34">
        <w:rPr>
          <w:rFonts w:ascii="Arial" w:eastAsia="Calibri" w:hAnsi="Arial" w:cs="Arial"/>
          <w:b/>
          <w:bCs/>
          <w:sz w:val="24"/>
          <w:szCs w:val="24"/>
          <w:shd w:val="clear" w:color="auto" w:fill="FFFFFF"/>
        </w:rPr>
        <w:t xml:space="preserve"> </w:t>
      </w:r>
    </w:p>
    <w:p w14:paraId="06A5D66E" w14:textId="77777777" w:rsidR="002174A7" w:rsidRPr="00853D34" w:rsidRDefault="002174A7" w:rsidP="004B22FB">
      <w:pPr>
        <w:spacing w:after="0" w:line="360" w:lineRule="auto"/>
        <w:jc w:val="both"/>
        <w:rPr>
          <w:rFonts w:ascii="Arial" w:eastAsia="Calibri" w:hAnsi="Arial" w:cs="Arial"/>
          <w:sz w:val="24"/>
          <w:szCs w:val="24"/>
          <w:shd w:val="clear" w:color="auto" w:fill="FFFFFF"/>
        </w:rPr>
      </w:pPr>
    </w:p>
    <w:p w14:paraId="231FE127" w14:textId="7029CEFB" w:rsidR="002174A7" w:rsidRPr="00853D34" w:rsidRDefault="002174A7" w:rsidP="004B22FB">
      <w:pPr>
        <w:spacing w:after="0" w:line="360" w:lineRule="auto"/>
        <w:jc w:val="both"/>
        <w:rPr>
          <w:rFonts w:ascii="Arial" w:eastAsia="Calibri" w:hAnsi="Arial" w:cs="Arial"/>
          <w:sz w:val="24"/>
          <w:szCs w:val="24"/>
        </w:rPr>
      </w:pPr>
      <w:r w:rsidRPr="00853D34">
        <w:rPr>
          <w:rFonts w:ascii="Arial" w:eastAsia="Calibri" w:hAnsi="Arial" w:cs="Arial"/>
          <w:sz w:val="24"/>
          <w:szCs w:val="24"/>
          <w:shd w:val="clear" w:color="auto" w:fill="FFFFFF"/>
        </w:rPr>
        <w:t xml:space="preserve">2.2.- </w:t>
      </w:r>
      <w:r w:rsidR="00C41CFE" w:rsidRPr="00853D34">
        <w:rPr>
          <w:rFonts w:ascii="Arial" w:eastAsia="Calibri" w:hAnsi="Arial" w:cs="Arial"/>
          <w:sz w:val="24"/>
          <w:szCs w:val="24"/>
          <w:shd w:val="clear" w:color="auto" w:fill="FFFFFF"/>
        </w:rPr>
        <w:t xml:space="preserve">Entonces, </w:t>
      </w:r>
      <w:r w:rsidRPr="00853D34">
        <w:rPr>
          <w:rFonts w:ascii="Arial" w:eastAsia="Calibri" w:hAnsi="Arial" w:cs="Arial"/>
          <w:sz w:val="24"/>
          <w:szCs w:val="24"/>
          <w:shd w:val="clear" w:color="auto" w:fill="FFFFFF"/>
        </w:rPr>
        <w:t>verificado el artículo 56 de la Ley 906 de 2004</w:t>
      </w:r>
      <w:r w:rsidR="00B97534" w:rsidRPr="00853D34">
        <w:rPr>
          <w:rFonts w:ascii="Arial" w:eastAsia="Calibri" w:hAnsi="Arial" w:cs="Arial"/>
          <w:sz w:val="24"/>
          <w:szCs w:val="24"/>
          <w:shd w:val="clear" w:color="auto" w:fill="FFFFFF"/>
        </w:rPr>
        <w:t>,</w:t>
      </w:r>
      <w:r w:rsidRPr="00853D34">
        <w:rPr>
          <w:rFonts w:ascii="Arial" w:eastAsia="Calibri" w:hAnsi="Arial" w:cs="Arial"/>
          <w:sz w:val="24"/>
          <w:szCs w:val="24"/>
          <w:shd w:val="clear" w:color="auto" w:fill="FFFFFF"/>
        </w:rPr>
        <w:t xml:space="preserve"> </w:t>
      </w:r>
      <w:r w:rsidRPr="00853D34">
        <w:rPr>
          <w:rFonts w:ascii="Arial" w:eastAsia="Calibri" w:hAnsi="Arial" w:cs="Arial"/>
          <w:i/>
          <w:sz w:val="24"/>
          <w:szCs w:val="24"/>
          <w:shd w:val="clear" w:color="auto" w:fill="FFFFFF"/>
        </w:rPr>
        <w:t>“</w:t>
      </w:r>
      <w:r w:rsidRPr="00853D34">
        <w:rPr>
          <w:rFonts w:ascii="Arial" w:eastAsia="Calibri" w:hAnsi="Arial" w:cs="Arial"/>
          <w:i/>
          <w:sz w:val="24"/>
          <w:szCs w:val="24"/>
        </w:rPr>
        <w:t>Por la cual se expide el Código de Procedimiento Penal”</w:t>
      </w:r>
      <w:r w:rsidRPr="00853D34">
        <w:rPr>
          <w:rFonts w:ascii="Arial" w:eastAsia="Calibri" w:hAnsi="Arial" w:cs="Arial"/>
          <w:sz w:val="24"/>
          <w:szCs w:val="24"/>
        </w:rPr>
        <w:t>, se advierte que el suscrito estaría incurso en la causal de impedimento señalada en el numeral 1</w:t>
      </w:r>
      <w:r w:rsidR="00314B92" w:rsidRPr="00853D34">
        <w:rPr>
          <w:rStyle w:val="Refdenotaalpie"/>
          <w:rFonts w:ascii="Arial" w:eastAsia="Calibri" w:hAnsi="Arial" w:cs="Arial"/>
          <w:sz w:val="24"/>
          <w:szCs w:val="24"/>
        </w:rPr>
        <w:footnoteReference w:id="3"/>
      </w:r>
      <w:r w:rsidR="00314B92" w:rsidRPr="00853D34">
        <w:rPr>
          <w:rFonts w:ascii="Arial" w:eastAsia="Calibri" w:hAnsi="Arial" w:cs="Arial"/>
          <w:sz w:val="24"/>
          <w:szCs w:val="24"/>
        </w:rPr>
        <w:t xml:space="preserve">, relativa a que el funcionario judicial tenga interés en la actuación procesal. </w:t>
      </w:r>
      <w:r w:rsidRPr="00853D34">
        <w:rPr>
          <w:rFonts w:ascii="Arial" w:eastAsia="Calibri" w:hAnsi="Arial" w:cs="Arial"/>
          <w:sz w:val="24"/>
          <w:szCs w:val="24"/>
        </w:rPr>
        <w:t xml:space="preserve"> </w:t>
      </w:r>
    </w:p>
    <w:p w14:paraId="190D4892" w14:textId="77777777" w:rsidR="002174A7" w:rsidRPr="00853D34" w:rsidRDefault="002174A7" w:rsidP="004B22FB">
      <w:pPr>
        <w:spacing w:after="0" w:line="360" w:lineRule="auto"/>
        <w:jc w:val="both"/>
        <w:rPr>
          <w:rFonts w:ascii="Arial" w:eastAsia="Calibri" w:hAnsi="Arial" w:cs="Arial"/>
          <w:sz w:val="24"/>
          <w:szCs w:val="24"/>
        </w:rPr>
      </w:pPr>
    </w:p>
    <w:p w14:paraId="5173ED45" w14:textId="6DE48B03" w:rsidR="00271EDB" w:rsidRPr="00853D34" w:rsidRDefault="002174A7" w:rsidP="008203DD">
      <w:pPr>
        <w:spacing w:after="0" w:line="360" w:lineRule="auto"/>
        <w:jc w:val="both"/>
        <w:rPr>
          <w:rFonts w:ascii="Arial" w:eastAsia="Times New Roman" w:hAnsi="Arial" w:cs="Arial"/>
          <w:sz w:val="24"/>
          <w:szCs w:val="24"/>
          <w:lang w:eastAsia="es-ES"/>
        </w:rPr>
      </w:pPr>
      <w:r w:rsidRPr="00853D34">
        <w:rPr>
          <w:rFonts w:ascii="Arial" w:eastAsia="Calibri" w:hAnsi="Arial" w:cs="Arial"/>
          <w:sz w:val="24"/>
          <w:szCs w:val="24"/>
        </w:rPr>
        <w:t xml:space="preserve">2.3.- De esta manera, </w:t>
      </w:r>
      <w:r w:rsidRPr="00853D34">
        <w:rPr>
          <w:rFonts w:ascii="Arial" w:eastAsia="Times New Roman" w:hAnsi="Arial" w:cs="Arial"/>
          <w:sz w:val="24"/>
          <w:szCs w:val="24"/>
          <w:lang w:eastAsia="es-ES"/>
        </w:rPr>
        <w:t>considero que me encuentro incurso en la causal en cita</w:t>
      </w:r>
      <w:r w:rsidR="00271EDB" w:rsidRPr="00853D34">
        <w:rPr>
          <w:rFonts w:ascii="Arial" w:eastAsia="Times New Roman" w:hAnsi="Arial" w:cs="Arial"/>
          <w:sz w:val="24"/>
          <w:szCs w:val="24"/>
          <w:lang w:eastAsia="es-ES"/>
        </w:rPr>
        <w:t xml:space="preserve"> porque quien promueve la acción lo hace bajo la premisa de haber fungido como procurador judicial II administrativo, cargo análogo al mío durante parte del tiempo </w:t>
      </w:r>
      <w:r w:rsidR="002B64BC">
        <w:rPr>
          <w:rFonts w:ascii="Arial" w:eastAsia="Times New Roman" w:hAnsi="Arial" w:cs="Arial"/>
          <w:sz w:val="24"/>
          <w:szCs w:val="24"/>
          <w:lang w:eastAsia="es-ES"/>
        </w:rPr>
        <w:t xml:space="preserve">en el </w:t>
      </w:r>
      <w:r w:rsidR="00271EDB" w:rsidRPr="00853D34">
        <w:rPr>
          <w:rFonts w:ascii="Arial" w:eastAsia="Times New Roman" w:hAnsi="Arial" w:cs="Arial"/>
          <w:sz w:val="24"/>
          <w:szCs w:val="24"/>
          <w:lang w:eastAsia="es-ES"/>
        </w:rPr>
        <w:t>que laboré en la Procuraduría General de la Nación</w:t>
      </w:r>
      <w:r w:rsidR="00883726">
        <w:rPr>
          <w:rFonts w:ascii="Arial" w:eastAsia="Times New Roman" w:hAnsi="Arial" w:cs="Arial"/>
          <w:sz w:val="24"/>
          <w:szCs w:val="24"/>
          <w:lang w:eastAsia="es-ES"/>
        </w:rPr>
        <w:t xml:space="preserve"> y </w:t>
      </w:r>
      <w:r w:rsidR="00271EDB" w:rsidRPr="00853D34">
        <w:rPr>
          <w:rFonts w:ascii="Arial" w:eastAsia="Times New Roman" w:hAnsi="Arial" w:cs="Arial"/>
          <w:sz w:val="24"/>
          <w:szCs w:val="24"/>
          <w:lang w:eastAsia="es-ES"/>
        </w:rPr>
        <w:t xml:space="preserve">porque </w:t>
      </w:r>
      <w:r w:rsidR="00853D34" w:rsidRPr="00853D34">
        <w:rPr>
          <w:rFonts w:ascii="Arial" w:eastAsia="Times New Roman" w:hAnsi="Arial" w:cs="Arial"/>
          <w:sz w:val="24"/>
          <w:szCs w:val="24"/>
          <w:lang w:eastAsia="es-ES"/>
        </w:rPr>
        <w:t xml:space="preserve">las pretensiones del </w:t>
      </w:r>
      <w:r w:rsidR="00883726">
        <w:rPr>
          <w:rFonts w:ascii="Arial" w:eastAsia="Times New Roman" w:hAnsi="Arial" w:cs="Arial"/>
          <w:sz w:val="24"/>
          <w:szCs w:val="24"/>
          <w:lang w:eastAsia="es-ES"/>
        </w:rPr>
        <w:t xml:space="preserve">asunto tuitivo </w:t>
      </w:r>
      <w:r w:rsidR="00853D34" w:rsidRPr="00853D34">
        <w:rPr>
          <w:rFonts w:ascii="Arial" w:eastAsia="Times New Roman" w:hAnsi="Arial" w:cs="Arial"/>
          <w:sz w:val="24"/>
          <w:szCs w:val="24"/>
          <w:lang w:eastAsia="es-ES"/>
        </w:rPr>
        <w:t xml:space="preserve">giran en torno a la aplicación de normas que regulan aspectos tributarios, salariales y prestacionales que </w:t>
      </w:r>
      <w:r w:rsidR="00883726">
        <w:rPr>
          <w:rFonts w:ascii="Arial" w:eastAsia="Times New Roman" w:hAnsi="Arial" w:cs="Arial"/>
          <w:sz w:val="24"/>
          <w:szCs w:val="24"/>
          <w:lang w:eastAsia="es-ES"/>
        </w:rPr>
        <w:t xml:space="preserve">inciden </w:t>
      </w:r>
      <w:r w:rsidR="00853D34" w:rsidRPr="00853D34">
        <w:rPr>
          <w:rFonts w:ascii="Arial" w:eastAsia="Times New Roman" w:hAnsi="Arial" w:cs="Arial"/>
          <w:sz w:val="24"/>
          <w:szCs w:val="24"/>
          <w:lang w:eastAsia="es-ES"/>
        </w:rPr>
        <w:t xml:space="preserve">directamente </w:t>
      </w:r>
      <w:r w:rsidR="000547E2">
        <w:rPr>
          <w:rFonts w:ascii="Arial" w:eastAsia="Times New Roman" w:hAnsi="Arial" w:cs="Arial"/>
          <w:sz w:val="24"/>
          <w:szCs w:val="24"/>
          <w:lang w:eastAsia="es-ES"/>
        </w:rPr>
        <w:t xml:space="preserve">en el </w:t>
      </w:r>
      <w:r w:rsidR="00853D34" w:rsidRPr="00853D34">
        <w:rPr>
          <w:rFonts w:ascii="Arial" w:eastAsia="Times New Roman" w:hAnsi="Arial" w:cs="Arial"/>
          <w:sz w:val="24"/>
          <w:szCs w:val="24"/>
          <w:lang w:eastAsia="es-ES"/>
        </w:rPr>
        <w:t>régimen</w:t>
      </w:r>
      <w:r w:rsidR="001B7BE0">
        <w:rPr>
          <w:rFonts w:ascii="Arial" w:eastAsia="Times New Roman" w:hAnsi="Arial" w:cs="Arial"/>
          <w:sz w:val="24"/>
          <w:szCs w:val="24"/>
          <w:lang w:eastAsia="es-ES"/>
        </w:rPr>
        <w:t xml:space="preserve"> del</w:t>
      </w:r>
      <w:r w:rsidR="00853D34" w:rsidRPr="00853D34">
        <w:rPr>
          <w:rFonts w:ascii="Arial" w:eastAsia="Times New Roman" w:hAnsi="Arial" w:cs="Arial"/>
          <w:sz w:val="24"/>
          <w:szCs w:val="24"/>
          <w:lang w:eastAsia="es-ES"/>
        </w:rPr>
        <w:t xml:space="preserve"> </w:t>
      </w:r>
      <w:r w:rsidR="000547E2">
        <w:rPr>
          <w:rFonts w:ascii="Arial" w:eastAsia="Times New Roman" w:hAnsi="Arial" w:cs="Arial"/>
          <w:sz w:val="24"/>
          <w:szCs w:val="24"/>
          <w:lang w:eastAsia="es-ES"/>
        </w:rPr>
        <w:t xml:space="preserve">que también </w:t>
      </w:r>
      <w:r w:rsidR="001B7BE0">
        <w:rPr>
          <w:rFonts w:ascii="Arial" w:eastAsia="Times New Roman" w:hAnsi="Arial" w:cs="Arial"/>
          <w:sz w:val="24"/>
          <w:szCs w:val="24"/>
          <w:lang w:eastAsia="es-ES"/>
        </w:rPr>
        <w:t>fui sujeto pasivo</w:t>
      </w:r>
      <w:r w:rsidR="000547E2">
        <w:rPr>
          <w:rFonts w:ascii="Arial" w:eastAsia="Times New Roman" w:hAnsi="Arial" w:cs="Arial"/>
          <w:sz w:val="24"/>
          <w:szCs w:val="24"/>
          <w:lang w:eastAsia="es-ES"/>
        </w:rPr>
        <w:t xml:space="preserve">. </w:t>
      </w:r>
    </w:p>
    <w:p w14:paraId="4DB8FD89" w14:textId="77777777" w:rsidR="00E0171D" w:rsidRPr="00853D34" w:rsidRDefault="00E0171D" w:rsidP="004B22FB">
      <w:pPr>
        <w:spacing w:after="0" w:line="360" w:lineRule="auto"/>
        <w:jc w:val="both"/>
        <w:rPr>
          <w:rFonts w:ascii="Arial" w:eastAsia="Times New Roman" w:hAnsi="Arial" w:cs="Arial"/>
          <w:sz w:val="24"/>
          <w:szCs w:val="24"/>
          <w:highlight w:val="yellow"/>
          <w:lang w:eastAsia="es-ES"/>
        </w:rPr>
      </w:pPr>
    </w:p>
    <w:p w14:paraId="4CE33E9F" w14:textId="240F95CB" w:rsidR="002174A7" w:rsidRDefault="00137FD9" w:rsidP="004B22FB">
      <w:pPr>
        <w:spacing w:after="0" w:line="360" w:lineRule="auto"/>
        <w:jc w:val="both"/>
        <w:rPr>
          <w:rFonts w:ascii="Arial" w:eastAsia="Calibri" w:hAnsi="Arial" w:cs="Arial"/>
          <w:sz w:val="24"/>
          <w:szCs w:val="24"/>
        </w:rPr>
      </w:pPr>
      <w:r w:rsidRPr="00853D34">
        <w:rPr>
          <w:rFonts w:ascii="Arial" w:hAnsi="Arial" w:cs="Arial"/>
          <w:sz w:val="24"/>
          <w:szCs w:val="24"/>
        </w:rPr>
        <w:t xml:space="preserve">2.4.- </w:t>
      </w:r>
      <w:r w:rsidR="00757A41" w:rsidRPr="00853D34">
        <w:rPr>
          <w:rFonts w:ascii="Arial" w:hAnsi="Arial" w:cs="Arial"/>
          <w:sz w:val="24"/>
          <w:szCs w:val="24"/>
        </w:rPr>
        <w:t xml:space="preserve">Lo antecedente </w:t>
      </w:r>
      <w:r w:rsidR="00E0171D" w:rsidRPr="00853D34">
        <w:rPr>
          <w:rFonts w:ascii="Arial" w:hAnsi="Arial" w:cs="Arial"/>
          <w:sz w:val="24"/>
          <w:szCs w:val="24"/>
        </w:rPr>
        <w:t xml:space="preserve">me impone la obligación de presentar el impedimento a efectos de que sea estudiado </w:t>
      </w:r>
      <w:r w:rsidR="002174A7" w:rsidRPr="00853D34">
        <w:rPr>
          <w:rFonts w:ascii="Arial" w:eastAsia="Calibri" w:hAnsi="Arial" w:cs="Arial"/>
          <w:sz w:val="24"/>
          <w:szCs w:val="24"/>
        </w:rPr>
        <w:t>por los demás miembros de esta Subsección</w:t>
      </w:r>
      <w:r w:rsidR="00C41CFE" w:rsidRPr="00853D34">
        <w:rPr>
          <w:rFonts w:ascii="Arial" w:eastAsia="Calibri" w:hAnsi="Arial" w:cs="Arial"/>
          <w:sz w:val="24"/>
          <w:szCs w:val="24"/>
        </w:rPr>
        <w:t>,</w:t>
      </w:r>
      <w:r w:rsidR="002174A7" w:rsidRPr="00853D34">
        <w:rPr>
          <w:rFonts w:ascii="Arial" w:eastAsia="Calibri" w:hAnsi="Arial" w:cs="Arial"/>
          <w:sz w:val="24"/>
          <w:szCs w:val="24"/>
        </w:rPr>
        <w:t xml:space="preserve"> en los términos dispuestos en la ley. </w:t>
      </w:r>
    </w:p>
    <w:p w14:paraId="04F25FEC" w14:textId="77777777" w:rsidR="00356BED" w:rsidRPr="00853D34" w:rsidRDefault="00356BED" w:rsidP="004B22FB">
      <w:pPr>
        <w:spacing w:after="0" w:line="360" w:lineRule="auto"/>
        <w:jc w:val="both"/>
        <w:rPr>
          <w:rFonts w:ascii="Arial" w:eastAsia="Calibri" w:hAnsi="Arial" w:cs="Arial"/>
          <w:sz w:val="24"/>
          <w:szCs w:val="24"/>
        </w:rPr>
      </w:pPr>
    </w:p>
    <w:p w14:paraId="4CC11EDA" w14:textId="526D9551" w:rsidR="002174A7" w:rsidRPr="004B22FB" w:rsidRDefault="002B64BC" w:rsidP="002B64BC">
      <w:pPr>
        <w:spacing w:after="0" w:line="360" w:lineRule="auto"/>
        <w:jc w:val="both"/>
        <w:rPr>
          <w:rFonts w:ascii="Arial" w:eastAsia="Calibri" w:hAnsi="Arial" w:cs="Arial"/>
          <w:b/>
          <w:sz w:val="24"/>
          <w:szCs w:val="24"/>
          <w:lang w:val="es-ES_tradnl"/>
        </w:rPr>
      </w:pPr>
      <w:r w:rsidRPr="002B64BC">
        <w:rPr>
          <w:rFonts w:ascii="Arial" w:hAnsi="Arial" w:cs="Arial"/>
          <w:noProof/>
          <w:sz w:val="24"/>
          <w:szCs w:val="24"/>
          <w:lang w:val="es-ES" w:eastAsia="es-ES"/>
        </w:rPr>
        <w:drawing>
          <wp:inline distT="0" distB="0" distL="0" distR="0" wp14:anchorId="6A2468E6" wp14:editId="089A5731">
            <wp:extent cx="1610832" cy="93027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54094" cy="955259"/>
                    </a:xfrm>
                    <a:prstGeom prst="rect">
                      <a:avLst/>
                    </a:prstGeom>
                  </pic:spPr>
                </pic:pic>
              </a:graphicData>
            </a:graphic>
          </wp:inline>
        </w:drawing>
      </w:r>
    </w:p>
    <w:p w14:paraId="27C97035" w14:textId="77777777" w:rsidR="002174A7" w:rsidRPr="004B22FB" w:rsidRDefault="002174A7" w:rsidP="00853D34">
      <w:pPr>
        <w:spacing w:after="0" w:line="240" w:lineRule="auto"/>
        <w:rPr>
          <w:rFonts w:ascii="Arial" w:eastAsia="Calibri" w:hAnsi="Arial" w:cs="Arial"/>
          <w:b/>
          <w:bCs/>
          <w:sz w:val="24"/>
          <w:szCs w:val="24"/>
          <w:lang w:val="es-ES_tradnl"/>
        </w:rPr>
      </w:pPr>
      <w:r w:rsidRPr="004B22FB">
        <w:rPr>
          <w:rFonts w:ascii="Arial" w:eastAsia="Calibri" w:hAnsi="Arial" w:cs="Arial"/>
          <w:b/>
          <w:bCs/>
          <w:sz w:val="24"/>
          <w:szCs w:val="24"/>
          <w:lang w:val="es-ES_tradnl"/>
        </w:rPr>
        <w:t>NICOLÁS YEPES CORRALES</w:t>
      </w:r>
    </w:p>
    <w:p w14:paraId="08B0C666" w14:textId="61866046" w:rsidR="000D5C08" w:rsidRPr="004B22FB" w:rsidRDefault="002174A7" w:rsidP="00853D34">
      <w:pPr>
        <w:spacing w:after="0" w:line="240" w:lineRule="auto"/>
        <w:rPr>
          <w:rFonts w:ascii="Arial" w:hAnsi="Arial" w:cs="Arial"/>
          <w:sz w:val="24"/>
          <w:szCs w:val="24"/>
          <w:lang w:val="es-ES_tradnl"/>
        </w:rPr>
      </w:pPr>
      <w:r w:rsidRPr="004B22FB">
        <w:rPr>
          <w:rFonts w:ascii="Arial" w:eastAsia="Calibri" w:hAnsi="Arial" w:cs="Arial"/>
          <w:b/>
          <w:bCs/>
          <w:sz w:val="24"/>
          <w:szCs w:val="24"/>
          <w:lang w:val="es-ES_tradnl"/>
        </w:rPr>
        <w:t>Consejero de Estado</w:t>
      </w:r>
    </w:p>
    <w:sectPr w:rsidR="000D5C08" w:rsidRPr="004B22FB" w:rsidSect="0047723E">
      <w:headerReference w:type="even" r:id="rId8"/>
      <w:headerReference w:type="default" r:id="rId9"/>
      <w:headerReference w:type="first" r:id="rId10"/>
      <w:pgSz w:w="12240" w:h="2016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F731A" w14:textId="77777777" w:rsidR="00467149" w:rsidRDefault="00467149" w:rsidP="002174A7">
      <w:pPr>
        <w:spacing w:after="0" w:line="240" w:lineRule="auto"/>
      </w:pPr>
      <w:r>
        <w:separator/>
      </w:r>
    </w:p>
  </w:endnote>
  <w:endnote w:type="continuationSeparator" w:id="0">
    <w:p w14:paraId="2CC3E028" w14:textId="77777777" w:rsidR="00467149" w:rsidRDefault="00467149" w:rsidP="0021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F80F37" w14:textId="77777777" w:rsidR="00467149" w:rsidRDefault="00467149" w:rsidP="002174A7">
      <w:pPr>
        <w:spacing w:after="0" w:line="240" w:lineRule="auto"/>
      </w:pPr>
      <w:r>
        <w:separator/>
      </w:r>
    </w:p>
  </w:footnote>
  <w:footnote w:type="continuationSeparator" w:id="0">
    <w:p w14:paraId="33477546" w14:textId="77777777" w:rsidR="00467149" w:rsidRDefault="00467149" w:rsidP="002174A7">
      <w:pPr>
        <w:spacing w:after="0" w:line="240" w:lineRule="auto"/>
      </w:pPr>
      <w:r>
        <w:continuationSeparator/>
      </w:r>
    </w:p>
  </w:footnote>
  <w:footnote w:id="1">
    <w:p w14:paraId="2816CD8A" w14:textId="7EE11138" w:rsidR="00051AC8" w:rsidRPr="00356BED" w:rsidRDefault="00051AC8" w:rsidP="009C7A1F">
      <w:pPr>
        <w:pStyle w:val="Textonotapie"/>
        <w:jc w:val="both"/>
        <w:rPr>
          <w:rFonts w:ascii="Arial" w:hAnsi="Arial" w:cs="Arial"/>
          <w:i/>
          <w:iCs/>
          <w:color w:val="000000" w:themeColor="text1"/>
          <w:sz w:val="18"/>
          <w:szCs w:val="18"/>
        </w:rPr>
      </w:pPr>
      <w:r w:rsidRPr="00356BED">
        <w:rPr>
          <w:rStyle w:val="Refdenotaalpie"/>
          <w:rFonts w:ascii="Arial" w:hAnsi="Arial" w:cs="Arial"/>
          <w:color w:val="000000" w:themeColor="text1"/>
          <w:sz w:val="18"/>
          <w:szCs w:val="18"/>
        </w:rPr>
        <w:footnoteRef/>
      </w:r>
      <w:r w:rsidRPr="00356BED">
        <w:rPr>
          <w:rFonts w:ascii="Arial" w:hAnsi="Arial" w:cs="Arial"/>
          <w:color w:val="000000" w:themeColor="text1"/>
          <w:sz w:val="18"/>
          <w:szCs w:val="18"/>
        </w:rPr>
        <w:t xml:space="preserve"> </w:t>
      </w:r>
      <w:bookmarkStart w:id="1" w:name="206"/>
      <w:r w:rsidRPr="00356BED">
        <w:rPr>
          <w:rFonts w:ascii="Arial" w:hAnsi="Arial" w:cs="Arial"/>
          <w:i/>
          <w:iCs/>
          <w:color w:val="000000" w:themeColor="text1"/>
          <w:sz w:val="18"/>
          <w:szCs w:val="18"/>
        </w:rPr>
        <w:t>“</w:t>
      </w:r>
      <w:r w:rsidRPr="00356BED">
        <w:rPr>
          <w:rFonts w:ascii="Arial" w:hAnsi="Arial" w:cs="Arial"/>
          <w:b/>
          <w:bCs/>
          <w:i/>
          <w:iCs/>
          <w:color w:val="000000" w:themeColor="text1"/>
          <w:sz w:val="18"/>
          <w:szCs w:val="18"/>
          <w:u w:val="single"/>
        </w:rPr>
        <w:t>ARTICULO 206. RENTAS DE TRABAJO EXENTAS.</w:t>
      </w:r>
      <w:bookmarkEnd w:id="1"/>
      <w:r w:rsidRPr="00356BED">
        <w:rPr>
          <w:rFonts w:ascii="Arial" w:hAnsi="Arial" w:cs="Arial"/>
          <w:i/>
          <w:iCs/>
          <w:color w:val="000000" w:themeColor="text1"/>
          <w:sz w:val="18"/>
          <w:szCs w:val="18"/>
        </w:rPr>
        <w:t> &lt;Fuente original compilada: L. 75/86 Art. 35 Inc. 1o.&gt; Están gravados con el impuesto sobre la renta y complementarios la totalidad de los pagos o abonos en cuenta provenientes de la relación laboral o legal y reglamentaria, con excepción de los siguientes:</w:t>
      </w:r>
    </w:p>
    <w:p w14:paraId="1B5E8D21" w14:textId="5F9B3737" w:rsidR="00051AC8" w:rsidRPr="00356BED" w:rsidRDefault="00051AC8" w:rsidP="009C7A1F">
      <w:pPr>
        <w:pStyle w:val="Textonotapie"/>
        <w:jc w:val="both"/>
        <w:rPr>
          <w:rFonts w:ascii="Arial" w:hAnsi="Arial" w:cs="Arial"/>
          <w:i/>
          <w:iCs/>
          <w:color w:val="000000" w:themeColor="text1"/>
          <w:sz w:val="18"/>
          <w:szCs w:val="18"/>
        </w:rPr>
      </w:pPr>
      <w:r w:rsidRPr="00356BED">
        <w:rPr>
          <w:rFonts w:ascii="Arial" w:hAnsi="Arial" w:cs="Arial"/>
          <w:i/>
          <w:iCs/>
          <w:color w:val="000000" w:themeColor="text1"/>
          <w:sz w:val="18"/>
          <w:szCs w:val="18"/>
        </w:rPr>
        <w:t>(…)</w:t>
      </w:r>
    </w:p>
    <w:p w14:paraId="09D91B35" w14:textId="612039BD" w:rsidR="00051AC8" w:rsidRPr="00356BED" w:rsidRDefault="00051AC8" w:rsidP="009C7A1F">
      <w:pPr>
        <w:pStyle w:val="Textonotapie"/>
        <w:jc w:val="both"/>
        <w:rPr>
          <w:rFonts w:ascii="Arial" w:hAnsi="Arial" w:cs="Arial"/>
          <w:i/>
          <w:iCs/>
          <w:color w:val="000000" w:themeColor="text1"/>
          <w:sz w:val="18"/>
          <w:szCs w:val="18"/>
        </w:rPr>
      </w:pPr>
      <w:r w:rsidRPr="00356BED">
        <w:rPr>
          <w:rFonts w:ascii="Arial" w:hAnsi="Arial" w:cs="Arial"/>
          <w:i/>
          <w:iCs/>
          <w:color w:val="000000" w:themeColor="text1"/>
          <w:sz w:val="18"/>
          <w:szCs w:val="18"/>
        </w:rPr>
        <w:t>7.</w:t>
      </w:r>
      <w:r w:rsidRPr="00356BED">
        <w:rPr>
          <w:i/>
          <w:iCs/>
          <w:color w:val="000000" w:themeColor="text1"/>
          <w:sz w:val="18"/>
          <w:szCs w:val="18"/>
        </w:rPr>
        <w:t xml:space="preserve"> </w:t>
      </w:r>
      <w:r w:rsidRPr="00356BED">
        <w:rPr>
          <w:rFonts w:ascii="Arial" w:hAnsi="Arial" w:cs="Arial"/>
          <w:i/>
          <w:iCs/>
          <w:color w:val="000000" w:themeColor="text1"/>
          <w:sz w:val="18"/>
          <w:szCs w:val="18"/>
        </w:rPr>
        <w:t>&lt;Numeral adicionado por el artículo 32 de la Ley 2010 de 2019. El nuevo texto es el siguiente:&gt; En el caso de los Magistrados de los Tribunales, sus Fiscales y Procuradores Judiciales, se considerará como gastos de representación exentos un porcentaje equivalente al cincuenta por ciento (50%) de su salario.</w:t>
      </w:r>
    </w:p>
    <w:p w14:paraId="60A219A3" w14:textId="2C53E4CC" w:rsidR="00051AC8" w:rsidRPr="00356BED" w:rsidRDefault="00051AC8" w:rsidP="009C7A1F">
      <w:pPr>
        <w:pStyle w:val="Textonotapie"/>
        <w:jc w:val="both"/>
        <w:rPr>
          <w:rFonts w:ascii="Arial" w:hAnsi="Arial" w:cs="Arial"/>
          <w:i/>
          <w:iCs/>
          <w:color w:val="000000" w:themeColor="text1"/>
          <w:sz w:val="18"/>
          <w:szCs w:val="18"/>
        </w:rPr>
      </w:pPr>
      <w:r w:rsidRPr="00356BED">
        <w:rPr>
          <w:rFonts w:ascii="Arial" w:hAnsi="Arial" w:cs="Arial"/>
          <w:i/>
          <w:iCs/>
          <w:color w:val="000000" w:themeColor="text1"/>
          <w:sz w:val="18"/>
          <w:szCs w:val="18"/>
        </w:rPr>
        <w:t>Para los Jueces de la República el porcentaje exento será del veinticinco por ciento (25%) sobre su salario.</w:t>
      </w:r>
    </w:p>
    <w:p w14:paraId="297D377C" w14:textId="1113383C" w:rsidR="00051AC8" w:rsidRPr="00356BED" w:rsidRDefault="00051AC8" w:rsidP="009C7A1F">
      <w:pPr>
        <w:pStyle w:val="Textonotapie"/>
        <w:jc w:val="both"/>
        <w:rPr>
          <w:rFonts w:ascii="Arial" w:hAnsi="Arial" w:cs="Arial"/>
          <w:color w:val="000000" w:themeColor="text1"/>
          <w:sz w:val="18"/>
          <w:szCs w:val="18"/>
        </w:rPr>
      </w:pPr>
      <w:r w:rsidRPr="00356BED">
        <w:rPr>
          <w:rFonts w:ascii="Arial" w:hAnsi="Arial" w:cs="Arial"/>
          <w:i/>
          <w:iCs/>
          <w:color w:val="000000" w:themeColor="text1"/>
          <w:sz w:val="18"/>
          <w:szCs w:val="18"/>
        </w:rPr>
        <w:t>(…).”.</w:t>
      </w:r>
    </w:p>
  </w:footnote>
  <w:footnote w:id="2">
    <w:p w14:paraId="236A2E37" w14:textId="77777777" w:rsidR="00314B92" w:rsidRPr="00356BED" w:rsidRDefault="00314B92" w:rsidP="009C7A1F">
      <w:pPr>
        <w:spacing w:after="0" w:line="240" w:lineRule="auto"/>
        <w:jc w:val="both"/>
        <w:rPr>
          <w:rFonts w:ascii="Arial" w:hAnsi="Arial" w:cs="Arial"/>
          <w:color w:val="000000" w:themeColor="text1"/>
          <w:sz w:val="18"/>
          <w:szCs w:val="18"/>
        </w:rPr>
      </w:pPr>
      <w:r w:rsidRPr="00356BED">
        <w:rPr>
          <w:rStyle w:val="Refdenotaalpie"/>
          <w:rFonts w:ascii="Arial" w:hAnsi="Arial" w:cs="Arial"/>
          <w:color w:val="000000" w:themeColor="text1"/>
          <w:sz w:val="18"/>
          <w:szCs w:val="18"/>
        </w:rPr>
        <w:footnoteRef/>
      </w:r>
      <w:r w:rsidRPr="00356BED">
        <w:rPr>
          <w:rFonts w:ascii="Arial" w:hAnsi="Arial" w:cs="Arial"/>
          <w:color w:val="000000" w:themeColor="text1"/>
          <w:sz w:val="18"/>
          <w:szCs w:val="18"/>
        </w:rPr>
        <w:t xml:space="preserve"> </w:t>
      </w:r>
      <w:r w:rsidRPr="00356BED">
        <w:rPr>
          <w:rFonts w:ascii="Arial" w:eastAsia="Calibri" w:hAnsi="Arial" w:cs="Arial"/>
          <w:bCs/>
          <w:i/>
          <w:color w:val="000000" w:themeColor="text1"/>
          <w:sz w:val="18"/>
          <w:szCs w:val="18"/>
          <w:shd w:val="clear" w:color="auto" w:fill="FFFFFF"/>
        </w:rPr>
        <w:t>“Artículo 39.-</w:t>
      </w:r>
      <w:r w:rsidR="00BA54E8" w:rsidRPr="00356BED">
        <w:rPr>
          <w:rFonts w:ascii="Arial" w:eastAsia="Calibri" w:hAnsi="Arial" w:cs="Arial"/>
          <w:bCs/>
          <w:i/>
          <w:color w:val="000000" w:themeColor="text1"/>
          <w:sz w:val="18"/>
          <w:szCs w:val="18"/>
          <w:shd w:val="clear" w:color="auto" w:fill="FFFFFF"/>
        </w:rPr>
        <w:t xml:space="preserve"> </w:t>
      </w:r>
      <w:r w:rsidRPr="00356BED">
        <w:rPr>
          <w:rFonts w:ascii="Arial" w:eastAsia="Calibri" w:hAnsi="Arial" w:cs="Arial"/>
          <w:i/>
          <w:color w:val="000000" w:themeColor="text1"/>
          <w:sz w:val="18"/>
          <w:szCs w:val="18"/>
          <w:shd w:val="clear" w:color="auto" w:fill="FFFFFF"/>
        </w:rPr>
        <w:t>Recusación. En ningún caso será procedente la recusación. El juez deberá declararse impedido cuando concurran las causales de impedimento del Código de Procedimiento Penal so pena de incurrir en la sanción disciplinaria correspondiente. El juez que conozca de la impugnación del fallo de tutela deberá adoptar las medidas procedentes para que se inicie el procedimiento disciplinario, si fuere el caso”.</w:t>
      </w:r>
    </w:p>
  </w:footnote>
  <w:footnote w:id="3">
    <w:p w14:paraId="3B7BCA39" w14:textId="77777777" w:rsidR="00314B92" w:rsidRPr="00356BED" w:rsidRDefault="00314B92" w:rsidP="009C7A1F">
      <w:pPr>
        <w:spacing w:after="0" w:line="240" w:lineRule="auto"/>
        <w:jc w:val="both"/>
        <w:rPr>
          <w:rFonts w:ascii="Arial" w:eastAsia="Calibri" w:hAnsi="Arial" w:cs="Arial"/>
          <w:i/>
          <w:color w:val="000000" w:themeColor="text1"/>
          <w:sz w:val="18"/>
          <w:szCs w:val="18"/>
        </w:rPr>
      </w:pPr>
      <w:r w:rsidRPr="00356BED">
        <w:rPr>
          <w:rStyle w:val="Refdenotaalpie"/>
          <w:rFonts w:ascii="Arial" w:hAnsi="Arial" w:cs="Arial"/>
          <w:color w:val="000000" w:themeColor="text1"/>
          <w:sz w:val="18"/>
          <w:szCs w:val="18"/>
        </w:rPr>
        <w:footnoteRef/>
      </w:r>
      <w:r w:rsidRPr="00356BED">
        <w:rPr>
          <w:rFonts w:ascii="Arial" w:hAnsi="Arial" w:cs="Arial"/>
          <w:color w:val="000000" w:themeColor="text1"/>
          <w:sz w:val="18"/>
          <w:szCs w:val="18"/>
        </w:rPr>
        <w:t xml:space="preserve"> </w:t>
      </w:r>
      <w:bookmarkStart w:id="2" w:name="56"/>
      <w:r w:rsidRPr="00356BED">
        <w:rPr>
          <w:rFonts w:ascii="Arial" w:eastAsia="Calibri" w:hAnsi="Arial" w:cs="Arial"/>
          <w:bCs/>
          <w:i/>
          <w:color w:val="000000" w:themeColor="text1"/>
          <w:sz w:val="18"/>
          <w:szCs w:val="18"/>
        </w:rPr>
        <w:t>“Artículo 56.</w:t>
      </w:r>
      <w:r w:rsidR="00BA54E8" w:rsidRPr="00356BED">
        <w:rPr>
          <w:rFonts w:ascii="Arial" w:eastAsia="Calibri" w:hAnsi="Arial" w:cs="Arial"/>
          <w:bCs/>
          <w:i/>
          <w:color w:val="000000" w:themeColor="text1"/>
          <w:sz w:val="18"/>
          <w:szCs w:val="18"/>
        </w:rPr>
        <w:t>-</w:t>
      </w:r>
      <w:r w:rsidRPr="00356BED">
        <w:rPr>
          <w:rFonts w:ascii="Arial" w:eastAsia="Calibri" w:hAnsi="Arial" w:cs="Arial"/>
          <w:bCs/>
          <w:i/>
          <w:color w:val="000000" w:themeColor="text1"/>
          <w:sz w:val="18"/>
          <w:szCs w:val="18"/>
        </w:rPr>
        <w:t xml:space="preserve"> Causales de impedimento.</w:t>
      </w:r>
      <w:bookmarkEnd w:id="2"/>
      <w:r w:rsidRPr="00356BED">
        <w:rPr>
          <w:rFonts w:ascii="Arial" w:eastAsia="Calibri" w:hAnsi="Arial" w:cs="Arial"/>
          <w:i/>
          <w:color w:val="000000" w:themeColor="text1"/>
          <w:sz w:val="18"/>
          <w:szCs w:val="18"/>
        </w:rPr>
        <w:t> Son causales de impedimento:</w:t>
      </w:r>
    </w:p>
    <w:p w14:paraId="1709C92C" w14:textId="77777777" w:rsidR="00314B92" w:rsidRPr="00356BED" w:rsidRDefault="00314B92" w:rsidP="009C7A1F">
      <w:pPr>
        <w:spacing w:after="0" w:line="240" w:lineRule="auto"/>
        <w:jc w:val="both"/>
        <w:rPr>
          <w:rFonts w:ascii="Arial" w:eastAsia="Calibri" w:hAnsi="Arial" w:cs="Arial"/>
          <w:i/>
          <w:color w:val="000000" w:themeColor="text1"/>
          <w:sz w:val="18"/>
          <w:szCs w:val="18"/>
        </w:rPr>
      </w:pPr>
      <w:r w:rsidRPr="00356BED">
        <w:rPr>
          <w:rFonts w:ascii="Arial" w:eastAsia="Calibri" w:hAnsi="Arial" w:cs="Arial"/>
          <w:i/>
          <w:color w:val="000000" w:themeColor="text1"/>
          <w:sz w:val="18"/>
          <w:szCs w:val="18"/>
        </w:rPr>
        <w:t>(…)</w:t>
      </w:r>
    </w:p>
    <w:p w14:paraId="6D775601" w14:textId="77777777" w:rsidR="00314B92" w:rsidRPr="00356BED" w:rsidRDefault="00314B92" w:rsidP="009C7A1F">
      <w:pPr>
        <w:spacing w:after="0" w:line="240" w:lineRule="auto"/>
        <w:jc w:val="both"/>
        <w:rPr>
          <w:rFonts w:ascii="Arial" w:eastAsia="Calibri" w:hAnsi="Arial" w:cs="Arial"/>
          <w:i/>
          <w:color w:val="000000" w:themeColor="text1"/>
          <w:sz w:val="18"/>
          <w:szCs w:val="18"/>
        </w:rPr>
      </w:pPr>
      <w:r w:rsidRPr="00356BED">
        <w:rPr>
          <w:rFonts w:ascii="Arial" w:eastAsia="Calibri" w:hAnsi="Arial" w:cs="Arial"/>
          <w:i/>
          <w:color w:val="000000" w:themeColor="text1"/>
          <w:sz w:val="18"/>
          <w:szCs w:val="18"/>
        </w:rPr>
        <w:t>1. Que el funcionario judicial, su cónyuge o compañero o compañera permanente, o algún pariente suyo dentro del cuarto grado de consanguinidad o civil, o segundo de afinidad, tenga interés en la actuación procesal.</w:t>
      </w:r>
    </w:p>
    <w:p w14:paraId="154E736F" w14:textId="3EFC95F9" w:rsidR="00314B92" w:rsidRPr="00356BED" w:rsidRDefault="00314B92" w:rsidP="009C7A1F">
      <w:pPr>
        <w:spacing w:after="0" w:line="240" w:lineRule="auto"/>
        <w:jc w:val="both"/>
        <w:rPr>
          <w:rFonts w:ascii="Arial" w:hAnsi="Arial" w:cs="Arial"/>
          <w:color w:val="000000" w:themeColor="text1"/>
          <w:sz w:val="18"/>
          <w:szCs w:val="18"/>
          <w:lang w:val="es-ES"/>
        </w:rPr>
      </w:pPr>
      <w:r w:rsidRPr="00356BED">
        <w:rPr>
          <w:rFonts w:ascii="Arial" w:eastAsia="Calibri" w:hAnsi="Arial" w:cs="Arial"/>
          <w:i/>
          <w:color w:val="000000" w:themeColor="text1"/>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468576416"/>
      <w:docPartObj>
        <w:docPartGallery w:val="Page Numbers (Top of Page)"/>
        <w:docPartUnique/>
      </w:docPartObj>
    </w:sdtPr>
    <w:sdtEndPr>
      <w:rPr>
        <w:rStyle w:val="Nmerodepgina"/>
      </w:rPr>
    </w:sdtEndPr>
    <w:sdtContent>
      <w:p w14:paraId="10164790" w14:textId="77777777" w:rsidR="002174A7" w:rsidRDefault="002174A7" w:rsidP="00014A35">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1C41509" w14:textId="77777777" w:rsidR="002174A7" w:rsidRDefault="002174A7" w:rsidP="002174A7">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merodepgina"/>
      </w:rPr>
      <w:id w:val="-1169548220"/>
      <w:docPartObj>
        <w:docPartGallery w:val="Page Numbers (Top of Page)"/>
        <w:docPartUnique/>
      </w:docPartObj>
    </w:sdtPr>
    <w:sdtEndPr>
      <w:rPr>
        <w:rStyle w:val="Nmerodepgina"/>
        <w:rFonts w:ascii="Arial" w:hAnsi="Arial" w:cs="Arial"/>
        <w:sz w:val="18"/>
        <w:szCs w:val="18"/>
      </w:rPr>
    </w:sdtEndPr>
    <w:sdtContent>
      <w:p w14:paraId="1D9CD833" w14:textId="27CB63F5" w:rsidR="002174A7" w:rsidRPr="00AA24EC" w:rsidRDefault="002174A7" w:rsidP="00014A35">
        <w:pPr>
          <w:pStyle w:val="Encabezado"/>
          <w:framePr w:wrap="none" w:vAnchor="text" w:hAnchor="margin" w:xAlign="right" w:y="1"/>
          <w:rPr>
            <w:rStyle w:val="Nmerodepgina"/>
            <w:rFonts w:ascii="Arial" w:hAnsi="Arial" w:cs="Arial"/>
            <w:sz w:val="18"/>
            <w:szCs w:val="18"/>
          </w:rPr>
        </w:pPr>
        <w:r w:rsidRPr="002174A7">
          <w:rPr>
            <w:rStyle w:val="Nmerodepgina"/>
            <w:rFonts w:ascii="Arial" w:hAnsi="Arial" w:cs="Arial"/>
            <w:sz w:val="20"/>
            <w:szCs w:val="20"/>
          </w:rPr>
          <w:fldChar w:fldCharType="begin"/>
        </w:r>
        <w:r w:rsidRPr="002174A7">
          <w:rPr>
            <w:rStyle w:val="Nmerodepgina"/>
            <w:rFonts w:ascii="Arial" w:hAnsi="Arial" w:cs="Arial"/>
            <w:sz w:val="20"/>
            <w:szCs w:val="20"/>
          </w:rPr>
          <w:instrText xml:space="preserve"> PAGE </w:instrText>
        </w:r>
        <w:r w:rsidRPr="002174A7">
          <w:rPr>
            <w:rStyle w:val="Nmerodepgina"/>
            <w:rFonts w:ascii="Arial" w:hAnsi="Arial" w:cs="Arial"/>
            <w:sz w:val="20"/>
            <w:szCs w:val="20"/>
          </w:rPr>
          <w:fldChar w:fldCharType="separate"/>
        </w:r>
        <w:r w:rsidR="00016029">
          <w:rPr>
            <w:rStyle w:val="Nmerodepgina"/>
            <w:rFonts w:ascii="Arial" w:hAnsi="Arial" w:cs="Arial"/>
            <w:noProof/>
            <w:sz w:val="20"/>
            <w:szCs w:val="20"/>
          </w:rPr>
          <w:t>2</w:t>
        </w:r>
        <w:r w:rsidRPr="002174A7">
          <w:rPr>
            <w:rStyle w:val="Nmerodepgina"/>
            <w:rFonts w:ascii="Arial" w:hAnsi="Arial" w:cs="Arial"/>
            <w:sz w:val="20"/>
            <w:szCs w:val="20"/>
          </w:rPr>
          <w:fldChar w:fldCharType="end"/>
        </w:r>
      </w:p>
    </w:sdtContent>
  </w:sdt>
  <w:p w14:paraId="251ECFA1" w14:textId="77777777" w:rsidR="002174A7" w:rsidRPr="00AA24EC" w:rsidRDefault="002174A7" w:rsidP="002174A7">
    <w:pPr>
      <w:pStyle w:val="Encabezado"/>
      <w:ind w:right="360"/>
      <w:rPr>
        <w:rFonts w:ascii="Arial" w:hAnsi="Arial" w:cs="Arial"/>
        <w:sz w:val="18"/>
        <w:szCs w:val="18"/>
      </w:rPr>
    </w:pPr>
  </w:p>
  <w:p w14:paraId="2A1028AF" w14:textId="77777777" w:rsidR="002174A7" w:rsidRPr="00853D34" w:rsidRDefault="002174A7" w:rsidP="002174A7">
    <w:pPr>
      <w:spacing w:after="0" w:line="240" w:lineRule="auto"/>
      <w:ind w:left="1985" w:hanging="1985"/>
      <w:contextualSpacing/>
      <w:jc w:val="right"/>
      <w:rPr>
        <w:rFonts w:ascii="Arial" w:hAnsi="Arial" w:cs="Arial"/>
        <w:b/>
        <w:sz w:val="20"/>
        <w:szCs w:val="20"/>
      </w:rPr>
    </w:pPr>
  </w:p>
  <w:p w14:paraId="48F58935" w14:textId="77777777" w:rsidR="002174A7" w:rsidRPr="00853D34" w:rsidRDefault="002174A7" w:rsidP="002174A7">
    <w:pPr>
      <w:spacing w:after="0" w:line="240" w:lineRule="auto"/>
      <w:ind w:left="1985" w:hanging="1985"/>
      <w:contextualSpacing/>
      <w:jc w:val="right"/>
      <w:rPr>
        <w:rFonts w:ascii="Arial" w:hAnsi="Arial" w:cs="Arial"/>
        <w:sz w:val="18"/>
        <w:szCs w:val="18"/>
      </w:rPr>
    </w:pPr>
    <w:r w:rsidRPr="00853D34">
      <w:rPr>
        <w:rFonts w:ascii="Arial" w:hAnsi="Arial" w:cs="Arial"/>
        <w:b/>
        <w:sz w:val="18"/>
        <w:szCs w:val="18"/>
      </w:rPr>
      <w:t>Asunto:</w:t>
    </w:r>
    <w:r w:rsidRPr="00853D34">
      <w:rPr>
        <w:rFonts w:ascii="Arial" w:hAnsi="Arial" w:cs="Arial"/>
        <w:sz w:val="18"/>
        <w:szCs w:val="18"/>
      </w:rPr>
      <w:t xml:space="preserve"> Manifestación de impedimento </w:t>
    </w:r>
  </w:p>
  <w:p w14:paraId="0E9D829C" w14:textId="77777777" w:rsidR="002174A7" w:rsidRPr="00853D34" w:rsidRDefault="002174A7" w:rsidP="002174A7">
    <w:pPr>
      <w:spacing w:after="0" w:line="240" w:lineRule="auto"/>
      <w:ind w:left="1985" w:hanging="1985"/>
      <w:contextualSpacing/>
      <w:jc w:val="right"/>
      <w:rPr>
        <w:rFonts w:ascii="Arial" w:hAnsi="Arial" w:cs="Arial"/>
        <w:sz w:val="18"/>
        <w:szCs w:val="18"/>
      </w:rPr>
    </w:pPr>
    <w:r w:rsidRPr="00853D34">
      <w:rPr>
        <w:rFonts w:ascii="Arial" w:hAnsi="Arial" w:cs="Arial"/>
        <w:b/>
        <w:sz w:val="18"/>
        <w:szCs w:val="18"/>
      </w:rPr>
      <w:t>Referencia:</w:t>
    </w:r>
    <w:r w:rsidRPr="00853D34">
      <w:rPr>
        <w:rFonts w:ascii="Arial" w:hAnsi="Arial" w:cs="Arial"/>
        <w:sz w:val="18"/>
        <w:szCs w:val="18"/>
      </w:rPr>
      <w:t xml:space="preserve"> Acción de tutela</w:t>
    </w:r>
  </w:p>
  <w:p w14:paraId="4BA851AB" w14:textId="5670B4B2" w:rsidR="0047723E" w:rsidRPr="00853D34" w:rsidRDefault="0047723E" w:rsidP="0047723E">
    <w:pPr>
      <w:tabs>
        <w:tab w:val="left" w:pos="1985"/>
      </w:tabs>
      <w:spacing w:after="0" w:line="240" w:lineRule="auto"/>
      <w:jc w:val="right"/>
      <w:rPr>
        <w:rFonts w:ascii="Arial" w:eastAsia="Calibri" w:hAnsi="Arial" w:cs="Arial"/>
        <w:sz w:val="18"/>
        <w:szCs w:val="18"/>
      </w:rPr>
    </w:pPr>
    <w:r w:rsidRPr="00853D34">
      <w:rPr>
        <w:rFonts w:ascii="Arial" w:eastAsia="Calibri" w:hAnsi="Arial" w:cs="Arial"/>
        <w:b/>
        <w:sz w:val="18"/>
        <w:szCs w:val="18"/>
      </w:rPr>
      <w:t xml:space="preserve">Radicación: </w:t>
    </w:r>
    <w:r w:rsidRPr="00853D34">
      <w:rPr>
        <w:rFonts w:ascii="Arial" w:hAnsi="Arial" w:cs="Arial"/>
        <w:bCs/>
        <w:sz w:val="18"/>
        <w:szCs w:val="18"/>
      </w:rPr>
      <w:t>11001-03-15-000-2020-0</w:t>
    </w:r>
    <w:r w:rsidR="009C7A1F" w:rsidRPr="00853D34">
      <w:rPr>
        <w:rFonts w:ascii="Arial" w:hAnsi="Arial" w:cs="Arial"/>
        <w:bCs/>
        <w:sz w:val="18"/>
        <w:szCs w:val="18"/>
      </w:rPr>
      <w:t>4252</w:t>
    </w:r>
    <w:r w:rsidRPr="00853D34">
      <w:rPr>
        <w:rFonts w:ascii="Arial" w:hAnsi="Arial" w:cs="Arial"/>
        <w:bCs/>
        <w:sz w:val="18"/>
        <w:szCs w:val="18"/>
      </w:rPr>
      <w:t>-0</w:t>
    </w:r>
    <w:r w:rsidR="000D5B22" w:rsidRPr="00853D34">
      <w:rPr>
        <w:rFonts w:ascii="Arial" w:hAnsi="Arial" w:cs="Arial"/>
        <w:bCs/>
        <w:sz w:val="18"/>
        <w:szCs w:val="18"/>
      </w:rPr>
      <w:t>0</w:t>
    </w:r>
  </w:p>
  <w:p w14:paraId="1351F367" w14:textId="22AEF10C" w:rsidR="0047723E" w:rsidRPr="00853D34" w:rsidRDefault="0047723E" w:rsidP="0047723E">
    <w:pPr>
      <w:tabs>
        <w:tab w:val="left" w:pos="1985"/>
      </w:tabs>
      <w:spacing w:after="0" w:line="240" w:lineRule="auto"/>
      <w:ind w:left="1985" w:hanging="1980"/>
      <w:jc w:val="right"/>
      <w:rPr>
        <w:rFonts w:ascii="Arial" w:eastAsia="Calibri" w:hAnsi="Arial" w:cs="Arial"/>
        <w:sz w:val="18"/>
        <w:szCs w:val="18"/>
      </w:rPr>
    </w:pPr>
    <w:r w:rsidRPr="00853D34">
      <w:rPr>
        <w:rFonts w:ascii="Arial" w:eastAsia="Calibri" w:hAnsi="Arial" w:cs="Arial"/>
        <w:b/>
        <w:sz w:val="18"/>
        <w:szCs w:val="18"/>
      </w:rPr>
      <w:t>Accionante:</w:t>
    </w:r>
    <w:r w:rsidR="0089135F" w:rsidRPr="00853D34">
      <w:rPr>
        <w:rFonts w:ascii="Arial" w:eastAsia="Calibri" w:hAnsi="Arial" w:cs="Arial"/>
        <w:b/>
        <w:sz w:val="18"/>
        <w:szCs w:val="18"/>
      </w:rPr>
      <w:t xml:space="preserve"> </w:t>
    </w:r>
    <w:r w:rsidR="009C7A1F" w:rsidRPr="00853D34">
      <w:rPr>
        <w:rFonts w:ascii="Arial" w:eastAsia="Calibri" w:hAnsi="Arial" w:cs="Arial"/>
        <w:bCs/>
        <w:sz w:val="18"/>
        <w:szCs w:val="18"/>
      </w:rPr>
      <w:t>Antonio Saúl Cardona Castrillón</w:t>
    </w:r>
    <w:r w:rsidRPr="00853D34">
      <w:rPr>
        <w:rFonts w:ascii="Arial" w:hAnsi="Arial" w:cs="Arial"/>
        <w:b/>
        <w:sz w:val="18"/>
        <w:szCs w:val="18"/>
      </w:rPr>
      <w:t xml:space="preserve"> </w:t>
    </w:r>
  </w:p>
  <w:p w14:paraId="529140B2" w14:textId="0D23B897" w:rsidR="009C7A1F" w:rsidRPr="00853D34" w:rsidRDefault="0047723E" w:rsidP="009C7A1F">
    <w:pPr>
      <w:tabs>
        <w:tab w:val="left" w:pos="1985"/>
      </w:tabs>
      <w:spacing w:after="0" w:line="240" w:lineRule="auto"/>
      <w:ind w:left="1980" w:right="51" w:hanging="1980"/>
      <w:jc w:val="right"/>
      <w:rPr>
        <w:rFonts w:ascii="Arial" w:hAnsi="Arial" w:cs="Arial"/>
        <w:sz w:val="18"/>
        <w:szCs w:val="18"/>
      </w:rPr>
    </w:pPr>
    <w:r w:rsidRPr="00853D34">
      <w:rPr>
        <w:rFonts w:ascii="Arial" w:eastAsia="Calibri" w:hAnsi="Arial" w:cs="Arial"/>
        <w:b/>
        <w:sz w:val="18"/>
        <w:szCs w:val="18"/>
      </w:rPr>
      <w:t>Accionado</w:t>
    </w:r>
    <w:r w:rsidR="0025280E" w:rsidRPr="00853D34">
      <w:rPr>
        <w:rFonts w:ascii="Arial" w:eastAsia="Calibri" w:hAnsi="Arial" w:cs="Arial"/>
        <w:b/>
        <w:sz w:val="18"/>
        <w:szCs w:val="18"/>
      </w:rPr>
      <w:t>s</w:t>
    </w:r>
    <w:r w:rsidRPr="00853D34">
      <w:rPr>
        <w:rFonts w:ascii="Arial" w:eastAsia="Calibri" w:hAnsi="Arial" w:cs="Arial"/>
        <w:b/>
        <w:sz w:val="18"/>
        <w:szCs w:val="18"/>
      </w:rPr>
      <w:t>:</w:t>
    </w:r>
    <w:r w:rsidR="009C7A1F" w:rsidRPr="00853D34">
      <w:rPr>
        <w:rFonts w:ascii="Arial" w:eastAsia="Calibri" w:hAnsi="Arial" w:cs="Arial"/>
        <w:b/>
        <w:sz w:val="18"/>
        <w:szCs w:val="18"/>
      </w:rPr>
      <w:t xml:space="preserve"> </w:t>
    </w:r>
    <w:r w:rsidR="00052BF9" w:rsidRPr="00853D34">
      <w:rPr>
        <w:rFonts w:ascii="Arial" w:eastAsia="Calibri" w:hAnsi="Arial" w:cs="Arial"/>
        <w:sz w:val="18"/>
        <w:szCs w:val="18"/>
      </w:rPr>
      <w:t xml:space="preserve">Sala Transitoria de la </w:t>
    </w:r>
    <w:r w:rsidRPr="00853D34">
      <w:rPr>
        <w:rFonts w:ascii="Arial" w:eastAsia="Times New Roman" w:hAnsi="Arial" w:cs="Arial"/>
        <w:sz w:val="18"/>
        <w:szCs w:val="18"/>
        <w:lang w:eastAsia="es-ES"/>
      </w:rPr>
      <w:t xml:space="preserve">Sección Segunda del </w:t>
    </w:r>
    <w:r w:rsidRPr="00853D34">
      <w:rPr>
        <w:rFonts w:ascii="Arial" w:eastAsia="Calibri" w:hAnsi="Arial" w:cs="Arial"/>
        <w:sz w:val="18"/>
        <w:szCs w:val="18"/>
      </w:rPr>
      <w:t>Tribunal Administrativo de Cundinamarca</w:t>
    </w:r>
  </w:p>
  <w:p w14:paraId="102A7ECA" w14:textId="77777777" w:rsidR="0047723E" w:rsidRDefault="0047723E" w:rsidP="002174A7">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BD0FE8" w14:textId="77777777" w:rsidR="002174A7" w:rsidRDefault="002174A7" w:rsidP="002174A7">
    <w:pPr>
      <w:pStyle w:val="Encabezado"/>
      <w:ind w:firstLine="3540"/>
      <w:rPr>
        <w:rFonts w:ascii="Arial" w:hAnsi="Arial"/>
        <w:b/>
        <w:bCs/>
        <w:color w:val="000000"/>
        <w:sz w:val="24"/>
        <w:szCs w:val="24"/>
      </w:rPr>
    </w:pPr>
    <w:r>
      <w:rPr>
        <w:noProof/>
        <w:lang w:val="es-ES" w:eastAsia="es-ES"/>
      </w:rPr>
      <w:drawing>
        <wp:anchor distT="0" distB="0" distL="114300" distR="114300" simplePos="0" relativeHeight="251659264" behindDoc="1" locked="0" layoutInCell="1" allowOverlap="1" wp14:anchorId="5DFDEF6C" wp14:editId="71D6DB79">
          <wp:simplePos x="0" y="0"/>
          <wp:positionH relativeFrom="column">
            <wp:posOffset>45085</wp:posOffset>
          </wp:positionH>
          <wp:positionV relativeFrom="paragraph">
            <wp:posOffset>6350</wp:posOffset>
          </wp:positionV>
          <wp:extent cx="962025" cy="899795"/>
          <wp:effectExtent l="0" t="0" r="9525" b="0"/>
          <wp:wrapNone/>
          <wp:docPr id="1" name="Imagen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899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182AD2" w14:textId="77777777" w:rsidR="002174A7" w:rsidRDefault="002174A7" w:rsidP="002174A7">
    <w:pPr>
      <w:pStyle w:val="Encabezado"/>
      <w:jc w:val="center"/>
    </w:pPr>
    <w:r>
      <w:rPr>
        <w:rFonts w:ascii="Arial" w:hAnsi="Arial"/>
        <w:b/>
        <w:bCs/>
        <w:color w:val="000000"/>
        <w:sz w:val="24"/>
        <w:szCs w:val="24"/>
      </w:rPr>
      <w:t>CONSEJO DE ESTADO</w:t>
    </w:r>
  </w:p>
  <w:p w14:paraId="112F97BA" w14:textId="77777777" w:rsidR="002174A7" w:rsidRDefault="002174A7" w:rsidP="002174A7">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SALA DE LO CONTENCIOSO ADMINISTRATIVO</w:t>
    </w:r>
  </w:p>
  <w:p w14:paraId="69DC8173" w14:textId="77777777" w:rsidR="002174A7" w:rsidRDefault="002174A7" w:rsidP="002174A7">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SECCIÓN TERCERA</w:t>
    </w:r>
  </w:p>
  <w:p w14:paraId="4B5F1289" w14:textId="77777777" w:rsidR="002174A7" w:rsidRDefault="002174A7" w:rsidP="002174A7">
    <w:pPr>
      <w:suppressAutoHyphens/>
      <w:spacing w:after="0" w:line="240" w:lineRule="auto"/>
      <w:jc w:val="center"/>
      <w:rPr>
        <w:rFonts w:ascii="Arial" w:eastAsia="Times New Roman" w:hAnsi="Arial"/>
        <w:b/>
        <w:bCs/>
        <w:color w:val="000000"/>
        <w:sz w:val="24"/>
        <w:szCs w:val="24"/>
        <w:lang w:eastAsia="es-ES"/>
      </w:rPr>
    </w:pPr>
    <w:r>
      <w:rPr>
        <w:rFonts w:ascii="Arial" w:eastAsia="Times New Roman" w:hAnsi="Arial"/>
        <w:b/>
        <w:bCs/>
        <w:color w:val="000000"/>
        <w:sz w:val="24"/>
        <w:szCs w:val="24"/>
        <w:lang w:eastAsia="es-ES"/>
      </w:rPr>
      <w:t>SUBSECCIÓN C</w:t>
    </w:r>
  </w:p>
  <w:p w14:paraId="1956F1FB" w14:textId="77777777" w:rsidR="002174A7" w:rsidRDefault="002174A7" w:rsidP="002174A7">
    <w:pPr>
      <w:suppressAutoHyphens/>
      <w:spacing w:after="0" w:line="240" w:lineRule="auto"/>
      <w:jc w:val="center"/>
      <w:rPr>
        <w:rFonts w:ascii="Arial" w:eastAsia="Times New Roman" w:hAnsi="Arial"/>
        <w:b/>
        <w:bCs/>
        <w:color w:val="000000"/>
        <w:sz w:val="24"/>
        <w:szCs w:val="24"/>
        <w:lang w:eastAsia="es-E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4A7"/>
    <w:rsid w:val="00016029"/>
    <w:rsid w:val="00051AC8"/>
    <w:rsid w:val="00052BF9"/>
    <w:rsid w:val="000547E2"/>
    <w:rsid w:val="000940CF"/>
    <w:rsid w:val="000D5B22"/>
    <w:rsid w:val="00120337"/>
    <w:rsid w:val="00137FD9"/>
    <w:rsid w:val="00175460"/>
    <w:rsid w:val="00184966"/>
    <w:rsid w:val="00191DB2"/>
    <w:rsid w:val="001B7BE0"/>
    <w:rsid w:val="001F2D26"/>
    <w:rsid w:val="001F66AF"/>
    <w:rsid w:val="002174A7"/>
    <w:rsid w:val="00241D16"/>
    <w:rsid w:val="0025280E"/>
    <w:rsid w:val="00271EDB"/>
    <w:rsid w:val="00273925"/>
    <w:rsid w:val="002A3B8D"/>
    <w:rsid w:val="002B64BC"/>
    <w:rsid w:val="00314B92"/>
    <w:rsid w:val="00346682"/>
    <w:rsid w:val="00356BED"/>
    <w:rsid w:val="0041516E"/>
    <w:rsid w:val="00432180"/>
    <w:rsid w:val="00467149"/>
    <w:rsid w:val="0047723E"/>
    <w:rsid w:val="004A7EFD"/>
    <w:rsid w:val="004B22FB"/>
    <w:rsid w:val="00530B14"/>
    <w:rsid w:val="00533899"/>
    <w:rsid w:val="00577BA9"/>
    <w:rsid w:val="00593635"/>
    <w:rsid w:val="005B043F"/>
    <w:rsid w:val="006E48A2"/>
    <w:rsid w:val="007069AF"/>
    <w:rsid w:val="00735010"/>
    <w:rsid w:val="00745518"/>
    <w:rsid w:val="00757A41"/>
    <w:rsid w:val="007A2FA6"/>
    <w:rsid w:val="007E10F3"/>
    <w:rsid w:val="008153CE"/>
    <w:rsid w:val="008203DD"/>
    <w:rsid w:val="00845310"/>
    <w:rsid w:val="00853D34"/>
    <w:rsid w:val="00883726"/>
    <w:rsid w:val="008867BB"/>
    <w:rsid w:val="0089135F"/>
    <w:rsid w:val="008E7C7E"/>
    <w:rsid w:val="009564A9"/>
    <w:rsid w:val="00967CE6"/>
    <w:rsid w:val="00976AE6"/>
    <w:rsid w:val="009A597A"/>
    <w:rsid w:val="009C7A1F"/>
    <w:rsid w:val="00A719B2"/>
    <w:rsid w:val="00A7299C"/>
    <w:rsid w:val="00A84FED"/>
    <w:rsid w:val="00AA24EC"/>
    <w:rsid w:val="00AB2C23"/>
    <w:rsid w:val="00B126B3"/>
    <w:rsid w:val="00B359A5"/>
    <w:rsid w:val="00B73A7A"/>
    <w:rsid w:val="00B97534"/>
    <w:rsid w:val="00BA54E8"/>
    <w:rsid w:val="00C41CFE"/>
    <w:rsid w:val="00C46268"/>
    <w:rsid w:val="00C92AE4"/>
    <w:rsid w:val="00CA0EB4"/>
    <w:rsid w:val="00D32755"/>
    <w:rsid w:val="00D42CA8"/>
    <w:rsid w:val="00DA7270"/>
    <w:rsid w:val="00DE21DF"/>
    <w:rsid w:val="00DF506E"/>
    <w:rsid w:val="00E0171D"/>
    <w:rsid w:val="00E305AA"/>
    <w:rsid w:val="00E96E16"/>
    <w:rsid w:val="00E97496"/>
    <w:rsid w:val="00ED4A62"/>
    <w:rsid w:val="00F254A0"/>
    <w:rsid w:val="00FB449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B7165"/>
  <w15:chartTrackingRefBased/>
  <w15:docId w15:val="{60F87B4A-9F1E-884B-80B3-E79A79D5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4A7"/>
    <w:pPr>
      <w:spacing w:after="200" w:line="276" w:lineRule="auto"/>
    </w:pPr>
    <w:rPr>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r Char Char Car,ft,texto de nota al pie,FA Fußnotentext,FA Fuﬂnotentext,Footnote Text,F,Car,f"/>
    <w:basedOn w:val="Normal"/>
    <w:link w:val="TextonotapieCar"/>
    <w:unhideWhenUsed/>
    <w:qFormat/>
    <w:rsid w:val="002174A7"/>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1,Footnote Text Char Char Char Car Car,ft Car,texto de nota al pie Car,Footnote Text Car"/>
    <w:basedOn w:val="Fuentedeprrafopredeter"/>
    <w:link w:val="Textonotapie"/>
    <w:qFormat/>
    <w:rsid w:val="002174A7"/>
    <w:rPr>
      <w:sz w:val="20"/>
      <w:szCs w:val="20"/>
    </w:rPr>
  </w:style>
  <w:style w:type="character" w:styleId="Refdenotaalpie">
    <w:name w:val="footnote reference"/>
    <w:aliases w:val="Texto de nota al pie,referencia nota al pie,Ref. de nota al pie 2,Footnotes refss,Appel note de bas de page,Footnote number,BVI fnr,4_G,16 Point,Superscript 6 Point,Texto nota al pie,Texto de nota al pi,Pie de Página,FC,Pie de Pàgi,R"/>
    <w:basedOn w:val="Fuentedeprrafopredeter"/>
    <w:link w:val="4GChar"/>
    <w:uiPriority w:val="99"/>
    <w:unhideWhenUsed/>
    <w:qFormat/>
    <w:rsid w:val="002174A7"/>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174A7"/>
    <w:pPr>
      <w:spacing w:after="0" w:line="240" w:lineRule="auto"/>
      <w:jc w:val="both"/>
    </w:pPr>
    <w:rPr>
      <w:sz w:val="24"/>
      <w:szCs w:val="24"/>
      <w:vertAlign w:val="superscript"/>
    </w:rPr>
  </w:style>
  <w:style w:type="character" w:styleId="Hipervnculo">
    <w:name w:val="Hyperlink"/>
    <w:basedOn w:val="Fuentedeprrafopredeter"/>
    <w:uiPriority w:val="99"/>
    <w:unhideWhenUsed/>
    <w:rsid w:val="002174A7"/>
    <w:rPr>
      <w:color w:val="0000FF"/>
      <w:u w:val="single"/>
    </w:rPr>
  </w:style>
  <w:style w:type="paragraph" w:styleId="Encabezado">
    <w:name w:val="header"/>
    <w:basedOn w:val="Normal"/>
    <w:link w:val="EncabezadoCar"/>
    <w:uiPriority w:val="99"/>
    <w:unhideWhenUsed/>
    <w:rsid w:val="002174A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74A7"/>
    <w:rPr>
      <w:sz w:val="22"/>
      <w:szCs w:val="22"/>
    </w:rPr>
  </w:style>
  <w:style w:type="paragraph" w:styleId="Piedepgina">
    <w:name w:val="footer"/>
    <w:basedOn w:val="Normal"/>
    <w:link w:val="PiedepginaCar"/>
    <w:uiPriority w:val="99"/>
    <w:unhideWhenUsed/>
    <w:rsid w:val="002174A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74A7"/>
    <w:rPr>
      <w:sz w:val="22"/>
      <w:szCs w:val="22"/>
    </w:rPr>
  </w:style>
  <w:style w:type="paragraph" w:styleId="Textosinformato">
    <w:name w:val="Plain Text"/>
    <w:basedOn w:val="Normal"/>
    <w:link w:val="TextosinformatoCar"/>
    <w:qFormat/>
    <w:rsid w:val="002174A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qFormat/>
    <w:rsid w:val="002174A7"/>
    <w:rPr>
      <w:rFonts w:ascii="Courier New" w:eastAsia="Times New Roman" w:hAnsi="Courier New" w:cs="Times New Roman"/>
      <w:sz w:val="20"/>
      <w:szCs w:val="20"/>
      <w:lang w:val="es-ES" w:eastAsia="es-ES"/>
    </w:rPr>
  </w:style>
  <w:style w:type="character" w:styleId="Nmerodepgina">
    <w:name w:val="page number"/>
    <w:basedOn w:val="Fuentedeprrafopredeter"/>
    <w:uiPriority w:val="99"/>
    <w:semiHidden/>
    <w:unhideWhenUsed/>
    <w:rsid w:val="002174A7"/>
  </w:style>
  <w:style w:type="paragraph" w:styleId="Textodeglobo">
    <w:name w:val="Balloon Text"/>
    <w:basedOn w:val="Normal"/>
    <w:link w:val="TextodegloboCar"/>
    <w:uiPriority w:val="99"/>
    <w:semiHidden/>
    <w:unhideWhenUsed/>
    <w:rsid w:val="00E97496"/>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97496"/>
    <w:rPr>
      <w:rFonts w:ascii="Times New Roman" w:hAnsi="Times New Roman" w:cs="Times New Roman"/>
      <w:sz w:val="18"/>
      <w:szCs w:val="18"/>
    </w:rPr>
  </w:style>
  <w:style w:type="character" w:customStyle="1" w:styleId="UnresolvedMention">
    <w:name w:val="Unresolved Mention"/>
    <w:basedOn w:val="Fuentedeprrafopredeter"/>
    <w:uiPriority w:val="99"/>
    <w:semiHidden/>
    <w:unhideWhenUsed/>
    <w:rsid w:val="001F66AF"/>
    <w:rPr>
      <w:color w:val="605E5C"/>
      <w:shd w:val="clear" w:color="auto" w:fill="E1DFDD"/>
    </w:rPr>
  </w:style>
  <w:style w:type="paragraph" w:customStyle="1" w:styleId="Centro">
    <w:name w:val="Centro"/>
    <w:rsid w:val="00735010"/>
    <w:pPr>
      <w:jc w:val="center"/>
    </w:pPr>
    <w:rPr>
      <w:rFonts w:ascii="Arial" w:eastAsia="Times New Roman" w:hAnsi="Arial" w:cs="Times New Roman"/>
      <w:sz w:val="20"/>
      <w:szCs w:val="20"/>
      <w:lang w:val="es-ES" w:eastAsia="es-ES"/>
    </w:rPr>
  </w:style>
  <w:style w:type="paragraph" w:styleId="NormalWeb">
    <w:name w:val="Normal (Web)"/>
    <w:basedOn w:val="Normal"/>
    <w:uiPriority w:val="99"/>
    <w:unhideWhenUsed/>
    <w:rsid w:val="00191DB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link w:val="SinespaciadoCar"/>
    <w:uiPriority w:val="1"/>
    <w:qFormat/>
    <w:rsid w:val="00051AC8"/>
    <w:rPr>
      <w:rFonts w:ascii="Calibri" w:eastAsia="Calibri" w:hAnsi="Calibri" w:cs="Times New Roman"/>
      <w:sz w:val="22"/>
      <w:szCs w:val="22"/>
    </w:rPr>
  </w:style>
  <w:style w:type="character" w:customStyle="1" w:styleId="SinespaciadoCar">
    <w:name w:val="Sin espaciado Car"/>
    <w:link w:val="Sinespaciado"/>
    <w:uiPriority w:val="1"/>
    <w:locked/>
    <w:rsid w:val="00051AC8"/>
    <w:rPr>
      <w:rFonts w:ascii="Calibri" w:eastAsia="Calibri" w:hAnsi="Calibri"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63820">
      <w:bodyDiv w:val="1"/>
      <w:marLeft w:val="0"/>
      <w:marRight w:val="0"/>
      <w:marTop w:val="0"/>
      <w:marBottom w:val="0"/>
      <w:divBdr>
        <w:top w:val="none" w:sz="0" w:space="0" w:color="auto"/>
        <w:left w:val="none" w:sz="0" w:space="0" w:color="auto"/>
        <w:bottom w:val="none" w:sz="0" w:space="0" w:color="auto"/>
        <w:right w:val="none" w:sz="0" w:space="0" w:color="auto"/>
      </w:divBdr>
    </w:div>
    <w:div w:id="102043883">
      <w:bodyDiv w:val="1"/>
      <w:marLeft w:val="0"/>
      <w:marRight w:val="0"/>
      <w:marTop w:val="0"/>
      <w:marBottom w:val="0"/>
      <w:divBdr>
        <w:top w:val="none" w:sz="0" w:space="0" w:color="auto"/>
        <w:left w:val="none" w:sz="0" w:space="0" w:color="auto"/>
        <w:bottom w:val="none" w:sz="0" w:space="0" w:color="auto"/>
        <w:right w:val="none" w:sz="0" w:space="0" w:color="auto"/>
      </w:divBdr>
    </w:div>
    <w:div w:id="543257069">
      <w:bodyDiv w:val="1"/>
      <w:marLeft w:val="0"/>
      <w:marRight w:val="0"/>
      <w:marTop w:val="0"/>
      <w:marBottom w:val="0"/>
      <w:divBdr>
        <w:top w:val="none" w:sz="0" w:space="0" w:color="auto"/>
        <w:left w:val="none" w:sz="0" w:space="0" w:color="auto"/>
        <w:bottom w:val="none" w:sz="0" w:space="0" w:color="auto"/>
        <w:right w:val="none" w:sz="0" w:space="0" w:color="auto"/>
      </w:divBdr>
    </w:div>
    <w:div w:id="825707100">
      <w:bodyDiv w:val="1"/>
      <w:marLeft w:val="0"/>
      <w:marRight w:val="0"/>
      <w:marTop w:val="0"/>
      <w:marBottom w:val="0"/>
      <w:divBdr>
        <w:top w:val="none" w:sz="0" w:space="0" w:color="auto"/>
        <w:left w:val="none" w:sz="0" w:space="0" w:color="auto"/>
        <w:bottom w:val="none" w:sz="0" w:space="0" w:color="auto"/>
        <w:right w:val="none" w:sz="0" w:space="0" w:color="auto"/>
      </w:divBdr>
    </w:div>
    <w:div w:id="1127701624">
      <w:bodyDiv w:val="1"/>
      <w:marLeft w:val="0"/>
      <w:marRight w:val="0"/>
      <w:marTop w:val="0"/>
      <w:marBottom w:val="0"/>
      <w:divBdr>
        <w:top w:val="none" w:sz="0" w:space="0" w:color="auto"/>
        <w:left w:val="none" w:sz="0" w:space="0" w:color="auto"/>
        <w:bottom w:val="none" w:sz="0" w:space="0" w:color="auto"/>
        <w:right w:val="none" w:sz="0" w:space="0" w:color="auto"/>
      </w:divBdr>
    </w:div>
    <w:div w:id="1149790658">
      <w:bodyDiv w:val="1"/>
      <w:marLeft w:val="0"/>
      <w:marRight w:val="0"/>
      <w:marTop w:val="0"/>
      <w:marBottom w:val="0"/>
      <w:divBdr>
        <w:top w:val="none" w:sz="0" w:space="0" w:color="auto"/>
        <w:left w:val="none" w:sz="0" w:space="0" w:color="auto"/>
        <w:bottom w:val="none" w:sz="0" w:space="0" w:color="auto"/>
        <w:right w:val="none" w:sz="0" w:space="0" w:color="auto"/>
      </w:divBdr>
    </w:div>
    <w:div w:id="1703170260">
      <w:bodyDiv w:val="1"/>
      <w:marLeft w:val="0"/>
      <w:marRight w:val="0"/>
      <w:marTop w:val="0"/>
      <w:marBottom w:val="0"/>
      <w:divBdr>
        <w:top w:val="none" w:sz="0" w:space="0" w:color="auto"/>
        <w:left w:val="none" w:sz="0" w:space="0" w:color="auto"/>
        <w:bottom w:val="none" w:sz="0" w:space="0" w:color="auto"/>
        <w:right w:val="none" w:sz="0" w:space="0" w:color="auto"/>
      </w:divBdr>
    </w:div>
    <w:div w:id="1721855689">
      <w:bodyDiv w:val="1"/>
      <w:marLeft w:val="0"/>
      <w:marRight w:val="0"/>
      <w:marTop w:val="0"/>
      <w:marBottom w:val="0"/>
      <w:divBdr>
        <w:top w:val="none" w:sz="0" w:space="0" w:color="auto"/>
        <w:left w:val="none" w:sz="0" w:space="0" w:color="auto"/>
        <w:bottom w:val="none" w:sz="0" w:space="0" w:color="auto"/>
        <w:right w:val="none" w:sz="0" w:space="0" w:color="auto"/>
      </w:divBdr>
    </w:div>
    <w:div w:id="1806924016">
      <w:bodyDiv w:val="1"/>
      <w:marLeft w:val="0"/>
      <w:marRight w:val="0"/>
      <w:marTop w:val="0"/>
      <w:marBottom w:val="0"/>
      <w:divBdr>
        <w:top w:val="none" w:sz="0" w:space="0" w:color="auto"/>
        <w:left w:val="none" w:sz="0" w:space="0" w:color="auto"/>
        <w:bottom w:val="none" w:sz="0" w:space="0" w:color="auto"/>
        <w:right w:val="none" w:sz="0" w:space="0" w:color="auto"/>
      </w:divBdr>
    </w:div>
    <w:div w:id="1859657951">
      <w:bodyDiv w:val="1"/>
      <w:marLeft w:val="0"/>
      <w:marRight w:val="0"/>
      <w:marTop w:val="0"/>
      <w:marBottom w:val="0"/>
      <w:divBdr>
        <w:top w:val="none" w:sz="0" w:space="0" w:color="auto"/>
        <w:left w:val="none" w:sz="0" w:space="0" w:color="auto"/>
        <w:bottom w:val="none" w:sz="0" w:space="0" w:color="auto"/>
        <w:right w:val="none" w:sz="0" w:space="0" w:color="auto"/>
      </w:divBdr>
    </w:div>
    <w:div w:id="20635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D8924-010E-42BB-A088-78F782B94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2937</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Cortés</dc:creator>
  <cp:keywords/>
  <dc:description/>
  <cp:lastModifiedBy>MARÍA PAULA SIERRA TORRES</cp:lastModifiedBy>
  <cp:revision>2</cp:revision>
  <dcterms:created xsi:type="dcterms:W3CDTF">2020-10-29T14:05:00Z</dcterms:created>
  <dcterms:modified xsi:type="dcterms:W3CDTF">2020-10-29T14:05:00Z</dcterms:modified>
</cp:coreProperties>
</file>