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4A924" w14:textId="77777777" w:rsidR="000C5DB7" w:rsidRPr="008F7DCC" w:rsidRDefault="000C5DB7" w:rsidP="008F7DCC">
      <w:pPr>
        <w:pStyle w:val="NoSpacing"/>
        <w:spacing w:line="278" w:lineRule="auto"/>
        <w:rPr>
          <w:szCs w:val="24"/>
        </w:rPr>
      </w:pPr>
      <w:r w:rsidRPr="008F7DCC">
        <w:rPr>
          <w:szCs w:val="24"/>
        </w:rPr>
        <w:t>CONSEJERO PONENTE: JAIME ENRIQUE RODRÍGUEZ NAVAS</w:t>
      </w:r>
    </w:p>
    <w:p w14:paraId="50299F1F" w14:textId="77777777" w:rsidR="00F91B32" w:rsidRPr="008F7DCC" w:rsidRDefault="00F91B32" w:rsidP="008F7DCC">
      <w:pPr>
        <w:spacing w:line="278" w:lineRule="auto"/>
        <w:contextualSpacing/>
        <w:rPr>
          <w:b/>
          <w:bCs/>
          <w:sz w:val="24"/>
          <w:szCs w:val="24"/>
        </w:rPr>
      </w:pPr>
    </w:p>
    <w:p w14:paraId="67CA4851" w14:textId="22DE9CC6" w:rsidR="000C5DB7" w:rsidRPr="008F7DCC" w:rsidRDefault="000C5DB7" w:rsidP="008F7DCC">
      <w:pPr>
        <w:spacing w:line="278" w:lineRule="auto"/>
        <w:contextualSpacing/>
        <w:rPr>
          <w:bCs/>
          <w:sz w:val="24"/>
          <w:szCs w:val="24"/>
        </w:rPr>
      </w:pPr>
      <w:r w:rsidRPr="008F7DCC">
        <w:rPr>
          <w:bCs/>
          <w:sz w:val="24"/>
          <w:szCs w:val="24"/>
        </w:rPr>
        <w:t xml:space="preserve">Bogotá D.C., </w:t>
      </w:r>
      <w:r w:rsidR="007A26F9" w:rsidRPr="008F7DCC">
        <w:rPr>
          <w:bCs/>
          <w:sz w:val="24"/>
          <w:szCs w:val="24"/>
        </w:rPr>
        <w:t>trece</w:t>
      </w:r>
      <w:r w:rsidR="0047256F" w:rsidRPr="008F7DCC">
        <w:rPr>
          <w:bCs/>
          <w:sz w:val="24"/>
          <w:szCs w:val="24"/>
        </w:rPr>
        <w:t xml:space="preserve"> (</w:t>
      </w:r>
      <w:r w:rsidR="007A26F9" w:rsidRPr="008F7DCC">
        <w:rPr>
          <w:bCs/>
          <w:sz w:val="24"/>
          <w:szCs w:val="24"/>
        </w:rPr>
        <w:t>13</w:t>
      </w:r>
      <w:r w:rsidR="0047256F" w:rsidRPr="008F7DCC">
        <w:rPr>
          <w:bCs/>
          <w:sz w:val="24"/>
          <w:szCs w:val="24"/>
        </w:rPr>
        <w:t xml:space="preserve">) </w:t>
      </w:r>
      <w:r w:rsidRPr="008F7DCC">
        <w:rPr>
          <w:bCs/>
          <w:sz w:val="24"/>
          <w:szCs w:val="24"/>
        </w:rPr>
        <w:t>de</w:t>
      </w:r>
      <w:r w:rsidR="0047256F" w:rsidRPr="008F7DCC">
        <w:rPr>
          <w:bCs/>
          <w:sz w:val="24"/>
          <w:szCs w:val="24"/>
        </w:rPr>
        <w:t xml:space="preserve"> </w:t>
      </w:r>
      <w:r w:rsidR="0035239F" w:rsidRPr="008F7DCC">
        <w:rPr>
          <w:bCs/>
          <w:sz w:val="24"/>
          <w:szCs w:val="24"/>
        </w:rPr>
        <w:t>octu</w:t>
      </w:r>
      <w:r w:rsidR="00B93639" w:rsidRPr="008F7DCC">
        <w:rPr>
          <w:bCs/>
          <w:sz w:val="24"/>
          <w:szCs w:val="24"/>
        </w:rPr>
        <w:t>bre</w:t>
      </w:r>
      <w:r w:rsidR="007414B9" w:rsidRPr="008F7DCC">
        <w:rPr>
          <w:bCs/>
          <w:sz w:val="24"/>
          <w:szCs w:val="24"/>
        </w:rPr>
        <w:t xml:space="preserve"> de</w:t>
      </w:r>
      <w:r w:rsidRPr="008F7DCC">
        <w:rPr>
          <w:bCs/>
          <w:sz w:val="24"/>
          <w:szCs w:val="24"/>
        </w:rPr>
        <w:t xml:space="preserve"> dos mil </w:t>
      </w:r>
      <w:r w:rsidR="00C87516" w:rsidRPr="008F7DCC">
        <w:rPr>
          <w:bCs/>
          <w:sz w:val="24"/>
          <w:szCs w:val="24"/>
        </w:rPr>
        <w:t>veinte</w:t>
      </w:r>
      <w:r w:rsidRPr="008F7DCC">
        <w:rPr>
          <w:bCs/>
          <w:sz w:val="24"/>
          <w:szCs w:val="24"/>
        </w:rPr>
        <w:t xml:space="preserve"> (</w:t>
      </w:r>
      <w:r w:rsidR="00C87516" w:rsidRPr="008F7DCC">
        <w:rPr>
          <w:bCs/>
          <w:sz w:val="24"/>
          <w:szCs w:val="24"/>
        </w:rPr>
        <w:t>2020</w:t>
      </w:r>
      <w:r w:rsidRPr="008F7DCC">
        <w:rPr>
          <w:bCs/>
          <w:sz w:val="24"/>
          <w:szCs w:val="24"/>
        </w:rPr>
        <w:t>)</w:t>
      </w:r>
    </w:p>
    <w:p w14:paraId="08FDD8A8" w14:textId="77777777" w:rsidR="001A5D58" w:rsidRPr="008F7DCC" w:rsidRDefault="001A5D58" w:rsidP="008F7DCC">
      <w:pPr>
        <w:spacing w:line="278" w:lineRule="auto"/>
        <w:contextualSpacing/>
        <w:rPr>
          <w:b/>
          <w:sz w:val="24"/>
          <w:szCs w:val="24"/>
        </w:rPr>
      </w:pPr>
    </w:p>
    <w:p w14:paraId="3A99314F" w14:textId="77777777" w:rsidR="00062839" w:rsidRPr="008F7DCC" w:rsidRDefault="00062839" w:rsidP="008F7DCC">
      <w:pPr>
        <w:spacing w:line="278" w:lineRule="auto"/>
        <w:ind w:left="1620" w:hanging="1620"/>
        <w:contextualSpacing/>
        <w:rPr>
          <w:b/>
          <w:sz w:val="24"/>
          <w:szCs w:val="24"/>
        </w:rPr>
      </w:pPr>
      <w:r w:rsidRPr="008F7DCC">
        <w:rPr>
          <w:b/>
          <w:sz w:val="24"/>
          <w:szCs w:val="24"/>
        </w:rPr>
        <w:t xml:space="preserve">Referencia: </w:t>
      </w:r>
      <w:r w:rsidRPr="008F7DCC">
        <w:rPr>
          <w:b/>
          <w:sz w:val="24"/>
          <w:szCs w:val="24"/>
        </w:rPr>
        <w:tab/>
      </w:r>
      <w:r w:rsidRPr="008F7DCC">
        <w:rPr>
          <w:sz w:val="24"/>
          <w:szCs w:val="24"/>
        </w:rPr>
        <w:t>Acción de Tutela</w:t>
      </w:r>
    </w:p>
    <w:p w14:paraId="22057FA3" w14:textId="74625D76" w:rsidR="00062839" w:rsidRPr="008F7DCC" w:rsidRDefault="00062839" w:rsidP="008F7DCC">
      <w:pPr>
        <w:spacing w:line="278" w:lineRule="auto"/>
        <w:ind w:left="1620" w:hanging="1620"/>
        <w:contextualSpacing/>
        <w:rPr>
          <w:sz w:val="24"/>
          <w:szCs w:val="24"/>
        </w:rPr>
      </w:pPr>
      <w:r w:rsidRPr="008F7DCC">
        <w:rPr>
          <w:b/>
          <w:sz w:val="24"/>
          <w:szCs w:val="24"/>
        </w:rPr>
        <w:t>Radicación:</w:t>
      </w:r>
      <w:r w:rsidRPr="008F7DCC">
        <w:rPr>
          <w:b/>
          <w:sz w:val="24"/>
          <w:szCs w:val="24"/>
        </w:rPr>
        <w:tab/>
      </w:r>
      <w:r w:rsidR="007A26F9" w:rsidRPr="008F7DCC">
        <w:rPr>
          <w:sz w:val="24"/>
          <w:szCs w:val="24"/>
        </w:rPr>
        <w:t>11001-03-15-000-2020-02711-00</w:t>
      </w:r>
    </w:p>
    <w:p w14:paraId="47FE652F" w14:textId="63350D59" w:rsidR="00062839" w:rsidRPr="008F7DCC" w:rsidRDefault="00062839" w:rsidP="008F7DCC">
      <w:pPr>
        <w:spacing w:line="278" w:lineRule="auto"/>
        <w:ind w:left="1620" w:hanging="1620"/>
        <w:contextualSpacing/>
        <w:rPr>
          <w:sz w:val="24"/>
          <w:szCs w:val="24"/>
        </w:rPr>
      </w:pPr>
      <w:r w:rsidRPr="008F7DCC">
        <w:rPr>
          <w:b/>
          <w:sz w:val="24"/>
          <w:szCs w:val="24"/>
        </w:rPr>
        <w:t>Accionante:</w:t>
      </w:r>
      <w:r w:rsidRPr="008F7DCC">
        <w:rPr>
          <w:b/>
          <w:sz w:val="24"/>
          <w:szCs w:val="24"/>
        </w:rPr>
        <w:tab/>
      </w:r>
      <w:r w:rsidR="007A26F9" w:rsidRPr="008F7DCC">
        <w:rPr>
          <w:bCs/>
          <w:sz w:val="24"/>
          <w:szCs w:val="24"/>
        </w:rPr>
        <w:t>Abraham Moisés García Barrios</w:t>
      </w:r>
    </w:p>
    <w:p w14:paraId="057C952B" w14:textId="22F5B642" w:rsidR="00062839" w:rsidRPr="008F7DCC" w:rsidRDefault="00062839" w:rsidP="008F7DCC">
      <w:pPr>
        <w:spacing w:line="278" w:lineRule="auto"/>
        <w:ind w:left="1620" w:right="51" w:hanging="1620"/>
        <w:contextualSpacing/>
        <w:rPr>
          <w:spacing w:val="-6"/>
          <w:sz w:val="24"/>
          <w:szCs w:val="24"/>
        </w:rPr>
      </w:pPr>
      <w:r w:rsidRPr="008F7DCC">
        <w:rPr>
          <w:b/>
          <w:sz w:val="24"/>
          <w:szCs w:val="24"/>
        </w:rPr>
        <w:t>Accionado</w:t>
      </w:r>
      <w:r w:rsidR="007A26F9" w:rsidRPr="008F7DCC">
        <w:rPr>
          <w:b/>
          <w:sz w:val="24"/>
          <w:szCs w:val="24"/>
        </w:rPr>
        <w:t>s</w:t>
      </w:r>
      <w:r w:rsidRPr="008F7DCC">
        <w:rPr>
          <w:b/>
          <w:sz w:val="24"/>
          <w:szCs w:val="24"/>
        </w:rPr>
        <w:t>:</w:t>
      </w:r>
      <w:r w:rsidRPr="008F7DCC">
        <w:rPr>
          <w:b/>
          <w:sz w:val="24"/>
          <w:szCs w:val="24"/>
        </w:rPr>
        <w:tab/>
      </w:r>
      <w:r w:rsidR="007A26F9" w:rsidRPr="008F7DCC">
        <w:rPr>
          <w:sz w:val="24"/>
          <w:szCs w:val="24"/>
        </w:rPr>
        <w:t>Departamento Administrativo de la Presidencia de la República (DAPRE); Ministerio de Justicia y del Derecho; Ministerio de Hacienda y Crédito Público</w:t>
      </w:r>
      <w:r w:rsidR="00296D9F" w:rsidRPr="008F7DCC">
        <w:rPr>
          <w:sz w:val="24"/>
          <w:szCs w:val="24"/>
        </w:rPr>
        <w:t>,</w:t>
      </w:r>
      <w:r w:rsidR="007A26F9" w:rsidRPr="008F7DCC">
        <w:rPr>
          <w:sz w:val="24"/>
          <w:szCs w:val="24"/>
        </w:rPr>
        <w:t xml:space="preserve"> y Consejo Superior de la Judicatura</w:t>
      </w:r>
    </w:p>
    <w:p w14:paraId="56FB1AEA" w14:textId="77777777" w:rsidR="001A5D58" w:rsidRPr="008F7DCC" w:rsidRDefault="001A5D58" w:rsidP="008F7DCC">
      <w:pPr>
        <w:spacing w:line="278" w:lineRule="auto"/>
        <w:ind w:right="51"/>
        <w:contextualSpacing/>
        <w:rPr>
          <w:b/>
          <w:sz w:val="24"/>
          <w:szCs w:val="24"/>
        </w:rPr>
      </w:pPr>
    </w:p>
    <w:p w14:paraId="5502B028" w14:textId="2DBBA438" w:rsidR="000C5DB7" w:rsidRPr="008F7DCC" w:rsidRDefault="000C5DB7" w:rsidP="008F7DCC">
      <w:pPr>
        <w:pBdr>
          <w:bottom w:val="single" w:sz="12" w:space="0" w:color="auto"/>
        </w:pBdr>
        <w:spacing w:line="278" w:lineRule="auto"/>
        <w:ind w:left="2832" w:hanging="2832"/>
        <w:contextualSpacing/>
        <w:rPr>
          <w:b/>
          <w:sz w:val="24"/>
          <w:szCs w:val="24"/>
        </w:rPr>
      </w:pPr>
      <w:r w:rsidRPr="008F7DCC">
        <w:rPr>
          <w:b/>
          <w:sz w:val="24"/>
          <w:szCs w:val="24"/>
        </w:rPr>
        <w:t xml:space="preserve">SENTENCIA DE </w:t>
      </w:r>
      <w:r w:rsidR="001A5D58" w:rsidRPr="008F7DCC">
        <w:rPr>
          <w:b/>
          <w:sz w:val="24"/>
          <w:szCs w:val="24"/>
        </w:rPr>
        <w:t>PRIMERA</w:t>
      </w:r>
      <w:r w:rsidRPr="008F7DCC">
        <w:rPr>
          <w:b/>
          <w:sz w:val="24"/>
          <w:szCs w:val="24"/>
        </w:rPr>
        <w:t xml:space="preserve"> INSTANCIA</w:t>
      </w:r>
    </w:p>
    <w:p w14:paraId="632CC7FE" w14:textId="77777777" w:rsidR="000C5DB7" w:rsidRPr="008F7DCC" w:rsidRDefault="000C5DB7" w:rsidP="008F7DCC">
      <w:pPr>
        <w:spacing w:line="278" w:lineRule="auto"/>
        <w:contextualSpacing/>
        <w:rPr>
          <w:b/>
          <w:sz w:val="24"/>
          <w:szCs w:val="24"/>
        </w:rPr>
      </w:pPr>
    </w:p>
    <w:p w14:paraId="480156D4" w14:textId="471CF7C2" w:rsidR="0097486A" w:rsidRPr="008F7DCC" w:rsidRDefault="000C5DB7" w:rsidP="008F7DCC">
      <w:pPr>
        <w:spacing w:line="278" w:lineRule="auto"/>
        <w:contextualSpacing/>
        <w:rPr>
          <w:sz w:val="24"/>
          <w:szCs w:val="24"/>
        </w:rPr>
      </w:pPr>
      <w:r w:rsidRPr="008F7DCC">
        <w:rPr>
          <w:sz w:val="24"/>
          <w:szCs w:val="24"/>
        </w:rPr>
        <w:t>La Sala decide</w:t>
      </w:r>
      <w:r w:rsidR="0097486A" w:rsidRPr="008F7DCC">
        <w:rPr>
          <w:sz w:val="24"/>
          <w:szCs w:val="24"/>
        </w:rPr>
        <w:t xml:space="preserve"> </w:t>
      </w:r>
      <w:r w:rsidR="005717A7" w:rsidRPr="008F7DCC">
        <w:rPr>
          <w:sz w:val="24"/>
          <w:szCs w:val="24"/>
        </w:rPr>
        <w:t xml:space="preserve">la </w:t>
      </w:r>
      <w:r w:rsidR="009E4D16" w:rsidRPr="008F7DCC">
        <w:rPr>
          <w:sz w:val="24"/>
          <w:szCs w:val="24"/>
        </w:rPr>
        <w:t>solicitud de amparo</w:t>
      </w:r>
      <w:r w:rsidR="005717A7" w:rsidRPr="008F7DCC">
        <w:rPr>
          <w:sz w:val="24"/>
          <w:szCs w:val="24"/>
        </w:rPr>
        <w:t xml:space="preserve"> que</w:t>
      </w:r>
      <w:r w:rsidR="00A545B5" w:rsidRPr="008F7DCC">
        <w:rPr>
          <w:sz w:val="24"/>
          <w:szCs w:val="24"/>
        </w:rPr>
        <w:t xml:space="preserve"> </w:t>
      </w:r>
      <w:r w:rsidR="005717A7" w:rsidRPr="008F7DCC">
        <w:rPr>
          <w:sz w:val="24"/>
          <w:szCs w:val="24"/>
        </w:rPr>
        <w:t>present</w:t>
      </w:r>
      <w:r w:rsidR="00A545B5" w:rsidRPr="008F7DCC">
        <w:rPr>
          <w:sz w:val="24"/>
          <w:szCs w:val="24"/>
        </w:rPr>
        <w:t>ó</w:t>
      </w:r>
      <w:r w:rsidR="005717A7" w:rsidRPr="008F7DCC">
        <w:rPr>
          <w:sz w:val="24"/>
          <w:szCs w:val="24"/>
        </w:rPr>
        <w:t xml:space="preserve"> </w:t>
      </w:r>
      <w:r w:rsidR="007A26F9" w:rsidRPr="008F7DCC">
        <w:rPr>
          <w:sz w:val="24"/>
          <w:szCs w:val="24"/>
        </w:rPr>
        <w:t>Abraham Moisés García Barrios</w:t>
      </w:r>
      <w:r w:rsidR="00B93639" w:rsidRPr="008F7DCC">
        <w:rPr>
          <w:sz w:val="24"/>
          <w:szCs w:val="24"/>
        </w:rPr>
        <w:t xml:space="preserve"> </w:t>
      </w:r>
      <w:r w:rsidR="005717A7" w:rsidRPr="008F7DCC">
        <w:rPr>
          <w:sz w:val="24"/>
          <w:szCs w:val="24"/>
        </w:rPr>
        <w:t xml:space="preserve">contra </w:t>
      </w:r>
      <w:r w:rsidR="00296D9F" w:rsidRPr="008F7DCC">
        <w:rPr>
          <w:sz w:val="24"/>
          <w:szCs w:val="24"/>
        </w:rPr>
        <w:t>el</w:t>
      </w:r>
      <w:r w:rsidR="007A26F9" w:rsidRPr="008F7DCC">
        <w:rPr>
          <w:sz w:val="24"/>
          <w:szCs w:val="24"/>
        </w:rPr>
        <w:t xml:space="preserve"> Departamento Administrativo de la Presidencia de la República (DAPRE); </w:t>
      </w:r>
      <w:r w:rsidR="00296D9F" w:rsidRPr="008F7DCC">
        <w:rPr>
          <w:sz w:val="24"/>
          <w:szCs w:val="24"/>
        </w:rPr>
        <w:t>el</w:t>
      </w:r>
      <w:r w:rsidR="007A26F9" w:rsidRPr="008F7DCC">
        <w:rPr>
          <w:sz w:val="24"/>
          <w:szCs w:val="24"/>
        </w:rPr>
        <w:t xml:space="preserve"> Ministerio de Justicia y del Derecho; </w:t>
      </w:r>
      <w:r w:rsidR="00296D9F" w:rsidRPr="008F7DCC">
        <w:rPr>
          <w:sz w:val="24"/>
          <w:szCs w:val="24"/>
        </w:rPr>
        <w:t>el</w:t>
      </w:r>
      <w:r w:rsidR="007A26F9" w:rsidRPr="008F7DCC">
        <w:rPr>
          <w:sz w:val="24"/>
          <w:szCs w:val="24"/>
        </w:rPr>
        <w:t xml:space="preserve"> Ministerio de Hacienda y Crédito Público</w:t>
      </w:r>
      <w:r w:rsidR="00296D9F" w:rsidRPr="008F7DCC">
        <w:rPr>
          <w:sz w:val="24"/>
          <w:szCs w:val="24"/>
        </w:rPr>
        <w:t>,</w:t>
      </w:r>
      <w:r w:rsidR="007A26F9" w:rsidRPr="008F7DCC">
        <w:rPr>
          <w:sz w:val="24"/>
          <w:szCs w:val="24"/>
        </w:rPr>
        <w:t xml:space="preserve"> y el Consejo Superior de la Judicatura</w:t>
      </w:r>
      <w:r w:rsidR="0020077C" w:rsidRPr="008F7DCC">
        <w:rPr>
          <w:sz w:val="24"/>
          <w:szCs w:val="24"/>
        </w:rPr>
        <w:t>.</w:t>
      </w:r>
    </w:p>
    <w:p w14:paraId="766CF102" w14:textId="77777777" w:rsidR="00E57BB4" w:rsidRPr="008F7DCC" w:rsidRDefault="00E57BB4" w:rsidP="008F7DCC">
      <w:pPr>
        <w:spacing w:line="278" w:lineRule="auto"/>
        <w:contextualSpacing/>
        <w:rPr>
          <w:sz w:val="24"/>
          <w:szCs w:val="24"/>
        </w:rPr>
      </w:pPr>
    </w:p>
    <w:p w14:paraId="4C66CC71" w14:textId="77777777" w:rsidR="000C5DB7" w:rsidRPr="008F7DCC" w:rsidRDefault="000C5DB7" w:rsidP="008F7DCC">
      <w:pPr>
        <w:pStyle w:val="Heading1"/>
        <w:spacing w:before="0" w:after="0" w:line="278" w:lineRule="auto"/>
        <w:rPr>
          <w:rFonts w:cs="Arial"/>
          <w:kern w:val="0"/>
          <w:szCs w:val="24"/>
        </w:rPr>
      </w:pPr>
      <w:r w:rsidRPr="008F7DCC">
        <w:rPr>
          <w:rFonts w:cs="Arial"/>
          <w:kern w:val="0"/>
          <w:szCs w:val="24"/>
        </w:rPr>
        <w:t>ANTECEDENTES</w:t>
      </w:r>
    </w:p>
    <w:p w14:paraId="1EBDE87D" w14:textId="77777777" w:rsidR="00E57BB4" w:rsidRPr="008F7DCC" w:rsidRDefault="00E57BB4" w:rsidP="008F7DCC">
      <w:pPr>
        <w:pStyle w:val="Heading2"/>
        <w:numPr>
          <w:ilvl w:val="0"/>
          <w:numId w:val="0"/>
        </w:numPr>
        <w:spacing w:before="0" w:after="0" w:line="278" w:lineRule="auto"/>
        <w:rPr>
          <w:rFonts w:cs="Arial"/>
          <w:szCs w:val="24"/>
          <w:lang w:eastAsia="es-ES"/>
        </w:rPr>
      </w:pPr>
    </w:p>
    <w:p w14:paraId="768CCA4A" w14:textId="77777777" w:rsidR="00FF190B" w:rsidRPr="008F7DCC" w:rsidRDefault="000C5DB7" w:rsidP="008F7DCC">
      <w:pPr>
        <w:pStyle w:val="Heading2"/>
        <w:spacing w:before="0" w:after="0" w:line="278" w:lineRule="auto"/>
        <w:ind w:left="0" w:firstLine="0"/>
        <w:rPr>
          <w:rFonts w:cs="Arial"/>
          <w:szCs w:val="24"/>
          <w:lang w:eastAsia="es-ES"/>
        </w:rPr>
      </w:pPr>
      <w:r w:rsidRPr="008F7DCC">
        <w:rPr>
          <w:rFonts w:cs="Arial"/>
          <w:szCs w:val="24"/>
          <w:lang w:eastAsia="es-ES"/>
        </w:rPr>
        <w:t>Solicitud de tutela</w:t>
      </w:r>
    </w:p>
    <w:p w14:paraId="123972A5" w14:textId="77777777" w:rsidR="00FF190B" w:rsidRPr="008F7DCC" w:rsidRDefault="00FF190B" w:rsidP="008F7DCC">
      <w:pPr>
        <w:overflowPunct w:val="0"/>
        <w:autoSpaceDE w:val="0"/>
        <w:autoSpaceDN w:val="0"/>
        <w:adjustRightInd w:val="0"/>
        <w:spacing w:line="278" w:lineRule="auto"/>
        <w:contextualSpacing/>
        <w:textAlignment w:val="baseline"/>
        <w:rPr>
          <w:sz w:val="24"/>
          <w:szCs w:val="24"/>
        </w:rPr>
      </w:pPr>
    </w:p>
    <w:p w14:paraId="17708809" w14:textId="4F09CBA6" w:rsidR="00062839" w:rsidRPr="008F7DCC" w:rsidRDefault="00981F86" w:rsidP="008F7DCC">
      <w:pPr>
        <w:spacing w:line="278" w:lineRule="auto"/>
        <w:rPr>
          <w:sz w:val="24"/>
          <w:szCs w:val="24"/>
        </w:rPr>
      </w:pPr>
      <w:r w:rsidRPr="008F7DCC">
        <w:rPr>
          <w:sz w:val="24"/>
          <w:szCs w:val="24"/>
        </w:rPr>
        <w:t>Abraham Moisés García Barrios, en nombre propio</w:t>
      </w:r>
      <w:r w:rsidR="008D1BD7" w:rsidRPr="008F7DCC">
        <w:rPr>
          <w:rStyle w:val="FootnoteReference"/>
          <w:sz w:val="24"/>
          <w:szCs w:val="24"/>
        </w:rPr>
        <w:footnoteReference w:id="2"/>
      </w:r>
      <w:r w:rsidRPr="008F7DCC">
        <w:rPr>
          <w:sz w:val="24"/>
          <w:szCs w:val="24"/>
        </w:rPr>
        <w:t xml:space="preserve">, presentó solicitud de amparo de sus derechos fundamentales a la vida en condiciones dignas, al mínimo vital y de petición. Dichas garantías las consideró vulneradas por </w:t>
      </w:r>
      <w:r w:rsidR="00296D9F" w:rsidRPr="008F7DCC">
        <w:rPr>
          <w:sz w:val="24"/>
          <w:szCs w:val="24"/>
        </w:rPr>
        <w:t>el</w:t>
      </w:r>
      <w:r w:rsidRPr="008F7DCC">
        <w:rPr>
          <w:sz w:val="24"/>
          <w:szCs w:val="24"/>
        </w:rPr>
        <w:t xml:space="preserve"> Departamento Administrativo de la Presidencia de la República (DAPRE); </w:t>
      </w:r>
      <w:r w:rsidR="00296D9F" w:rsidRPr="008F7DCC">
        <w:rPr>
          <w:sz w:val="24"/>
          <w:szCs w:val="24"/>
        </w:rPr>
        <w:t>el</w:t>
      </w:r>
      <w:r w:rsidRPr="008F7DCC">
        <w:rPr>
          <w:sz w:val="24"/>
          <w:szCs w:val="24"/>
        </w:rPr>
        <w:t xml:space="preserve"> Ministerio de Justicia y del Derecho; </w:t>
      </w:r>
      <w:r w:rsidR="00296D9F" w:rsidRPr="008F7DCC">
        <w:rPr>
          <w:sz w:val="24"/>
          <w:szCs w:val="24"/>
        </w:rPr>
        <w:t>el</w:t>
      </w:r>
      <w:r w:rsidRPr="008F7DCC">
        <w:rPr>
          <w:sz w:val="24"/>
          <w:szCs w:val="24"/>
        </w:rPr>
        <w:t xml:space="preserve"> Ministerio de Hacienda y Crédito Público, y el Consejo Superior de la Judicatura. Su solicitud se motiva en que, como resultado de la pandemia causada por el coronavirus, no ha podido ejercer sus labores como abogado litigante independiente. Por tanto, no ha podido asegurarse su sustento digno</w:t>
      </w:r>
      <w:r w:rsidR="00E60E30" w:rsidRPr="008F7DCC">
        <w:rPr>
          <w:sz w:val="24"/>
          <w:szCs w:val="24"/>
        </w:rPr>
        <w:t>, el de su hijo y el de su padre.</w:t>
      </w:r>
    </w:p>
    <w:p w14:paraId="3E2B54A1" w14:textId="1F5A77D0" w:rsidR="00746F77" w:rsidRPr="008F7DCC" w:rsidRDefault="00746F77" w:rsidP="008F7DCC">
      <w:pPr>
        <w:spacing w:line="278" w:lineRule="auto"/>
        <w:contextualSpacing/>
        <w:rPr>
          <w:rFonts w:eastAsia="Verdana"/>
          <w:sz w:val="24"/>
          <w:szCs w:val="24"/>
        </w:rPr>
      </w:pPr>
    </w:p>
    <w:p w14:paraId="3FAB417C" w14:textId="77777777" w:rsidR="000C5DB7" w:rsidRPr="008F7DCC" w:rsidRDefault="000C5DB7" w:rsidP="008F7DCC">
      <w:pPr>
        <w:numPr>
          <w:ilvl w:val="0"/>
          <w:numId w:val="3"/>
        </w:numPr>
        <w:spacing w:line="278" w:lineRule="auto"/>
        <w:ind w:left="0" w:firstLine="0"/>
        <w:contextualSpacing/>
        <w:rPr>
          <w:rFonts w:eastAsia="Verdana"/>
          <w:b/>
          <w:sz w:val="24"/>
          <w:szCs w:val="24"/>
        </w:rPr>
      </w:pPr>
      <w:r w:rsidRPr="008F7DCC">
        <w:rPr>
          <w:rFonts w:eastAsia="Verdana"/>
          <w:b/>
          <w:sz w:val="24"/>
          <w:szCs w:val="24"/>
        </w:rPr>
        <w:t>Hechos</w:t>
      </w:r>
    </w:p>
    <w:p w14:paraId="27FBFA21" w14:textId="02D4CB15" w:rsidR="00166AF6" w:rsidRPr="008F7DCC" w:rsidRDefault="00166AF6" w:rsidP="008F7DCC">
      <w:pPr>
        <w:spacing w:line="278" w:lineRule="auto"/>
        <w:contextualSpacing/>
        <w:rPr>
          <w:rFonts w:eastAsia="Verdana"/>
          <w:sz w:val="24"/>
          <w:szCs w:val="24"/>
        </w:rPr>
      </w:pPr>
    </w:p>
    <w:p w14:paraId="00C137B2" w14:textId="30651190" w:rsidR="008348FC" w:rsidRDefault="008D1BD7" w:rsidP="008F7DCC">
      <w:pPr>
        <w:pStyle w:val="ListParagraph"/>
        <w:spacing w:line="278" w:lineRule="auto"/>
        <w:ind w:left="0"/>
        <w:rPr>
          <w:sz w:val="24"/>
          <w:szCs w:val="24"/>
        </w:rPr>
      </w:pPr>
      <w:r w:rsidRPr="008F7DCC">
        <w:rPr>
          <w:sz w:val="24"/>
          <w:szCs w:val="24"/>
        </w:rPr>
        <w:t>El actor, en su escrito de tutela, comentó que es abogado y que ejerce su profesión en calidad de litigante independiente. Desde mediados de marzo del presente año, con motivo de la situación de emergencia sanitaria que azota al país por causa del coronavirus, no ha podido litigar. El cierre de los despachos judiciales y las órdenes de confinamiento que ha dado el Gobierno Nacional le han</w:t>
      </w:r>
      <w:r w:rsidR="00E01709" w:rsidRPr="008F7DCC">
        <w:rPr>
          <w:sz w:val="24"/>
          <w:szCs w:val="24"/>
        </w:rPr>
        <w:t xml:space="preserve"> impedido trabajar. Por lo anterior, no ha percibi</w:t>
      </w:r>
      <w:r w:rsidR="00FF074C" w:rsidRPr="008F7DCC">
        <w:rPr>
          <w:sz w:val="24"/>
          <w:szCs w:val="24"/>
        </w:rPr>
        <w:t>do</w:t>
      </w:r>
      <w:r w:rsidR="00E01709" w:rsidRPr="008F7DCC">
        <w:rPr>
          <w:sz w:val="24"/>
          <w:szCs w:val="24"/>
        </w:rPr>
        <w:t xml:space="preserve"> los ingresos que necesita para solventar sus necesidades, las de su menor hijo y las de su señor padre, quien es adulto mayor. Con el fin de atender su situación, ha acudido a las autoridades accionadas en busca de auxilios. Sin embargo, solo ha obtenido respuestas informativas a sus peticiones</w:t>
      </w:r>
      <w:r w:rsidR="00937545" w:rsidRPr="008F7DCC">
        <w:rPr>
          <w:sz w:val="24"/>
          <w:szCs w:val="24"/>
        </w:rPr>
        <w:t xml:space="preserve"> y ninguna ayuda puntual</w:t>
      </w:r>
      <w:r w:rsidR="00E01709" w:rsidRPr="008F7DCC">
        <w:rPr>
          <w:sz w:val="24"/>
          <w:szCs w:val="24"/>
        </w:rPr>
        <w:t>. A ello agregó que está inscrito en el SISBEN, nivel II.</w:t>
      </w:r>
    </w:p>
    <w:p w14:paraId="62F83F9F" w14:textId="7A20ED20" w:rsidR="0065349D" w:rsidRPr="008F7DCC" w:rsidRDefault="000C5DB7" w:rsidP="008F7DCC">
      <w:pPr>
        <w:numPr>
          <w:ilvl w:val="0"/>
          <w:numId w:val="3"/>
        </w:numPr>
        <w:overflowPunct w:val="0"/>
        <w:autoSpaceDE w:val="0"/>
        <w:autoSpaceDN w:val="0"/>
        <w:adjustRightInd w:val="0"/>
        <w:spacing w:line="278" w:lineRule="auto"/>
        <w:ind w:left="0" w:firstLine="0"/>
        <w:contextualSpacing/>
        <w:rPr>
          <w:rFonts w:eastAsia="Times New Roman"/>
          <w:b/>
          <w:sz w:val="24"/>
          <w:szCs w:val="24"/>
          <w:lang w:eastAsia="es-ES"/>
        </w:rPr>
      </w:pPr>
      <w:r w:rsidRPr="008F7DCC">
        <w:rPr>
          <w:rFonts w:eastAsia="Times New Roman"/>
          <w:b/>
          <w:sz w:val="24"/>
          <w:szCs w:val="24"/>
          <w:lang w:eastAsia="es-ES"/>
        </w:rPr>
        <w:lastRenderedPageBreak/>
        <w:t>Pretensiones de tutela</w:t>
      </w:r>
    </w:p>
    <w:p w14:paraId="5C35EA85" w14:textId="77777777" w:rsidR="0065349D" w:rsidRPr="008F7DCC" w:rsidRDefault="0065349D" w:rsidP="008F7DCC">
      <w:pPr>
        <w:overflowPunct w:val="0"/>
        <w:autoSpaceDE w:val="0"/>
        <w:autoSpaceDN w:val="0"/>
        <w:adjustRightInd w:val="0"/>
        <w:spacing w:line="278" w:lineRule="auto"/>
        <w:contextualSpacing/>
        <w:rPr>
          <w:rFonts w:eastAsia="Times New Roman"/>
          <w:b/>
          <w:sz w:val="24"/>
          <w:szCs w:val="24"/>
          <w:lang w:eastAsia="es-ES"/>
        </w:rPr>
      </w:pPr>
    </w:p>
    <w:p w14:paraId="53626092" w14:textId="1092D3D9" w:rsidR="002E5558" w:rsidRPr="008F7DCC" w:rsidRDefault="00937545" w:rsidP="008F7DCC">
      <w:pPr>
        <w:overflowPunct w:val="0"/>
        <w:autoSpaceDE w:val="0"/>
        <w:autoSpaceDN w:val="0"/>
        <w:adjustRightInd w:val="0"/>
        <w:spacing w:line="278" w:lineRule="auto"/>
        <w:contextualSpacing/>
        <w:rPr>
          <w:sz w:val="24"/>
          <w:szCs w:val="24"/>
        </w:rPr>
      </w:pPr>
      <w:r w:rsidRPr="008F7DCC">
        <w:rPr>
          <w:sz w:val="24"/>
          <w:szCs w:val="24"/>
        </w:rPr>
        <w:t>El accionante solicitó lo siguiente:</w:t>
      </w:r>
    </w:p>
    <w:p w14:paraId="6BD5E168" w14:textId="07353341" w:rsidR="00937545" w:rsidRPr="008F7DCC" w:rsidRDefault="00937545" w:rsidP="008F7DCC">
      <w:pPr>
        <w:overflowPunct w:val="0"/>
        <w:autoSpaceDE w:val="0"/>
        <w:autoSpaceDN w:val="0"/>
        <w:adjustRightInd w:val="0"/>
        <w:spacing w:line="278" w:lineRule="auto"/>
        <w:contextualSpacing/>
        <w:rPr>
          <w:sz w:val="24"/>
          <w:szCs w:val="24"/>
        </w:rPr>
      </w:pPr>
    </w:p>
    <w:p w14:paraId="7F3EA435" w14:textId="77777777" w:rsidR="00937545" w:rsidRPr="008F7DCC" w:rsidRDefault="00937545" w:rsidP="008F7DCC">
      <w:pPr>
        <w:spacing w:line="278" w:lineRule="auto"/>
        <w:ind w:left="706"/>
        <w:rPr>
          <w:rFonts w:eastAsia="Arial Unicode MS"/>
          <w:sz w:val="22"/>
          <w:szCs w:val="22"/>
        </w:rPr>
      </w:pPr>
      <w:r w:rsidRPr="008F7DCC">
        <w:rPr>
          <w:rFonts w:eastAsia="Arial Unicode MS"/>
          <w:sz w:val="22"/>
          <w:szCs w:val="22"/>
        </w:rPr>
        <w:t>“A. Que como garantía el derecho al mínimo vital, la dignidad y la vida, se ordene a las entidades accionadas, den soluciones reales, efectivas e inmediatas sobre la aportación de recursos a los independientes, en mi caso particular como abogado litigante. Durante un término prudente para solventar gastos y subsistencia debido a las circunstancias actuales.</w:t>
      </w:r>
    </w:p>
    <w:p w14:paraId="212E786C" w14:textId="77777777" w:rsidR="00937545" w:rsidRPr="008F7DCC" w:rsidRDefault="00937545" w:rsidP="008F7DCC">
      <w:pPr>
        <w:spacing w:line="278" w:lineRule="auto"/>
        <w:ind w:left="706"/>
        <w:rPr>
          <w:rFonts w:eastAsia="Arial Unicode MS"/>
          <w:sz w:val="22"/>
          <w:szCs w:val="22"/>
        </w:rPr>
      </w:pPr>
    </w:p>
    <w:p w14:paraId="0ECE81C2" w14:textId="77777777" w:rsidR="00937545" w:rsidRPr="008F7DCC" w:rsidRDefault="00937545" w:rsidP="008F7DCC">
      <w:pPr>
        <w:spacing w:line="278" w:lineRule="auto"/>
        <w:ind w:left="706"/>
        <w:rPr>
          <w:rFonts w:eastAsia="Arial Unicode MS"/>
          <w:sz w:val="22"/>
          <w:szCs w:val="22"/>
        </w:rPr>
      </w:pPr>
      <w:r w:rsidRPr="008F7DCC">
        <w:rPr>
          <w:rFonts w:eastAsia="Arial Unicode MS"/>
          <w:sz w:val="22"/>
          <w:szCs w:val="22"/>
        </w:rPr>
        <w:t>“B. Se visibilice la situación extrema y urgente de los abogados del país, por ende se brinden medidas adecuadas y eficaces tales como una real ayuda en cuanto a los servicios públicos e internet, para poder sobrellevar la crisis que es cierto nos afecta a todos pero, más a los independientes sin tener en cuenta su estrato.</w:t>
      </w:r>
    </w:p>
    <w:p w14:paraId="23549DA2" w14:textId="77777777" w:rsidR="00937545" w:rsidRPr="008F7DCC" w:rsidRDefault="00937545" w:rsidP="008F7DCC">
      <w:pPr>
        <w:spacing w:line="278" w:lineRule="auto"/>
        <w:ind w:left="706"/>
        <w:rPr>
          <w:rFonts w:eastAsia="Arial Unicode MS"/>
          <w:sz w:val="22"/>
          <w:szCs w:val="22"/>
        </w:rPr>
      </w:pPr>
    </w:p>
    <w:p w14:paraId="00302580" w14:textId="77777777" w:rsidR="00937545" w:rsidRPr="008F7DCC" w:rsidRDefault="00937545" w:rsidP="008F7DCC">
      <w:pPr>
        <w:spacing w:line="278" w:lineRule="auto"/>
        <w:ind w:left="706"/>
        <w:rPr>
          <w:rFonts w:eastAsia="Arial Unicode MS"/>
          <w:sz w:val="22"/>
          <w:szCs w:val="22"/>
        </w:rPr>
      </w:pPr>
      <w:r w:rsidRPr="008F7DCC">
        <w:rPr>
          <w:rFonts w:eastAsia="Arial Unicode MS"/>
          <w:sz w:val="22"/>
          <w:szCs w:val="22"/>
        </w:rPr>
        <w:t>“C. Que con ocasión del decreto 568, las contribuciones e impuestos que se recauden a funcionarios de la rama judicial, se destinen a un fondo que vaya directamente para solventar y ayudar a abogados independientes, como es mi caso particular, ya que trabajamos en conjunto con la rama judicial pero no contamos con ningún beneficio, esto obrando según el principio de igualdad.</w:t>
      </w:r>
    </w:p>
    <w:p w14:paraId="521B4437" w14:textId="77777777" w:rsidR="00937545" w:rsidRPr="008F7DCC" w:rsidRDefault="00937545" w:rsidP="008F7DCC">
      <w:pPr>
        <w:spacing w:line="278" w:lineRule="auto"/>
        <w:ind w:left="706"/>
        <w:rPr>
          <w:rFonts w:eastAsia="Arial Unicode MS"/>
          <w:sz w:val="22"/>
          <w:szCs w:val="22"/>
        </w:rPr>
      </w:pPr>
    </w:p>
    <w:p w14:paraId="7B14CBF8" w14:textId="77777777" w:rsidR="00937545" w:rsidRPr="008F7DCC" w:rsidRDefault="00937545" w:rsidP="008F7DCC">
      <w:pPr>
        <w:spacing w:line="278" w:lineRule="auto"/>
        <w:ind w:left="706"/>
        <w:rPr>
          <w:rFonts w:eastAsia="Arial Unicode MS"/>
          <w:sz w:val="22"/>
          <w:szCs w:val="22"/>
        </w:rPr>
      </w:pPr>
      <w:r w:rsidRPr="008F7DCC">
        <w:rPr>
          <w:rFonts w:eastAsia="Arial Unicode MS"/>
          <w:sz w:val="22"/>
          <w:szCs w:val="22"/>
        </w:rPr>
        <w:t>“D. Se ordene a las accionadas o competentes, me brinden recursos para poder solventar situaciones personales y familiares, sin necesidad de acudir a créditos, con ocasión del derecho al mínimo vital, así como alguna ayuda en cuanto al pago de servicios y/o alimentación de manera real y efectiva no de manera abstracta y efímera.</w:t>
      </w:r>
    </w:p>
    <w:p w14:paraId="67E1D716" w14:textId="77777777" w:rsidR="00937545" w:rsidRPr="008F7DCC" w:rsidRDefault="00937545" w:rsidP="008F7DCC">
      <w:pPr>
        <w:spacing w:line="278" w:lineRule="auto"/>
        <w:ind w:left="706"/>
        <w:rPr>
          <w:rFonts w:eastAsia="Arial Unicode MS"/>
          <w:sz w:val="22"/>
          <w:szCs w:val="22"/>
        </w:rPr>
      </w:pPr>
    </w:p>
    <w:p w14:paraId="5E0559B5" w14:textId="77777777" w:rsidR="00937545" w:rsidRPr="008F7DCC" w:rsidRDefault="00937545" w:rsidP="008F7DCC">
      <w:pPr>
        <w:spacing w:line="278" w:lineRule="auto"/>
        <w:ind w:left="706"/>
        <w:rPr>
          <w:rFonts w:eastAsia="Arial Unicode MS"/>
          <w:sz w:val="22"/>
          <w:szCs w:val="22"/>
        </w:rPr>
      </w:pPr>
      <w:r w:rsidRPr="008F7DCC">
        <w:rPr>
          <w:rFonts w:eastAsia="Arial Unicode MS"/>
          <w:sz w:val="22"/>
          <w:szCs w:val="22"/>
        </w:rPr>
        <w:t>“E. Se ordene a las accionadas, brinden información veraz sobre cuál será la estrategia y las fórmulas reales y efectivas, que se darán para subsanar la nula actividad, la afectación de los ingresos personales en consecuencia la subsistencia de mi familia.</w:t>
      </w:r>
    </w:p>
    <w:p w14:paraId="0E4F521E" w14:textId="77777777" w:rsidR="00937545" w:rsidRPr="008F7DCC" w:rsidRDefault="00937545" w:rsidP="008F7DCC">
      <w:pPr>
        <w:spacing w:line="278" w:lineRule="auto"/>
        <w:ind w:left="706"/>
        <w:rPr>
          <w:rFonts w:eastAsia="Arial Unicode MS"/>
          <w:sz w:val="22"/>
          <w:szCs w:val="22"/>
        </w:rPr>
      </w:pPr>
    </w:p>
    <w:p w14:paraId="140E08D1" w14:textId="5540EB42" w:rsidR="00937545" w:rsidRPr="008F7DCC" w:rsidRDefault="00937545" w:rsidP="008F7DCC">
      <w:pPr>
        <w:spacing w:line="278" w:lineRule="auto"/>
        <w:ind w:left="706"/>
        <w:rPr>
          <w:rFonts w:eastAsia="Arial Unicode MS"/>
          <w:sz w:val="22"/>
          <w:szCs w:val="22"/>
        </w:rPr>
      </w:pPr>
      <w:r w:rsidRPr="008F7DCC">
        <w:rPr>
          <w:rFonts w:eastAsia="Arial Unicode MS"/>
          <w:sz w:val="22"/>
          <w:szCs w:val="22"/>
        </w:rPr>
        <w:t>“F. Se ordene informen de manera formal y efectiva cuando y en qué forma comenzara</w:t>
      </w:r>
      <w:r w:rsidR="008F7DCC" w:rsidRPr="008F7DCC">
        <w:rPr>
          <w:rFonts w:eastAsia="Arial Unicode MS"/>
          <w:sz w:val="22"/>
          <w:szCs w:val="22"/>
        </w:rPr>
        <w:t xml:space="preserve"> [sic]</w:t>
      </w:r>
      <w:r w:rsidRPr="008F7DCC">
        <w:rPr>
          <w:rFonts w:eastAsia="Arial Unicode MS"/>
          <w:sz w:val="22"/>
          <w:szCs w:val="22"/>
        </w:rPr>
        <w:t xml:space="preserve"> a operar la rama judicial en todas sus instancias, pues no puede estar indefinidamente en parálisis afectando derechos de terceros”.</w:t>
      </w:r>
    </w:p>
    <w:p w14:paraId="2F4F9A5B" w14:textId="77777777" w:rsidR="00552192" w:rsidRPr="008F7DCC" w:rsidRDefault="00552192" w:rsidP="008F7DCC">
      <w:pPr>
        <w:pStyle w:val="ListParagraph"/>
        <w:overflowPunct w:val="0"/>
        <w:autoSpaceDE w:val="0"/>
        <w:autoSpaceDN w:val="0"/>
        <w:adjustRightInd w:val="0"/>
        <w:spacing w:line="278" w:lineRule="auto"/>
        <w:ind w:left="0"/>
        <w:rPr>
          <w:sz w:val="24"/>
          <w:szCs w:val="24"/>
        </w:rPr>
      </w:pPr>
    </w:p>
    <w:p w14:paraId="1A1C16A6" w14:textId="77777777" w:rsidR="000C5DB7" w:rsidRPr="008F7DCC" w:rsidRDefault="000C5DB7" w:rsidP="008F7DCC">
      <w:pPr>
        <w:numPr>
          <w:ilvl w:val="0"/>
          <w:numId w:val="3"/>
        </w:numPr>
        <w:overflowPunct w:val="0"/>
        <w:autoSpaceDE w:val="0"/>
        <w:autoSpaceDN w:val="0"/>
        <w:adjustRightInd w:val="0"/>
        <w:spacing w:line="278" w:lineRule="auto"/>
        <w:ind w:left="0" w:firstLine="0"/>
        <w:contextualSpacing/>
        <w:rPr>
          <w:sz w:val="24"/>
          <w:szCs w:val="24"/>
        </w:rPr>
      </w:pPr>
      <w:r w:rsidRPr="008F7DCC">
        <w:rPr>
          <w:rFonts w:eastAsia="Arial Unicode MS"/>
          <w:b/>
          <w:sz w:val="24"/>
          <w:szCs w:val="24"/>
        </w:rPr>
        <w:t>Argumentos de la solicitud de tutela</w:t>
      </w:r>
    </w:p>
    <w:p w14:paraId="429DA94F" w14:textId="39692AA2" w:rsidR="00166AF6" w:rsidRPr="008F7DCC" w:rsidRDefault="00166AF6" w:rsidP="008F7DCC">
      <w:pPr>
        <w:overflowPunct w:val="0"/>
        <w:autoSpaceDE w:val="0"/>
        <w:autoSpaceDN w:val="0"/>
        <w:adjustRightInd w:val="0"/>
        <w:spacing w:line="278" w:lineRule="auto"/>
        <w:contextualSpacing/>
        <w:rPr>
          <w:sz w:val="24"/>
          <w:szCs w:val="24"/>
        </w:rPr>
      </w:pPr>
    </w:p>
    <w:p w14:paraId="7FE2CFC7" w14:textId="003972A1" w:rsidR="009E57E2" w:rsidRPr="008F7DCC" w:rsidRDefault="00937545" w:rsidP="008F7DCC">
      <w:pPr>
        <w:pStyle w:val="ListParagraph"/>
        <w:overflowPunct w:val="0"/>
        <w:autoSpaceDE w:val="0"/>
        <w:autoSpaceDN w:val="0"/>
        <w:adjustRightInd w:val="0"/>
        <w:spacing w:line="278" w:lineRule="auto"/>
        <w:ind w:left="0"/>
        <w:rPr>
          <w:sz w:val="24"/>
          <w:szCs w:val="24"/>
        </w:rPr>
      </w:pPr>
      <w:r w:rsidRPr="008F7DCC">
        <w:rPr>
          <w:sz w:val="24"/>
          <w:szCs w:val="24"/>
        </w:rPr>
        <w:t>El solicitante señaló que todas las personas que se encuentran en crisis económica, debido a la pandemia causada por el coronavirus, tienen derecho a ser asistidos por el Gobierno Nacional. En ese orden de ideas, él, en su calidad de litigante independiente, requiere ser auxiliado por las autoridades. A ello agregó que, mediante su práctica profesional, presta un ejercicio valioso para la Rama Judicial aunque no sea uno de sus servidores directos. Así mismo, mencionó que su menor hijo y su padre son sujetos de especial protección constitucional a los que el Estado no puede dejar abandonados. Finalmente, expresó que ninguna de las medidas tomadas por las</w:t>
      </w:r>
      <w:r w:rsidR="00406DF8" w:rsidRPr="008F7DCC">
        <w:rPr>
          <w:sz w:val="24"/>
          <w:szCs w:val="24"/>
        </w:rPr>
        <w:t xml:space="preserve"> entidades accionadas se ha dirigido a aliviar las dificultades por las que están pasando los abogados independientes, razón por la cual se considera discriminado.</w:t>
      </w:r>
    </w:p>
    <w:p w14:paraId="0EA0EF99" w14:textId="38F5CA14" w:rsidR="000C5DB7" w:rsidRPr="008F7DCC" w:rsidRDefault="00E800E8" w:rsidP="008F7DCC">
      <w:pPr>
        <w:numPr>
          <w:ilvl w:val="0"/>
          <w:numId w:val="3"/>
        </w:numPr>
        <w:overflowPunct w:val="0"/>
        <w:autoSpaceDE w:val="0"/>
        <w:autoSpaceDN w:val="0"/>
        <w:adjustRightInd w:val="0"/>
        <w:spacing w:line="278" w:lineRule="auto"/>
        <w:ind w:left="0" w:firstLine="0"/>
        <w:contextualSpacing/>
        <w:rPr>
          <w:rFonts w:eastAsia="Times New Roman"/>
          <w:b/>
          <w:sz w:val="24"/>
          <w:szCs w:val="24"/>
          <w:lang w:eastAsia="es-ES"/>
        </w:rPr>
      </w:pPr>
      <w:r w:rsidRPr="008F7DCC">
        <w:rPr>
          <w:b/>
          <w:sz w:val="24"/>
          <w:szCs w:val="24"/>
        </w:rPr>
        <w:lastRenderedPageBreak/>
        <w:t>Trámite</w:t>
      </w:r>
      <w:r w:rsidR="00166AF6" w:rsidRPr="008F7DCC">
        <w:rPr>
          <w:b/>
          <w:sz w:val="24"/>
          <w:szCs w:val="24"/>
        </w:rPr>
        <w:t xml:space="preserve"> de tutela e intervenciones </w:t>
      </w:r>
    </w:p>
    <w:p w14:paraId="5CD45713" w14:textId="77777777" w:rsidR="00431ECA" w:rsidRPr="008F7DCC" w:rsidRDefault="00431ECA" w:rsidP="008F7DCC">
      <w:pPr>
        <w:overflowPunct w:val="0"/>
        <w:autoSpaceDE w:val="0"/>
        <w:autoSpaceDN w:val="0"/>
        <w:adjustRightInd w:val="0"/>
        <w:spacing w:line="278" w:lineRule="auto"/>
        <w:contextualSpacing/>
        <w:rPr>
          <w:b/>
          <w:sz w:val="24"/>
          <w:szCs w:val="24"/>
        </w:rPr>
      </w:pPr>
    </w:p>
    <w:p w14:paraId="591D669E" w14:textId="0D3AA09B" w:rsidR="00431ECA" w:rsidRPr="008F7DCC" w:rsidRDefault="00431ECA"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El presente proceso fue repartido</w:t>
      </w:r>
      <w:r w:rsidRPr="008F7DCC">
        <w:rPr>
          <w:rStyle w:val="FootnoteReference"/>
          <w:rFonts w:eastAsia="Verdana"/>
          <w:sz w:val="24"/>
          <w:szCs w:val="24"/>
        </w:rPr>
        <w:footnoteReference w:id="3"/>
      </w:r>
      <w:r w:rsidRPr="008F7DCC">
        <w:rPr>
          <w:rFonts w:eastAsia="Verdana"/>
          <w:sz w:val="24"/>
          <w:szCs w:val="24"/>
        </w:rPr>
        <w:t xml:space="preserve">, inicialmente, al despacho del consejero de </w:t>
      </w:r>
      <w:r w:rsidRPr="008F7DCC">
        <w:rPr>
          <w:rFonts w:eastAsia="Verdana"/>
          <w:spacing w:val="-2"/>
          <w:sz w:val="24"/>
          <w:szCs w:val="24"/>
        </w:rPr>
        <w:t>Estado Luis Alberto Álvarez Parra, integrante de la Sección Quinta de esta Corporación</w:t>
      </w:r>
      <w:r w:rsidRPr="008F7DCC">
        <w:rPr>
          <w:rFonts w:eastAsia="Verdana"/>
          <w:sz w:val="24"/>
          <w:szCs w:val="24"/>
        </w:rPr>
        <w:t>.</w:t>
      </w:r>
    </w:p>
    <w:p w14:paraId="57F698C2" w14:textId="77777777" w:rsidR="00431ECA" w:rsidRPr="008F7DCC" w:rsidRDefault="00431ECA" w:rsidP="008F7DCC">
      <w:pPr>
        <w:pStyle w:val="ListParagraph"/>
        <w:overflowPunct w:val="0"/>
        <w:autoSpaceDE w:val="0"/>
        <w:autoSpaceDN w:val="0"/>
        <w:adjustRightInd w:val="0"/>
        <w:spacing w:line="278" w:lineRule="auto"/>
        <w:ind w:left="0"/>
        <w:rPr>
          <w:rFonts w:eastAsia="Verdana"/>
          <w:sz w:val="24"/>
          <w:szCs w:val="24"/>
        </w:rPr>
      </w:pPr>
    </w:p>
    <w:p w14:paraId="2A4F30C1" w14:textId="21DDCB71" w:rsidR="00431ECA" w:rsidRPr="008F7DCC" w:rsidRDefault="00431ECA"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 xml:space="preserve">El citado magistrado, en auto dictado el 23 de junio de 2020, ordenó remitir el expediente contentivo del presente proceso al despacho del suscrito consejero ponente. En su providencia, consideró que la solicitud de amparo </w:t>
      </w:r>
      <w:r w:rsidR="00165734" w:rsidRPr="008F7DCC">
        <w:rPr>
          <w:rFonts w:eastAsia="Verdana"/>
          <w:sz w:val="24"/>
          <w:szCs w:val="24"/>
        </w:rPr>
        <w:t>de la referencia</w:t>
      </w:r>
      <w:r w:rsidRPr="008F7DCC">
        <w:rPr>
          <w:rFonts w:eastAsia="Verdana"/>
          <w:sz w:val="24"/>
          <w:szCs w:val="24"/>
        </w:rPr>
        <w:t xml:space="preserve"> guarda similitud fáctica y jurídica con aquella radicada bajo el n.° único 11001-03-15-000-2020-01023-00, que, para entonces, ya había sido decidid</w:t>
      </w:r>
      <w:r w:rsidR="00165734" w:rsidRPr="008F7DCC">
        <w:rPr>
          <w:rFonts w:eastAsia="Verdana"/>
          <w:sz w:val="24"/>
          <w:szCs w:val="24"/>
        </w:rPr>
        <w:t>a</w:t>
      </w:r>
      <w:r w:rsidRPr="008F7DCC">
        <w:rPr>
          <w:rFonts w:eastAsia="Verdana"/>
          <w:sz w:val="24"/>
          <w:szCs w:val="24"/>
        </w:rPr>
        <w:t xml:space="preserve"> por esta Subsección en Sala del 19 de junio del mismo año.</w:t>
      </w:r>
    </w:p>
    <w:p w14:paraId="4403B21A" w14:textId="77777777" w:rsidR="00431ECA" w:rsidRPr="008F7DCC" w:rsidRDefault="00431ECA" w:rsidP="008F7DCC">
      <w:pPr>
        <w:pStyle w:val="ListParagraph"/>
        <w:overflowPunct w:val="0"/>
        <w:autoSpaceDE w:val="0"/>
        <w:autoSpaceDN w:val="0"/>
        <w:adjustRightInd w:val="0"/>
        <w:spacing w:line="278" w:lineRule="auto"/>
        <w:ind w:left="0"/>
        <w:rPr>
          <w:rFonts w:eastAsia="Verdana"/>
          <w:sz w:val="24"/>
          <w:szCs w:val="24"/>
        </w:rPr>
      </w:pPr>
    </w:p>
    <w:p w14:paraId="5FB229BD" w14:textId="0AE12269" w:rsidR="00E57BB4" w:rsidRPr="008F7DCC" w:rsidRDefault="00261359"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 xml:space="preserve">El despacho sustanciador, mediante auto proferido el </w:t>
      </w:r>
      <w:r w:rsidR="00431ECA" w:rsidRPr="008F7DCC">
        <w:rPr>
          <w:color w:val="000000"/>
          <w:sz w:val="24"/>
          <w:szCs w:val="24"/>
          <w:lang w:eastAsia="en-US"/>
        </w:rPr>
        <w:t>9</w:t>
      </w:r>
      <w:r w:rsidR="00563912" w:rsidRPr="008F7DCC">
        <w:rPr>
          <w:color w:val="000000"/>
          <w:sz w:val="24"/>
          <w:szCs w:val="24"/>
          <w:lang w:eastAsia="en-US"/>
        </w:rPr>
        <w:t xml:space="preserve"> de </w:t>
      </w:r>
      <w:r w:rsidR="00431ECA" w:rsidRPr="008F7DCC">
        <w:rPr>
          <w:color w:val="000000"/>
          <w:sz w:val="24"/>
          <w:szCs w:val="24"/>
          <w:lang w:eastAsia="en-US"/>
        </w:rPr>
        <w:t>septiembre</w:t>
      </w:r>
      <w:r w:rsidR="00563912" w:rsidRPr="008F7DCC">
        <w:rPr>
          <w:color w:val="000000"/>
          <w:sz w:val="24"/>
          <w:szCs w:val="24"/>
          <w:lang w:eastAsia="en-US"/>
        </w:rPr>
        <w:t xml:space="preserve"> de </w:t>
      </w:r>
      <w:r w:rsidR="000813DB" w:rsidRPr="008F7DCC">
        <w:rPr>
          <w:color w:val="000000"/>
          <w:sz w:val="24"/>
          <w:szCs w:val="24"/>
          <w:lang w:eastAsia="en-US"/>
        </w:rPr>
        <w:t>2020</w:t>
      </w:r>
      <w:r w:rsidR="00563912" w:rsidRPr="008F7DCC">
        <w:rPr>
          <w:color w:val="000000"/>
          <w:sz w:val="24"/>
          <w:szCs w:val="24"/>
          <w:vertAlign w:val="superscript"/>
          <w:lang w:eastAsia="en-US"/>
        </w:rPr>
        <w:footnoteReference w:id="4"/>
      </w:r>
      <w:r w:rsidRPr="008F7DCC">
        <w:rPr>
          <w:rFonts w:eastAsia="Verdana"/>
          <w:sz w:val="24"/>
          <w:szCs w:val="24"/>
        </w:rPr>
        <w:t xml:space="preserve">, </w:t>
      </w:r>
      <w:r w:rsidR="006436BD" w:rsidRPr="008F7DCC">
        <w:rPr>
          <w:rFonts w:eastAsia="Verdana"/>
          <w:sz w:val="24"/>
          <w:szCs w:val="24"/>
        </w:rPr>
        <w:t xml:space="preserve">(i) </w:t>
      </w:r>
      <w:r w:rsidR="00431ECA" w:rsidRPr="008F7DCC">
        <w:rPr>
          <w:rFonts w:eastAsia="Verdana"/>
          <w:sz w:val="24"/>
          <w:szCs w:val="24"/>
        </w:rPr>
        <w:t xml:space="preserve">avocó conocimiento de la presente acción, </w:t>
      </w:r>
      <w:r w:rsidR="006436BD" w:rsidRPr="008F7DCC">
        <w:rPr>
          <w:rFonts w:eastAsia="Verdana"/>
          <w:sz w:val="24"/>
          <w:szCs w:val="24"/>
        </w:rPr>
        <w:t>(</w:t>
      </w:r>
      <w:proofErr w:type="spellStart"/>
      <w:r w:rsidR="006436BD" w:rsidRPr="008F7DCC">
        <w:rPr>
          <w:rFonts w:eastAsia="Verdana"/>
          <w:sz w:val="24"/>
          <w:szCs w:val="24"/>
        </w:rPr>
        <w:t>ii</w:t>
      </w:r>
      <w:proofErr w:type="spellEnd"/>
      <w:r w:rsidR="006436BD" w:rsidRPr="008F7DCC">
        <w:rPr>
          <w:rFonts w:eastAsia="Verdana"/>
          <w:sz w:val="24"/>
          <w:szCs w:val="24"/>
        </w:rPr>
        <w:t xml:space="preserve">) </w:t>
      </w:r>
      <w:r w:rsidRPr="008F7DCC">
        <w:rPr>
          <w:rFonts w:eastAsia="Verdana"/>
          <w:sz w:val="24"/>
          <w:szCs w:val="24"/>
        </w:rPr>
        <w:t xml:space="preserve">admitió la </w:t>
      </w:r>
      <w:r w:rsidR="00563912" w:rsidRPr="008F7DCC">
        <w:rPr>
          <w:rFonts w:eastAsia="Verdana"/>
          <w:sz w:val="24"/>
          <w:szCs w:val="24"/>
        </w:rPr>
        <w:t>solicitud de tutela</w:t>
      </w:r>
      <w:r w:rsidR="005416C8" w:rsidRPr="008F7DCC">
        <w:rPr>
          <w:rFonts w:eastAsia="Verdana"/>
          <w:sz w:val="24"/>
          <w:szCs w:val="24"/>
        </w:rPr>
        <w:t xml:space="preserve">, </w:t>
      </w:r>
      <w:r w:rsidR="006436BD" w:rsidRPr="008F7DCC">
        <w:rPr>
          <w:rFonts w:eastAsia="Verdana"/>
          <w:sz w:val="24"/>
          <w:szCs w:val="24"/>
        </w:rPr>
        <w:t>(</w:t>
      </w:r>
      <w:proofErr w:type="spellStart"/>
      <w:r w:rsidR="006436BD" w:rsidRPr="008F7DCC">
        <w:rPr>
          <w:rFonts w:eastAsia="Verdana"/>
          <w:sz w:val="24"/>
          <w:szCs w:val="24"/>
        </w:rPr>
        <w:t>iii</w:t>
      </w:r>
      <w:proofErr w:type="spellEnd"/>
      <w:r w:rsidR="006436BD" w:rsidRPr="008F7DCC">
        <w:rPr>
          <w:rFonts w:eastAsia="Verdana"/>
          <w:sz w:val="24"/>
          <w:szCs w:val="24"/>
        </w:rPr>
        <w:t xml:space="preserve">) </w:t>
      </w:r>
      <w:r w:rsidR="005416C8" w:rsidRPr="008F7DCC">
        <w:rPr>
          <w:rFonts w:eastAsia="Verdana"/>
          <w:spacing w:val="-2"/>
          <w:sz w:val="24"/>
          <w:szCs w:val="24"/>
        </w:rPr>
        <w:t>ordenó a las accionadas que rindieran informe</w:t>
      </w:r>
      <w:r w:rsidR="00431ECA" w:rsidRPr="008F7DCC">
        <w:rPr>
          <w:rFonts w:eastAsia="Verdana"/>
          <w:spacing w:val="-2"/>
          <w:sz w:val="24"/>
          <w:szCs w:val="24"/>
        </w:rPr>
        <w:t>,</w:t>
      </w:r>
      <w:r w:rsidR="00BE3BA2" w:rsidRPr="008F7DCC">
        <w:rPr>
          <w:rFonts w:eastAsia="Verdana"/>
          <w:spacing w:val="-2"/>
          <w:sz w:val="24"/>
          <w:szCs w:val="24"/>
        </w:rPr>
        <w:t xml:space="preserve"> </w:t>
      </w:r>
      <w:r w:rsidR="00431ECA" w:rsidRPr="008F7DCC">
        <w:rPr>
          <w:rFonts w:eastAsia="Verdana"/>
          <w:spacing w:val="-2"/>
          <w:sz w:val="24"/>
          <w:szCs w:val="24"/>
        </w:rPr>
        <w:t>en el que dieran cuenta de las peticiones</w:t>
      </w:r>
      <w:r w:rsidR="00431ECA" w:rsidRPr="008F7DCC">
        <w:rPr>
          <w:rFonts w:eastAsia="Verdana"/>
          <w:sz w:val="24"/>
          <w:szCs w:val="24"/>
        </w:rPr>
        <w:t xml:space="preserve"> presentadas por el actor en ejercicio de su derecho fundamental de petición, </w:t>
      </w:r>
      <w:r w:rsidR="00BE3BA2" w:rsidRPr="008F7DCC">
        <w:rPr>
          <w:rFonts w:eastAsia="Verdana"/>
          <w:sz w:val="24"/>
          <w:szCs w:val="24"/>
        </w:rPr>
        <w:t>y</w:t>
      </w:r>
      <w:r w:rsidR="00436468" w:rsidRPr="008F7DCC">
        <w:rPr>
          <w:rFonts w:eastAsia="Verdana"/>
          <w:sz w:val="24"/>
          <w:szCs w:val="24"/>
        </w:rPr>
        <w:t xml:space="preserve"> </w:t>
      </w:r>
      <w:r w:rsidR="006436BD" w:rsidRPr="008F7DCC">
        <w:rPr>
          <w:rFonts w:eastAsia="Verdana"/>
          <w:sz w:val="24"/>
          <w:szCs w:val="24"/>
        </w:rPr>
        <w:t>(</w:t>
      </w:r>
      <w:proofErr w:type="spellStart"/>
      <w:r w:rsidR="006436BD" w:rsidRPr="008F7DCC">
        <w:rPr>
          <w:rFonts w:eastAsia="Verdana"/>
          <w:sz w:val="24"/>
          <w:szCs w:val="24"/>
        </w:rPr>
        <w:t>iv</w:t>
      </w:r>
      <w:proofErr w:type="spellEnd"/>
      <w:r w:rsidR="006436BD" w:rsidRPr="008F7DCC">
        <w:rPr>
          <w:rFonts w:eastAsia="Verdana"/>
          <w:sz w:val="24"/>
          <w:szCs w:val="24"/>
        </w:rPr>
        <w:t xml:space="preserve">) </w:t>
      </w:r>
      <w:r w:rsidR="00436468" w:rsidRPr="008F7DCC">
        <w:rPr>
          <w:rFonts w:eastAsia="Verdana"/>
          <w:sz w:val="24"/>
          <w:szCs w:val="24"/>
        </w:rPr>
        <w:t>tuvo como prueba los documentos anexos al escrito introductorio de este proceso.</w:t>
      </w:r>
    </w:p>
    <w:p w14:paraId="60E735E5" w14:textId="77777777" w:rsidR="006436BD" w:rsidRPr="008F7DCC" w:rsidRDefault="006436BD" w:rsidP="008F7DCC">
      <w:pPr>
        <w:spacing w:line="278" w:lineRule="auto"/>
        <w:rPr>
          <w:rFonts w:eastAsia="Verdana"/>
          <w:sz w:val="24"/>
          <w:szCs w:val="24"/>
        </w:rPr>
      </w:pPr>
    </w:p>
    <w:p w14:paraId="7A4FC28B" w14:textId="7B88C263" w:rsidR="006436BD" w:rsidRPr="008F7DCC" w:rsidRDefault="00626095"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 xml:space="preserve">El </w:t>
      </w:r>
      <w:r w:rsidRPr="008F7DCC">
        <w:rPr>
          <w:rFonts w:eastAsia="Verdana"/>
          <w:b/>
          <w:bCs/>
          <w:sz w:val="24"/>
          <w:szCs w:val="24"/>
        </w:rPr>
        <w:t>Ministerio de Justicia y del Derecho</w:t>
      </w:r>
      <w:r w:rsidRPr="008F7DCC">
        <w:rPr>
          <w:rFonts w:eastAsia="Verdana"/>
          <w:sz w:val="24"/>
          <w:szCs w:val="24"/>
        </w:rPr>
        <w:t xml:space="preserve"> </w:t>
      </w:r>
      <w:r w:rsidR="004B736B" w:rsidRPr="008F7DCC">
        <w:rPr>
          <w:rFonts w:eastAsia="Verdana"/>
          <w:sz w:val="24"/>
          <w:szCs w:val="24"/>
        </w:rPr>
        <w:t>afirmó</w:t>
      </w:r>
      <w:r w:rsidR="00AE2249" w:rsidRPr="008F7DCC">
        <w:rPr>
          <w:rStyle w:val="FootnoteReference"/>
          <w:rFonts w:eastAsia="Verdana"/>
          <w:sz w:val="24"/>
          <w:szCs w:val="24"/>
        </w:rPr>
        <w:footnoteReference w:id="5"/>
      </w:r>
      <w:r w:rsidR="004B736B" w:rsidRPr="008F7DCC">
        <w:rPr>
          <w:rFonts w:eastAsia="Verdana"/>
          <w:sz w:val="24"/>
          <w:szCs w:val="24"/>
        </w:rPr>
        <w:t xml:space="preserve"> que las pretensiones del actor son del resorte de la administración de la Rama Judicial, lo que escapa de sus funciones. Así mismo, consideró que</w:t>
      </w:r>
      <w:r w:rsidR="00FD57D2" w:rsidRPr="008F7DCC">
        <w:rPr>
          <w:rFonts w:eastAsia="Verdana"/>
          <w:sz w:val="24"/>
          <w:szCs w:val="24"/>
        </w:rPr>
        <w:t>, en su sentir,</w:t>
      </w:r>
      <w:r w:rsidR="004B736B" w:rsidRPr="008F7DCC">
        <w:rPr>
          <w:rFonts w:eastAsia="Verdana"/>
          <w:sz w:val="24"/>
          <w:szCs w:val="24"/>
        </w:rPr>
        <w:t xml:space="preserve"> el </w:t>
      </w:r>
      <w:r w:rsidR="00DE5C56" w:rsidRPr="008F7DCC">
        <w:rPr>
          <w:rFonts w:eastAsia="Verdana"/>
          <w:sz w:val="24"/>
          <w:szCs w:val="24"/>
        </w:rPr>
        <w:t>accionante</w:t>
      </w:r>
      <w:r w:rsidR="004B736B" w:rsidRPr="008F7DCC">
        <w:rPr>
          <w:rFonts w:eastAsia="Verdana"/>
          <w:sz w:val="24"/>
          <w:szCs w:val="24"/>
        </w:rPr>
        <w:t xml:space="preserve"> persigue que se le pague una prestación económica, </w:t>
      </w:r>
      <w:r w:rsidR="00FD57D2" w:rsidRPr="008F7DCC">
        <w:rPr>
          <w:rFonts w:eastAsia="Verdana"/>
          <w:sz w:val="24"/>
          <w:szCs w:val="24"/>
        </w:rPr>
        <w:t>lo</w:t>
      </w:r>
      <w:r w:rsidR="004B736B" w:rsidRPr="008F7DCC">
        <w:rPr>
          <w:rFonts w:eastAsia="Verdana"/>
          <w:sz w:val="24"/>
          <w:szCs w:val="24"/>
        </w:rPr>
        <w:t xml:space="preserve"> que es improcedente. Además, manifestó que, en su criterio, el </w:t>
      </w:r>
      <w:r w:rsidR="00DE5C56" w:rsidRPr="008F7DCC">
        <w:rPr>
          <w:rFonts w:eastAsia="Verdana"/>
          <w:sz w:val="24"/>
          <w:szCs w:val="24"/>
        </w:rPr>
        <w:t>solicitante</w:t>
      </w:r>
      <w:r w:rsidR="004B736B" w:rsidRPr="008F7DCC">
        <w:rPr>
          <w:rFonts w:eastAsia="Verdana"/>
          <w:sz w:val="24"/>
          <w:szCs w:val="24"/>
        </w:rPr>
        <w:t xml:space="preserve"> quiere modificar el contenido de los decretos dictados para atender la crisis causada por el coronavirus, cuestión que tampoco procede vía tutela.</w:t>
      </w:r>
      <w:r w:rsidR="00DE5C56" w:rsidRPr="008F7DCC">
        <w:rPr>
          <w:rFonts w:eastAsia="Verdana"/>
          <w:sz w:val="24"/>
          <w:szCs w:val="24"/>
        </w:rPr>
        <w:t xml:space="preserve"> Por último, se refirió a las medidas </w:t>
      </w:r>
      <w:r w:rsidR="00566B38" w:rsidRPr="008F7DCC">
        <w:rPr>
          <w:rFonts w:eastAsia="Verdana"/>
          <w:sz w:val="24"/>
          <w:szCs w:val="24"/>
        </w:rPr>
        <w:t xml:space="preserve">tomadas por las autoridades competentes para </w:t>
      </w:r>
      <w:r w:rsidR="00C854FC" w:rsidRPr="008F7DCC">
        <w:rPr>
          <w:rFonts w:eastAsia="Verdana"/>
          <w:sz w:val="24"/>
          <w:szCs w:val="24"/>
        </w:rPr>
        <w:t>reanudar</w:t>
      </w:r>
      <w:r w:rsidR="00566B38" w:rsidRPr="008F7DCC">
        <w:rPr>
          <w:rFonts w:eastAsia="Verdana"/>
          <w:sz w:val="24"/>
          <w:szCs w:val="24"/>
        </w:rPr>
        <w:t xml:space="preserve"> los términos procesales y organizar el teletrabajo de los servidores judiciales.</w:t>
      </w:r>
    </w:p>
    <w:p w14:paraId="7C7B7ABF" w14:textId="77777777" w:rsidR="009633C8" w:rsidRPr="008F7DCC" w:rsidRDefault="009633C8" w:rsidP="008F7DCC">
      <w:pPr>
        <w:spacing w:line="278" w:lineRule="auto"/>
        <w:rPr>
          <w:rFonts w:eastAsia="Verdana"/>
          <w:sz w:val="24"/>
          <w:szCs w:val="24"/>
        </w:rPr>
      </w:pPr>
    </w:p>
    <w:p w14:paraId="0791B939" w14:textId="01F6EC3A" w:rsidR="009633C8" w:rsidRPr="008F7DCC" w:rsidRDefault="009633C8"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 xml:space="preserve">El </w:t>
      </w:r>
      <w:r w:rsidRPr="008F7DCC">
        <w:rPr>
          <w:rFonts w:eastAsia="Verdana"/>
          <w:b/>
          <w:bCs/>
          <w:sz w:val="24"/>
          <w:szCs w:val="24"/>
        </w:rPr>
        <w:t>Departamento Administrativo de la Presidencia de la República</w:t>
      </w:r>
      <w:r w:rsidRPr="008F7DCC">
        <w:rPr>
          <w:rFonts w:eastAsia="Verdana"/>
          <w:sz w:val="24"/>
          <w:szCs w:val="24"/>
        </w:rPr>
        <w:t xml:space="preserve"> expresó</w:t>
      </w:r>
      <w:r w:rsidRPr="008F7DCC">
        <w:rPr>
          <w:rStyle w:val="FootnoteReference"/>
          <w:rFonts w:eastAsia="Verdana"/>
          <w:sz w:val="24"/>
          <w:szCs w:val="24"/>
        </w:rPr>
        <w:footnoteReference w:id="6"/>
      </w:r>
      <w:r w:rsidR="00C854FC" w:rsidRPr="008F7DCC">
        <w:rPr>
          <w:rFonts w:eastAsia="Verdana"/>
          <w:sz w:val="24"/>
          <w:szCs w:val="24"/>
        </w:rPr>
        <w:t xml:space="preserve"> que, en el presente caso, se configura la carencia actual de objeto por hecho superado. En efecto, la suspensión de los términos procesales fue levantada desde el pasado </w:t>
      </w:r>
      <w:proofErr w:type="gramStart"/>
      <w:r w:rsidR="00C854FC" w:rsidRPr="008F7DCC">
        <w:rPr>
          <w:rFonts w:eastAsia="Verdana"/>
          <w:sz w:val="24"/>
          <w:szCs w:val="24"/>
        </w:rPr>
        <w:t>1.°</w:t>
      </w:r>
      <w:proofErr w:type="gramEnd"/>
      <w:r w:rsidR="00C854FC" w:rsidRPr="008F7DCC">
        <w:rPr>
          <w:rFonts w:eastAsia="Verdana"/>
          <w:sz w:val="24"/>
          <w:szCs w:val="24"/>
        </w:rPr>
        <w:t xml:space="preserve"> de julio. </w:t>
      </w:r>
      <w:r w:rsidR="00377854" w:rsidRPr="008F7DCC">
        <w:rPr>
          <w:rFonts w:eastAsia="Verdana"/>
          <w:sz w:val="24"/>
          <w:szCs w:val="24"/>
        </w:rPr>
        <w:t>Además</w:t>
      </w:r>
      <w:r w:rsidR="00C854FC" w:rsidRPr="008F7DCC">
        <w:rPr>
          <w:rFonts w:eastAsia="Verdana"/>
          <w:sz w:val="24"/>
          <w:szCs w:val="24"/>
        </w:rPr>
        <w:t>, los despachos judiciales del país se encuentran operando a través del teletrabajo. A ello se une la apertura de ciertas dependencias jurisdiccionales, con el lleno de los requisitos de bioseguridad.</w:t>
      </w:r>
      <w:r w:rsidR="00377854" w:rsidRPr="008F7DCC">
        <w:rPr>
          <w:rFonts w:eastAsia="Verdana"/>
          <w:sz w:val="24"/>
          <w:szCs w:val="24"/>
        </w:rPr>
        <w:t xml:space="preserve"> Así, cualquier orden de tutela sería inocua.</w:t>
      </w:r>
    </w:p>
    <w:p w14:paraId="0C64264E" w14:textId="77777777" w:rsidR="00377854" w:rsidRPr="008F7DCC" w:rsidRDefault="00377854" w:rsidP="008F7DCC">
      <w:pPr>
        <w:spacing w:line="278" w:lineRule="auto"/>
        <w:rPr>
          <w:rFonts w:eastAsia="Verdana"/>
          <w:sz w:val="24"/>
          <w:szCs w:val="24"/>
        </w:rPr>
      </w:pPr>
    </w:p>
    <w:p w14:paraId="78D1317B" w14:textId="5F73D177" w:rsidR="00377854" w:rsidRDefault="00377854"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 xml:space="preserve">El </w:t>
      </w:r>
      <w:r w:rsidRPr="008F7DCC">
        <w:rPr>
          <w:rFonts w:eastAsia="Verdana"/>
          <w:b/>
          <w:bCs/>
          <w:sz w:val="24"/>
          <w:szCs w:val="24"/>
        </w:rPr>
        <w:t>Consejo Superior de la Judicatura</w:t>
      </w:r>
      <w:r w:rsidRPr="008F7DCC">
        <w:rPr>
          <w:rFonts w:eastAsia="Verdana"/>
          <w:sz w:val="24"/>
          <w:szCs w:val="24"/>
        </w:rPr>
        <w:t xml:space="preserve"> arguyó</w:t>
      </w:r>
      <w:r w:rsidRPr="008F7DCC">
        <w:rPr>
          <w:rStyle w:val="FootnoteReference"/>
          <w:rFonts w:eastAsia="Verdana"/>
          <w:sz w:val="24"/>
          <w:szCs w:val="24"/>
        </w:rPr>
        <w:footnoteReference w:id="7"/>
      </w:r>
      <w:r w:rsidRPr="008F7DCC">
        <w:rPr>
          <w:rFonts w:eastAsia="Verdana"/>
          <w:sz w:val="24"/>
          <w:szCs w:val="24"/>
        </w:rPr>
        <w:t xml:space="preserve"> que</w:t>
      </w:r>
      <w:r w:rsidR="006314E6" w:rsidRPr="008F7DCC">
        <w:rPr>
          <w:rFonts w:eastAsia="Verdana"/>
          <w:sz w:val="24"/>
          <w:szCs w:val="24"/>
        </w:rPr>
        <w:t xml:space="preserve"> ha venido adelantando de manera acelerada los programas de firma electrónica, expediente electrónico y justicia digital. Para ese fin, ha dispuesto toda su capacidad logística y administrativa, de tal manera que los tiempos de ejecución que se habían planeado antes de la pandemia se reduzcan con motivo de esta. De ese modo, se está protegiendo a los servidores </w:t>
      </w:r>
      <w:r w:rsidR="006314E6" w:rsidRPr="008F7DCC">
        <w:rPr>
          <w:rFonts w:eastAsia="Verdana"/>
          <w:sz w:val="24"/>
          <w:szCs w:val="24"/>
        </w:rPr>
        <w:lastRenderedPageBreak/>
        <w:t xml:space="preserve">judiciales, a los litigantes y a los usuarios de la administración de justicia. Como resultado, </w:t>
      </w:r>
      <w:r w:rsidR="0006637A" w:rsidRPr="008F7DCC">
        <w:rPr>
          <w:rFonts w:eastAsia="Verdana"/>
          <w:sz w:val="24"/>
          <w:szCs w:val="24"/>
        </w:rPr>
        <w:t xml:space="preserve">concluyó, </w:t>
      </w:r>
      <w:r w:rsidR="006314E6" w:rsidRPr="008F7DCC">
        <w:rPr>
          <w:rFonts w:eastAsia="Verdana"/>
          <w:sz w:val="24"/>
          <w:szCs w:val="24"/>
        </w:rPr>
        <w:t>se podrá brindar un servicio virtual que proteja la salud y la vida.</w:t>
      </w:r>
    </w:p>
    <w:p w14:paraId="7937BD42" w14:textId="77777777" w:rsidR="008F7DCC" w:rsidRPr="008F7DCC" w:rsidRDefault="008F7DCC" w:rsidP="008F7DCC">
      <w:pPr>
        <w:pStyle w:val="ListParagraph"/>
        <w:overflowPunct w:val="0"/>
        <w:autoSpaceDE w:val="0"/>
        <w:autoSpaceDN w:val="0"/>
        <w:adjustRightInd w:val="0"/>
        <w:spacing w:line="278" w:lineRule="auto"/>
        <w:ind w:left="0"/>
        <w:rPr>
          <w:rFonts w:eastAsia="Verdana"/>
          <w:sz w:val="24"/>
          <w:szCs w:val="24"/>
        </w:rPr>
      </w:pPr>
    </w:p>
    <w:p w14:paraId="564A52A7" w14:textId="69C836DE" w:rsidR="006314E6" w:rsidRPr="008F7DCC" w:rsidRDefault="006314E6" w:rsidP="008F7DCC">
      <w:pPr>
        <w:pStyle w:val="ListParagraph"/>
        <w:numPr>
          <w:ilvl w:val="1"/>
          <w:numId w:val="3"/>
        </w:numPr>
        <w:overflowPunct w:val="0"/>
        <w:autoSpaceDE w:val="0"/>
        <w:autoSpaceDN w:val="0"/>
        <w:adjustRightInd w:val="0"/>
        <w:spacing w:line="278" w:lineRule="auto"/>
        <w:ind w:left="0" w:firstLine="0"/>
        <w:rPr>
          <w:rFonts w:eastAsia="Verdana"/>
          <w:sz w:val="24"/>
          <w:szCs w:val="24"/>
        </w:rPr>
      </w:pPr>
      <w:r w:rsidRPr="008F7DCC">
        <w:rPr>
          <w:rFonts w:eastAsia="Verdana"/>
          <w:sz w:val="24"/>
          <w:szCs w:val="24"/>
        </w:rPr>
        <w:t xml:space="preserve">El </w:t>
      </w:r>
      <w:r w:rsidRPr="008F7DCC">
        <w:rPr>
          <w:rFonts w:eastAsia="Verdana"/>
          <w:b/>
          <w:bCs/>
          <w:sz w:val="24"/>
          <w:szCs w:val="24"/>
        </w:rPr>
        <w:t>Ministerio de Hacienda y Crédito Público</w:t>
      </w:r>
      <w:r w:rsidRPr="008F7DCC">
        <w:rPr>
          <w:rFonts w:eastAsia="Verdana"/>
          <w:sz w:val="24"/>
          <w:szCs w:val="24"/>
        </w:rPr>
        <w:t xml:space="preserve"> guardó silencio a pesar de haber sido notificado en debida forma</w:t>
      </w:r>
      <w:r w:rsidRPr="008F7DCC">
        <w:rPr>
          <w:rStyle w:val="FootnoteReference"/>
          <w:rFonts w:eastAsia="Verdana"/>
          <w:sz w:val="24"/>
          <w:szCs w:val="24"/>
        </w:rPr>
        <w:footnoteReference w:id="8"/>
      </w:r>
      <w:r w:rsidRPr="008F7DCC">
        <w:rPr>
          <w:rFonts w:eastAsia="Verdana"/>
          <w:sz w:val="24"/>
          <w:szCs w:val="24"/>
        </w:rPr>
        <w:t>.</w:t>
      </w:r>
    </w:p>
    <w:p w14:paraId="2D5287C7" w14:textId="77777777" w:rsidR="00BA6DF5" w:rsidRPr="008F7DCC" w:rsidRDefault="00BA6DF5" w:rsidP="008F7DCC">
      <w:pPr>
        <w:pStyle w:val="ListParagraph"/>
        <w:overflowPunct w:val="0"/>
        <w:autoSpaceDE w:val="0"/>
        <w:autoSpaceDN w:val="0"/>
        <w:adjustRightInd w:val="0"/>
        <w:spacing w:line="278" w:lineRule="auto"/>
        <w:ind w:left="0"/>
        <w:rPr>
          <w:rFonts w:eastAsia="Verdana"/>
          <w:sz w:val="24"/>
          <w:szCs w:val="24"/>
        </w:rPr>
      </w:pPr>
    </w:p>
    <w:p w14:paraId="3DA09BAF" w14:textId="77777777" w:rsidR="00155E78" w:rsidRPr="008F7DCC" w:rsidRDefault="000C5DB7" w:rsidP="008F7DCC">
      <w:pPr>
        <w:pStyle w:val="Heading1"/>
        <w:spacing w:before="0" w:after="0" w:line="278" w:lineRule="auto"/>
        <w:rPr>
          <w:rFonts w:cs="Arial"/>
          <w:kern w:val="0"/>
          <w:szCs w:val="24"/>
        </w:rPr>
      </w:pPr>
      <w:r w:rsidRPr="008F7DCC">
        <w:rPr>
          <w:rFonts w:cs="Arial"/>
          <w:kern w:val="0"/>
          <w:szCs w:val="24"/>
        </w:rPr>
        <w:t>CONSIDERACIONES</w:t>
      </w:r>
    </w:p>
    <w:p w14:paraId="558155F9" w14:textId="77777777" w:rsidR="00E57BB4" w:rsidRPr="008F7DCC" w:rsidRDefault="00E57BB4" w:rsidP="008F7DCC">
      <w:pPr>
        <w:spacing w:line="278" w:lineRule="auto"/>
        <w:rPr>
          <w:sz w:val="24"/>
          <w:szCs w:val="24"/>
        </w:rPr>
      </w:pPr>
    </w:p>
    <w:p w14:paraId="5DCC23A5" w14:textId="77777777" w:rsidR="000C5DB7" w:rsidRPr="008F7DCC" w:rsidRDefault="000C5DB7" w:rsidP="008F7DCC">
      <w:pPr>
        <w:numPr>
          <w:ilvl w:val="0"/>
          <w:numId w:val="1"/>
        </w:numPr>
        <w:spacing w:line="278" w:lineRule="auto"/>
        <w:ind w:left="0" w:firstLine="0"/>
        <w:contextualSpacing/>
        <w:rPr>
          <w:b/>
          <w:sz w:val="24"/>
          <w:szCs w:val="24"/>
        </w:rPr>
      </w:pPr>
      <w:r w:rsidRPr="008F7DCC">
        <w:rPr>
          <w:b/>
          <w:sz w:val="24"/>
          <w:szCs w:val="24"/>
        </w:rPr>
        <w:t>Competencia</w:t>
      </w:r>
    </w:p>
    <w:p w14:paraId="1B28E563" w14:textId="2F37B350" w:rsidR="000C7E44" w:rsidRPr="008F7DCC" w:rsidRDefault="000C7E44" w:rsidP="008F7DCC">
      <w:pPr>
        <w:overflowPunct w:val="0"/>
        <w:autoSpaceDE w:val="0"/>
        <w:autoSpaceDN w:val="0"/>
        <w:adjustRightInd w:val="0"/>
        <w:spacing w:line="278" w:lineRule="auto"/>
        <w:contextualSpacing/>
        <w:rPr>
          <w:rFonts w:eastAsia="Times New Roman"/>
          <w:sz w:val="24"/>
          <w:szCs w:val="24"/>
          <w:lang w:eastAsia="es-ES"/>
        </w:rPr>
      </w:pPr>
      <w:bookmarkStart w:id="0" w:name="_Hlk35352023"/>
    </w:p>
    <w:p w14:paraId="3E605A0F" w14:textId="51041964" w:rsidR="00754BBE" w:rsidRPr="008F7DCC" w:rsidRDefault="00754BBE" w:rsidP="008F7DCC">
      <w:pPr>
        <w:overflowPunct w:val="0"/>
        <w:autoSpaceDE w:val="0"/>
        <w:autoSpaceDN w:val="0"/>
        <w:adjustRightInd w:val="0"/>
        <w:spacing w:line="278" w:lineRule="auto"/>
        <w:contextualSpacing/>
        <w:rPr>
          <w:rFonts w:eastAsia="Times New Roman"/>
          <w:sz w:val="24"/>
          <w:szCs w:val="24"/>
          <w:lang w:eastAsia="es-ES"/>
        </w:rPr>
      </w:pPr>
      <w:r w:rsidRPr="008F7DCC">
        <w:rPr>
          <w:rFonts w:eastAsia="Times New Roman"/>
          <w:sz w:val="24"/>
          <w:szCs w:val="24"/>
          <w:lang w:eastAsia="es-ES"/>
        </w:rPr>
        <w:t xml:space="preserve">Esta Sala es competente para decidir la presente acción de tutela, en virtud de lo establecido en el artículo 86 </w:t>
      </w:r>
      <w:r w:rsidR="006E1E45" w:rsidRPr="008F7DCC">
        <w:rPr>
          <w:rFonts w:eastAsia="Times New Roman"/>
          <w:sz w:val="24"/>
          <w:szCs w:val="24"/>
          <w:lang w:eastAsia="es-ES"/>
        </w:rPr>
        <w:t>Superior</w:t>
      </w:r>
      <w:r w:rsidRPr="008F7DCC">
        <w:rPr>
          <w:rFonts w:eastAsia="Times New Roman"/>
          <w:sz w:val="24"/>
          <w:szCs w:val="24"/>
          <w:lang w:eastAsia="es-ES"/>
        </w:rPr>
        <w:t>, el artículo 37 del Decreto 2591 de 1991, el Decreto 1069 de 2015, modificado por el Decreto 1983 de 2017, y el Acuerdo 080 de 12 de marzo de 2019</w:t>
      </w:r>
      <w:r w:rsidR="00430BCE" w:rsidRPr="008F7DCC">
        <w:rPr>
          <w:rFonts w:eastAsia="Times New Roman"/>
          <w:sz w:val="24"/>
          <w:szCs w:val="24"/>
          <w:lang w:eastAsia="es-ES"/>
        </w:rPr>
        <w:t>, expedido por la Sala Plena de esta Corporación</w:t>
      </w:r>
      <w:r w:rsidRPr="008F7DCC">
        <w:rPr>
          <w:rStyle w:val="FootnoteReference"/>
          <w:rFonts w:eastAsia="Times New Roman"/>
          <w:sz w:val="24"/>
          <w:szCs w:val="24"/>
          <w:lang w:eastAsia="es-ES"/>
        </w:rPr>
        <w:footnoteReference w:id="9"/>
      </w:r>
      <w:r w:rsidRPr="008F7DCC">
        <w:rPr>
          <w:rFonts w:eastAsia="Times New Roman"/>
          <w:sz w:val="24"/>
          <w:szCs w:val="24"/>
          <w:lang w:eastAsia="es-ES"/>
        </w:rPr>
        <w:t>.</w:t>
      </w:r>
    </w:p>
    <w:bookmarkEnd w:id="0"/>
    <w:p w14:paraId="1B8761F0" w14:textId="77777777" w:rsidR="00FE0DEB" w:rsidRPr="008F7DCC" w:rsidRDefault="00FE0DEB" w:rsidP="008F7DCC">
      <w:pPr>
        <w:spacing w:line="278" w:lineRule="auto"/>
        <w:contextualSpacing/>
        <w:rPr>
          <w:sz w:val="24"/>
          <w:szCs w:val="24"/>
        </w:rPr>
      </w:pPr>
    </w:p>
    <w:p w14:paraId="33C4F5FA" w14:textId="2549A8D4" w:rsidR="00FE0DEB" w:rsidRPr="008F7DCC" w:rsidRDefault="00FE0DEB" w:rsidP="008F7DCC">
      <w:pPr>
        <w:numPr>
          <w:ilvl w:val="0"/>
          <w:numId w:val="1"/>
        </w:numPr>
        <w:spacing w:line="278" w:lineRule="auto"/>
        <w:ind w:left="0" w:firstLine="0"/>
        <w:contextualSpacing/>
        <w:rPr>
          <w:b/>
          <w:sz w:val="24"/>
          <w:szCs w:val="24"/>
        </w:rPr>
      </w:pPr>
      <w:r w:rsidRPr="008F7DCC">
        <w:rPr>
          <w:b/>
          <w:sz w:val="24"/>
          <w:szCs w:val="24"/>
        </w:rPr>
        <w:t xml:space="preserve">La carencia actual de objeto por hecho superado respecto de una de las pretensiones formuladas por el </w:t>
      </w:r>
      <w:r w:rsidR="00D71B9E" w:rsidRPr="008F7DCC">
        <w:rPr>
          <w:b/>
          <w:sz w:val="24"/>
          <w:szCs w:val="24"/>
        </w:rPr>
        <w:t>accionante</w:t>
      </w:r>
      <w:r w:rsidRPr="008F7DCC">
        <w:rPr>
          <w:b/>
          <w:sz w:val="24"/>
          <w:szCs w:val="24"/>
        </w:rPr>
        <w:t xml:space="preserve"> en su solicitud de amparo</w:t>
      </w:r>
    </w:p>
    <w:p w14:paraId="261D3DBB" w14:textId="77777777" w:rsidR="00FE0DEB" w:rsidRPr="008F7DCC" w:rsidRDefault="00FE0DEB" w:rsidP="008F7DCC">
      <w:pPr>
        <w:spacing w:line="278" w:lineRule="auto"/>
        <w:contextualSpacing/>
        <w:rPr>
          <w:b/>
          <w:sz w:val="24"/>
          <w:szCs w:val="24"/>
        </w:rPr>
      </w:pPr>
    </w:p>
    <w:p w14:paraId="4AD5F477" w14:textId="2727DBE1" w:rsidR="00FE0DEB" w:rsidRPr="008F7DCC" w:rsidRDefault="00FE0DEB" w:rsidP="008F7DCC">
      <w:pPr>
        <w:spacing w:line="278" w:lineRule="auto"/>
        <w:rPr>
          <w:rFonts w:eastAsia="Times New Roman"/>
          <w:bCs/>
          <w:sz w:val="24"/>
          <w:szCs w:val="24"/>
          <w:lang w:eastAsia="es-ES"/>
        </w:rPr>
      </w:pPr>
      <w:r w:rsidRPr="008F7DCC">
        <w:rPr>
          <w:rFonts w:eastAsia="Times New Roman"/>
          <w:bCs/>
          <w:sz w:val="24"/>
          <w:szCs w:val="24"/>
          <w:lang w:eastAsia="es-ES"/>
        </w:rPr>
        <w:t>El actor solicitó</w:t>
      </w:r>
      <w:r w:rsidR="008F7DCC" w:rsidRPr="008F7DCC">
        <w:rPr>
          <w:rFonts w:eastAsia="Times New Roman"/>
          <w:bCs/>
          <w:sz w:val="24"/>
          <w:szCs w:val="24"/>
          <w:lang w:eastAsia="es-ES"/>
        </w:rPr>
        <w:t xml:space="preserve"> </w:t>
      </w:r>
      <w:r w:rsidRPr="008F7DCC">
        <w:rPr>
          <w:rFonts w:eastAsia="Times New Roman"/>
          <w:bCs/>
          <w:sz w:val="24"/>
          <w:szCs w:val="24"/>
          <w:lang w:eastAsia="es-ES"/>
        </w:rPr>
        <w:t xml:space="preserve">que se le informe acerca de las medidas para la reanudación de los términos procesales y la reapertura de las sedes judiciales. Sin embargo, como es notorio, esa información ya se suministró por los medios de comunicación social. En efecto, desde el pasado </w:t>
      </w:r>
      <w:proofErr w:type="gramStart"/>
      <w:r w:rsidRPr="008F7DCC">
        <w:rPr>
          <w:rFonts w:eastAsia="Times New Roman"/>
          <w:bCs/>
          <w:sz w:val="24"/>
          <w:szCs w:val="24"/>
          <w:lang w:eastAsia="es-ES"/>
        </w:rPr>
        <w:t>1.°</w:t>
      </w:r>
      <w:proofErr w:type="gramEnd"/>
      <w:r w:rsidRPr="008F7DCC">
        <w:rPr>
          <w:rFonts w:eastAsia="Times New Roman"/>
          <w:bCs/>
          <w:sz w:val="24"/>
          <w:szCs w:val="24"/>
          <w:lang w:eastAsia="es-ES"/>
        </w:rPr>
        <w:t xml:space="preserve"> de julio, se empezaron a contar de nuevo los términos en referencia, decisión que el Consejo Superior de la Judicatura publicó en su gaceta</w:t>
      </w:r>
      <w:r w:rsidR="00D71B9E" w:rsidRPr="008F7DCC">
        <w:rPr>
          <w:rStyle w:val="FootnoteReference"/>
          <w:rFonts w:eastAsia="Times New Roman"/>
          <w:bCs/>
          <w:sz w:val="24"/>
          <w:szCs w:val="24"/>
          <w:lang w:eastAsia="es-ES"/>
        </w:rPr>
        <w:footnoteReference w:id="10"/>
      </w:r>
      <w:r w:rsidR="00D71B9E" w:rsidRPr="008F7DCC">
        <w:rPr>
          <w:rFonts w:eastAsia="Times New Roman"/>
          <w:bCs/>
          <w:sz w:val="24"/>
          <w:szCs w:val="24"/>
          <w:lang w:eastAsia="es-ES"/>
        </w:rPr>
        <w:t xml:space="preserve"> </w:t>
      </w:r>
      <w:r w:rsidRPr="008F7DCC">
        <w:rPr>
          <w:rFonts w:eastAsia="Times New Roman"/>
          <w:bCs/>
          <w:sz w:val="24"/>
          <w:szCs w:val="24"/>
          <w:lang w:eastAsia="es-ES"/>
        </w:rPr>
        <w:t xml:space="preserve">y en las noticias. </w:t>
      </w:r>
      <w:r w:rsidR="003847C5" w:rsidRPr="008F7DCC">
        <w:rPr>
          <w:rFonts w:eastAsia="Times New Roman"/>
          <w:bCs/>
          <w:sz w:val="24"/>
          <w:szCs w:val="24"/>
          <w:lang w:eastAsia="es-ES"/>
        </w:rPr>
        <w:t>Igualmente</w:t>
      </w:r>
      <w:r w:rsidRPr="008F7DCC">
        <w:rPr>
          <w:rFonts w:eastAsia="Times New Roman"/>
          <w:bCs/>
          <w:sz w:val="24"/>
          <w:szCs w:val="24"/>
          <w:lang w:eastAsia="es-ES"/>
        </w:rPr>
        <w:t>, el portal web de la Rama Judicial ha venido comunicando la información referente a la apertura de la atención al público dentro de los diferentes organismos jurisdiccionales del país</w:t>
      </w:r>
      <w:r w:rsidR="008D4AF5" w:rsidRPr="008F7DCC">
        <w:rPr>
          <w:rStyle w:val="FootnoteReference"/>
          <w:rFonts w:eastAsia="Times New Roman"/>
          <w:bCs/>
          <w:sz w:val="24"/>
          <w:szCs w:val="24"/>
          <w:lang w:eastAsia="es-ES"/>
        </w:rPr>
        <w:footnoteReference w:id="11"/>
      </w:r>
      <w:r w:rsidRPr="008F7DCC">
        <w:rPr>
          <w:rFonts w:eastAsia="Times New Roman"/>
          <w:bCs/>
          <w:sz w:val="24"/>
          <w:szCs w:val="24"/>
          <w:lang w:eastAsia="es-ES"/>
        </w:rPr>
        <w:t>. Por esa razón, se declarará la carencia actual de objeto por hecho superado de la pretensión “F”, formulada por el accionante en su escrito de tutela, pues la Corporación en cita actuó de tal manera que desaparecieron los fundamentos de hecho que dieron origen al citado reclamo</w:t>
      </w:r>
      <w:r w:rsidRPr="008F7DCC">
        <w:rPr>
          <w:rFonts w:eastAsia="Times New Roman"/>
          <w:bCs/>
          <w:sz w:val="24"/>
          <w:szCs w:val="24"/>
          <w:vertAlign w:val="superscript"/>
          <w:lang w:eastAsia="es-ES"/>
        </w:rPr>
        <w:footnoteReference w:id="12"/>
      </w:r>
      <w:r w:rsidRPr="008F7DCC">
        <w:rPr>
          <w:rFonts w:eastAsia="Times New Roman"/>
          <w:bCs/>
          <w:sz w:val="24"/>
          <w:szCs w:val="24"/>
          <w:lang w:eastAsia="es-ES"/>
        </w:rPr>
        <w:t>. Así</w:t>
      </w:r>
      <w:r w:rsidRPr="008F7DCC">
        <w:rPr>
          <w:bCs/>
          <w:sz w:val="24"/>
          <w:szCs w:val="24"/>
        </w:rPr>
        <w:t>, cualquier orden que la Sala dictara no tendría efectos</w:t>
      </w:r>
      <w:r w:rsidRPr="008F7DCC">
        <w:rPr>
          <w:bCs/>
          <w:sz w:val="24"/>
          <w:szCs w:val="24"/>
          <w:vertAlign w:val="superscript"/>
        </w:rPr>
        <w:footnoteReference w:id="13"/>
      </w:r>
      <w:r w:rsidRPr="008F7DCC">
        <w:rPr>
          <w:bCs/>
          <w:sz w:val="24"/>
          <w:szCs w:val="24"/>
        </w:rPr>
        <w:t>.</w:t>
      </w:r>
    </w:p>
    <w:p w14:paraId="1342136E" w14:textId="77777777" w:rsidR="008F7DCC" w:rsidRPr="008F7DCC" w:rsidRDefault="008F7DCC" w:rsidP="008F7DCC">
      <w:pPr>
        <w:overflowPunct w:val="0"/>
        <w:autoSpaceDE w:val="0"/>
        <w:autoSpaceDN w:val="0"/>
        <w:adjustRightInd w:val="0"/>
        <w:spacing w:line="278" w:lineRule="auto"/>
        <w:contextualSpacing/>
        <w:rPr>
          <w:rFonts w:eastAsia="Times New Roman"/>
          <w:sz w:val="24"/>
          <w:szCs w:val="24"/>
          <w:lang w:eastAsia="es-ES"/>
        </w:rPr>
      </w:pPr>
    </w:p>
    <w:p w14:paraId="45275A32" w14:textId="77777777" w:rsidR="003C2AAE" w:rsidRPr="008F7DCC" w:rsidRDefault="003C2AAE" w:rsidP="008F7DCC">
      <w:pPr>
        <w:numPr>
          <w:ilvl w:val="0"/>
          <w:numId w:val="1"/>
        </w:numPr>
        <w:spacing w:line="278" w:lineRule="auto"/>
        <w:ind w:left="0" w:firstLine="0"/>
        <w:contextualSpacing/>
        <w:rPr>
          <w:b/>
          <w:sz w:val="24"/>
          <w:szCs w:val="24"/>
        </w:rPr>
      </w:pPr>
      <w:r w:rsidRPr="008F7DCC">
        <w:rPr>
          <w:b/>
          <w:sz w:val="24"/>
          <w:szCs w:val="24"/>
        </w:rPr>
        <w:t>Procedibilidad de la acción</w:t>
      </w:r>
    </w:p>
    <w:p w14:paraId="268EB593" w14:textId="77777777" w:rsidR="00A218A8" w:rsidRPr="008F7DCC" w:rsidRDefault="00A218A8" w:rsidP="008F7DCC">
      <w:pPr>
        <w:overflowPunct w:val="0"/>
        <w:autoSpaceDE w:val="0"/>
        <w:autoSpaceDN w:val="0"/>
        <w:adjustRightInd w:val="0"/>
        <w:spacing w:line="278" w:lineRule="auto"/>
        <w:textAlignment w:val="baseline"/>
        <w:rPr>
          <w:rFonts w:eastAsia="Times New Roman"/>
          <w:sz w:val="24"/>
          <w:szCs w:val="24"/>
          <w:lang w:eastAsia="es-ES"/>
        </w:rPr>
      </w:pPr>
    </w:p>
    <w:p w14:paraId="4BD896DA" w14:textId="373F5A20" w:rsidR="00A218A8" w:rsidRPr="008F7DCC" w:rsidRDefault="00A218A8" w:rsidP="008F7DCC">
      <w:pPr>
        <w:numPr>
          <w:ilvl w:val="1"/>
          <w:numId w:val="1"/>
        </w:numPr>
        <w:spacing w:line="278" w:lineRule="auto"/>
        <w:ind w:left="0" w:firstLine="0"/>
        <w:contextualSpacing/>
        <w:rPr>
          <w:rFonts w:eastAsia="Times New Roman"/>
          <w:iCs/>
          <w:sz w:val="24"/>
          <w:szCs w:val="24"/>
          <w:lang w:val="es-ES_tradnl" w:eastAsia="es-ES"/>
        </w:rPr>
      </w:pPr>
      <w:r w:rsidRPr="008F7DCC">
        <w:rPr>
          <w:rFonts w:eastAsia="Times New Roman"/>
          <w:iCs/>
          <w:sz w:val="24"/>
          <w:szCs w:val="24"/>
          <w:lang w:val="es-ES_tradnl" w:eastAsia="es-ES"/>
        </w:rPr>
        <w:t xml:space="preserve">Existe </w:t>
      </w:r>
      <w:r w:rsidRPr="008F7DCC">
        <w:rPr>
          <w:rFonts w:eastAsia="Times New Roman"/>
          <w:b/>
          <w:bCs/>
          <w:iCs/>
          <w:sz w:val="24"/>
          <w:szCs w:val="24"/>
          <w:lang w:val="es-ES_tradnl" w:eastAsia="es-ES"/>
        </w:rPr>
        <w:t>legitimación en la causa</w:t>
      </w:r>
      <w:r w:rsidRPr="008F7DCC">
        <w:rPr>
          <w:rFonts w:eastAsia="Times New Roman"/>
          <w:iCs/>
          <w:sz w:val="24"/>
          <w:szCs w:val="24"/>
          <w:lang w:val="es-ES_tradnl" w:eastAsia="es-ES"/>
        </w:rPr>
        <w:t xml:space="preserve"> </w:t>
      </w:r>
      <w:r w:rsidRPr="008F7DCC">
        <w:rPr>
          <w:rFonts w:eastAsia="Times New Roman"/>
          <w:b/>
          <w:bCs/>
          <w:iCs/>
          <w:sz w:val="24"/>
          <w:szCs w:val="24"/>
          <w:lang w:val="es-ES_tradnl" w:eastAsia="es-ES"/>
        </w:rPr>
        <w:t>por activa</w:t>
      </w:r>
      <w:r w:rsidRPr="008F7DCC">
        <w:rPr>
          <w:rFonts w:eastAsia="Times New Roman"/>
          <w:iCs/>
          <w:sz w:val="24"/>
          <w:szCs w:val="24"/>
          <w:lang w:val="es-ES_tradnl" w:eastAsia="es-ES"/>
        </w:rPr>
        <w:t xml:space="preserve"> en el caso concreto </w:t>
      </w:r>
      <w:r w:rsidRPr="008F7DCC">
        <w:rPr>
          <w:sz w:val="24"/>
          <w:szCs w:val="24"/>
        </w:rPr>
        <w:t>porque el actor es quien sufre directamente los posibles perjuicios causados con ocasión de los hechos relatados en la solicitud de amparo.</w:t>
      </w:r>
      <w:r w:rsidR="00D6260F" w:rsidRPr="008F7DCC">
        <w:rPr>
          <w:sz w:val="24"/>
          <w:szCs w:val="24"/>
        </w:rPr>
        <w:t xml:space="preserve"> Basado en estos, reclama los perjuicios </w:t>
      </w:r>
      <w:proofErr w:type="spellStart"/>
      <w:r w:rsidR="00D6260F" w:rsidRPr="008F7DCC">
        <w:rPr>
          <w:i/>
          <w:iCs/>
          <w:sz w:val="24"/>
          <w:szCs w:val="24"/>
        </w:rPr>
        <w:t>iusfundamentales</w:t>
      </w:r>
      <w:proofErr w:type="spellEnd"/>
      <w:r w:rsidR="00D6260F" w:rsidRPr="008F7DCC">
        <w:rPr>
          <w:sz w:val="24"/>
          <w:szCs w:val="24"/>
        </w:rPr>
        <w:t xml:space="preserve"> narrados en relación con sus condiciones de vida y con su derecho de petición.</w:t>
      </w:r>
      <w:r w:rsidRPr="008F7DCC">
        <w:rPr>
          <w:sz w:val="24"/>
          <w:szCs w:val="24"/>
        </w:rPr>
        <w:t xml:space="preserve"> Así mismo, existe </w:t>
      </w:r>
      <w:r w:rsidRPr="008F7DCC">
        <w:rPr>
          <w:b/>
          <w:bCs/>
          <w:sz w:val="24"/>
          <w:szCs w:val="24"/>
        </w:rPr>
        <w:t>legitimación en la causa por pasiva</w:t>
      </w:r>
      <w:r w:rsidR="00A21635" w:rsidRPr="008F7DCC">
        <w:rPr>
          <w:b/>
          <w:bCs/>
          <w:sz w:val="24"/>
          <w:szCs w:val="24"/>
        </w:rPr>
        <w:t xml:space="preserve"> </w:t>
      </w:r>
      <w:r w:rsidR="00A21635" w:rsidRPr="008F7DCC">
        <w:rPr>
          <w:sz w:val="24"/>
          <w:szCs w:val="24"/>
        </w:rPr>
        <w:t xml:space="preserve">en lo que se </w:t>
      </w:r>
      <w:r w:rsidR="00A21635" w:rsidRPr="008F7DCC">
        <w:rPr>
          <w:sz w:val="24"/>
          <w:szCs w:val="24"/>
        </w:rPr>
        <w:lastRenderedPageBreak/>
        <w:t xml:space="preserve">refiere a las entidades del Gobierno Nacional, contra las que se dirige esta acción. En efecto, estas son las encargadas de adoptar las medidas de ayuda que el </w:t>
      </w:r>
      <w:r w:rsidR="008D4AF5" w:rsidRPr="008F7DCC">
        <w:rPr>
          <w:sz w:val="24"/>
          <w:szCs w:val="24"/>
        </w:rPr>
        <w:t>solicitante</w:t>
      </w:r>
      <w:r w:rsidR="00A21635" w:rsidRPr="008F7DCC">
        <w:rPr>
          <w:sz w:val="24"/>
          <w:szCs w:val="24"/>
        </w:rPr>
        <w:t xml:space="preserve"> extraña </w:t>
      </w:r>
      <w:r w:rsidR="008D4AF5" w:rsidRPr="008F7DCC">
        <w:rPr>
          <w:sz w:val="24"/>
          <w:szCs w:val="24"/>
        </w:rPr>
        <w:t>y de responder las inquietudes que, al respecto, este les formule</w:t>
      </w:r>
      <w:r w:rsidR="00A21635" w:rsidRPr="008F7DCC">
        <w:rPr>
          <w:sz w:val="24"/>
          <w:szCs w:val="24"/>
        </w:rPr>
        <w:t>. Ello indica que no le asiste tal legitimación al Consejo Superior de la Judicatura, pues dicha Corporación no tiene la competencia para otorgar auxilios económicos de ningún tipo.</w:t>
      </w:r>
    </w:p>
    <w:p w14:paraId="3DA33F38" w14:textId="77777777" w:rsidR="008D4AF5" w:rsidRPr="008F7DCC" w:rsidRDefault="008D4AF5" w:rsidP="008F7DCC">
      <w:pPr>
        <w:spacing w:line="278" w:lineRule="auto"/>
        <w:contextualSpacing/>
        <w:rPr>
          <w:rFonts w:eastAsia="Times New Roman"/>
          <w:iCs/>
          <w:sz w:val="24"/>
          <w:szCs w:val="24"/>
          <w:lang w:val="es-ES_tradnl" w:eastAsia="es-ES"/>
        </w:rPr>
      </w:pPr>
    </w:p>
    <w:p w14:paraId="44D30D14" w14:textId="1127978A" w:rsidR="004F652B" w:rsidRPr="008F7DCC" w:rsidRDefault="00A218A8" w:rsidP="008F7DCC">
      <w:pPr>
        <w:numPr>
          <w:ilvl w:val="1"/>
          <w:numId w:val="1"/>
        </w:numPr>
        <w:spacing w:line="278" w:lineRule="auto"/>
        <w:ind w:left="0" w:firstLine="0"/>
        <w:contextualSpacing/>
        <w:rPr>
          <w:rFonts w:eastAsia="Times New Roman"/>
          <w:iCs/>
          <w:sz w:val="24"/>
          <w:szCs w:val="24"/>
          <w:lang w:val="es-ES_tradnl" w:eastAsia="es-ES"/>
        </w:rPr>
      </w:pPr>
      <w:r w:rsidRPr="008F7DCC">
        <w:rPr>
          <w:rFonts w:eastAsia="Times New Roman"/>
          <w:iCs/>
          <w:sz w:val="24"/>
          <w:szCs w:val="24"/>
          <w:lang w:val="es-ES_tradnl" w:eastAsia="es-ES"/>
        </w:rPr>
        <w:t xml:space="preserve">El requisito de </w:t>
      </w:r>
      <w:r w:rsidRPr="008F7DCC">
        <w:rPr>
          <w:rFonts w:eastAsia="Times New Roman"/>
          <w:b/>
          <w:bCs/>
          <w:iCs/>
          <w:sz w:val="24"/>
          <w:szCs w:val="24"/>
          <w:lang w:val="es-ES_tradnl" w:eastAsia="es-ES"/>
        </w:rPr>
        <w:t>subsidiariedad</w:t>
      </w:r>
      <w:r w:rsidRPr="008F7DCC">
        <w:rPr>
          <w:rFonts w:eastAsia="Times New Roman"/>
          <w:iCs/>
          <w:sz w:val="24"/>
          <w:szCs w:val="24"/>
          <w:lang w:val="es-ES_tradnl" w:eastAsia="es-ES"/>
        </w:rPr>
        <w:t xml:space="preserve"> también se encuentra acreditado, en tanto el accionante </w:t>
      </w:r>
      <w:r w:rsidRPr="008F7DCC">
        <w:rPr>
          <w:sz w:val="24"/>
          <w:szCs w:val="24"/>
        </w:rPr>
        <w:t>no tiene otro mecanismo de defensa judicial para la protección de sus derechos fundamentales, invocados como vulnerados. Frente al interés que el actor manifiesta en la petición de tutela, no se cuenta con procesos judiciales idóneos de protección.</w:t>
      </w:r>
      <w:r w:rsidR="001F197F" w:rsidRPr="008F7DCC">
        <w:rPr>
          <w:sz w:val="24"/>
          <w:szCs w:val="24"/>
        </w:rPr>
        <w:t xml:space="preserve"> </w:t>
      </w:r>
      <w:r w:rsidRPr="008F7DCC">
        <w:rPr>
          <w:sz w:val="24"/>
          <w:szCs w:val="24"/>
        </w:rPr>
        <w:t>Por lo tanto, es adecuado y pertinente que él acuda a la acción de amparo.</w:t>
      </w:r>
      <w:r w:rsidR="004F652B" w:rsidRPr="008F7DCC">
        <w:rPr>
          <w:sz w:val="24"/>
          <w:szCs w:val="24"/>
        </w:rPr>
        <w:t xml:space="preserve"> </w:t>
      </w:r>
    </w:p>
    <w:p w14:paraId="3BF337FE" w14:textId="77777777" w:rsidR="00A218A8" w:rsidRPr="008F7DCC" w:rsidRDefault="00A218A8" w:rsidP="008F7DCC">
      <w:pPr>
        <w:spacing w:line="278" w:lineRule="auto"/>
        <w:contextualSpacing/>
        <w:rPr>
          <w:rFonts w:eastAsia="Times New Roman"/>
          <w:iCs/>
          <w:sz w:val="24"/>
          <w:szCs w:val="24"/>
          <w:lang w:val="es-ES_tradnl" w:eastAsia="es-ES"/>
        </w:rPr>
      </w:pPr>
    </w:p>
    <w:p w14:paraId="7CB7D539" w14:textId="1D695375" w:rsidR="00A218A8" w:rsidRPr="008F7DCC" w:rsidRDefault="00A218A8" w:rsidP="008F7DCC">
      <w:pPr>
        <w:spacing w:line="278" w:lineRule="auto"/>
        <w:rPr>
          <w:rFonts w:eastAsia="Times New Roman"/>
          <w:iCs/>
          <w:sz w:val="24"/>
          <w:szCs w:val="24"/>
          <w:lang w:val="es-ES_tradnl" w:eastAsia="es-ES"/>
        </w:rPr>
      </w:pPr>
      <w:r w:rsidRPr="008F7DCC">
        <w:rPr>
          <w:rFonts w:eastAsia="Times New Roman"/>
          <w:iCs/>
          <w:sz w:val="24"/>
          <w:szCs w:val="24"/>
          <w:lang w:val="es-ES_tradnl" w:eastAsia="es-ES"/>
        </w:rPr>
        <w:t>Superados, entonces, los requisitos de procedibilidad en el presente trámite, puede pasarse al análisis de fondo del asunto propuesto en la solicitud de amparo.</w:t>
      </w:r>
    </w:p>
    <w:p w14:paraId="6CB3715D" w14:textId="77777777" w:rsidR="00FE0DEB" w:rsidRPr="008F7DCC" w:rsidRDefault="00FE0DEB" w:rsidP="008F7DCC">
      <w:pPr>
        <w:spacing w:line="278" w:lineRule="auto"/>
        <w:rPr>
          <w:rFonts w:eastAsia="Times New Roman"/>
          <w:iCs/>
          <w:sz w:val="24"/>
          <w:szCs w:val="24"/>
          <w:lang w:val="es-ES_tradnl" w:eastAsia="es-ES"/>
        </w:rPr>
      </w:pPr>
    </w:p>
    <w:p w14:paraId="60C6DC4F" w14:textId="0C6CCE6B" w:rsidR="00B62C8C" w:rsidRPr="008F7DCC" w:rsidRDefault="00B62C8C" w:rsidP="008F7DCC">
      <w:pPr>
        <w:numPr>
          <w:ilvl w:val="0"/>
          <w:numId w:val="1"/>
        </w:numPr>
        <w:spacing w:line="278" w:lineRule="auto"/>
        <w:ind w:left="0" w:firstLine="0"/>
        <w:contextualSpacing/>
        <w:rPr>
          <w:b/>
          <w:sz w:val="24"/>
          <w:szCs w:val="24"/>
        </w:rPr>
      </w:pPr>
      <w:r w:rsidRPr="008F7DCC">
        <w:rPr>
          <w:b/>
          <w:sz w:val="24"/>
          <w:szCs w:val="24"/>
        </w:rPr>
        <w:t>Problema</w:t>
      </w:r>
      <w:r w:rsidR="00A2441F" w:rsidRPr="008F7DCC">
        <w:rPr>
          <w:b/>
          <w:sz w:val="24"/>
          <w:szCs w:val="24"/>
        </w:rPr>
        <w:t>s</w:t>
      </w:r>
      <w:r w:rsidRPr="008F7DCC">
        <w:rPr>
          <w:b/>
          <w:sz w:val="24"/>
          <w:szCs w:val="24"/>
        </w:rPr>
        <w:t xml:space="preserve"> Jurídico</w:t>
      </w:r>
      <w:r w:rsidR="00A2441F" w:rsidRPr="008F7DCC">
        <w:rPr>
          <w:b/>
          <w:sz w:val="24"/>
          <w:szCs w:val="24"/>
        </w:rPr>
        <w:t>s</w:t>
      </w:r>
    </w:p>
    <w:p w14:paraId="47FEB557" w14:textId="36887401" w:rsidR="00B62C8C" w:rsidRPr="008F7DCC" w:rsidRDefault="00B62C8C" w:rsidP="008F7DCC">
      <w:pPr>
        <w:spacing w:line="278" w:lineRule="auto"/>
        <w:contextualSpacing/>
        <w:rPr>
          <w:sz w:val="24"/>
          <w:szCs w:val="24"/>
        </w:rPr>
      </w:pPr>
    </w:p>
    <w:p w14:paraId="2BD72866" w14:textId="58780007" w:rsidR="001F197F" w:rsidRPr="008F7DCC" w:rsidRDefault="001F197F" w:rsidP="008F7DCC">
      <w:pPr>
        <w:spacing w:line="278" w:lineRule="auto"/>
        <w:contextualSpacing/>
        <w:rPr>
          <w:sz w:val="24"/>
          <w:szCs w:val="24"/>
        </w:rPr>
      </w:pPr>
      <w:r w:rsidRPr="008F7DCC">
        <w:rPr>
          <w:sz w:val="24"/>
          <w:szCs w:val="24"/>
        </w:rPr>
        <w:t xml:space="preserve">De conformidad con los hechos expuestos en el escrito introductorio de esta acción y con las pretensiones elevadas allí, corresponde resolver </w:t>
      </w:r>
      <w:r w:rsidR="00A2441F" w:rsidRPr="008F7DCC">
        <w:rPr>
          <w:sz w:val="24"/>
          <w:szCs w:val="24"/>
        </w:rPr>
        <w:t>los</w:t>
      </w:r>
      <w:r w:rsidRPr="008F7DCC">
        <w:rPr>
          <w:sz w:val="24"/>
          <w:szCs w:val="24"/>
        </w:rPr>
        <w:t xml:space="preserve"> siguiente</w:t>
      </w:r>
      <w:r w:rsidR="00A2441F" w:rsidRPr="008F7DCC">
        <w:rPr>
          <w:sz w:val="24"/>
          <w:szCs w:val="24"/>
        </w:rPr>
        <w:t>s</w:t>
      </w:r>
      <w:r w:rsidRPr="008F7DCC">
        <w:rPr>
          <w:sz w:val="24"/>
          <w:szCs w:val="24"/>
        </w:rPr>
        <w:t xml:space="preserve"> interrogante</w:t>
      </w:r>
      <w:r w:rsidR="00A2441F" w:rsidRPr="008F7DCC">
        <w:rPr>
          <w:sz w:val="24"/>
          <w:szCs w:val="24"/>
        </w:rPr>
        <w:t>s</w:t>
      </w:r>
      <w:r w:rsidRPr="008F7DCC">
        <w:rPr>
          <w:sz w:val="24"/>
          <w:szCs w:val="24"/>
        </w:rPr>
        <w:t>:</w:t>
      </w:r>
    </w:p>
    <w:p w14:paraId="09CFCF24" w14:textId="77777777" w:rsidR="001F197F" w:rsidRPr="008F7DCC" w:rsidRDefault="001F197F" w:rsidP="008F7DCC">
      <w:pPr>
        <w:spacing w:line="278" w:lineRule="auto"/>
        <w:contextualSpacing/>
        <w:rPr>
          <w:sz w:val="24"/>
          <w:szCs w:val="24"/>
        </w:rPr>
      </w:pPr>
    </w:p>
    <w:p w14:paraId="69525F8B" w14:textId="700756EC" w:rsidR="00B62C8C" w:rsidRPr="008F7DCC" w:rsidRDefault="00B62C8C" w:rsidP="008F7DCC">
      <w:pPr>
        <w:pStyle w:val="ListParagraph"/>
        <w:numPr>
          <w:ilvl w:val="1"/>
          <w:numId w:val="1"/>
        </w:numPr>
        <w:spacing w:line="278" w:lineRule="auto"/>
        <w:ind w:left="0" w:firstLine="0"/>
        <w:rPr>
          <w:sz w:val="24"/>
          <w:szCs w:val="24"/>
        </w:rPr>
      </w:pPr>
      <w:r w:rsidRPr="008F7DCC">
        <w:rPr>
          <w:sz w:val="24"/>
          <w:szCs w:val="24"/>
        </w:rPr>
        <w:t>¿</w:t>
      </w:r>
      <w:r w:rsidR="00630595" w:rsidRPr="008F7DCC">
        <w:rPr>
          <w:sz w:val="24"/>
          <w:szCs w:val="24"/>
        </w:rPr>
        <w:t>Vulneran las autoridades accionadas el derecho fundamental al mínimo vital del actor, en la medida en que no le han proporcionado ayudas económicas, a pesar de</w:t>
      </w:r>
      <w:r w:rsidR="002F10C3" w:rsidRPr="008F7DCC">
        <w:rPr>
          <w:sz w:val="24"/>
          <w:szCs w:val="24"/>
        </w:rPr>
        <w:t xml:space="preserve"> que el</w:t>
      </w:r>
      <w:r w:rsidR="00630595" w:rsidRPr="008F7DCC">
        <w:rPr>
          <w:sz w:val="24"/>
          <w:szCs w:val="24"/>
        </w:rPr>
        <w:t xml:space="preserve"> cierre de los despachos judiciales</w:t>
      </w:r>
      <w:r w:rsidR="002F10C3" w:rsidRPr="008F7DCC">
        <w:rPr>
          <w:sz w:val="24"/>
          <w:szCs w:val="24"/>
        </w:rPr>
        <w:t xml:space="preserve"> </w:t>
      </w:r>
      <w:r w:rsidR="00630595" w:rsidRPr="008F7DCC">
        <w:rPr>
          <w:sz w:val="24"/>
          <w:szCs w:val="24"/>
        </w:rPr>
        <w:t>le ha impedido que pueda trabajar y, así, generar los recursos para el sustento propio y de su familia</w:t>
      </w:r>
      <w:r w:rsidRPr="008F7DCC">
        <w:rPr>
          <w:sz w:val="24"/>
          <w:szCs w:val="24"/>
        </w:rPr>
        <w:t>?</w:t>
      </w:r>
    </w:p>
    <w:p w14:paraId="6C201686" w14:textId="77777777" w:rsidR="00A2441F" w:rsidRPr="008F7DCC" w:rsidRDefault="00A2441F" w:rsidP="008F7DCC">
      <w:pPr>
        <w:spacing w:line="278" w:lineRule="auto"/>
        <w:rPr>
          <w:sz w:val="24"/>
          <w:szCs w:val="24"/>
        </w:rPr>
      </w:pPr>
    </w:p>
    <w:p w14:paraId="711BB3EA" w14:textId="54F80CE8" w:rsidR="00A2441F" w:rsidRPr="008F7DCC" w:rsidRDefault="00A2441F" w:rsidP="008F7DCC">
      <w:pPr>
        <w:pStyle w:val="ListParagraph"/>
        <w:numPr>
          <w:ilvl w:val="1"/>
          <w:numId w:val="1"/>
        </w:numPr>
        <w:spacing w:line="278" w:lineRule="auto"/>
        <w:ind w:left="0" w:firstLine="0"/>
        <w:rPr>
          <w:sz w:val="24"/>
          <w:szCs w:val="24"/>
        </w:rPr>
      </w:pPr>
      <w:r w:rsidRPr="008F7DCC">
        <w:rPr>
          <w:sz w:val="24"/>
          <w:szCs w:val="24"/>
        </w:rPr>
        <w:t xml:space="preserve">¿Puede este fallador, vía tutela, ordenar a las autoridades competentes que destinen parte de los recursos recaudados con ocasión del impuesto solidario por COVID-19, dispuesto en el artículo </w:t>
      </w:r>
      <w:proofErr w:type="gramStart"/>
      <w:r w:rsidRPr="008F7DCC">
        <w:rPr>
          <w:sz w:val="24"/>
          <w:szCs w:val="24"/>
        </w:rPr>
        <w:t>1.°</w:t>
      </w:r>
      <w:proofErr w:type="gramEnd"/>
      <w:r w:rsidRPr="008F7DCC">
        <w:rPr>
          <w:sz w:val="24"/>
          <w:szCs w:val="24"/>
        </w:rPr>
        <w:t xml:space="preserve"> del Decreto Legislativo 568 de 2020, a auxiliar al actor y a los demás abogados litigantes que se encuentren en la situación económica que él describe en su escrito de amparo?</w:t>
      </w:r>
    </w:p>
    <w:p w14:paraId="5C351D7B" w14:textId="77777777" w:rsidR="008E7E05" w:rsidRPr="008F7DCC" w:rsidRDefault="008E7E05" w:rsidP="008F7DCC">
      <w:pPr>
        <w:pStyle w:val="ListParagraph"/>
        <w:spacing w:line="278" w:lineRule="auto"/>
        <w:rPr>
          <w:sz w:val="24"/>
          <w:szCs w:val="24"/>
        </w:rPr>
      </w:pPr>
    </w:p>
    <w:p w14:paraId="4B14134C" w14:textId="33E816E7" w:rsidR="008E7E05" w:rsidRPr="008F7DCC" w:rsidRDefault="008E7E05" w:rsidP="008F7DCC">
      <w:pPr>
        <w:pStyle w:val="ListParagraph"/>
        <w:numPr>
          <w:ilvl w:val="1"/>
          <w:numId w:val="1"/>
        </w:numPr>
        <w:spacing w:line="278" w:lineRule="auto"/>
        <w:ind w:left="0" w:firstLine="0"/>
        <w:rPr>
          <w:sz w:val="24"/>
          <w:szCs w:val="24"/>
        </w:rPr>
      </w:pPr>
      <w:r w:rsidRPr="008F7DCC">
        <w:rPr>
          <w:sz w:val="24"/>
          <w:szCs w:val="24"/>
        </w:rPr>
        <w:t>¿Vulnera</w:t>
      </w:r>
      <w:r w:rsidR="002F10C3" w:rsidRPr="008F7DCC">
        <w:rPr>
          <w:sz w:val="24"/>
          <w:szCs w:val="24"/>
        </w:rPr>
        <w:t>n</w:t>
      </w:r>
      <w:r w:rsidRPr="008F7DCC">
        <w:rPr>
          <w:sz w:val="24"/>
          <w:szCs w:val="24"/>
        </w:rPr>
        <w:t xml:space="preserve"> las entidades accionadas el derecho fundamental de petición del accionante, en tanto no han contestado a las inquietudes que él les ha presentado?</w:t>
      </w:r>
    </w:p>
    <w:p w14:paraId="2E983A85" w14:textId="77777777" w:rsidR="008F7DCC" w:rsidRPr="008F7DCC" w:rsidRDefault="008F7DCC" w:rsidP="008F7DCC">
      <w:pPr>
        <w:spacing w:line="278" w:lineRule="auto"/>
        <w:rPr>
          <w:b/>
          <w:sz w:val="24"/>
          <w:szCs w:val="24"/>
        </w:rPr>
      </w:pPr>
    </w:p>
    <w:p w14:paraId="0F16AA77" w14:textId="52FC15EA" w:rsidR="000369DF" w:rsidRPr="008F7DCC" w:rsidRDefault="000369DF" w:rsidP="008F7DCC">
      <w:pPr>
        <w:pStyle w:val="ListParagraph"/>
        <w:numPr>
          <w:ilvl w:val="0"/>
          <w:numId w:val="1"/>
        </w:numPr>
        <w:spacing w:line="278" w:lineRule="auto"/>
        <w:ind w:left="0" w:firstLine="0"/>
        <w:rPr>
          <w:b/>
          <w:sz w:val="24"/>
          <w:szCs w:val="24"/>
        </w:rPr>
      </w:pPr>
      <w:r w:rsidRPr="008F7DCC">
        <w:rPr>
          <w:b/>
          <w:sz w:val="24"/>
          <w:szCs w:val="24"/>
        </w:rPr>
        <w:t>Solución a</w:t>
      </w:r>
      <w:r w:rsidR="000A204E" w:rsidRPr="008F7DCC">
        <w:rPr>
          <w:b/>
          <w:sz w:val="24"/>
          <w:szCs w:val="24"/>
        </w:rPr>
        <w:t xml:space="preserve"> </w:t>
      </w:r>
      <w:r w:rsidRPr="008F7DCC">
        <w:rPr>
          <w:b/>
          <w:sz w:val="24"/>
          <w:szCs w:val="24"/>
        </w:rPr>
        <w:t>l</w:t>
      </w:r>
      <w:r w:rsidR="000A204E" w:rsidRPr="008F7DCC">
        <w:rPr>
          <w:b/>
          <w:sz w:val="24"/>
          <w:szCs w:val="24"/>
        </w:rPr>
        <w:t>os</w:t>
      </w:r>
      <w:r w:rsidRPr="008F7DCC">
        <w:rPr>
          <w:b/>
          <w:sz w:val="24"/>
          <w:szCs w:val="24"/>
        </w:rPr>
        <w:t xml:space="preserve"> problema</w:t>
      </w:r>
      <w:r w:rsidR="000A204E" w:rsidRPr="008F7DCC">
        <w:rPr>
          <w:b/>
          <w:sz w:val="24"/>
          <w:szCs w:val="24"/>
        </w:rPr>
        <w:t>s</w:t>
      </w:r>
      <w:r w:rsidRPr="008F7DCC">
        <w:rPr>
          <w:b/>
          <w:sz w:val="24"/>
          <w:szCs w:val="24"/>
        </w:rPr>
        <w:t xml:space="preserve"> jurídico</w:t>
      </w:r>
      <w:r w:rsidR="000A204E" w:rsidRPr="008F7DCC">
        <w:rPr>
          <w:b/>
          <w:sz w:val="24"/>
          <w:szCs w:val="24"/>
        </w:rPr>
        <w:t>s</w:t>
      </w:r>
    </w:p>
    <w:p w14:paraId="739657E4" w14:textId="77777777" w:rsidR="000369DF" w:rsidRPr="008F7DCC" w:rsidRDefault="000369DF" w:rsidP="008F7DCC">
      <w:pPr>
        <w:spacing w:line="278" w:lineRule="auto"/>
        <w:rPr>
          <w:b/>
          <w:sz w:val="24"/>
          <w:szCs w:val="24"/>
        </w:rPr>
      </w:pPr>
    </w:p>
    <w:p w14:paraId="09BC1A13" w14:textId="24B80871" w:rsidR="000369DF" w:rsidRPr="008F7DCC" w:rsidRDefault="00471474" w:rsidP="008F7DCC">
      <w:pPr>
        <w:pStyle w:val="ListParagraph"/>
        <w:spacing w:line="278" w:lineRule="auto"/>
        <w:ind w:left="0"/>
        <w:rPr>
          <w:rFonts w:eastAsia="Times New Roman"/>
          <w:bCs/>
          <w:sz w:val="24"/>
          <w:szCs w:val="24"/>
          <w:lang w:eastAsia="es-ES"/>
        </w:rPr>
      </w:pPr>
      <w:r w:rsidRPr="008F7DCC">
        <w:rPr>
          <w:rFonts w:eastAsia="Times New Roman"/>
          <w:bCs/>
          <w:sz w:val="24"/>
          <w:szCs w:val="24"/>
          <w:lang w:eastAsia="es-ES"/>
        </w:rPr>
        <w:t>El actor consideró</w:t>
      </w:r>
      <w:r w:rsidR="007B730B" w:rsidRPr="008F7DCC">
        <w:rPr>
          <w:rFonts w:eastAsia="Times New Roman"/>
          <w:bCs/>
          <w:sz w:val="24"/>
          <w:szCs w:val="24"/>
          <w:lang w:eastAsia="es-ES"/>
        </w:rPr>
        <w:t xml:space="preserve"> </w:t>
      </w:r>
      <w:r w:rsidR="008E7E05" w:rsidRPr="008F7DCC">
        <w:rPr>
          <w:rFonts w:eastAsia="Times New Roman"/>
          <w:bCs/>
          <w:sz w:val="24"/>
          <w:szCs w:val="24"/>
          <w:lang w:eastAsia="es-ES"/>
        </w:rPr>
        <w:t xml:space="preserve">que </w:t>
      </w:r>
      <w:r w:rsidR="00A2441F" w:rsidRPr="008F7DCC">
        <w:rPr>
          <w:rFonts w:eastAsia="Times New Roman"/>
          <w:bCs/>
          <w:sz w:val="24"/>
          <w:szCs w:val="24"/>
          <w:lang w:eastAsia="es-ES"/>
        </w:rPr>
        <w:t>las entidades accionadas lo han desprotegido debido a que no le han proporcionado alivios económicos ante el cierre de los despachos judiciales y la suspensión de los términos procesales, a causa de la situación de pandemia que afronta el país</w:t>
      </w:r>
      <w:r w:rsidRPr="008F7DCC">
        <w:rPr>
          <w:rFonts w:eastAsia="Times New Roman"/>
          <w:bCs/>
          <w:sz w:val="24"/>
          <w:szCs w:val="24"/>
          <w:lang w:eastAsia="es-ES"/>
        </w:rPr>
        <w:t>.</w:t>
      </w:r>
      <w:r w:rsidR="00A2441F" w:rsidRPr="008F7DCC">
        <w:rPr>
          <w:rFonts w:eastAsia="Times New Roman"/>
          <w:bCs/>
          <w:sz w:val="24"/>
          <w:szCs w:val="24"/>
          <w:lang w:eastAsia="es-ES"/>
        </w:rPr>
        <w:t xml:space="preserve"> Por eso, solicitó que, por medio de esta acción, se ordenen esos alivios</w:t>
      </w:r>
      <w:r w:rsidR="000A204E" w:rsidRPr="008F7DCC">
        <w:rPr>
          <w:rFonts w:eastAsia="Times New Roman"/>
          <w:bCs/>
          <w:sz w:val="24"/>
          <w:szCs w:val="24"/>
          <w:lang w:eastAsia="es-ES"/>
        </w:rPr>
        <w:t xml:space="preserve">, de tal manera que pueda afrontar sus diferentes gastos. Así mismo, que se disponga la creación de un fondo de ayuda para él y los demás abogados litigantes, tomado parcialmente de los recursos recaudados con motivo del impuesto solidario por </w:t>
      </w:r>
      <w:r w:rsidR="000A204E" w:rsidRPr="008F7DCC">
        <w:rPr>
          <w:rFonts w:eastAsia="Times New Roman"/>
          <w:bCs/>
          <w:sz w:val="24"/>
          <w:szCs w:val="24"/>
          <w:lang w:eastAsia="es-ES"/>
        </w:rPr>
        <w:lastRenderedPageBreak/>
        <w:t xml:space="preserve">COVID-19, creado mediante el artículo </w:t>
      </w:r>
      <w:proofErr w:type="gramStart"/>
      <w:r w:rsidR="000A204E" w:rsidRPr="008F7DCC">
        <w:rPr>
          <w:rFonts w:eastAsia="Times New Roman"/>
          <w:bCs/>
          <w:sz w:val="24"/>
          <w:szCs w:val="24"/>
          <w:lang w:eastAsia="es-ES"/>
        </w:rPr>
        <w:t>1.°</w:t>
      </w:r>
      <w:proofErr w:type="gramEnd"/>
      <w:r w:rsidR="000A204E" w:rsidRPr="008F7DCC">
        <w:rPr>
          <w:rFonts w:eastAsia="Times New Roman"/>
          <w:bCs/>
          <w:sz w:val="24"/>
          <w:szCs w:val="24"/>
          <w:lang w:eastAsia="es-ES"/>
        </w:rPr>
        <w:t xml:space="preserve"> del Decreto Legislativo 568 de 2020.</w:t>
      </w:r>
      <w:r w:rsidR="00A3061E" w:rsidRPr="008F7DCC">
        <w:rPr>
          <w:rFonts w:eastAsia="Times New Roman"/>
          <w:bCs/>
          <w:sz w:val="24"/>
          <w:szCs w:val="24"/>
          <w:lang w:eastAsia="es-ES"/>
        </w:rPr>
        <w:t xml:space="preserve"> Por último, refirió que los organismos accionados no han contestado a sus peticiones.</w:t>
      </w:r>
    </w:p>
    <w:p w14:paraId="2D4A79B3" w14:textId="5049F9FB" w:rsidR="00770004" w:rsidRPr="008F7DCC" w:rsidRDefault="00770004" w:rsidP="008F7DCC">
      <w:pPr>
        <w:spacing w:line="278" w:lineRule="auto"/>
        <w:rPr>
          <w:rFonts w:eastAsia="Times New Roman"/>
          <w:bCs/>
          <w:sz w:val="24"/>
          <w:szCs w:val="24"/>
          <w:lang w:eastAsia="es-ES"/>
        </w:rPr>
      </w:pPr>
    </w:p>
    <w:p w14:paraId="4107F1DE" w14:textId="43288BBA" w:rsidR="009B12F7" w:rsidRPr="008F7DCC" w:rsidRDefault="009B12F7" w:rsidP="008F7DCC">
      <w:pPr>
        <w:pStyle w:val="ListParagraph"/>
        <w:numPr>
          <w:ilvl w:val="1"/>
          <w:numId w:val="1"/>
        </w:numPr>
        <w:spacing w:line="278" w:lineRule="auto"/>
        <w:ind w:left="0" w:firstLine="0"/>
        <w:rPr>
          <w:rFonts w:eastAsia="Times New Roman"/>
          <w:bCs/>
          <w:sz w:val="24"/>
          <w:szCs w:val="24"/>
          <w:lang w:eastAsia="es-ES"/>
        </w:rPr>
      </w:pPr>
      <w:r w:rsidRPr="008F7DCC">
        <w:rPr>
          <w:rFonts w:eastAsia="Times New Roman"/>
          <w:bCs/>
          <w:sz w:val="24"/>
          <w:szCs w:val="24"/>
          <w:lang w:eastAsia="es-ES"/>
        </w:rPr>
        <w:t>En cuanto al primer problema</w:t>
      </w:r>
      <w:r w:rsidR="00A3061E" w:rsidRPr="008F7DCC">
        <w:rPr>
          <w:rStyle w:val="FootnoteReference"/>
          <w:rFonts w:eastAsia="Times New Roman"/>
          <w:bCs/>
          <w:sz w:val="24"/>
          <w:szCs w:val="24"/>
          <w:lang w:eastAsia="es-ES"/>
        </w:rPr>
        <w:footnoteReference w:id="14"/>
      </w:r>
      <w:r w:rsidRPr="008F7DCC">
        <w:rPr>
          <w:rFonts w:eastAsia="Times New Roman"/>
          <w:bCs/>
          <w:sz w:val="24"/>
          <w:szCs w:val="24"/>
          <w:lang w:eastAsia="es-ES"/>
        </w:rPr>
        <w:t xml:space="preserve">, debe partirse de la situación generalizada de emergencia que ha causado la propagación del coronavirus por el territorio nacional. Con base en ello, es de señalarse que </w:t>
      </w:r>
      <w:r w:rsidR="00541E7D" w:rsidRPr="008F7DCC">
        <w:rPr>
          <w:rFonts w:eastAsia="Times New Roman"/>
          <w:bCs/>
          <w:sz w:val="24"/>
          <w:szCs w:val="24"/>
          <w:lang w:eastAsia="es-ES"/>
        </w:rPr>
        <w:t>los hechos expuestos</w:t>
      </w:r>
      <w:r w:rsidRPr="008F7DCC">
        <w:rPr>
          <w:rFonts w:eastAsia="Times New Roman"/>
          <w:bCs/>
          <w:sz w:val="24"/>
          <w:szCs w:val="24"/>
          <w:lang w:eastAsia="es-ES"/>
        </w:rPr>
        <w:t xml:space="preserve"> por el actor no constituye</w:t>
      </w:r>
      <w:r w:rsidR="00541E7D" w:rsidRPr="008F7DCC">
        <w:rPr>
          <w:rFonts w:eastAsia="Times New Roman"/>
          <w:bCs/>
          <w:sz w:val="24"/>
          <w:szCs w:val="24"/>
          <w:lang w:eastAsia="es-ES"/>
        </w:rPr>
        <w:t>n</w:t>
      </w:r>
      <w:r w:rsidRPr="008F7DCC">
        <w:rPr>
          <w:rFonts w:eastAsia="Times New Roman"/>
          <w:bCs/>
          <w:sz w:val="24"/>
          <w:szCs w:val="24"/>
          <w:lang w:eastAsia="es-ES"/>
        </w:rPr>
        <w:t xml:space="preserve"> una situación diferenciada de vulnerabilidad que requiera una acción afirmativa por parte del Estado.</w:t>
      </w:r>
      <w:r w:rsidR="00F3209C" w:rsidRPr="008F7DCC">
        <w:rPr>
          <w:rFonts w:eastAsia="Times New Roman"/>
          <w:bCs/>
          <w:sz w:val="24"/>
          <w:szCs w:val="24"/>
          <w:lang w:eastAsia="es-ES"/>
        </w:rPr>
        <w:t xml:space="preserve"> En efecto, la suspensión de las actividades productivas ha </w:t>
      </w:r>
      <w:r w:rsidR="00541E7D" w:rsidRPr="008F7DCC">
        <w:rPr>
          <w:rFonts w:eastAsia="Times New Roman"/>
          <w:bCs/>
          <w:sz w:val="24"/>
          <w:szCs w:val="24"/>
          <w:lang w:eastAsia="es-ES"/>
        </w:rPr>
        <w:t xml:space="preserve">sido </w:t>
      </w:r>
      <w:r w:rsidR="00F3209C" w:rsidRPr="008F7DCC">
        <w:rPr>
          <w:rFonts w:eastAsia="Times New Roman"/>
          <w:bCs/>
          <w:sz w:val="24"/>
          <w:szCs w:val="24"/>
          <w:lang w:eastAsia="es-ES"/>
        </w:rPr>
        <w:t xml:space="preserve">una consecuencia general que afecta a todos los sectores y a toda la población. Ello incluye </w:t>
      </w:r>
      <w:r w:rsidR="00541E7D" w:rsidRPr="008F7DCC">
        <w:rPr>
          <w:rFonts w:eastAsia="Times New Roman"/>
          <w:bCs/>
          <w:sz w:val="24"/>
          <w:szCs w:val="24"/>
          <w:lang w:eastAsia="es-ES"/>
        </w:rPr>
        <w:t>a la</w:t>
      </w:r>
      <w:r w:rsidR="00F3209C" w:rsidRPr="008F7DCC">
        <w:rPr>
          <w:rFonts w:eastAsia="Times New Roman"/>
          <w:bCs/>
          <w:sz w:val="24"/>
          <w:szCs w:val="24"/>
          <w:lang w:eastAsia="es-ES"/>
        </w:rPr>
        <w:t xml:space="preserve"> justicia, que también depende de la movilidad y de la concurrencia de las personas. En ese orden de ideas, si se concediera algún beneficio particular al actor, y a los demás abogados litigantes, se estaría vulnerando el derecho a la igualdad de quienes tampoco han recibido auxilios específicos por parte de las autoridades competentes.</w:t>
      </w:r>
    </w:p>
    <w:p w14:paraId="08C7FC57" w14:textId="7B284389" w:rsidR="00541E7D" w:rsidRPr="008F7DCC" w:rsidRDefault="00541E7D" w:rsidP="008F7DCC">
      <w:pPr>
        <w:spacing w:line="278" w:lineRule="auto"/>
        <w:rPr>
          <w:rFonts w:eastAsia="Times New Roman"/>
          <w:bCs/>
          <w:sz w:val="24"/>
          <w:szCs w:val="24"/>
          <w:lang w:eastAsia="es-ES"/>
        </w:rPr>
      </w:pPr>
    </w:p>
    <w:p w14:paraId="52B3C5DF" w14:textId="4860B2D5" w:rsidR="00541E7D" w:rsidRPr="008F7DCC" w:rsidRDefault="00541E7D" w:rsidP="008F7DCC">
      <w:pPr>
        <w:spacing w:line="278" w:lineRule="auto"/>
        <w:rPr>
          <w:rFonts w:eastAsia="Times New Roman"/>
          <w:bCs/>
          <w:sz w:val="24"/>
          <w:szCs w:val="24"/>
          <w:lang w:eastAsia="es-ES"/>
        </w:rPr>
      </w:pPr>
      <w:r w:rsidRPr="008F7DCC">
        <w:rPr>
          <w:rFonts w:eastAsia="Times New Roman"/>
          <w:bCs/>
          <w:sz w:val="24"/>
          <w:szCs w:val="24"/>
          <w:lang w:eastAsia="es-ES"/>
        </w:rPr>
        <w:t xml:space="preserve">Debe precisarse que el solicitante no trajo ante este fallador ningún argumento referente a que se le haya suspendido o negado la prestación de un servicio particular. Tampoco expuso que se le esté causando un perjuicio específico o una afectación inminente o irremediable de sus derechos fundamentales. Ello permite a la Sala reafirmarse en su posición, no sin antes aclarar que cualquier otro fundamento que el peticionario hubiera expresado habría sido objeto de análisis </w:t>
      </w:r>
      <w:r w:rsidR="001E276E" w:rsidRPr="008F7DCC">
        <w:rPr>
          <w:rFonts w:eastAsia="Times New Roman"/>
          <w:bCs/>
          <w:sz w:val="24"/>
          <w:szCs w:val="24"/>
          <w:lang w:eastAsia="es-ES"/>
        </w:rPr>
        <w:t>particular</w:t>
      </w:r>
      <w:r w:rsidRPr="008F7DCC">
        <w:rPr>
          <w:rFonts w:eastAsia="Times New Roman"/>
          <w:bCs/>
          <w:sz w:val="24"/>
          <w:szCs w:val="24"/>
          <w:lang w:eastAsia="es-ES"/>
        </w:rPr>
        <w:t>. Esto, con el fin de determinar en concreto si habría tenido que llamarse a la autoridad encargada de la eventual acción u omisión que estuviera generando la afectación como tal.</w:t>
      </w:r>
    </w:p>
    <w:p w14:paraId="63197484" w14:textId="6297CA96" w:rsidR="00C85259" w:rsidRPr="008F7DCC" w:rsidRDefault="00C85259" w:rsidP="008F7DCC">
      <w:pPr>
        <w:spacing w:line="278" w:lineRule="auto"/>
        <w:rPr>
          <w:rFonts w:eastAsia="Times New Roman"/>
          <w:bCs/>
          <w:sz w:val="24"/>
          <w:szCs w:val="24"/>
          <w:lang w:eastAsia="es-ES"/>
        </w:rPr>
      </w:pPr>
    </w:p>
    <w:p w14:paraId="7443C623" w14:textId="5F8C9937" w:rsidR="00C85259" w:rsidRPr="008F7DCC" w:rsidRDefault="00C85259" w:rsidP="008F7DCC">
      <w:pPr>
        <w:spacing w:line="278" w:lineRule="auto"/>
        <w:rPr>
          <w:rFonts w:eastAsia="Times New Roman"/>
          <w:bCs/>
          <w:sz w:val="24"/>
          <w:szCs w:val="24"/>
          <w:lang w:eastAsia="es-ES"/>
        </w:rPr>
      </w:pPr>
      <w:r w:rsidRPr="008F7DCC">
        <w:rPr>
          <w:rFonts w:eastAsia="Times New Roman"/>
          <w:bCs/>
          <w:sz w:val="24"/>
          <w:szCs w:val="24"/>
          <w:lang w:eastAsia="es-ES"/>
        </w:rPr>
        <w:t xml:space="preserve">Por último, es de resaltar que el Gobierno Nacional ha tomado un conjunto de medidas tendientes a la preservación de la salud. De esa manera, se han afrontado los efectos devastadores que la masificación de la pandemia causada por el coronavirus habría podido generar. Dentro de sus programas, el Gobierno ha </w:t>
      </w:r>
      <w:r w:rsidR="000D23B3" w:rsidRPr="008F7DCC">
        <w:rPr>
          <w:rFonts w:eastAsia="Times New Roman"/>
          <w:bCs/>
          <w:sz w:val="24"/>
          <w:szCs w:val="24"/>
          <w:lang w:eastAsia="es-ES"/>
        </w:rPr>
        <w:t>protegido</w:t>
      </w:r>
      <w:r w:rsidRPr="008F7DCC">
        <w:rPr>
          <w:rFonts w:eastAsia="Times New Roman"/>
          <w:bCs/>
          <w:sz w:val="24"/>
          <w:szCs w:val="24"/>
          <w:lang w:eastAsia="es-ES"/>
        </w:rPr>
        <w:t xml:space="preserve"> a la población más vulnerable</w:t>
      </w:r>
      <w:r w:rsidR="002817A5" w:rsidRPr="008F7DCC">
        <w:rPr>
          <w:rFonts w:eastAsia="Times New Roman"/>
          <w:bCs/>
          <w:sz w:val="24"/>
          <w:szCs w:val="24"/>
          <w:lang w:eastAsia="es-ES"/>
        </w:rPr>
        <w:t xml:space="preserve"> de las consecuencias </w:t>
      </w:r>
      <w:r w:rsidR="005F3DAC" w:rsidRPr="008F7DCC">
        <w:rPr>
          <w:rFonts w:eastAsia="Times New Roman"/>
          <w:bCs/>
          <w:sz w:val="24"/>
          <w:szCs w:val="24"/>
          <w:lang w:eastAsia="es-ES"/>
        </w:rPr>
        <w:t>del</w:t>
      </w:r>
      <w:r w:rsidR="002817A5" w:rsidRPr="008F7DCC">
        <w:rPr>
          <w:rFonts w:eastAsia="Times New Roman"/>
          <w:bCs/>
          <w:sz w:val="24"/>
          <w:szCs w:val="24"/>
          <w:lang w:eastAsia="es-ES"/>
        </w:rPr>
        <w:t xml:space="preserve"> confinamiento </w:t>
      </w:r>
      <w:r w:rsidR="005F3DAC" w:rsidRPr="008F7DCC">
        <w:rPr>
          <w:rFonts w:eastAsia="Times New Roman"/>
          <w:bCs/>
          <w:sz w:val="24"/>
          <w:szCs w:val="24"/>
          <w:lang w:eastAsia="es-ES"/>
        </w:rPr>
        <w:t>ordenado</w:t>
      </w:r>
      <w:r w:rsidR="002817A5" w:rsidRPr="008F7DCC">
        <w:rPr>
          <w:rFonts w:eastAsia="Times New Roman"/>
          <w:bCs/>
          <w:sz w:val="24"/>
          <w:szCs w:val="24"/>
          <w:lang w:eastAsia="es-ES"/>
        </w:rPr>
        <w:t xml:space="preserve"> </w:t>
      </w:r>
      <w:r w:rsidR="005F3DAC" w:rsidRPr="008F7DCC">
        <w:rPr>
          <w:rFonts w:eastAsia="Times New Roman"/>
          <w:bCs/>
          <w:sz w:val="24"/>
          <w:szCs w:val="24"/>
          <w:lang w:eastAsia="es-ES"/>
        </w:rPr>
        <w:t>como estrategia preventiva</w:t>
      </w:r>
      <w:r w:rsidR="002817A5" w:rsidRPr="008F7DCC">
        <w:rPr>
          <w:rFonts w:eastAsia="Times New Roman"/>
          <w:bCs/>
          <w:sz w:val="24"/>
          <w:szCs w:val="24"/>
          <w:lang w:eastAsia="es-ES"/>
        </w:rPr>
        <w:t xml:space="preserve">. Así, trató de mitigar los riesgos derivados de </w:t>
      </w:r>
      <w:r w:rsidR="008A0492" w:rsidRPr="008F7DCC">
        <w:rPr>
          <w:rFonts w:eastAsia="Times New Roman"/>
          <w:bCs/>
          <w:sz w:val="24"/>
          <w:szCs w:val="24"/>
          <w:lang w:eastAsia="es-ES"/>
        </w:rPr>
        <w:t>frenar</w:t>
      </w:r>
      <w:r w:rsidR="002817A5" w:rsidRPr="008F7DCC">
        <w:rPr>
          <w:rFonts w:eastAsia="Times New Roman"/>
          <w:bCs/>
          <w:sz w:val="24"/>
          <w:szCs w:val="24"/>
          <w:lang w:eastAsia="es-ES"/>
        </w:rPr>
        <w:t xml:space="preserve"> las labores productivas, dentro de los cuales el más importante es la imposibilidad de trabajar para generar un ingreso</w:t>
      </w:r>
      <w:r w:rsidR="004B0520" w:rsidRPr="008F7DCC">
        <w:rPr>
          <w:rStyle w:val="FootnoteReference"/>
          <w:rFonts w:eastAsia="Times New Roman"/>
          <w:bCs/>
          <w:sz w:val="24"/>
          <w:szCs w:val="24"/>
          <w:lang w:eastAsia="es-ES"/>
        </w:rPr>
        <w:footnoteReference w:id="15"/>
      </w:r>
      <w:r w:rsidR="002817A5" w:rsidRPr="008F7DCC">
        <w:rPr>
          <w:rFonts w:eastAsia="Times New Roman"/>
          <w:bCs/>
          <w:sz w:val="24"/>
          <w:szCs w:val="24"/>
          <w:lang w:eastAsia="es-ES"/>
        </w:rPr>
        <w:t>.</w:t>
      </w:r>
      <w:r w:rsidR="0051562C" w:rsidRPr="008F7DCC">
        <w:rPr>
          <w:rFonts w:eastAsia="Times New Roman"/>
          <w:bCs/>
          <w:sz w:val="24"/>
          <w:szCs w:val="24"/>
          <w:lang w:eastAsia="es-ES"/>
        </w:rPr>
        <w:t xml:space="preserve"> No obstante, el actor no afirmó ni acreditó haber solicitado su inclusión </w:t>
      </w:r>
      <w:r w:rsidR="008A0492" w:rsidRPr="008F7DCC">
        <w:rPr>
          <w:rFonts w:eastAsia="Times New Roman"/>
          <w:bCs/>
          <w:sz w:val="24"/>
          <w:szCs w:val="24"/>
          <w:lang w:eastAsia="es-ES"/>
        </w:rPr>
        <w:t>en</w:t>
      </w:r>
      <w:r w:rsidR="0051562C" w:rsidRPr="008F7DCC">
        <w:rPr>
          <w:rFonts w:eastAsia="Times New Roman"/>
          <w:bCs/>
          <w:sz w:val="24"/>
          <w:szCs w:val="24"/>
          <w:lang w:eastAsia="es-ES"/>
        </w:rPr>
        <w:t xml:space="preserve"> esos programas</w:t>
      </w:r>
      <w:r w:rsidR="0023506F" w:rsidRPr="008F7DCC">
        <w:rPr>
          <w:rFonts w:eastAsia="Times New Roman"/>
          <w:bCs/>
          <w:sz w:val="24"/>
          <w:szCs w:val="24"/>
          <w:lang w:eastAsia="es-ES"/>
        </w:rPr>
        <w:t xml:space="preserve">, a los cuales se habría podido </w:t>
      </w:r>
      <w:r w:rsidR="004B0520" w:rsidRPr="008F7DCC">
        <w:rPr>
          <w:rFonts w:eastAsia="Times New Roman"/>
          <w:bCs/>
          <w:sz w:val="24"/>
          <w:szCs w:val="24"/>
          <w:lang w:eastAsia="es-ES"/>
        </w:rPr>
        <w:t>inscribir</w:t>
      </w:r>
      <w:r w:rsidR="0023506F" w:rsidRPr="008F7DCC">
        <w:rPr>
          <w:rFonts w:eastAsia="Times New Roman"/>
          <w:bCs/>
          <w:sz w:val="24"/>
          <w:szCs w:val="24"/>
          <w:lang w:eastAsia="es-ES"/>
        </w:rPr>
        <w:t xml:space="preserve"> en su municipio de origen</w:t>
      </w:r>
      <w:r w:rsidR="004B0520" w:rsidRPr="008F7DCC">
        <w:rPr>
          <w:rFonts w:eastAsia="Times New Roman"/>
          <w:bCs/>
          <w:sz w:val="24"/>
          <w:szCs w:val="24"/>
          <w:lang w:eastAsia="es-ES"/>
        </w:rPr>
        <w:t xml:space="preserve">, junto con su padre y su menor hijo, de quienes no dio mayores noticias en </w:t>
      </w:r>
      <w:r w:rsidR="002F10C3" w:rsidRPr="008F7DCC">
        <w:rPr>
          <w:rFonts w:eastAsia="Times New Roman"/>
          <w:bCs/>
          <w:sz w:val="24"/>
          <w:szCs w:val="24"/>
          <w:lang w:eastAsia="es-ES"/>
        </w:rPr>
        <w:t>el escrito de</w:t>
      </w:r>
      <w:r w:rsidR="004B0520" w:rsidRPr="008F7DCC">
        <w:rPr>
          <w:rFonts w:eastAsia="Times New Roman"/>
          <w:bCs/>
          <w:sz w:val="24"/>
          <w:szCs w:val="24"/>
          <w:lang w:eastAsia="es-ES"/>
        </w:rPr>
        <w:t xml:space="preserve"> tutela.</w:t>
      </w:r>
    </w:p>
    <w:p w14:paraId="10DAB233" w14:textId="4CFE53D0" w:rsidR="00471474" w:rsidRPr="008F7DCC" w:rsidRDefault="00471474" w:rsidP="008F7DCC">
      <w:pPr>
        <w:spacing w:line="278" w:lineRule="auto"/>
        <w:contextualSpacing/>
        <w:rPr>
          <w:rFonts w:eastAsia="Times New Roman"/>
          <w:bCs/>
          <w:sz w:val="24"/>
          <w:szCs w:val="24"/>
          <w:lang w:eastAsia="es-ES"/>
        </w:rPr>
      </w:pPr>
    </w:p>
    <w:p w14:paraId="53E23C83" w14:textId="59E4F108" w:rsidR="00663253" w:rsidRPr="008F7DCC" w:rsidRDefault="00663253" w:rsidP="008F7DCC">
      <w:pPr>
        <w:spacing w:line="278" w:lineRule="auto"/>
        <w:contextualSpacing/>
        <w:rPr>
          <w:rFonts w:eastAsia="Times New Roman"/>
          <w:bCs/>
          <w:sz w:val="24"/>
          <w:szCs w:val="24"/>
          <w:lang w:eastAsia="es-ES"/>
        </w:rPr>
      </w:pPr>
      <w:r w:rsidRPr="008F7DCC">
        <w:rPr>
          <w:rFonts w:eastAsia="Times New Roman"/>
          <w:bCs/>
          <w:sz w:val="24"/>
          <w:szCs w:val="24"/>
          <w:lang w:eastAsia="es-ES"/>
        </w:rPr>
        <w:t xml:space="preserve">En suma, las autoridades accionadas no desconocieron el mínimo vital del actor. Como se vio, la población se ha visto expuesta a los efectos de una situación generalizada. De ese modo, se tiene que el accionante no es sujeto que amerite una medida diferenciada respecto de las personas que también afrontan las consecuencias de la emergencia ocasionada por el coronavirus. Así mismo, también resulta cierto que el </w:t>
      </w:r>
      <w:r w:rsidRPr="008F7DCC">
        <w:rPr>
          <w:rFonts w:eastAsia="Times New Roman"/>
          <w:bCs/>
          <w:sz w:val="24"/>
          <w:szCs w:val="24"/>
          <w:lang w:eastAsia="es-ES"/>
        </w:rPr>
        <w:lastRenderedPageBreak/>
        <w:t>actor habría podido acudir a los programas del gobierno, cuestión que no probó. Por lo anterior, se negará el amparo respecto de este primer problema jurídico.</w:t>
      </w:r>
    </w:p>
    <w:p w14:paraId="60D19D42" w14:textId="648AC816" w:rsidR="00BE378D" w:rsidRPr="008F7DCC" w:rsidRDefault="00BE378D" w:rsidP="008F7DCC">
      <w:pPr>
        <w:spacing w:line="278" w:lineRule="auto"/>
        <w:contextualSpacing/>
        <w:rPr>
          <w:rFonts w:eastAsia="Times New Roman"/>
          <w:bCs/>
          <w:sz w:val="24"/>
          <w:szCs w:val="24"/>
          <w:lang w:eastAsia="es-ES"/>
        </w:rPr>
      </w:pPr>
    </w:p>
    <w:p w14:paraId="47E83E30" w14:textId="328D0954" w:rsidR="004C0AE1" w:rsidRPr="008F7DCC" w:rsidRDefault="00BE378D" w:rsidP="008F7DCC">
      <w:pPr>
        <w:pStyle w:val="ListParagraph"/>
        <w:numPr>
          <w:ilvl w:val="1"/>
          <w:numId w:val="1"/>
        </w:numPr>
        <w:spacing w:line="278" w:lineRule="auto"/>
        <w:ind w:left="0" w:firstLine="0"/>
        <w:rPr>
          <w:b/>
          <w:sz w:val="24"/>
          <w:szCs w:val="24"/>
        </w:rPr>
      </w:pPr>
      <w:r w:rsidRPr="008F7DCC">
        <w:rPr>
          <w:rFonts w:eastAsia="Times New Roman"/>
          <w:bCs/>
          <w:sz w:val="24"/>
          <w:szCs w:val="24"/>
          <w:lang w:eastAsia="es-ES"/>
        </w:rPr>
        <w:t xml:space="preserve">En cuanto al segundo problema, </w:t>
      </w:r>
      <w:r w:rsidR="00014E24" w:rsidRPr="008F7DCC">
        <w:rPr>
          <w:rFonts w:eastAsia="Times New Roman"/>
          <w:bCs/>
          <w:sz w:val="24"/>
          <w:szCs w:val="24"/>
          <w:lang w:eastAsia="es-ES"/>
        </w:rPr>
        <w:t>se ve que es una variación del primero, pues, en último término, lleva al actor a solicitar ayudas para él y para los demás abogados litigantes</w:t>
      </w:r>
      <w:r w:rsidRPr="008F7DCC">
        <w:rPr>
          <w:rFonts w:eastAsia="Times New Roman"/>
          <w:bCs/>
          <w:sz w:val="24"/>
          <w:szCs w:val="24"/>
          <w:lang w:eastAsia="es-ES"/>
        </w:rPr>
        <w:t>.</w:t>
      </w:r>
      <w:r w:rsidR="00014E24" w:rsidRPr="008F7DCC">
        <w:rPr>
          <w:rFonts w:eastAsia="Times New Roman"/>
          <w:bCs/>
          <w:sz w:val="24"/>
          <w:szCs w:val="24"/>
          <w:lang w:eastAsia="es-ES"/>
        </w:rPr>
        <w:t xml:space="preserve"> Sobre el particular, puede reiterarse que la Sala no avizora una situación diferenciada que dé </w:t>
      </w:r>
      <w:r w:rsidR="00D81B70" w:rsidRPr="008F7DCC">
        <w:rPr>
          <w:rFonts w:eastAsia="Times New Roman"/>
          <w:bCs/>
          <w:sz w:val="24"/>
          <w:szCs w:val="24"/>
          <w:lang w:eastAsia="es-ES"/>
        </w:rPr>
        <w:t xml:space="preserve">lugar a </w:t>
      </w:r>
      <w:r w:rsidR="00014E24" w:rsidRPr="008F7DCC">
        <w:rPr>
          <w:rFonts w:eastAsia="Times New Roman"/>
          <w:bCs/>
          <w:sz w:val="24"/>
          <w:szCs w:val="24"/>
          <w:lang w:eastAsia="es-ES"/>
        </w:rPr>
        <w:t>ordenar la ejecución de alguna acción afirmativa. A ello se une que lo solicitado desborda la competencia del juez de tutela porque se refiere a una cuestión propia de la organización del dinero recaudado con ocasión del impuesto solidario por COVID-19, asunto que le corresponde al ejecutivo. De hecho, el Decreto 568 de 2020, mientras estuvo vigente, dio a entender que esos recursos económicos ya tenían destinación</w:t>
      </w:r>
      <w:r w:rsidR="005C3CAD" w:rsidRPr="008F7DCC">
        <w:rPr>
          <w:rStyle w:val="FootnoteReference"/>
          <w:rFonts w:eastAsia="Times New Roman"/>
          <w:bCs/>
          <w:sz w:val="24"/>
          <w:szCs w:val="24"/>
          <w:lang w:eastAsia="es-ES"/>
        </w:rPr>
        <w:footnoteReference w:id="16"/>
      </w:r>
      <w:r w:rsidR="00014E24" w:rsidRPr="008F7DCC">
        <w:rPr>
          <w:rFonts w:eastAsia="Times New Roman"/>
          <w:bCs/>
          <w:sz w:val="24"/>
          <w:szCs w:val="24"/>
          <w:lang w:eastAsia="es-ES"/>
        </w:rPr>
        <w:t xml:space="preserve">. </w:t>
      </w:r>
      <w:r w:rsidR="005C3CAD" w:rsidRPr="008F7DCC">
        <w:rPr>
          <w:rFonts w:eastAsia="Times New Roman"/>
          <w:bCs/>
          <w:sz w:val="24"/>
          <w:szCs w:val="24"/>
          <w:lang w:eastAsia="es-ES"/>
        </w:rPr>
        <w:t>Así las cosas</w:t>
      </w:r>
      <w:r w:rsidR="00014E24" w:rsidRPr="008F7DCC">
        <w:rPr>
          <w:rFonts w:eastAsia="Times New Roman"/>
          <w:bCs/>
          <w:sz w:val="24"/>
          <w:szCs w:val="24"/>
          <w:lang w:eastAsia="es-ES"/>
        </w:rPr>
        <w:t>, este fallador no puede, por vía tutela, ordenar que se cree un fondo para que, con base en esos cobros, se auxilie al actor y a los demás abogados que practican independientemente su profesión.</w:t>
      </w:r>
    </w:p>
    <w:p w14:paraId="2041A741" w14:textId="6D6EA5D6" w:rsidR="00014E24" w:rsidRPr="008F7DCC" w:rsidRDefault="00014E24" w:rsidP="008F7DCC">
      <w:pPr>
        <w:spacing w:line="278" w:lineRule="auto"/>
        <w:rPr>
          <w:b/>
          <w:sz w:val="24"/>
          <w:szCs w:val="24"/>
        </w:rPr>
      </w:pPr>
    </w:p>
    <w:p w14:paraId="48DCF95A" w14:textId="688C6477" w:rsidR="002C6B7C" w:rsidRPr="008F7DCC" w:rsidRDefault="002C6B7C" w:rsidP="008F7DCC">
      <w:pPr>
        <w:spacing w:line="278" w:lineRule="auto"/>
        <w:rPr>
          <w:bCs/>
          <w:sz w:val="24"/>
          <w:szCs w:val="24"/>
        </w:rPr>
      </w:pPr>
      <w:r w:rsidRPr="008F7DCC">
        <w:rPr>
          <w:bCs/>
          <w:sz w:val="24"/>
          <w:szCs w:val="24"/>
        </w:rPr>
        <w:t>De acuerdo con lo expuesto, alrededor de la pretensión bajo análisis no se observa desconocimiento alguno de los derechos fundamentales del actor. Como se estudió en el anterior numeral, el gobierno ha llevado a cabo un conjunto de actuaciones dirigidas a menguar los efectos causados por el confinamiento ordenado para evitar la dispersión del coronavirus. Dentro de ellas, mientras estuvo vigente, creó un impuesto cuyos recursos se destinaron de antemano a la población más vulnerable</w:t>
      </w:r>
      <w:r w:rsidR="005C3CAD" w:rsidRPr="008F7DCC">
        <w:rPr>
          <w:rStyle w:val="FootnoteReference"/>
          <w:bCs/>
          <w:sz w:val="24"/>
          <w:szCs w:val="24"/>
        </w:rPr>
        <w:footnoteReference w:id="17"/>
      </w:r>
      <w:r w:rsidRPr="008F7DCC">
        <w:rPr>
          <w:bCs/>
          <w:sz w:val="24"/>
          <w:szCs w:val="24"/>
        </w:rPr>
        <w:t xml:space="preserve">. Ello no merece un reproche </w:t>
      </w:r>
      <w:proofErr w:type="spellStart"/>
      <w:r w:rsidRPr="008F7DCC">
        <w:rPr>
          <w:bCs/>
          <w:i/>
          <w:iCs/>
          <w:sz w:val="24"/>
          <w:szCs w:val="24"/>
        </w:rPr>
        <w:t>iusfundamental</w:t>
      </w:r>
      <w:proofErr w:type="spellEnd"/>
      <w:r w:rsidRPr="008F7DCC">
        <w:rPr>
          <w:bCs/>
          <w:sz w:val="24"/>
          <w:szCs w:val="24"/>
        </w:rPr>
        <w:t xml:space="preserve"> especial, pues, por el hecho de no haber incluido al actor como receptor de esos dineros, no quiere decir que este haya quedado desamparado por las demás medidas adoptadas por las autoridades.</w:t>
      </w:r>
      <w:r w:rsidR="005C3CAD" w:rsidRPr="008F7DCC">
        <w:rPr>
          <w:bCs/>
          <w:sz w:val="24"/>
          <w:szCs w:val="24"/>
        </w:rPr>
        <w:t xml:space="preserve"> Así, no se evidencia la discriminación que el accionante trae de presente.</w:t>
      </w:r>
    </w:p>
    <w:p w14:paraId="1140BFF7" w14:textId="6CF708E9" w:rsidR="002C6B7C" w:rsidRPr="008F7DCC" w:rsidRDefault="002C6B7C" w:rsidP="008F7DCC">
      <w:pPr>
        <w:spacing w:line="278" w:lineRule="auto"/>
        <w:rPr>
          <w:bCs/>
          <w:sz w:val="24"/>
          <w:szCs w:val="24"/>
        </w:rPr>
      </w:pPr>
    </w:p>
    <w:p w14:paraId="5C1DD11F" w14:textId="1A5CE0C3" w:rsidR="005C3CAD" w:rsidRPr="008F7DCC" w:rsidRDefault="00EC1EDB" w:rsidP="008F7DCC">
      <w:pPr>
        <w:pStyle w:val="ListParagraph"/>
        <w:numPr>
          <w:ilvl w:val="1"/>
          <w:numId w:val="1"/>
        </w:numPr>
        <w:spacing w:line="278" w:lineRule="auto"/>
        <w:ind w:left="0" w:firstLine="0"/>
        <w:rPr>
          <w:b/>
          <w:sz w:val="24"/>
          <w:szCs w:val="24"/>
        </w:rPr>
      </w:pPr>
      <w:r w:rsidRPr="008F7DCC">
        <w:rPr>
          <w:bCs/>
          <w:sz w:val="24"/>
          <w:szCs w:val="24"/>
        </w:rPr>
        <w:t>En cuanto al tercer problema, el actor invocó como desconocido su derecho fundamental de petición. Sin embargo, en el libelo introductorio no relacionó qué solicitudes instauró, ante cuáles de las entidades accionadas y en qué sentido. Solo advirtió que pidió ayuda ante las autoridades de la referencia. Dado lo anterior, el despacho sustanciador decidió, en el auto admisorio del escrito de tutela, ordenar a los organismos accionados que reportaran si recibieron alguna petición presentada por el accionante y qué contestación dieron a sus inquietudes. No obstante, ninguno de los entes en cita afirmó haber recibido radicación alguna por parte del señor García. Ante tal situación, no queda otro camino que negar el amparo deprecado al respecto</w:t>
      </w:r>
      <w:r w:rsidR="00B23EBF" w:rsidRPr="008F7DCC">
        <w:rPr>
          <w:bCs/>
          <w:sz w:val="24"/>
          <w:szCs w:val="24"/>
        </w:rPr>
        <w:t>, pues la Sala carece de fundamento para pronunciarse sobre tal particular.</w:t>
      </w:r>
    </w:p>
    <w:p w14:paraId="3392EEFA" w14:textId="77777777" w:rsidR="00EC1EDB" w:rsidRPr="008F7DCC" w:rsidRDefault="00EC1EDB" w:rsidP="008F7DCC">
      <w:pPr>
        <w:spacing w:line="278" w:lineRule="auto"/>
        <w:rPr>
          <w:b/>
          <w:sz w:val="24"/>
          <w:szCs w:val="24"/>
        </w:rPr>
      </w:pPr>
    </w:p>
    <w:p w14:paraId="33A686F0" w14:textId="00DB8AD4" w:rsidR="004C0AE1" w:rsidRPr="008F7DCC" w:rsidRDefault="004C0AE1" w:rsidP="008F7DCC">
      <w:pPr>
        <w:pStyle w:val="ListParagraph"/>
        <w:numPr>
          <w:ilvl w:val="0"/>
          <w:numId w:val="1"/>
        </w:numPr>
        <w:spacing w:line="278" w:lineRule="auto"/>
        <w:ind w:left="0" w:firstLine="0"/>
        <w:rPr>
          <w:b/>
          <w:sz w:val="24"/>
          <w:szCs w:val="24"/>
        </w:rPr>
      </w:pPr>
      <w:r w:rsidRPr="008F7DCC">
        <w:rPr>
          <w:b/>
          <w:sz w:val="24"/>
          <w:szCs w:val="24"/>
        </w:rPr>
        <w:t>Conclusión</w:t>
      </w:r>
    </w:p>
    <w:p w14:paraId="16937451" w14:textId="45F7DD01" w:rsidR="004C0AE1" w:rsidRPr="008F7DCC" w:rsidRDefault="004C0AE1" w:rsidP="008F7DCC">
      <w:pPr>
        <w:spacing w:line="278" w:lineRule="auto"/>
        <w:rPr>
          <w:b/>
          <w:sz w:val="24"/>
          <w:szCs w:val="24"/>
        </w:rPr>
      </w:pPr>
    </w:p>
    <w:p w14:paraId="50E64E4C" w14:textId="0EB6FC51" w:rsidR="00A12A8E" w:rsidRPr="008F7DCC" w:rsidRDefault="00A12A8E" w:rsidP="008F7DCC">
      <w:pPr>
        <w:spacing w:line="278" w:lineRule="auto"/>
        <w:rPr>
          <w:bCs/>
          <w:sz w:val="24"/>
          <w:szCs w:val="24"/>
        </w:rPr>
      </w:pPr>
      <w:r w:rsidRPr="008F7DCC">
        <w:rPr>
          <w:bCs/>
          <w:sz w:val="24"/>
          <w:szCs w:val="24"/>
        </w:rPr>
        <w:t xml:space="preserve">Como resultado de lo analizado, </w:t>
      </w:r>
      <w:r w:rsidR="002C6B7C" w:rsidRPr="008F7DCC">
        <w:rPr>
          <w:bCs/>
          <w:sz w:val="24"/>
          <w:szCs w:val="24"/>
        </w:rPr>
        <w:t>se tomarán</w:t>
      </w:r>
      <w:r w:rsidRPr="008F7DCC">
        <w:rPr>
          <w:bCs/>
          <w:sz w:val="24"/>
          <w:szCs w:val="24"/>
        </w:rPr>
        <w:t xml:space="preserve"> las siguientes </w:t>
      </w:r>
      <w:r w:rsidR="002C6B7C" w:rsidRPr="008F7DCC">
        <w:rPr>
          <w:bCs/>
          <w:sz w:val="24"/>
          <w:szCs w:val="24"/>
        </w:rPr>
        <w:t>decisiones</w:t>
      </w:r>
      <w:r w:rsidRPr="008F7DCC">
        <w:rPr>
          <w:bCs/>
          <w:sz w:val="24"/>
          <w:szCs w:val="24"/>
        </w:rPr>
        <w:t>. Primero,</w:t>
      </w:r>
      <w:r w:rsidR="008F7DCC" w:rsidRPr="008F7DCC">
        <w:rPr>
          <w:bCs/>
          <w:sz w:val="24"/>
          <w:szCs w:val="24"/>
        </w:rPr>
        <w:t xml:space="preserve"> </w:t>
      </w:r>
      <w:r w:rsidR="008F7DCC" w:rsidRPr="008F7DCC">
        <w:rPr>
          <w:bCs/>
          <w:sz w:val="24"/>
          <w:szCs w:val="24"/>
        </w:rPr>
        <w:t>se declarará la falta de legitimación en la causa por pasiva del Consejo Superior de la Judicatura</w:t>
      </w:r>
      <w:r w:rsidR="002C6B7C" w:rsidRPr="008F7DCC">
        <w:rPr>
          <w:bCs/>
          <w:sz w:val="24"/>
          <w:szCs w:val="24"/>
        </w:rPr>
        <w:t>. Luego,</w:t>
      </w:r>
      <w:r w:rsidR="008F7DCC" w:rsidRPr="008F7DCC">
        <w:rPr>
          <w:bCs/>
          <w:sz w:val="24"/>
          <w:szCs w:val="24"/>
        </w:rPr>
        <w:t xml:space="preserve"> </w:t>
      </w:r>
      <w:r w:rsidR="008F7DCC" w:rsidRPr="008F7DCC">
        <w:rPr>
          <w:bCs/>
          <w:sz w:val="24"/>
          <w:szCs w:val="24"/>
        </w:rPr>
        <w:t xml:space="preserve">se declarará la carencia actual de objeto por hecho superado, en lo </w:t>
      </w:r>
      <w:r w:rsidR="008F7DCC" w:rsidRPr="008F7DCC">
        <w:rPr>
          <w:bCs/>
          <w:sz w:val="24"/>
          <w:szCs w:val="24"/>
        </w:rPr>
        <w:lastRenderedPageBreak/>
        <w:t>que se refiere a la pretensión “F”, presentada por el actor en su escrito de tutela</w:t>
      </w:r>
      <w:r w:rsidR="002C6B7C" w:rsidRPr="008F7DCC">
        <w:rPr>
          <w:bCs/>
          <w:sz w:val="24"/>
          <w:szCs w:val="24"/>
        </w:rPr>
        <w:t>.</w:t>
      </w:r>
      <w:r w:rsidR="00B23EBF" w:rsidRPr="008F7DCC">
        <w:rPr>
          <w:bCs/>
          <w:sz w:val="24"/>
          <w:szCs w:val="24"/>
        </w:rPr>
        <w:t xml:space="preserve"> Seguidamente</w:t>
      </w:r>
      <w:r w:rsidR="002C6B7C" w:rsidRPr="008F7DCC">
        <w:rPr>
          <w:bCs/>
          <w:sz w:val="24"/>
          <w:szCs w:val="24"/>
        </w:rPr>
        <w:t xml:space="preserve">, se negará el amparo en lo que atañe a las pretensiones “A”, “B”, “C”, “D” y “E”. </w:t>
      </w:r>
      <w:r w:rsidR="00B23EBF" w:rsidRPr="008F7DCC">
        <w:rPr>
          <w:bCs/>
          <w:sz w:val="24"/>
          <w:szCs w:val="24"/>
        </w:rPr>
        <w:t>Finalmente, se negará la tutela del derecho fundamental de petición, invocado por el actor en su memorial.</w:t>
      </w:r>
      <w:r w:rsidR="008F7DCC" w:rsidRPr="008F7DCC">
        <w:rPr>
          <w:bCs/>
          <w:sz w:val="24"/>
          <w:szCs w:val="24"/>
        </w:rPr>
        <w:t xml:space="preserve"> </w:t>
      </w:r>
      <w:r w:rsidR="008F7DCC" w:rsidRPr="008F7DCC">
        <w:rPr>
          <w:bCs/>
          <w:sz w:val="24"/>
          <w:szCs w:val="24"/>
        </w:rPr>
        <w:t>De ese modo, quedará resuelta la presente acción.</w:t>
      </w:r>
    </w:p>
    <w:p w14:paraId="37ACECBE" w14:textId="77777777" w:rsidR="003D5881" w:rsidRPr="008F7DCC" w:rsidRDefault="003D5881" w:rsidP="008F7DCC">
      <w:pPr>
        <w:spacing w:line="278" w:lineRule="auto"/>
        <w:contextualSpacing/>
        <w:rPr>
          <w:rFonts w:eastAsia="Times New Roman"/>
          <w:bCs/>
          <w:sz w:val="24"/>
          <w:szCs w:val="24"/>
          <w:lang w:eastAsia="es-ES"/>
        </w:rPr>
      </w:pPr>
    </w:p>
    <w:p w14:paraId="6F3B84C6" w14:textId="77777777" w:rsidR="002A1D6D" w:rsidRPr="008F7DCC" w:rsidRDefault="002A1D6D" w:rsidP="008F7DCC">
      <w:pPr>
        <w:pStyle w:val="Heading1"/>
        <w:spacing w:before="0" w:after="0" w:line="278" w:lineRule="auto"/>
        <w:ind w:hanging="147"/>
        <w:rPr>
          <w:rFonts w:cs="Arial"/>
          <w:kern w:val="0"/>
          <w:szCs w:val="24"/>
        </w:rPr>
      </w:pPr>
      <w:r w:rsidRPr="008F7DCC">
        <w:rPr>
          <w:rFonts w:cs="Arial"/>
          <w:kern w:val="0"/>
          <w:szCs w:val="24"/>
        </w:rPr>
        <w:t>DECISIÓN</w:t>
      </w:r>
    </w:p>
    <w:p w14:paraId="59619CFC" w14:textId="77777777" w:rsidR="002A1D6D" w:rsidRPr="008F7DCC" w:rsidRDefault="002A1D6D" w:rsidP="008F7DCC">
      <w:pPr>
        <w:spacing w:line="278" w:lineRule="auto"/>
        <w:contextualSpacing/>
        <w:rPr>
          <w:rFonts w:eastAsia="Times New Roman"/>
          <w:sz w:val="24"/>
          <w:szCs w:val="24"/>
        </w:rPr>
      </w:pPr>
    </w:p>
    <w:p w14:paraId="10D04F89" w14:textId="54E6D311" w:rsidR="002A1D6D" w:rsidRPr="008F7DCC" w:rsidRDefault="002A1D6D" w:rsidP="008F7DCC">
      <w:pPr>
        <w:spacing w:line="278" w:lineRule="auto"/>
        <w:contextualSpacing/>
        <w:rPr>
          <w:rFonts w:eastAsia="Times New Roman"/>
          <w:sz w:val="24"/>
          <w:szCs w:val="24"/>
        </w:rPr>
      </w:pPr>
      <w:r w:rsidRPr="008F7DCC">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363C0C31" w14:textId="4F2B2DE6" w:rsidR="00CB0163" w:rsidRPr="008F7DCC" w:rsidRDefault="00CB0163" w:rsidP="008F7DCC">
      <w:pPr>
        <w:spacing w:line="278" w:lineRule="auto"/>
        <w:contextualSpacing/>
        <w:jc w:val="center"/>
        <w:rPr>
          <w:rFonts w:eastAsia="Times New Roman"/>
          <w:sz w:val="24"/>
          <w:szCs w:val="24"/>
        </w:rPr>
      </w:pPr>
    </w:p>
    <w:p w14:paraId="2287E209" w14:textId="77777777" w:rsidR="000C5DB7" w:rsidRPr="008F7DCC" w:rsidRDefault="002A1D6D" w:rsidP="008F7DCC">
      <w:pPr>
        <w:pStyle w:val="RESUELVE"/>
        <w:spacing w:before="0" w:after="0" w:line="278" w:lineRule="auto"/>
        <w:rPr>
          <w:rFonts w:cs="Arial"/>
          <w:kern w:val="0"/>
          <w:szCs w:val="24"/>
          <w:lang w:val="es-CO"/>
        </w:rPr>
      </w:pPr>
      <w:r w:rsidRPr="008F7DCC">
        <w:rPr>
          <w:rFonts w:cs="Arial"/>
          <w:kern w:val="0"/>
          <w:szCs w:val="24"/>
          <w:lang w:val="es-CO"/>
        </w:rPr>
        <w:t>FALLA</w:t>
      </w:r>
    </w:p>
    <w:p w14:paraId="3E987887" w14:textId="05AD1986" w:rsidR="00383B43" w:rsidRPr="008F7DCC" w:rsidRDefault="00383B43" w:rsidP="008F7DCC">
      <w:pPr>
        <w:spacing w:line="278" w:lineRule="auto"/>
        <w:jc w:val="center"/>
        <w:rPr>
          <w:rFonts w:eastAsia="Verdana"/>
          <w:b/>
          <w:sz w:val="24"/>
          <w:szCs w:val="24"/>
        </w:rPr>
      </w:pPr>
    </w:p>
    <w:p w14:paraId="5966E7C5" w14:textId="4172EF96" w:rsidR="002C6B7C" w:rsidRPr="008F7DCC" w:rsidRDefault="002C6B7C" w:rsidP="008F7DCC">
      <w:pPr>
        <w:pStyle w:val="ListParagraph"/>
        <w:numPr>
          <w:ilvl w:val="0"/>
          <w:numId w:val="27"/>
        </w:numPr>
        <w:spacing w:line="278" w:lineRule="auto"/>
        <w:ind w:left="0" w:firstLine="0"/>
        <w:rPr>
          <w:rFonts w:eastAsia="Times New Roman"/>
          <w:bCs/>
          <w:sz w:val="24"/>
          <w:szCs w:val="24"/>
          <w:lang w:val="es-ES_tradnl"/>
        </w:rPr>
      </w:pPr>
      <w:bookmarkStart w:id="1" w:name="_Hlk40368302"/>
      <w:r w:rsidRPr="008F7DCC">
        <w:rPr>
          <w:rFonts w:eastAsia="Times New Roman"/>
          <w:b/>
          <w:sz w:val="24"/>
          <w:szCs w:val="24"/>
          <w:lang w:val="es-ES_tradnl"/>
        </w:rPr>
        <w:t>DECLARAR</w:t>
      </w:r>
      <w:r w:rsidRPr="008F7DCC">
        <w:rPr>
          <w:rFonts w:eastAsia="Times New Roman"/>
          <w:bCs/>
          <w:sz w:val="24"/>
          <w:szCs w:val="24"/>
          <w:lang w:val="es-ES_tradnl"/>
        </w:rPr>
        <w:t xml:space="preserve"> la falta de legitimación por pasiva, en lo que corresponde a la presente causa, del Consejo Superior de la Judicatura</w:t>
      </w:r>
      <w:r w:rsidR="00FF074C" w:rsidRPr="008F7DCC">
        <w:rPr>
          <w:rFonts w:eastAsia="Times New Roman"/>
          <w:bCs/>
          <w:sz w:val="24"/>
          <w:szCs w:val="24"/>
          <w:lang w:val="es-ES_tradnl"/>
        </w:rPr>
        <w:t>, por los motivos explicados en la parte considerativa de este proveído.</w:t>
      </w:r>
    </w:p>
    <w:p w14:paraId="715E1426" w14:textId="77777777" w:rsidR="00FF074C" w:rsidRPr="008F7DCC" w:rsidRDefault="00FF074C" w:rsidP="008F7DCC">
      <w:pPr>
        <w:pStyle w:val="ListParagraph"/>
        <w:spacing w:line="278" w:lineRule="auto"/>
        <w:ind w:left="0"/>
        <w:rPr>
          <w:rFonts w:eastAsia="Times New Roman"/>
          <w:bCs/>
          <w:sz w:val="24"/>
          <w:szCs w:val="24"/>
          <w:lang w:val="es-ES_tradnl"/>
        </w:rPr>
      </w:pPr>
    </w:p>
    <w:p w14:paraId="1228449A" w14:textId="4137DAA9" w:rsidR="00595A2B" w:rsidRPr="008F7DCC" w:rsidRDefault="00595A2B" w:rsidP="008F7DCC">
      <w:pPr>
        <w:pStyle w:val="ListParagraph"/>
        <w:numPr>
          <w:ilvl w:val="0"/>
          <w:numId w:val="27"/>
        </w:numPr>
        <w:spacing w:line="278" w:lineRule="auto"/>
        <w:ind w:left="0" w:firstLine="0"/>
        <w:rPr>
          <w:rFonts w:eastAsia="Times New Roman"/>
          <w:bCs/>
          <w:sz w:val="24"/>
          <w:szCs w:val="24"/>
          <w:lang w:val="es-ES_tradnl"/>
        </w:rPr>
      </w:pPr>
      <w:r w:rsidRPr="008F7DCC">
        <w:rPr>
          <w:rFonts w:eastAsia="Times New Roman"/>
          <w:b/>
          <w:sz w:val="24"/>
          <w:szCs w:val="24"/>
          <w:lang w:val="es-ES_tradnl"/>
        </w:rPr>
        <w:t>DECLARAR</w:t>
      </w:r>
      <w:r w:rsidRPr="008F7DCC">
        <w:rPr>
          <w:rFonts w:eastAsia="Times New Roman"/>
          <w:bCs/>
          <w:sz w:val="24"/>
          <w:szCs w:val="24"/>
          <w:lang w:val="es-ES_tradnl"/>
        </w:rPr>
        <w:t xml:space="preserve"> la carencia actual de objeto por hecho superado en lo que atañe a la pretensión “F”, formulada por el actor dentro del escrito introductorio del presente proceso constitucional</w:t>
      </w:r>
      <w:r w:rsidR="00FF074C" w:rsidRPr="008F7DCC">
        <w:rPr>
          <w:rFonts w:eastAsia="Times New Roman"/>
          <w:bCs/>
          <w:sz w:val="24"/>
          <w:szCs w:val="24"/>
          <w:lang w:val="es-ES_tradnl"/>
        </w:rPr>
        <w:t>, por los fundamentos explicitados en la parte motiva de esta sentencia.</w:t>
      </w:r>
    </w:p>
    <w:p w14:paraId="16CC4BC1" w14:textId="77777777" w:rsidR="00FF074C" w:rsidRPr="008F7DCC" w:rsidRDefault="00FF074C" w:rsidP="008F7DCC">
      <w:pPr>
        <w:pStyle w:val="ListParagraph"/>
        <w:spacing w:line="278" w:lineRule="auto"/>
        <w:ind w:left="0"/>
        <w:rPr>
          <w:rFonts w:eastAsia="Times New Roman"/>
          <w:bCs/>
          <w:sz w:val="24"/>
          <w:szCs w:val="24"/>
          <w:lang w:val="es-ES_tradnl"/>
        </w:rPr>
      </w:pPr>
    </w:p>
    <w:p w14:paraId="780104ED" w14:textId="5520626A" w:rsidR="00595A2B" w:rsidRPr="008F7DCC" w:rsidRDefault="00595A2B" w:rsidP="008F7DCC">
      <w:pPr>
        <w:pStyle w:val="ListParagraph"/>
        <w:numPr>
          <w:ilvl w:val="0"/>
          <w:numId w:val="27"/>
        </w:numPr>
        <w:spacing w:line="278" w:lineRule="auto"/>
        <w:ind w:left="0" w:firstLine="0"/>
        <w:rPr>
          <w:rFonts w:eastAsia="Times New Roman"/>
          <w:bCs/>
          <w:sz w:val="24"/>
          <w:szCs w:val="24"/>
          <w:lang w:val="es-ES_tradnl"/>
        </w:rPr>
      </w:pPr>
      <w:r w:rsidRPr="008F7DCC">
        <w:rPr>
          <w:rFonts w:eastAsia="Times New Roman"/>
          <w:b/>
          <w:sz w:val="24"/>
          <w:szCs w:val="24"/>
          <w:lang w:val="es-ES_tradnl"/>
        </w:rPr>
        <w:t>NEGAR</w:t>
      </w:r>
      <w:r w:rsidRPr="008F7DCC">
        <w:rPr>
          <w:rFonts w:eastAsia="Times New Roman"/>
          <w:bCs/>
          <w:sz w:val="24"/>
          <w:szCs w:val="24"/>
          <w:lang w:val="es-ES_tradnl"/>
        </w:rPr>
        <w:t xml:space="preserve"> el amparo solicitado por Abraham Moisés García Barrios contra el Departamento Administrativo de la Presidencia de la República (DAPRE); el Ministerio de Justicia y del Derecho, y el Ministerio de Hacienda y Crédito Público, en lo que tiene que ver con las pretensiones “A”, “B”, “C”, “D” y “E”, presentadas por el accionante dentro del libelo introductorio del presente trámite tutelar, por las razones expuestas en la parte considerativa de este fallo.</w:t>
      </w:r>
    </w:p>
    <w:p w14:paraId="166CF82B" w14:textId="77777777" w:rsidR="00B23EBF" w:rsidRPr="008F7DCC" w:rsidRDefault="00B23EBF" w:rsidP="008F7DCC">
      <w:pPr>
        <w:pStyle w:val="ListParagraph"/>
        <w:spacing w:line="278" w:lineRule="auto"/>
        <w:rPr>
          <w:rFonts w:eastAsia="Times New Roman"/>
          <w:bCs/>
          <w:sz w:val="24"/>
          <w:szCs w:val="24"/>
          <w:lang w:val="es-ES_tradnl"/>
        </w:rPr>
      </w:pPr>
    </w:p>
    <w:p w14:paraId="566C5E5D" w14:textId="35EB29AE" w:rsidR="00B23EBF" w:rsidRPr="008F7DCC" w:rsidRDefault="00B23EBF" w:rsidP="008F7DCC">
      <w:pPr>
        <w:pStyle w:val="ListParagraph"/>
        <w:numPr>
          <w:ilvl w:val="0"/>
          <w:numId w:val="27"/>
        </w:numPr>
        <w:spacing w:line="278" w:lineRule="auto"/>
        <w:ind w:left="0" w:firstLine="0"/>
        <w:rPr>
          <w:rFonts w:eastAsia="Times New Roman"/>
          <w:bCs/>
          <w:sz w:val="24"/>
          <w:szCs w:val="24"/>
          <w:lang w:val="es-ES_tradnl"/>
        </w:rPr>
      </w:pPr>
      <w:r w:rsidRPr="008F7DCC">
        <w:rPr>
          <w:rFonts w:eastAsia="Times New Roman"/>
          <w:b/>
          <w:sz w:val="24"/>
          <w:szCs w:val="24"/>
          <w:lang w:val="es-ES_tradnl"/>
        </w:rPr>
        <w:t>NEGAR</w:t>
      </w:r>
      <w:r w:rsidRPr="008F7DCC">
        <w:rPr>
          <w:rFonts w:eastAsia="Times New Roman"/>
          <w:bCs/>
          <w:sz w:val="24"/>
          <w:szCs w:val="24"/>
          <w:lang w:val="es-ES_tradnl"/>
        </w:rPr>
        <w:t xml:space="preserve"> el amparo solicitado por Abraham Moisés García Barrios contra el Departamento Administrativo de la Presidencia de la República (DAPRE); el Ministerio de Justicia y del Derecho, y el Ministerio de Hacienda y Crédito Público, atinente a su derecho fundamental de petición, por </w:t>
      </w:r>
      <w:r w:rsidR="008F7DCC" w:rsidRPr="008F7DCC">
        <w:rPr>
          <w:rFonts w:eastAsia="Times New Roman"/>
          <w:bCs/>
          <w:sz w:val="24"/>
          <w:szCs w:val="24"/>
          <w:lang w:val="es-ES_tradnl"/>
        </w:rPr>
        <w:t xml:space="preserve">lo </w:t>
      </w:r>
      <w:r w:rsidRPr="008F7DCC">
        <w:rPr>
          <w:rFonts w:eastAsia="Times New Roman"/>
          <w:bCs/>
          <w:sz w:val="24"/>
          <w:szCs w:val="24"/>
          <w:lang w:val="es-ES_tradnl"/>
        </w:rPr>
        <w:t>considerado en esta providencia.</w:t>
      </w:r>
    </w:p>
    <w:p w14:paraId="5672C598" w14:textId="77777777" w:rsidR="00FF074C" w:rsidRPr="008F7DCC" w:rsidRDefault="00FF074C" w:rsidP="008F7DCC">
      <w:pPr>
        <w:pStyle w:val="ListParagraph"/>
        <w:spacing w:line="278" w:lineRule="auto"/>
        <w:ind w:left="0"/>
        <w:rPr>
          <w:rFonts w:eastAsia="Times New Roman"/>
          <w:bCs/>
          <w:sz w:val="24"/>
          <w:szCs w:val="24"/>
          <w:lang w:val="es-ES_tradnl"/>
        </w:rPr>
      </w:pPr>
    </w:p>
    <w:p w14:paraId="755D2FA1" w14:textId="19761E2F" w:rsidR="004C0AE1" w:rsidRPr="008F7DCC" w:rsidRDefault="004C0AE1" w:rsidP="008F7DCC">
      <w:pPr>
        <w:pStyle w:val="ListParagraph"/>
        <w:numPr>
          <w:ilvl w:val="0"/>
          <w:numId w:val="27"/>
        </w:numPr>
        <w:spacing w:line="278" w:lineRule="auto"/>
        <w:ind w:left="0" w:firstLine="0"/>
        <w:rPr>
          <w:rFonts w:eastAsia="Verdana"/>
          <w:sz w:val="24"/>
          <w:szCs w:val="24"/>
          <w:lang w:val="es-ES_tradnl"/>
        </w:rPr>
      </w:pPr>
      <w:r w:rsidRPr="008F7DCC">
        <w:rPr>
          <w:rFonts w:eastAsia="Verdana"/>
          <w:b/>
          <w:sz w:val="24"/>
          <w:szCs w:val="24"/>
          <w:lang w:val="es-ES_tradnl"/>
        </w:rPr>
        <w:t xml:space="preserve">NOTIFICAR </w:t>
      </w:r>
      <w:r w:rsidRPr="008F7DCC">
        <w:rPr>
          <w:rFonts w:eastAsia="Verdana"/>
          <w:sz w:val="24"/>
          <w:szCs w:val="24"/>
          <w:lang w:val="es-ES_tradnl"/>
        </w:rPr>
        <w:t>la presente decisión a las partes y a los interesados por el medio más expedito.</w:t>
      </w:r>
    </w:p>
    <w:p w14:paraId="6370B87B" w14:textId="595A693D" w:rsidR="00FF074C" w:rsidRDefault="00FF074C" w:rsidP="008F7DCC">
      <w:pPr>
        <w:pStyle w:val="ListParagraph"/>
        <w:spacing w:line="278" w:lineRule="auto"/>
        <w:ind w:left="0"/>
        <w:rPr>
          <w:rFonts w:eastAsia="Verdana"/>
          <w:sz w:val="24"/>
          <w:szCs w:val="24"/>
          <w:lang w:val="es-ES_tradnl"/>
        </w:rPr>
      </w:pPr>
    </w:p>
    <w:p w14:paraId="7C8433B4" w14:textId="76C08BD4" w:rsidR="00864A0F" w:rsidRDefault="00864A0F" w:rsidP="008F7DCC">
      <w:pPr>
        <w:pStyle w:val="ListParagraph"/>
        <w:spacing w:line="278" w:lineRule="auto"/>
        <w:ind w:left="0"/>
        <w:rPr>
          <w:rFonts w:eastAsia="Verdana"/>
          <w:sz w:val="24"/>
          <w:szCs w:val="24"/>
          <w:lang w:val="es-ES_tradnl"/>
        </w:rPr>
      </w:pPr>
    </w:p>
    <w:p w14:paraId="53C14591" w14:textId="3896A7C3" w:rsidR="00864A0F" w:rsidRDefault="00864A0F" w:rsidP="008F7DCC">
      <w:pPr>
        <w:pStyle w:val="ListParagraph"/>
        <w:spacing w:line="278" w:lineRule="auto"/>
        <w:ind w:left="0"/>
        <w:rPr>
          <w:rFonts w:eastAsia="Verdana"/>
          <w:sz w:val="24"/>
          <w:szCs w:val="24"/>
          <w:lang w:val="es-ES_tradnl"/>
        </w:rPr>
      </w:pPr>
    </w:p>
    <w:p w14:paraId="06AEC6C0" w14:textId="7A0B5E3B" w:rsidR="00864A0F" w:rsidRDefault="00864A0F" w:rsidP="008F7DCC">
      <w:pPr>
        <w:pStyle w:val="ListParagraph"/>
        <w:spacing w:line="278" w:lineRule="auto"/>
        <w:ind w:left="0"/>
        <w:rPr>
          <w:rFonts w:eastAsia="Verdana"/>
          <w:sz w:val="24"/>
          <w:szCs w:val="24"/>
          <w:lang w:val="es-ES_tradnl"/>
        </w:rPr>
      </w:pPr>
    </w:p>
    <w:p w14:paraId="212AFD43" w14:textId="0942C8B0" w:rsidR="00864A0F" w:rsidRDefault="00864A0F" w:rsidP="008F7DCC">
      <w:pPr>
        <w:pStyle w:val="ListParagraph"/>
        <w:spacing w:line="278" w:lineRule="auto"/>
        <w:ind w:left="0"/>
        <w:rPr>
          <w:rFonts w:eastAsia="Verdana"/>
          <w:sz w:val="24"/>
          <w:szCs w:val="24"/>
          <w:lang w:val="es-ES_tradnl"/>
        </w:rPr>
      </w:pPr>
    </w:p>
    <w:p w14:paraId="6219B724" w14:textId="77777777" w:rsidR="00864A0F" w:rsidRPr="008F7DCC" w:rsidRDefault="00864A0F" w:rsidP="008F7DCC">
      <w:pPr>
        <w:pStyle w:val="ListParagraph"/>
        <w:spacing w:line="278" w:lineRule="auto"/>
        <w:ind w:left="0"/>
        <w:rPr>
          <w:rFonts w:eastAsia="Verdana"/>
          <w:sz w:val="24"/>
          <w:szCs w:val="24"/>
          <w:lang w:val="es-ES_tradnl"/>
        </w:rPr>
      </w:pPr>
    </w:p>
    <w:p w14:paraId="7DFE9682" w14:textId="117E8C0A" w:rsidR="004C0AE1" w:rsidRPr="008F7DCC" w:rsidRDefault="004C0AE1" w:rsidP="008F7DCC">
      <w:pPr>
        <w:pStyle w:val="ListParagraph"/>
        <w:numPr>
          <w:ilvl w:val="0"/>
          <w:numId w:val="27"/>
        </w:numPr>
        <w:spacing w:line="278" w:lineRule="auto"/>
        <w:ind w:left="0" w:firstLine="0"/>
        <w:rPr>
          <w:rFonts w:eastAsia="Verdana"/>
          <w:sz w:val="24"/>
          <w:szCs w:val="24"/>
          <w:lang w:val="es-ES_tradnl"/>
        </w:rPr>
      </w:pPr>
      <w:r w:rsidRPr="008F7DCC">
        <w:rPr>
          <w:rFonts w:eastAsia="Verdana"/>
          <w:b/>
          <w:sz w:val="24"/>
          <w:szCs w:val="24"/>
          <w:lang w:val="es-ES_tradnl"/>
        </w:rPr>
        <w:lastRenderedPageBreak/>
        <w:t xml:space="preserve">ENVIAR </w:t>
      </w:r>
      <w:r w:rsidRPr="008F7DCC">
        <w:rPr>
          <w:rFonts w:eastAsia="Verdana"/>
          <w:sz w:val="24"/>
          <w:szCs w:val="24"/>
          <w:lang w:val="es-ES_tradnl"/>
        </w:rPr>
        <w:t xml:space="preserve">la presente providencia a la Corte Constitucional para su eventual revisión, en el caso de no ser impugnada.  </w:t>
      </w:r>
    </w:p>
    <w:bookmarkEnd w:id="1"/>
    <w:p w14:paraId="654CE2A3" w14:textId="77777777" w:rsidR="003538E2" w:rsidRPr="008F7DCC" w:rsidRDefault="003538E2" w:rsidP="008F7DCC">
      <w:pPr>
        <w:spacing w:line="278" w:lineRule="auto"/>
        <w:contextualSpacing/>
        <w:rPr>
          <w:rFonts w:eastAsia="Verdana"/>
          <w:b/>
          <w:sz w:val="24"/>
          <w:szCs w:val="24"/>
          <w:lang w:val="es-ES_tradnl"/>
        </w:rPr>
      </w:pPr>
    </w:p>
    <w:p w14:paraId="17B7F027" w14:textId="672A8568" w:rsidR="00A64EF5" w:rsidRPr="008F7DCC" w:rsidRDefault="000C5DB7" w:rsidP="008F7DCC">
      <w:pPr>
        <w:spacing w:line="278" w:lineRule="auto"/>
        <w:contextualSpacing/>
        <w:rPr>
          <w:rFonts w:eastAsia="Verdana"/>
          <w:b/>
          <w:sz w:val="24"/>
          <w:szCs w:val="24"/>
        </w:rPr>
      </w:pPr>
      <w:r w:rsidRPr="008F7DCC">
        <w:rPr>
          <w:rFonts w:eastAsia="Verdana"/>
          <w:b/>
          <w:sz w:val="24"/>
          <w:szCs w:val="24"/>
        </w:rPr>
        <w:t>NOTIFÍQUESE Y CÚMPLASE</w:t>
      </w:r>
    </w:p>
    <w:p w14:paraId="10DF878B" w14:textId="0F93CA8E" w:rsidR="00A652AA" w:rsidRDefault="00A652AA" w:rsidP="008F7DCC">
      <w:pPr>
        <w:spacing w:line="278" w:lineRule="auto"/>
        <w:contextualSpacing/>
        <w:jc w:val="center"/>
        <w:rPr>
          <w:rFonts w:eastAsia="Verdana"/>
          <w:b/>
          <w:sz w:val="24"/>
          <w:szCs w:val="24"/>
        </w:rPr>
      </w:pPr>
    </w:p>
    <w:p w14:paraId="33CE6155" w14:textId="0F78D91E" w:rsidR="00864A0F" w:rsidRDefault="00864A0F" w:rsidP="008F7DCC">
      <w:pPr>
        <w:spacing w:line="278" w:lineRule="auto"/>
        <w:contextualSpacing/>
        <w:jc w:val="center"/>
        <w:rPr>
          <w:rFonts w:eastAsia="Verdana"/>
          <w:b/>
          <w:sz w:val="24"/>
          <w:szCs w:val="24"/>
        </w:rPr>
      </w:pPr>
    </w:p>
    <w:p w14:paraId="2A2E0235" w14:textId="42176878" w:rsidR="00864A0F" w:rsidRDefault="00864A0F" w:rsidP="008F7DCC">
      <w:pPr>
        <w:spacing w:line="278" w:lineRule="auto"/>
        <w:contextualSpacing/>
        <w:jc w:val="center"/>
        <w:rPr>
          <w:rFonts w:eastAsia="Verdana"/>
          <w:b/>
          <w:sz w:val="24"/>
          <w:szCs w:val="24"/>
        </w:rPr>
      </w:pPr>
    </w:p>
    <w:p w14:paraId="170FACCC" w14:textId="77777777" w:rsidR="00864A0F" w:rsidRPr="008F7DCC" w:rsidRDefault="00864A0F" w:rsidP="008F7DCC">
      <w:pPr>
        <w:spacing w:line="278" w:lineRule="auto"/>
        <w:contextualSpacing/>
        <w:jc w:val="center"/>
        <w:rPr>
          <w:rFonts w:eastAsia="Verdana"/>
          <w:b/>
          <w:sz w:val="24"/>
          <w:szCs w:val="24"/>
        </w:rPr>
      </w:pPr>
    </w:p>
    <w:p w14:paraId="60E15F96" w14:textId="79F360E7" w:rsidR="000C5DB7" w:rsidRPr="008F7DCC" w:rsidRDefault="006C4EED" w:rsidP="008F7DCC">
      <w:pPr>
        <w:spacing w:line="278" w:lineRule="auto"/>
        <w:contextualSpacing/>
        <w:jc w:val="center"/>
        <w:rPr>
          <w:rFonts w:eastAsia="Verdana"/>
          <w:b/>
          <w:sz w:val="24"/>
          <w:szCs w:val="24"/>
        </w:rPr>
      </w:pPr>
      <w:r w:rsidRPr="008F7DCC">
        <w:rPr>
          <w:rFonts w:eastAsia="Verdana"/>
          <w:b/>
          <w:sz w:val="24"/>
          <w:szCs w:val="24"/>
        </w:rPr>
        <w:t>GUILLERMO SÁNCHEZ LUQUE</w:t>
      </w:r>
    </w:p>
    <w:p w14:paraId="3EDA8713" w14:textId="4F64C27C" w:rsidR="00A652AA" w:rsidRDefault="000C5DB7" w:rsidP="008F7DCC">
      <w:pPr>
        <w:spacing w:line="278" w:lineRule="auto"/>
        <w:contextualSpacing/>
        <w:jc w:val="center"/>
        <w:rPr>
          <w:rFonts w:eastAsia="Verdana"/>
          <w:b/>
          <w:sz w:val="24"/>
          <w:szCs w:val="24"/>
        </w:rPr>
      </w:pPr>
      <w:r w:rsidRPr="008F7DCC">
        <w:rPr>
          <w:rFonts w:eastAsia="Verdana"/>
          <w:b/>
          <w:sz w:val="24"/>
          <w:szCs w:val="24"/>
        </w:rPr>
        <w:t>Presidente de Sala</w:t>
      </w:r>
    </w:p>
    <w:p w14:paraId="6785E79C" w14:textId="17134057" w:rsidR="00864A0F" w:rsidRDefault="00864A0F" w:rsidP="008F7DCC">
      <w:pPr>
        <w:spacing w:line="278" w:lineRule="auto"/>
        <w:contextualSpacing/>
        <w:jc w:val="center"/>
        <w:rPr>
          <w:rFonts w:eastAsia="Verdana"/>
          <w:b/>
          <w:sz w:val="24"/>
          <w:szCs w:val="24"/>
        </w:rPr>
      </w:pPr>
    </w:p>
    <w:p w14:paraId="5897F5F6" w14:textId="58C3CC96" w:rsidR="00864A0F" w:rsidRDefault="00864A0F" w:rsidP="008F7DCC">
      <w:pPr>
        <w:spacing w:line="278" w:lineRule="auto"/>
        <w:contextualSpacing/>
        <w:jc w:val="center"/>
        <w:rPr>
          <w:rFonts w:eastAsia="Verdana"/>
          <w:b/>
          <w:sz w:val="24"/>
          <w:szCs w:val="24"/>
        </w:rPr>
      </w:pPr>
    </w:p>
    <w:p w14:paraId="6A8C77BF" w14:textId="29DAD1C0" w:rsidR="00864A0F" w:rsidRDefault="00864A0F" w:rsidP="008F7DCC">
      <w:pPr>
        <w:spacing w:line="278" w:lineRule="auto"/>
        <w:contextualSpacing/>
        <w:jc w:val="center"/>
        <w:rPr>
          <w:rFonts w:eastAsia="Verdana"/>
          <w:b/>
          <w:sz w:val="24"/>
          <w:szCs w:val="24"/>
        </w:rPr>
      </w:pPr>
    </w:p>
    <w:p w14:paraId="4AAD73CA" w14:textId="77777777" w:rsidR="00864A0F" w:rsidRPr="008F7DCC" w:rsidRDefault="00864A0F" w:rsidP="008F7DCC">
      <w:pPr>
        <w:spacing w:line="278" w:lineRule="auto"/>
        <w:contextualSpacing/>
        <w:jc w:val="center"/>
        <w:rPr>
          <w:rFonts w:eastAsia="Verdana"/>
          <w:b/>
          <w:sz w:val="24"/>
          <w:szCs w:val="24"/>
        </w:rPr>
      </w:pPr>
    </w:p>
    <w:p w14:paraId="4787C33E" w14:textId="77777777" w:rsidR="000C5DB7" w:rsidRPr="008F7DCC" w:rsidRDefault="006C4EED" w:rsidP="008F7DCC">
      <w:pPr>
        <w:spacing w:line="278" w:lineRule="auto"/>
        <w:contextualSpacing/>
        <w:jc w:val="center"/>
        <w:rPr>
          <w:rFonts w:eastAsia="Verdana"/>
          <w:b/>
          <w:sz w:val="24"/>
          <w:szCs w:val="24"/>
        </w:rPr>
      </w:pPr>
      <w:r w:rsidRPr="008F7DCC">
        <w:rPr>
          <w:rFonts w:eastAsia="Verdana"/>
          <w:b/>
          <w:sz w:val="24"/>
          <w:szCs w:val="24"/>
        </w:rPr>
        <w:t>JAIME ENRIQUE RODRÍGUEZ NAVAS</w:t>
      </w:r>
    </w:p>
    <w:p w14:paraId="3E59EA34" w14:textId="7B3FD955" w:rsidR="000C5DB7" w:rsidRDefault="000C5DB7" w:rsidP="008F7DCC">
      <w:pPr>
        <w:spacing w:line="278" w:lineRule="auto"/>
        <w:contextualSpacing/>
        <w:jc w:val="center"/>
        <w:rPr>
          <w:rFonts w:eastAsia="Verdana"/>
          <w:b/>
          <w:sz w:val="24"/>
          <w:szCs w:val="24"/>
        </w:rPr>
      </w:pPr>
      <w:r w:rsidRPr="008F7DCC">
        <w:rPr>
          <w:rFonts w:eastAsia="Verdana"/>
          <w:b/>
          <w:sz w:val="24"/>
          <w:szCs w:val="24"/>
        </w:rPr>
        <w:t>Magistrado</w:t>
      </w:r>
    </w:p>
    <w:p w14:paraId="5B81809F" w14:textId="12303F96" w:rsidR="00864A0F" w:rsidRDefault="00864A0F" w:rsidP="008F7DCC">
      <w:pPr>
        <w:spacing w:line="278" w:lineRule="auto"/>
        <w:contextualSpacing/>
        <w:jc w:val="center"/>
        <w:rPr>
          <w:rFonts w:eastAsia="Verdana"/>
          <w:b/>
          <w:sz w:val="24"/>
          <w:szCs w:val="24"/>
        </w:rPr>
      </w:pPr>
    </w:p>
    <w:p w14:paraId="60041F94" w14:textId="193C528D" w:rsidR="00864A0F" w:rsidRDefault="00864A0F" w:rsidP="008F7DCC">
      <w:pPr>
        <w:spacing w:line="278" w:lineRule="auto"/>
        <w:contextualSpacing/>
        <w:jc w:val="center"/>
        <w:rPr>
          <w:rFonts w:eastAsia="Verdana"/>
          <w:b/>
          <w:sz w:val="24"/>
          <w:szCs w:val="24"/>
        </w:rPr>
      </w:pPr>
    </w:p>
    <w:p w14:paraId="3A37A046" w14:textId="030C67FD" w:rsidR="00864A0F" w:rsidRDefault="00864A0F" w:rsidP="008F7DCC">
      <w:pPr>
        <w:spacing w:line="278" w:lineRule="auto"/>
        <w:contextualSpacing/>
        <w:jc w:val="center"/>
        <w:rPr>
          <w:rFonts w:eastAsia="Verdana"/>
          <w:b/>
          <w:sz w:val="24"/>
          <w:szCs w:val="24"/>
        </w:rPr>
      </w:pPr>
    </w:p>
    <w:p w14:paraId="0DFDFE20" w14:textId="77777777" w:rsidR="00864A0F" w:rsidRPr="008F7DCC" w:rsidRDefault="00864A0F" w:rsidP="008F7DCC">
      <w:pPr>
        <w:spacing w:line="278" w:lineRule="auto"/>
        <w:contextualSpacing/>
        <w:jc w:val="center"/>
        <w:rPr>
          <w:rFonts w:eastAsia="Verdana"/>
          <w:b/>
          <w:sz w:val="24"/>
          <w:szCs w:val="24"/>
        </w:rPr>
      </w:pPr>
    </w:p>
    <w:p w14:paraId="5E00FC79" w14:textId="77777777" w:rsidR="000C5DB7" w:rsidRPr="008F7DCC" w:rsidRDefault="000C5DB7" w:rsidP="008F7DCC">
      <w:pPr>
        <w:spacing w:line="278" w:lineRule="auto"/>
        <w:contextualSpacing/>
        <w:jc w:val="center"/>
        <w:rPr>
          <w:rFonts w:eastAsia="Verdana"/>
          <w:b/>
          <w:sz w:val="24"/>
          <w:szCs w:val="24"/>
        </w:rPr>
      </w:pPr>
      <w:r w:rsidRPr="008F7DCC">
        <w:rPr>
          <w:rFonts w:eastAsia="Verdana"/>
          <w:b/>
          <w:sz w:val="24"/>
          <w:szCs w:val="24"/>
        </w:rPr>
        <w:t>NICOLÁS YEPES CORRALES</w:t>
      </w:r>
    </w:p>
    <w:p w14:paraId="12E21CD1" w14:textId="07783A66" w:rsidR="00A64EF5" w:rsidRPr="008F7DCC" w:rsidRDefault="000C5DB7" w:rsidP="008F7DCC">
      <w:pPr>
        <w:spacing w:line="278" w:lineRule="auto"/>
        <w:contextualSpacing/>
        <w:jc w:val="center"/>
        <w:rPr>
          <w:rFonts w:eastAsia="Verdana"/>
          <w:b/>
          <w:sz w:val="24"/>
          <w:szCs w:val="24"/>
        </w:rPr>
      </w:pPr>
      <w:r w:rsidRPr="008F7DCC">
        <w:rPr>
          <w:rFonts w:eastAsia="Verdana"/>
          <w:b/>
          <w:sz w:val="24"/>
          <w:szCs w:val="24"/>
        </w:rPr>
        <w:t>Magistrado</w:t>
      </w:r>
    </w:p>
    <w:sectPr w:rsidR="00A64EF5" w:rsidRPr="008F7DCC"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C113D" w14:textId="77777777" w:rsidR="00C544A8" w:rsidRDefault="00C544A8" w:rsidP="00117091">
      <w:r>
        <w:separator/>
      </w:r>
    </w:p>
  </w:endnote>
  <w:endnote w:type="continuationSeparator" w:id="0">
    <w:p w14:paraId="58AB9F66" w14:textId="77777777" w:rsidR="00C544A8" w:rsidRDefault="00C544A8" w:rsidP="00117091">
      <w:r>
        <w:continuationSeparator/>
      </w:r>
    </w:p>
  </w:endnote>
  <w:endnote w:type="continuationNotice" w:id="1">
    <w:p w14:paraId="15EF6FDB" w14:textId="77777777" w:rsidR="00C544A8" w:rsidRDefault="00C54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2535" w14:paraId="22CC7AFE" w14:textId="77777777" w:rsidTr="00B6429B">
      <w:trPr>
        <w:jc w:val="right"/>
      </w:trPr>
      <w:tc>
        <w:tcPr>
          <w:tcW w:w="4795" w:type="dxa"/>
          <w:vAlign w:val="center"/>
        </w:tcPr>
        <w:p w14:paraId="1A1DAD26" w14:textId="77777777" w:rsidR="00482535" w:rsidRDefault="00482535" w:rsidP="00B6429B">
          <w:pPr>
            <w:pStyle w:val="Header"/>
            <w:jc w:val="center"/>
            <w:rPr>
              <w:color w:val="767171"/>
              <w:sz w:val="20"/>
              <w:szCs w:val="20"/>
            </w:rPr>
          </w:pPr>
          <w:r w:rsidRPr="00A21194">
            <w:rPr>
              <w:color w:val="767171"/>
              <w:sz w:val="20"/>
              <w:szCs w:val="20"/>
            </w:rPr>
            <w:t>Calle 12 No. 7-65 – Tel: (57-1) 350-6700 – Bogotá D.C. – Colombia</w:t>
          </w:r>
        </w:p>
        <w:p w14:paraId="7F88392F" w14:textId="77777777" w:rsidR="00482535" w:rsidRPr="00A21194" w:rsidRDefault="00482535"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482535" w:rsidRPr="00B6429B" w:rsidRDefault="00482535" w:rsidP="00B6429B">
          <w:pPr>
            <w:pStyle w:val="Footer"/>
            <w:jc w:val="center"/>
          </w:pPr>
          <w:r w:rsidRPr="00B6429B">
            <w:fldChar w:fldCharType="begin"/>
          </w:r>
          <w:r w:rsidRPr="00B6429B">
            <w:instrText>PAGE   \* MERGEFORMAT</w:instrText>
          </w:r>
          <w:r w:rsidRPr="00B6429B">
            <w:fldChar w:fldCharType="separate"/>
          </w:r>
          <w:r w:rsidR="005D7299" w:rsidRPr="005D7299">
            <w:rPr>
              <w:noProof/>
              <w:lang w:val="es-ES"/>
            </w:rPr>
            <w:t>11</w:t>
          </w:r>
          <w:r w:rsidRPr="00B6429B">
            <w:fldChar w:fldCharType="end"/>
          </w:r>
        </w:p>
      </w:tc>
    </w:tr>
  </w:tbl>
  <w:p w14:paraId="199724F6" w14:textId="77777777" w:rsidR="00482535" w:rsidRPr="008C0DBE" w:rsidRDefault="00482535" w:rsidP="00394A69">
    <w:pPr>
      <w:pStyle w:val="Footer"/>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2535" w14:paraId="1D900BCF" w14:textId="77777777" w:rsidTr="00B6429B">
      <w:trPr>
        <w:jc w:val="right"/>
      </w:trPr>
      <w:tc>
        <w:tcPr>
          <w:tcW w:w="4795" w:type="dxa"/>
          <w:vAlign w:val="center"/>
        </w:tcPr>
        <w:p w14:paraId="505917EF" w14:textId="77777777" w:rsidR="00482535" w:rsidRDefault="00482535" w:rsidP="00850A42">
          <w:pPr>
            <w:pStyle w:val="Header"/>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482535" w:rsidRPr="00A21194" w:rsidRDefault="00482535" w:rsidP="00850A42">
          <w:pPr>
            <w:pStyle w:val="Header"/>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482535" w:rsidRPr="00B6429B" w:rsidRDefault="00482535" w:rsidP="00850A42">
          <w:pPr>
            <w:pStyle w:val="Footer"/>
            <w:tabs>
              <w:tab w:val="clear" w:pos="4252"/>
              <w:tab w:val="clear" w:pos="8504"/>
            </w:tabs>
            <w:jc w:val="center"/>
          </w:pPr>
          <w:r w:rsidRPr="00B6429B">
            <w:fldChar w:fldCharType="begin"/>
          </w:r>
          <w:r w:rsidRPr="00B6429B">
            <w:instrText>PAGE   \* MERGEFORMAT</w:instrText>
          </w:r>
          <w:r w:rsidRPr="00B6429B">
            <w:fldChar w:fldCharType="separate"/>
          </w:r>
          <w:r w:rsidR="005D7299" w:rsidRPr="005D7299">
            <w:rPr>
              <w:noProof/>
              <w:lang w:val="es-ES"/>
            </w:rPr>
            <w:t>1</w:t>
          </w:r>
          <w:r w:rsidRPr="00B6429B">
            <w:fldChar w:fldCharType="end"/>
          </w:r>
        </w:p>
      </w:tc>
    </w:tr>
  </w:tbl>
  <w:p w14:paraId="3A21C5E9" w14:textId="77777777" w:rsidR="00482535" w:rsidRDefault="00482535" w:rsidP="00850A42">
    <w:pPr>
      <w:pStyle w:val="Footer"/>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C1C6B" w14:textId="77777777" w:rsidR="00C544A8" w:rsidRDefault="00C544A8" w:rsidP="00117091">
      <w:r>
        <w:separator/>
      </w:r>
    </w:p>
  </w:footnote>
  <w:footnote w:type="continuationSeparator" w:id="0">
    <w:p w14:paraId="4B16912B" w14:textId="77777777" w:rsidR="00C544A8" w:rsidRDefault="00C544A8" w:rsidP="00117091">
      <w:r>
        <w:continuationSeparator/>
      </w:r>
    </w:p>
  </w:footnote>
  <w:footnote w:type="continuationNotice" w:id="1">
    <w:p w14:paraId="1AC57B84" w14:textId="77777777" w:rsidR="00C544A8" w:rsidRDefault="00C544A8"/>
  </w:footnote>
  <w:footnote w:id="2">
    <w:p w14:paraId="497E5894" w14:textId="585027CC" w:rsidR="008D1BD7" w:rsidRPr="008D1BD7" w:rsidRDefault="008D1BD7">
      <w:pPr>
        <w:pStyle w:val="FootnoteText"/>
      </w:pPr>
      <w:r>
        <w:rPr>
          <w:rStyle w:val="FootnoteReference"/>
        </w:rPr>
        <w:footnoteRef/>
      </w:r>
      <w:r>
        <w:t xml:space="preserve"> Ver, archivo con certificado </w:t>
      </w:r>
      <w:r w:rsidRPr="008D1BD7">
        <w:t>C57246B01DFCE38A C83EFCA543534AE6 A06833C0A3323D9B EA2552F90FE464C0</w:t>
      </w:r>
      <w:r>
        <w:t>.</w:t>
      </w:r>
    </w:p>
  </w:footnote>
  <w:footnote w:id="3">
    <w:p w14:paraId="3B0E33A1" w14:textId="77777777" w:rsidR="00431ECA" w:rsidRPr="0048114F" w:rsidRDefault="00431ECA" w:rsidP="00431ECA">
      <w:pPr>
        <w:pStyle w:val="FootnoteText"/>
      </w:pPr>
      <w:r>
        <w:rPr>
          <w:rStyle w:val="FootnoteReference"/>
        </w:rPr>
        <w:footnoteRef/>
      </w:r>
      <w:r>
        <w:t xml:space="preserve"> </w:t>
      </w:r>
      <w:r w:rsidRPr="0048114F">
        <w:t>Ver, archiv</w:t>
      </w:r>
      <w:r>
        <w:t>o</w:t>
      </w:r>
      <w:r w:rsidRPr="0048114F">
        <w:t xml:space="preserve"> con certificado 13FAE6A4B599579A E6545D71DE47D11C B8002F3A949AD70F 811C277C67552EF2</w:t>
      </w:r>
      <w:r>
        <w:t>.</w:t>
      </w:r>
    </w:p>
  </w:footnote>
  <w:footnote w:id="4">
    <w:p w14:paraId="412135D1" w14:textId="14F6AC9B" w:rsidR="00482535" w:rsidRPr="00F224E5" w:rsidRDefault="00482535" w:rsidP="00B363CB">
      <w:r w:rsidRPr="00F224E5">
        <w:rPr>
          <w:rStyle w:val="FootnoteReference"/>
        </w:rPr>
        <w:footnoteRef/>
      </w:r>
      <w:r w:rsidRPr="00F224E5">
        <w:t xml:space="preserve"> Ver, archivo </w:t>
      </w:r>
      <w:r>
        <w:t xml:space="preserve">con </w:t>
      </w:r>
      <w:r w:rsidRPr="00F224E5">
        <w:t xml:space="preserve">certificado </w:t>
      </w:r>
      <w:r w:rsidR="00771C2B" w:rsidRPr="00771C2B">
        <w:t>5A5E18EAA0DD45C7 243368216FEBF31B E92A24C3DE14CA5A 973FAFBED236BC3C</w:t>
      </w:r>
      <w:r w:rsidRPr="00F224E5">
        <w:t>.</w:t>
      </w:r>
    </w:p>
  </w:footnote>
  <w:footnote w:id="5">
    <w:p w14:paraId="00FD22F5" w14:textId="47A871E0" w:rsidR="00AE2249" w:rsidRPr="00AE2249" w:rsidRDefault="00AE2249">
      <w:pPr>
        <w:pStyle w:val="FootnoteText"/>
      </w:pPr>
      <w:r>
        <w:rPr>
          <w:rStyle w:val="FootnoteReference"/>
        </w:rPr>
        <w:footnoteRef/>
      </w:r>
      <w:r>
        <w:t xml:space="preserve"> Ver, archivo con certificado </w:t>
      </w:r>
      <w:r w:rsidRPr="00AE2249">
        <w:t>C198D4F3D7BF1719 FCC55DB1FE217C27 BF2372A656F22440 962173A5E787D32E</w:t>
      </w:r>
      <w:r>
        <w:t>.</w:t>
      </w:r>
    </w:p>
  </w:footnote>
  <w:footnote w:id="6">
    <w:p w14:paraId="685B2B61" w14:textId="0AF3E33E" w:rsidR="009633C8" w:rsidRPr="009633C8" w:rsidRDefault="009633C8">
      <w:pPr>
        <w:pStyle w:val="FootnoteText"/>
      </w:pPr>
      <w:r>
        <w:rPr>
          <w:rStyle w:val="FootnoteReference"/>
        </w:rPr>
        <w:footnoteRef/>
      </w:r>
      <w:r>
        <w:t xml:space="preserve"> Ver, archivo con certificado </w:t>
      </w:r>
      <w:r w:rsidRPr="009633C8">
        <w:t>EC08E99B19D15151 DBCC22C0AD511126 31BE2ABB44EAD5A6 7A4999BC7A0A8462</w:t>
      </w:r>
      <w:r>
        <w:t>.</w:t>
      </w:r>
    </w:p>
  </w:footnote>
  <w:footnote w:id="7">
    <w:p w14:paraId="155288C1" w14:textId="4D19692F" w:rsidR="00377854" w:rsidRPr="00377854" w:rsidRDefault="00377854">
      <w:pPr>
        <w:pStyle w:val="FootnoteText"/>
      </w:pPr>
      <w:r>
        <w:rPr>
          <w:rStyle w:val="FootnoteReference"/>
        </w:rPr>
        <w:footnoteRef/>
      </w:r>
      <w:r>
        <w:t xml:space="preserve"> Ver, archivo con certificado </w:t>
      </w:r>
      <w:r w:rsidRPr="00377854">
        <w:t>BE9B207150FD56E6 3D1F1D27C4F4C337 49C83D7D5742168E BB06F5FA4B8ED985</w:t>
      </w:r>
      <w:r>
        <w:t>.</w:t>
      </w:r>
    </w:p>
  </w:footnote>
  <w:footnote w:id="8">
    <w:p w14:paraId="40EDCBD9" w14:textId="46ED168F" w:rsidR="006314E6" w:rsidRPr="006314E6" w:rsidRDefault="006314E6">
      <w:pPr>
        <w:pStyle w:val="FootnoteText"/>
      </w:pPr>
      <w:r>
        <w:rPr>
          <w:rStyle w:val="FootnoteReference"/>
        </w:rPr>
        <w:footnoteRef/>
      </w:r>
      <w:r>
        <w:t xml:space="preserve"> Ver, archivo con certificado </w:t>
      </w:r>
      <w:r w:rsidRPr="006314E6">
        <w:t>D557C7A6B58B5412 44602605C6EB316B 92523F92CC2CA6EB 22A6EECD10C54263</w:t>
      </w:r>
      <w:r>
        <w:t>.</w:t>
      </w:r>
    </w:p>
  </w:footnote>
  <w:footnote w:id="9">
    <w:p w14:paraId="70B2F86C" w14:textId="77777777" w:rsidR="00482535" w:rsidRPr="00F224E5" w:rsidRDefault="00482535" w:rsidP="00B363CB">
      <w:pPr>
        <w:pStyle w:val="FootnoteText"/>
      </w:pPr>
      <w:r w:rsidRPr="00F224E5">
        <w:rPr>
          <w:rStyle w:val="FootnoteReference"/>
          <w:szCs w:val="16"/>
        </w:rPr>
        <w:footnoteRef/>
      </w:r>
      <w:r w:rsidRPr="00F224E5">
        <w:t xml:space="preserve"> “Por medio del cual se modificó el reglamento interno del Consejo de Estado”.</w:t>
      </w:r>
    </w:p>
  </w:footnote>
  <w:footnote w:id="10">
    <w:p w14:paraId="09E55C26" w14:textId="5CECB4E2" w:rsidR="00D71B9E" w:rsidRPr="008D4AF5" w:rsidRDefault="00D71B9E">
      <w:pPr>
        <w:pStyle w:val="FootnoteText"/>
        <w:rPr>
          <w:lang w:val="en-US"/>
        </w:rPr>
      </w:pPr>
      <w:r>
        <w:rPr>
          <w:rStyle w:val="FootnoteReference"/>
        </w:rPr>
        <w:footnoteRef/>
      </w:r>
      <w:r>
        <w:t xml:space="preserve"> </w:t>
      </w:r>
      <w:r w:rsidRPr="00D71B9E">
        <w:t xml:space="preserve">Ver, </w:t>
      </w:r>
      <w:r>
        <w:t>Acuerdo PCSJA20-11567 del 5 de junio de 2020, expedido por el Consejo Superior de la Judicatura.</w:t>
      </w:r>
      <w:r w:rsidR="008D4AF5">
        <w:t xml:space="preserve"> </w:t>
      </w:r>
      <w:r w:rsidR="008D4AF5" w:rsidRPr="008D4AF5">
        <w:rPr>
          <w:lang w:val="en-US"/>
        </w:rPr>
        <w:t xml:space="preserve">URL: </w:t>
      </w:r>
      <w:hyperlink r:id="rId1" w:history="1">
        <w:r w:rsidR="008D4AF5" w:rsidRPr="00DB4327">
          <w:rPr>
            <w:rStyle w:val="Hyperlink"/>
            <w:lang w:val="en-US"/>
          </w:rPr>
          <w:t>http://actosadministrativos.ramajudicial.gov.co/GetFile.ashx?url=%7e%2fApp_Data%2fUpload%2fGACET62-20.pdf</w:t>
        </w:r>
      </w:hyperlink>
      <w:r w:rsidR="008D4AF5">
        <w:rPr>
          <w:lang w:val="en-US"/>
        </w:rPr>
        <w:t>.</w:t>
      </w:r>
    </w:p>
  </w:footnote>
  <w:footnote w:id="11">
    <w:p w14:paraId="0DD3566E" w14:textId="7FE42F7E" w:rsidR="008D4AF5" w:rsidRPr="008D4AF5" w:rsidRDefault="008D4AF5">
      <w:pPr>
        <w:pStyle w:val="FootnoteText"/>
        <w:rPr>
          <w:lang w:val="en-US"/>
        </w:rPr>
      </w:pPr>
      <w:r>
        <w:rPr>
          <w:rStyle w:val="FootnoteReference"/>
        </w:rPr>
        <w:footnoteRef/>
      </w:r>
      <w:r>
        <w:t xml:space="preserve"> </w:t>
      </w:r>
      <w:r w:rsidRPr="008D4AF5">
        <w:t xml:space="preserve">Ver, </w:t>
      </w:r>
      <w:r>
        <w:t xml:space="preserve">Acuerdo PCSJA20-11632 del 30 de septiembre 2020, expedido por el Consejo Superior de la Judicatura. </w:t>
      </w:r>
      <w:r w:rsidRPr="008D4AF5">
        <w:rPr>
          <w:lang w:val="en-US"/>
        </w:rPr>
        <w:t xml:space="preserve">URL: </w:t>
      </w:r>
      <w:hyperlink r:id="rId2" w:history="1">
        <w:r w:rsidRPr="008D4AF5">
          <w:rPr>
            <w:rStyle w:val="Hyperlink"/>
            <w:lang w:val="en-US"/>
          </w:rPr>
          <w:t>http://actosadministrativos.ramajudicial.gov.co/GetFile.ashx?url=%7e%2fApp_Data%2fUpload%2fGaceta+37+20.pdf</w:t>
        </w:r>
      </w:hyperlink>
      <w:r w:rsidRPr="008D4AF5">
        <w:rPr>
          <w:lang w:val="en-US"/>
        </w:rPr>
        <w:t xml:space="preserve">. </w:t>
      </w:r>
    </w:p>
  </w:footnote>
  <w:footnote w:id="12">
    <w:p w14:paraId="498B85F7" w14:textId="77777777" w:rsidR="00FE0DEB" w:rsidRPr="00FE0DEB" w:rsidRDefault="00FE0DEB" w:rsidP="00FE0DEB">
      <w:pPr>
        <w:pStyle w:val="FootnoteText"/>
        <w:rPr>
          <w:lang w:val="fr-FR"/>
        </w:rPr>
      </w:pPr>
      <w:r>
        <w:rPr>
          <w:rStyle w:val="FootnoteReference"/>
        </w:rPr>
        <w:footnoteRef/>
      </w:r>
      <w:r w:rsidRPr="002F10C3">
        <w:rPr>
          <w:lang w:val="fr-FR"/>
        </w:rPr>
        <w:t xml:space="preserve"> Ver, Corte Constitucional. </w:t>
      </w:r>
      <w:r w:rsidRPr="00FE0DEB">
        <w:rPr>
          <w:lang w:val="fr-FR"/>
        </w:rPr>
        <w:t>Sentencias T-494 de 1993, T-317 de 2005, T-235 de 2012, T-200 de 2013, SU-225 de 2013, T-237 de 2016, T-695 de 2016, T-085 de 2018, T-060 de 2019 y T-431 de 2019.</w:t>
      </w:r>
    </w:p>
  </w:footnote>
  <w:footnote w:id="13">
    <w:p w14:paraId="089F3085" w14:textId="77777777" w:rsidR="00FE0DEB" w:rsidRPr="00B65C26" w:rsidRDefault="00FE0DEB" w:rsidP="00FE0DEB">
      <w:pPr>
        <w:pStyle w:val="FootnoteText"/>
        <w:rPr>
          <w:lang w:val="fr-FR"/>
        </w:rPr>
      </w:pPr>
      <w:r w:rsidRPr="00DC1F8D">
        <w:rPr>
          <w:rStyle w:val="FootnoteReference"/>
        </w:rPr>
        <w:footnoteRef/>
      </w:r>
      <w:r w:rsidRPr="00B65C26">
        <w:rPr>
          <w:lang w:val="fr-FR"/>
        </w:rPr>
        <w:t xml:space="preserve"> Ver, Corte </w:t>
      </w:r>
      <w:proofErr w:type="spellStart"/>
      <w:r w:rsidRPr="00B65C26">
        <w:rPr>
          <w:lang w:val="fr-FR"/>
        </w:rPr>
        <w:t>Constitucional</w:t>
      </w:r>
      <w:proofErr w:type="spellEnd"/>
      <w:r w:rsidRPr="00B65C26">
        <w:rPr>
          <w:lang w:val="fr-FR"/>
        </w:rPr>
        <w:t>. Sentencias T-988 de 2007, T-585 de 2010, T-200 de 2013, T-155 de 2017, T-107 de 2018, T-149 de 2018, T-481 de 2016, T-379 de 2018, T-025 de 2019 y T-038 de 2019.</w:t>
      </w:r>
    </w:p>
  </w:footnote>
  <w:footnote w:id="14">
    <w:p w14:paraId="05852CA6" w14:textId="353AD1B7" w:rsidR="00A3061E" w:rsidRPr="00A3061E" w:rsidRDefault="00A3061E">
      <w:pPr>
        <w:pStyle w:val="FootnoteText"/>
      </w:pPr>
      <w:r>
        <w:rPr>
          <w:rStyle w:val="FootnoteReference"/>
        </w:rPr>
        <w:footnoteRef/>
      </w:r>
      <w:r>
        <w:t xml:space="preserve"> </w:t>
      </w:r>
      <w:r w:rsidRPr="00A3061E">
        <w:t>La Sala, en este punto,</w:t>
      </w:r>
      <w:r>
        <w:t xml:space="preserve"> seguirá la línea de decisión adoptada en la sentencia del 19 de junio de 2020</w:t>
      </w:r>
      <w:r w:rsidR="00F43594">
        <w:t xml:space="preserve">, por medio de la cual se resolvió, en primera instancia, la acción de tutela identificada con el n.° único de radicación </w:t>
      </w:r>
      <w:r w:rsidR="00F43594" w:rsidRPr="00F43594">
        <w:t>11001-03-15-000-2020-01023-00</w:t>
      </w:r>
      <w:r w:rsidR="00F43594">
        <w:t xml:space="preserve"> (y acumulados), que dio lugar a la remisión del expediente contentivo de este proceso al despacho del suscrito consejero ponente.</w:t>
      </w:r>
    </w:p>
  </w:footnote>
  <w:footnote w:id="15">
    <w:p w14:paraId="3D653919" w14:textId="5BFFFE6A" w:rsidR="004B0520" w:rsidRPr="004B0520" w:rsidRDefault="004B0520">
      <w:pPr>
        <w:pStyle w:val="FootnoteText"/>
      </w:pPr>
      <w:r>
        <w:rPr>
          <w:rStyle w:val="FootnoteReference"/>
        </w:rPr>
        <w:footnoteRef/>
      </w:r>
      <w:r>
        <w:t xml:space="preserve"> </w:t>
      </w:r>
      <w:r w:rsidRPr="004B0520">
        <w:t xml:space="preserve">La explicación </w:t>
      </w:r>
      <w:proofErr w:type="gramStart"/>
      <w:r w:rsidRPr="004B0520">
        <w:rPr>
          <w:i/>
          <w:iCs/>
        </w:rPr>
        <w:t>in extenso</w:t>
      </w:r>
      <w:proofErr w:type="gramEnd"/>
      <w:r w:rsidRPr="004B0520">
        <w:t xml:space="preserve"> de e</w:t>
      </w:r>
      <w:r>
        <w:t>sas medidas se encuentra desarrollada en la sentencia que se reitera en esta oportunidad.</w:t>
      </w:r>
    </w:p>
  </w:footnote>
  <w:footnote w:id="16">
    <w:p w14:paraId="20431E97" w14:textId="3B2D8E6E" w:rsidR="005C3CAD" w:rsidRPr="005C3CAD" w:rsidRDefault="005C3CAD">
      <w:pPr>
        <w:pStyle w:val="FootnoteText"/>
      </w:pPr>
      <w:r>
        <w:rPr>
          <w:rStyle w:val="FootnoteReference"/>
        </w:rPr>
        <w:footnoteRef/>
      </w:r>
      <w:r>
        <w:t xml:space="preserve"> </w:t>
      </w:r>
      <w:r w:rsidRPr="005C3CAD">
        <w:t>En lo pertinente, el a</w:t>
      </w:r>
      <w:r>
        <w:t xml:space="preserve">rtículo </w:t>
      </w:r>
      <w:proofErr w:type="gramStart"/>
      <w:r>
        <w:t>1.°</w:t>
      </w:r>
      <w:proofErr w:type="gramEnd"/>
      <w:r>
        <w:t xml:space="preserve"> del decreto en cita señala que los recursos recaudados serán para inversión social en la clase media vulnerable y en los trabajadores informales.</w:t>
      </w:r>
    </w:p>
  </w:footnote>
  <w:footnote w:id="17">
    <w:p w14:paraId="40A13E02" w14:textId="5840C484" w:rsidR="005C3CAD" w:rsidRPr="005C3CAD" w:rsidRDefault="005C3CAD">
      <w:pPr>
        <w:pStyle w:val="FootnoteText"/>
        <w:rPr>
          <w:lang w:val="en-US"/>
        </w:rPr>
      </w:pPr>
      <w:r>
        <w:rPr>
          <w:rStyle w:val="FootnoteReference"/>
        </w:rPr>
        <w:footnoteRef/>
      </w:r>
      <w:r>
        <w:t xml:space="preserve"> </w:t>
      </w:r>
      <w:r>
        <w:rPr>
          <w:lang w:val="en-US"/>
        </w:rPr>
        <w:t>Ver, nota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22CBC" w14:textId="77777777" w:rsidR="00482535" w:rsidRPr="00A15ACE" w:rsidRDefault="00482535" w:rsidP="00203055">
    <w:pPr>
      <w:pStyle w:val="Header"/>
      <w:tabs>
        <w:tab w:val="clear" w:pos="4252"/>
        <w:tab w:val="clear" w:pos="8504"/>
      </w:tabs>
    </w:pPr>
    <w:r>
      <w:rPr>
        <w:noProof/>
        <w:lang w:eastAsia="es-CO"/>
      </w:rPr>
      <w:drawing>
        <wp:anchor distT="0" distB="0" distL="114300" distR="114300" simplePos="0" relativeHeight="251657728"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482535" w:rsidRPr="00A15ACE" w:rsidRDefault="00482535" w:rsidP="00203055">
    <w:pPr>
      <w:pStyle w:val="Header"/>
      <w:tabs>
        <w:tab w:val="clear" w:pos="4252"/>
        <w:tab w:val="clear" w:pos="8504"/>
      </w:tabs>
    </w:pPr>
  </w:p>
  <w:p w14:paraId="2A7E67E0" w14:textId="77777777" w:rsidR="00482535" w:rsidRPr="00A15ACE" w:rsidRDefault="00482535" w:rsidP="00203055">
    <w:pPr>
      <w:pStyle w:val="Header"/>
      <w:tabs>
        <w:tab w:val="clear" w:pos="4252"/>
        <w:tab w:val="clear" w:pos="8504"/>
      </w:tabs>
    </w:pPr>
    <w:r w:rsidRPr="0070023E">
      <w:rPr>
        <w:noProof/>
        <w:sz w:val="20"/>
        <w:szCs w:val="20"/>
        <w:lang w:eastAsia="es-CO"/>
      </w:rPr>
      <mc:AlternateContent>
        <mc:Choice Requires="wps">
          <w:drawing>
            <wp:anchor distT="0" distB="0" distL="114300" distR="114300" simplePos="0" relativeHeight="251656704"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A0571C"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06662A85" w:rsidR="00482535" w:rsidRPr="00F532EA" w:rsidRDefault="00482535" w:rsidP="00203055">
    <w:pPr>
      <w:pStyle w:val="Header"/>
      <w:tabs>
        <w:tab w:val="clear" w:pos="4252"/>
        <w:tab w:val="clear" w:pos="8504"/>
      </w:tabs>
      <w:jc w:val="right"/>
      <w:rPr>
        <w:color w:val="767171"/>
        <w:sz w:val="20"/>
        <w:szCs w:val="20"/>
      </w:rPr>
    </w:pPr>
    <w:r w:rsidRPr="00F532EA">
      <w:rPr>
        <w:color w:val="767171"/>
        <w:sz w:val="20"/>
        <w:szCs w:val="20"/>
      </w:rPr>
      <w:t xml:space="preserve">Radicado: </w:t>
    </w:r>
    <w:r w:rsidR="00296D9F" w:rsidRPr="00296D9F">
      <w:rPr>
        <w:color w:val="767171"/>
        <w:sz w:val="20"/>
        <w:szCs w:val="20"/>
      </w:rPr>
      <w:t>11001</w:t>
    </w:r>
    <w:r w:rsidR="00296D9F">
      <w:rPr>
        <w:color w:val="767171"/>
        <w:sz w:val="20"/>
        <w:szCs w:val="20"/>
      </w:rPr>
      <w:t>-</w:t>
    </w:r>
    <w:r w:rsidR="00296D9F" w:rsidRPr="00296D9F">
      <w:rPr>
        <w:color w:val="767171"/>
        <w:sz w:val="20"/>
        <w:szCs w:val="20"/>
      </w:rPr>
      <w:t>03</w:t>
    </w:r>
    <w:r w:rsidR="00296D9F">
      <w:rPr>
        <w:color w:val="767171"/>
        <w:sz w:val="20"/>
        <w:szCs w:val="20"/>
      </w:rPr>
      <w:t>-</w:t>
    </w:r>
    <w:r w:rsidR="00296D9F" w:rsidRPr="00296D9F">
      <w:rPr>
        <w:color w:val="767171"/>
        <w:sz w:val="20"/>
        <w:szCs w:val="20"/>
      </w:rPr>
      <w:t>15</w:t>
    </w:r>
    <w:r w:rsidR="00296D9F">
      <w:rPr>
        <w:color w:val="767171"/>
        <w:sz w:val="20"/>
        <w:szCs w:val="20"/>
      </w:rPr>
      <w:t>-</w:t>
    </w:r>
    <w:r w:rsidR="00296D9F" w:rsidRPr="00296D9F">
      <w:rPr>
        <w:color w:val="767171"/>
        <w:sz w:val="20"/>
        <w:szCs w:val="20"/>
      </w:rPr>
      <w:t>000</w:t>
    </w:r>
    <w:r w:rsidR="00296D9F">
      <w:rPr>
        <w:color w:val="767171"/>
        <w:sz w:val="20"/>
        <w:szCs w:val="20"/>
      </w:rPr>
      <w:t>-</w:t>
    </w:r>
    <w:r w:rsidR="00296D9F" w:rsidRPr="00296D9F">
      <w:rPr>
        <w:color w:val="767171"/>
        <w:sz w:val="20"/>
        <w:szCs w:val="20"/>
      </w:rPr>
      <w:t>2020</w:t>
    </w:r>
    <w:r w:rsidR="00296D9F">
      <w:rPr>
        <w:color w:val="767171"/>
        <w:sz w:val="20"/>
        <w:szCs w:val="20"/>
      </w:rPr>
      <w:t>-</w:t>
    </w:r>
    <w:r w:rsidR="00296D9F" w:rsidRPr="00296D9F">
      <w:rPr>
        <w:color w:val="767171"/>
        <w:sz w:val="20"/>
        <w:szCs w:val="20"/>
      </w:rPr>
      <w:t>02711</w:t>
    </w:r>
    <w:r w:rsidR="00296D9F">
      <w:rPr>
        <w:color w:val="767171"/>
        <w:sz w:val="20"/>
        <w:szCs w:val="20"/>
      </w:rPr>
      <w:t>-</w:t>
    </w:r>
    <w:r w:rsidR="00296D9F" w:rsidRPr="00296D9F">
      <w:rPr>
        <w:color w:val="767171"/>
        <w:sz w:val="20"/>
        <w:szCs w:val="20"/>
      </w:rPr>
      <w:t>00</w:t>
    </w:r>
  </w:p>
  <w:p w14:paraId="6426EFCB" w14:textId="63B4772D" w:rsidR="00482535" w:rsidRPr="00C4675E" w:rsidRDefault="00482535" w:rsidP="00203055">
    <w:pPr>
      <w:pStyle w:val="Header"/>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sidR="00541E7D">
      <w:rPr>
        <w:color w:val="767171"/>
        <w:sz w:val="20"/>
        <w:szCs w:val="20"/>
      </w:rPr>
      <w:t>Accionante</w:t>
    </w:r>
    <w:r>
      <w:rPr>
        <w:color w:val="767171"/>
        <w:sz w:val="20"/>
        <w:szCs w:val="20"/>
      </w:rPr>
      <w:t xml:space="preserve">: </w:t>
    </w:r>
    <w:r w:rsidR="00296D9F">
      <w:rPr>
        <w:color w:val="767171"/>
        <w:sz w:val="20"/>
        <w:szCs w:val="20"/>
      </w:rPr>
      <w:t>Abraham Moisés García Barrios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586D" w14:textId="77777777" w:rsidR="00482535" w:rsidRPr="00A15ACE" w:rsidRDefault="00482535" w:rsidP="00850A42">
    <w:pPr>
      <w:pStyle w:val="Header"/>
      <w:tabs>
        <w:tab w:val="clear" w:pos="4252"/>
        <w:tab w:val="clear" w:pos="8504"/>
      </w:tabs>
    </w:pPr>
    <w:r>
      <w:rPr>
        <w:noProof/>
        <w:lang w:eastAsia="es-CO"/>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482535" w:rsidRPr="00A15ACE" w:rsidRDefault="00482535" w:rsidP="00850A42">
    <w:pPr>
      <w:pStyle w:val="Header"/>
      <w:tabs>
        <w:tab w:val="clear" w:pos="4252"/>
        <w:tab w:val="clear" w:pos="8504"/>
      </w:tabs>
      <w:rPr>
        <w:color w:val="767171"/>
      </w:rPr>
    </w:pPr>
  </w:p>
  <w:p w14:paraId="27F8185B" w14:textId="77777777" w:rsidR="00482535" w:rsidRPr="007F276C" w:rsidRDefault="00482535" w:rsidP="00EC5604">
    <w:pPr>
      <w:pStyle w:val="NoSpacing"/>
    </w:pPr>
    <w:r w:rsidRPr="007F276C">
      <w:t>CONSEJO DE ESTADO</w:t>
    </w:r>
  </w:p>
  <w:p w14:paraId="73CB25C2" w14:textId="77777777" w:rsidR="00482535" w:rsidRPr="007F276C" w:rsidRDefault="00482535" w:rsidP="00EC5604">
    <w:pPr>
      <w:pStyle w:val="NoSpacing"/>
    </w:pPr>
    <w:r w:rsidRPr="007F276C">
      <w:t>SALA DE LO CONTENCIOSO ADMINISTRATIVO</w:t>
    </w:r>
  </w:p>
  <w:p w14:paraId="53748759" w14:textId="77777777" w:rsidR="00482535" w:rsidRPr="007F276C" w:rsidRDefault="00482535" w:rsidP="00EC5604">
    <w:pPr>
      <w:pStyle w:val="NoSpacing"/>
    </w:pPr>
    <w:r w:rsidRPr="007F276C">
      <w:t>SECCIÓN TERCERA – SUBSECCIÓN C</w:t>
    </w:r>
  </w:p>
  <w:p w14:paraId="3879558C" w14:textId="77777777" w:rsidR="00482535" w:rsidRDefault="00482535" w:rsidP="00850A42">
    <w:pPr>
      <w:pStyle w:val="Header"/>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74F73"/>
    <w:multiLevelType w:val="multilevel"/>
    <w:tmpl w:val="ABAEDE02"/>
    <w:lvl w:ilvl="0">
      <w:start w:val="1"/>
      <w:numFmt w:val="upperRoman"/>
      <w:pStyle w:val="Heading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65EF3"/>
    <w:multiLevelType w:val="multilevel"/>
    <w:tmpl w:val="ABAEDE02"/>
    <w:numStyleLink w:val="Estilo1"/>
  </w:abstractNum>
  <w:abstractNum w:abstractNumId="12"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E70695B"/>
    <w:multiLevelType w:val="hybridMultilevel"/>
    <w:tmpl w:val="490E23B8"/>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4"/>
  </w:num>
  <w:num w:numId="7">
    <w:abstractNumId w:val="17"/>
  </w:num>
  <w:num w:numId="8">
    <w:abstractNumId w:val="14"/>
  </w:num>
  <w:num w:numId="9">
    <w:abstractNumId w:val="15"/>
  </w:num>
  <w:num w:numId="10">
    <w:abstractNumId w:val="11"/>
  </w:num>
  <w:num w:numId="11">
    <w:abstractNumId w:val="6"/>
  </w:num>
  <w:num w:numId="12">
    <w:abstractNumId w:val="12"/>
  </w:num>
  <w:num w:numId="13">
    <w:abstractNumId w:val="7"/>
  </w:num>
  <w:num w:numId="14">
    <w:abstractNumId w:val="23"/>
  </w:num>
  <w:num w:numId="15">
    <w:abstractNumId w:val="2"/>
  </w:num>
  <w:num w:numId="16">
    <w:abstractNumId w:val="22"/>
  </w:num>
  <w:num w:numId="17">
    <w:abstractNumId w:val="26"/>
  </w:num>
  <w:num w:numId="18">
    <w:abstractNumId w:val="25"/>
  </w:num>
  <w:num w:numId="19">
    <w:abstractNumId w:val="20"/>
  </w:num>
  <w:num w:numId="20">
    <w:abstractNumId w:val="3"/>
  </w:num>
  <w:num w:numId="21">
    <w:abstractNumId w:val="4"/>
  </w:num>
  <w:num w:numId="22">
    <w:abstractNumId w:val="21"/>
  </w:num>
  <w:num w:numId="23">
    <w:abstractNumId w:val="13"/>
  </w:num>
  <w:num w:numId="24">
    <w:abstractNumId w:val="0"/>
  </w:num>
  <w:num w:numId="25">
    <w:abstractNumId w:val="8"/>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BCB"/>
    <w:rsid w:val="00003427"/>
    <w:rsid w:val="00003548"/>
    <w:rsid w:val="00006D3C"/>
    <w:rsid w:val="000078E1"/>
    <w:rsid w:val="00007CCA"/>
    <w:rsid w:val="00011912"/>
    <w:rsid w:val="0001211B"/>
    <w:rsid w:val="0001306A"/>
    <w:rsid w:val="000148D2"/>
    <w:rsid w:val="00014C90"/>
    <w:rsid w:val="00014D69"/>
    <w:rsid w:val="00014E24"/>
    <w:rsid w:val="000165D0"/>
    <w:rsid w:val="00017CB3"/>
    <w:rsid w:val="000205FD"/>
    <w:rsid w:val="00020C81"/>
    <w:rsid w:val="00021439"/>
    <w:rsid w:val="00024CD3"/>
    <w:rsid w:val="00024ED7"/>
    <w:rsid w:val="00025115"/>
    <w:rsid w:val="00025159"/>
    <w:rsid w:val="00025657"/>
    <w:rsid w:val="00026643"/>
    <w:rsid w:val="000274C1"/>
    <w:rsid w:val="00030424"/>
    <w:rsid w:val="0003044A"/>
    <w:rsid w:val="00030D50"/>
    <w:rsid w:val="000352C9"/>
    <w:rsid w:val="000369DF"/>
    <w:rsid w:val="00036A46"/>
    <w:rsid w:val="0003723B"/>
    <w:rsid w:val="00037471"/>
    <w:rsid w:val="000412C2"/>
    <w:rsid w:val="000415BD"/>
    <w:rsid w:val="000447FE"/>
    <w:rsid w:val="0004512E"/>
    <w:rsid w:val="000452C0"/>
    <w:rsid w:val="0004588A"/>
    <w:rsid w:val="000460CA"/>
    <w:rsid w:val="00051B05"/>
    <w:rsid w:val="000526A4"/>
    <w:rsid w:val="000529AB"/>
    <w:rsid w:val="00052B30"/>
    <w:rsid w:val="0005325C"/>
    <w:rsid w:val="000544A4"/>
    <w:rsid w:val="000548C3"/>
    <w:rsid w:val="00055579"/>
    <w:rsid w:val="0005624F"/>
    <w:rsid w:val="000569D4"/>
    <w:rsid w:val="00056DFC"/>
    <w:rsid w:val="00056EC2"/>
    <w:rsid w:val="00057AB2"/>
    <w:rsid w:val="00061B93"/>
    <w:rsid w:val="00061E0A"/>
    <w:rsid w:val="00062419"/>
    <w:rsid w:val="00062839"/>
    <w:rsid w:val="00062E7F"/>
    <w:rsid w:val="000632DC"/>
    <w:rsid w:val="00064461"/>
    <w:rsid w:val="00065394"/>
    <w:rsid w:val="000655DF"/>
    <w:rsid w:val="0006637A"/>
    <w:rsid w:val="00066F0B"/>
    <w:rsid w:val="00067858"/>
    <w:rsid w:val="00070576"/>
    <w:rsid w:val="00070C82"/>
    <w:rsid w:val="00071226"/>
    <w:rsid w:val="000728E0"/>
    <w:rsid w:val="0007303A"/>
    <w:rsid w:val="00073869"/>
    <w:rsid w:val="0007389A"/>
    <w:rsid w:val="00074D09"/>
    <w:rsid w:val="00077ABA"/>
    <w:rsid w:val="000813DB"/>
    <w:rsid w:val="00082421"/>
    <w:rsid w:val="0008290D"/>
    <w:rsid w:val="000829E5"/>
    <w:rsid w:val="00082FCD"/>
    <w:rsid w:val="00083B8F"/>
    <w:rsid w:val="00083C27"/>
    <w:rsid w:val="000876A6"/>
    <w:rsid w:val="00090310"/>
    <w:rsid w:val="00091755"/>
    <w:rsid w:val="00091E4D"/>
    <w:rsid w:val="000920C2"/>
    <w:rsid w:val="000937EE"/>
    <w:rsid w:val="00094AEA"/>
    <w:rsid w:val="00094E7B"/>
    <w:rsid w:val="0009717D"/>
    <w:rsid w:val="000A1E41"/>
    <w:rsid w:val="000A204E"/>
    <w:rsid w:val="000A2262"/>
    <w:rsid w:val="000A2B33"/>
    <w:rsid w:val="000A34B6"/>
    <w:rsid w:val="000A39D7"/>
    <w:rsid w:val="000A42B2"/>
    <w:rsid w:val="000A4FB0"/>
    <w:rsid w:val="000A5554"/>
    <w:rsid w:val="000A7A33"/>
    <w:rsid w:val="000B0A38"/>
    <w:rsid w:val="000B15AE"/>
    <w:rsid w:val="000B42A8"/>
    <w:rsid w:val="000B51B3"/>
    <w:rsid w:val="000C09E1"/>
    <w:rsid w:val="000C264F"/>
    <w:rsid w:val="000C2B43"/>
    <w:rsid w:val="000C3ED0"/>
    <w:rsid w:val="000C445C"/>
    <w:rsid w:val="000C456C"/>
    <w:rsid w:val="000C581D"/>
    <w:rsid w:val="000C5DB7"/>
    <w:rsid w:val="000C6D2E"/>
    <w:rsid w:val="000C7B4F"/>
    <w:rsid w:val="000C7E44"/>
    <w:rsid w:val="000D0E41"/>
    <w:rsid w:val="000D0FE6"/>
    <w:rsid w:val="000D16F0"/>
    <w:rsid w:val="000D223A"/>
    <w:rsid w:val="000D23B3"/>
    <w:rsid w:val="000D3C86"/>
    <w:rsid w:val="000D4D6C"/>
    <w:rsid w:val="000D546D"/>
    <w:rsid w:val="000D5563"/>
    <w:rsid w:val="000D6BFF"/>
    <w:rsid w:val="000D6E0F"/>
    <w:rsid w:val="000D7EE8"/>
    <w:rsid w:val="000E22EA"/>
    <w:rsid w:val="000E2D62"/>
    <w:rsid w:val="000E2F23"/>
    <w:rsid w:val="000E709F"/>
    <w:rsid w:val="000F04B3"/>
    <w:rsid w:val="000F053A"/>
    <w:rsid w:val="000F1B8D"/>
    <w:rsid w:val="000F1CE9"/>
    <w:rsid w:val="000F32A0"/>
    <w:rsid w:val="000F46CE"/>
    <w:rsid w:val="000F4980"/>
    <w:rsid w:val="000F6D77"/>
    <w:rsid w:val="000F7BDA"/>
    <w:rsid w:val="000F7E83"/>
    <w:rsid w:val="00101C60"/>
    <w:rsid w:val="00101E8A"/>
    <w:rsid w:val="0010217B"/>
    <w:rsid w:val="001038EA"/>
    <w:rsid w:val="001041C2"/>
    <w:rsid w:val="0010435F"/>
    <w:rsid w:val="001045A0"/>
    <w:rsid w:val="00106CCC"/>
    <w:rsid w:val="00106FB6"/>
    <w:rsid w:val="0011079E"/>
    <w:rsid w:val="00112F1A"/>
    <w:rsid w:val="00113BD7"/>
    <w:rsid w:val="00113CAE"/>
    <w:rsid w:val="00117091"/>
    <w:rsid w:val="001230E5"/>
    <w:rsid w:val="00124ED7"/>
    <w:rsid w:val="00126A63"/>
    <w:rsid w:val="00130F7C"/>
    <w:rsid w:val="00131078"/>
    <w:rsid w:val="001314F6"/>
    <w:rsid w:val="001324D3"/>
    <w:rsid w:val="00132DD7"/>
    <w:rsid w:val="00133F91"/>
    <w:rsid w:val="0013529D"/>
    <w:rsid w:val="0013542E"/>
    <w:rsid w:val="00137438"/>
    <w:rsid w:val="00137807"/>
    <w:rsid w:val="00140BF3"/>
    <w:rsid w:val="00141670"/>
    <w:rsid w:val="001416A3"/>
    <w:rsid w:val="001462FA"/>
    <w:rsid w:val="0015060C"/>
    <w:rsid w:val="00150D25"/>
    <w:rsid w:val="001510A3"/>
    <w:rsid w:val="00151CE2"/>
    <w:rsid w:val="001520C5"/>
    <w:rsid w:val="001524ED"/>
    <w:rsid w:val="00152A55"/>
    <w:rsid w:val="00152C23"/>
    <w:rsid w:val="0015433E"/>
    <w:rsid w:val="00154621"/>
    <w:rsid w:val="0015533A"/>
    <w:rsid w:val="00155E78"/>
    <w:rsid w:val="00156E62"/>
    <w:rsid w:val="00161478"/>
    <w:rsid w:val="00163C26"/>
    <w:rsid w:val="001648E2"/>
    <w:rsid w:val="001652C6"/>
    <w:rsid w:val="001653CA"/>
    <w:rsid w:val="00165674"/>
    <w:rsid w:val="00165734"/>
    <w:rsid w:val="001658F7"/>
    <w:rsid w:val="00166AF6"/>
    <w:rsid w:val="00167331"/>
    <w:rsid w:val="001707E0"/>
    <w:rsid w:val="00170DE6"/>
    <w:rsid w:val="00170FDD"/>
    <w:rsid w:val="00171055"/>
    <w:rsid w:val="001718C1"/>
    <w:rsid w:val="0017254C"/>
    <w:rsid w:val="001728B3"/>
    <w:rsid w:val="00172B9D"/>
    <w:rsid w:val="001733AF"/>
    <w:rsid w:val="001737B9"/>
    <w:rsid w:val="00175800"/>
    <w:rsid w:val="00176539"/>
    <w:rsid w:val="00177946"/>
    <w:rsid w:val="00180162"/>
    <w:rsid w:val="00181571"/>
    <w:rsid w:val="001816BE"/>
    <w:rsid w:val="00182116"/>
    <w:rsid w:val="001835F7"/>
    <w:rsid w:val="00183FC5"/>
    <w:rsid w:val="00184DCA"/>
    <w:rsid w:val="0018534B"/>
    <w:rsid w:val="001859CD"/>
    <w:rsid w:val="00190A86"/>
    <w:rsid w:val="0019195B"/>
    <w:rsid w:val="00191F52"/>
    <w:rsid w:val="0019313B"/>
    <w:rsid w:val="00194ACD"/>
    <w:rsid w:val="00194CD0"/>
    <w:rsid w:val="00195C51"/>
    <w:rsid w:val="00196A2F"/>
    <w:rsid w:val="00197E69"/>
    <w:rsid w:val="001A06C7"/>
    <w:rsid w:val="001A2083"/>
    <w:rsid w:val="001A2E86"/>
    <w:rsid w:val="001A4A26"/>
    <w:rsid w:val="001A5AEB"/>
    <w:rsid w:val="001A5D58"/>
    <w:rsid w:val="001A78A0"/>
    <w:rsid w:val="001A7A33"/>
    <w:rsid w:val="001B2F00"/>
    <w:rsid w:val="001B368A"/>
    <w:rsid w:val="001B4B0D"/>
    <w:rsid w:val="001B586B"/>
    <w:rsid w:val="001B7AD5"/>
    <w:rsid w:val="001C3610"/>
    <w:rsid w:val="001C3C1F"/>
    <w:rsid w:val="001C7B8D"/>
    <w:rsid w:val="001D1445"/>
    <w:rsid w:val="001D2CB4"/>
    <w:rsid w:val="001D2DA5"/>
    <w:rsid w:val="001D3797"/>
    <w:rsid w:val="001D47B7"/>
    <w:rsid w:val="001D4E62"/>
    <w:rsid w:val="001D79F8"/>
    <w:rsid w:val="001E0688"/>
    <w:rsid w:val="001E276E"/>
    <w:rsid w:val="001E2A25"/>
    <w:rsid w:val="001E52CA"/>
    <w:rsid w:val="001E5970"/>
    <w:rsid w:val="001E622B"/>
    <w:rsid w:val="001E6CC0"/>
    <w:rsid w:val="001F039B"/>
    <w:rsid w:val="001F197F"/>
    <w:rsid w:val="001F2150"/>
    <w:rsid w:val="001F2572"/>
    <w:rsid w:val="001F2F2C"/>
    <w:rsid w:val="001F335A"/>
    <w:rsid w:val="001F5570"/>
    <w:rsid w:val="001F6092"/>
    <w:rsid w:val="001F6E71"/>
    <w:rsid w:val="001F724D"/>
    <w:rsid w:val="001F7EE0"/>
    <w:rsid w:val="00200716"/>
    <w:rsid w:val="0020077C"/>
    <w:rsid w:val="00200BAD"/>
    <w:rsid w:val="00201EC3"/>
    <w:rsid w:val="00202697"/>
    <w:rsid w:val="00203055"/>
    <w:rsid w:val="002032B7"/>
    <w:rsid w:val="00206260"/>
    <w:rsid w:val="0020663C"/>
    <w:rsid w:val="00207C74"/>
    <w:rsid w:val="00213FD0"/>
    <w:rsid w:val="00214D23"/>
    <w:rsid w:val="0021624A"/>
    <w:rsid w:val="00216E6F"/>
    <w:rsid w:val="00222D97"/>
    <w:rsid w:val="002230E3"/>
    <w:rsid w:val="00226D5E"/>
    <w:rsid w:val="0023111B"/>
    <w:rsid w:val="002317CA"/>
    <w:rsid w:val="0023440A"/>
    <w:rsid w:val="00234985"/>
    <w:rsid w:val="0023506F"/>
    <w:rsid w:val="002352A8"/>
    <w:rsid w:val="00235FA7"/>
    <w:rsid w:val="002361C0"/>
    <w:rsid w:val="002408E2"/>
    <w:rsid w:val="0024105D"/>
    <w:rsid w:val="002411B3"/>
    <w:rsid w:val="002430F4"/>
    <w:rsid w:val="00243BDE"/>
    <w:rsid w:val="00246239"/>
    <w:rsid w:val="00247439"/>
    <w:rsid w:val="00247530"/>
    <w:rsid w:val="00247EF9"/>
    <w:rsid w:val="002503D6"/>
    <w:rsid w:val="00250E9C"/>
    <w:rsid w:val="0025202A"/>
    <w:rsid w:val="00254098"/>
    <w:rsid w:val="00254304"/>
    <w:rsid w:val="00255C52"/>
    <w:rsid w:val="002560D0"/>
    <w:rsid w:val="00256101"/>
    <w:rsid w:val="00256333"/>
    <w:rsid w:val="002606C6"/>
    <w:rsid w:val="00261359"/>
    <w:rsid w:val="002615EF"/>
    <w:rsid w:val="002623F3"/>
    <w:rsid w:val="00263885"/>
    <w:rsid w:val="00263EFA"/>
    <w:rsid w:val="00270632"/>
    <w:rsid w:val="0027276A"/>
    <w:rsid w:val="00272E9D"/>
    <w:rsid w:val="002730CD"/>
    <w:rsid w:val="0027673C"/>
    <w:rsid w:val="0027712D"/>
    <w:rsid w:val="002817A5"/>
    <w:rsid w:val="00281874"/>
    <w:rsid w:val="00282521"/>
    <w:rsid w:val="00283BF3"/>
    <w:rsid w:val="00284F8E"/>
    <w:rsid w:val="00285949"/>
    <w:rsid w:val="0028665C"/>
    <w:rsid w:val="002866A1"/>
    <w:rsid w:val="00290777"/>
    <w:rsid w:val="002918C0"/>
    <w:rsid w:val="0029193E"/>
    <w:rsid w:val="00291B41"/>
    <w:rsid w:val="002929F3"/>
    <w:rsid w:val="00292B1A"/>
    <w:rsid w:val="00292CBD"/>
    <w:rsid w:val="00293AE7"/>
    <w:rsid w:val="00294815"/>
    <w:rsid w:val="0029673C"/>
    <w:rsid w:val="00296D9F"/>
    <w:rsid w:val="00297F37"/>
    <w:rsid w:val="002A12C8"/>
    <w:rsid w:val="002A1D6D"/>
    <w:rsid w:val="002A3AAB"/>
    <w:rsid w:val="002A3BAC"/>
    <w:rsid w:val="002A4AF1"/>
    <w:rsid w:val="002A77F8"/>
    <w:rsid w:val="002B41EA"/>
    <w:rsid w:val="002B4F30"/>
    <w:rsid w:val="002C12BC"/>
    <w:rsid w:val="002C15EA"/>
    <w:rsid w:val="002C1DA1"/>
    <w:rsid w:val="002C2B41"/>
    <w:rsid w:val="002C30E6"/>
    <w:rsid w:val="002C647A"/>
    <w:rsid w:val="002C6B7C"/>
    <w:rsid w:val="002C6CFA"/>
    <w:rsid w:val="002C73F8"/>
    <w:rsid w:val="002C7F61"/>
    <w:rsid w:val="002D2D5D"/>
    <w:rsid w:val="002D480B"/>
    <w:rsid w:val="002D4C6C"/>
    <w:rsid w:val="002D54E6"/>
    <w:rsid w:val="002D65CB"/>
    <w:rsid w:val="002D6FD7"/>
    <w:rsid w:val="002E0403"/>
    <w:rsid w:val="002E1978"/>
    <w:rsid w:val="002E21B1"/>
    <w:rsid w:val="002E5558"/>
    <w:rsid w:val="002E5BD3"/>
    <w:rsid w:val="002E6005"/>
    <w:rsid w:val="002E6B64"/>
    <w:rsid w:val="002F05D2"/>
    <w:rsid w:val="002F10C3"/>
    <w:rsid w:val="002F29AA"/>
    <w:rsid w:val="002F559E"/>
    <w:rsid w:val="002F55F7"/>
    <w:rsid w:val="002F6402"/>
    <w:rsid w:val="003007FC"/>
    <w:rsid w:val="00300C92"/>
    <w:rsid w:val="00301A37"/>
    <w:rsid w:val="003020C9"/>
    <w:rsid w:val="00306515"/>
    <w:rsid w:val="00310385"/>
    <w:rsid w:val="00311642"/>
    <w:rsid w:val="00313179"/>
    <w:rsid w:val="0031393C"/>
    <w:rsid w:val="0031411D"/>
    <w:rsid w:val="00314BB1"/>
    <w:rsid w:val="00314CDC"/>
    <w:rsid w:val="0031514A"/>
    <w:rsid w:val="003172E7"/>
    <w:rsid w:val="00317E61"/>
    <w:rsid w:val="00320AD5"/>
    <w:rsid w:val="00321DAA"/>
    <w:rsid w:val="00321EF2"/>
    <w:rsid w:val="003229E1"/>
    <w:rsid w:val="0032515A"/>
    <w:rsid w:val="00325683"/>
    <w:rsid w:val="00326057"/>
    <w:rsid w:val="0033074E"/>
    <w:rsid w:val="00330D9D"/>
    <w:rsid w:val="003311A5"/>
    <w:rsid w:val="00333248"/>
    <w:rsid w:val="00333B0A"/>
    <w:rsid w:val="00334307"/>
    <w:rsid w:val="0033439E"/>
    <w:rsid w:val="00335874"/>
    <w:rsid w:val="00336CB4"/>
    <w:rsid w:val="00337D57"/>
    <w:rsid w:val="003420B1"/>
    <w:rsid w:val="00342548"/>
    <w:rsid w:val="00346746"/>
    <w:rsid w:val="0035042A"/>
    <w:rsid w:val="003518AA"/>
    <w:rsid w:val="0035239F"/>
    <w:rsid w:val="003538E2"/>
    <w:rsid w:val="00354D7F"/>
    <w:rsid w:val="00356836"/>
    <w:rsid w:val="00357D33"/>
    <w:rsid w:val="00360658"/>
    <w:rsid w:val="00361284"/>
    <w:rsid w:val="00361478"/>
    <w:rsid w:val="0036181F"/>
    <w:rsid w:val="003622BB"/>
    <w:rsid w:val="00362E53"/>
    <w:rsid w:val="0036453A"/>
    <w:rsid w:val="00367126"/>
    <w:rsid w:val="003703E3"/>
    <w:rsid w:val="00370801"/>
    <w:rsid w:val="003739B7"/>
    <w:rsid w:val="00374674"/>
    <w:rsid w:val="00375FCA"/>
    <w:rsid w:val="00377854"/>
    <w:rsid w:val="003802CE"/>
    <w:rsid w:val="0038210C"/>
    <w:rsid w:val="00382460"/>
    <w:rsid w:val="00382E4F"/>
    <w:rsid w:val="00383425"/>
    <w:rsid w:val="00383B43"/>
    <w:rsid w:val="00384507"/>
    <w:rsid w:val="003847C5"/>
    <w:rsid w:val="003857FF"/>
    <w:rsid w:val="0038628B"/>
    <w:rsid w:val="00386328"/>
    <w:rsid w:val="00386A22"/>
    <w:rsid w:val="0038733B"/>
    <w:rsid w:val="00387BBC"/>
    <w:rsid w:val="00390E0D"/>
    <w:rsid w:val="0039113A"/>
    <w:rsid w:val="00393B8E"/>
    <w:rsid w:val="00394A69"/>
    <w:rsid w:val="00395B08"/>
    <w:rsid w:val="00395B33"/>
    <w:rsid w:val="003961FD"/>
    <w:rsid w:val="00397AB0"/>
    <w:rsid w:val="003A12C4"/>
    <w:rsid w:val="003A15FB"/>
    <w:rsid w:val="003A2775"/>
    <w:rsid w:val="003A370B"/>
    <w:rsid w:val="003A3B76"/>
    <w:rsid w:val="003A3E8F"/>
    <w:rsid w:val="003A6017"/>
    <w:rsid w:val="003A6275"/>
    <w:rsid w:val="003B2039"/>
    <w:rsid w:val="003B2F94"/>
    <w:rsid w:val="003B4515"/>
    <w:rsid w:val="003B455E"/>
    <w:rsid w:val="003B48E3"/>
    <w:rsid w:val="003B5090"/>
    <w:rsid w:val="003B557F"/>
    <w:rsid w:val="003C2AAE"/>
    <w:rsid w:val="003C417B"/>
    <w:rsid w:val="003C6216"/>
    <w:rsid w:val="003C7743"/>
    <w:rsid w:val="003C7C5F"/>
    <w:rsid w:val="003C7DB3"/>
    <w:rsid w:val="003D026C"/>
    <w:rsid w:val="003D0D6B"/>
    <w:rsid w:val="003D124C"/>
    <w:rsid w:val="003D1B94"/>
    <w:rsid w:val="003D1EDF"/>
    <w:rsid w:val="003D2002"/>
    <w:rsid w:val="003D51B0"/>
    <w:rsid w:val="003D5881"/>
    <w:rsid w:val="003D6619"/>
    <w:rsid w:val="003D66EE"/>
    <w:rsid w:val="003D7A44"/>
    <w:rsid w:val="003E1DAC"/>
    <w:rsid w:val="003E2A02"/>
    <w:rsid w:val="003E2CA5"/>
    <w:rsid w:val="003E5CD6"/>
    <w:rsid w:val="003E7CC1"/>
    <w:rsid w:val="003F0096"/>
    <w:rsid w:val="003F009B"/>
    <w:rsid w:val="003F297F"/>
    <w:rsid w:val="003F2BA3"/>
    <w:rsid w:val="003F366C"/>
    <w:rsid w:val="003F36EE"/>
    <w:rsid w:val="003F37C4"/>
    <w:rsid w:val="003F4116"/>
    <w:rsid w:val="003F4D24"/>
    <w:rsid w:val="003F4EE1"/>
    <w:rsid w:val="003F5444"/>
    <w:rsid w:val="003F72F7"/>
    <w:rsid w:val="003F7FF5"/>
    <w:rsid w:val="00400384"/>
    <w:rsid w:val="00400C3E"/>
    <w:rsid w:val="0040119D"/>
    <w:rsid w:val="00402998"/>
    <w:rsid w:val="004035C8"/>
    <w:rsid w:val="00404D24"/>
    <w:rsid w:val="00405D91"/>
    <w:rsid w:val="00406023"/>
    <w:rsid w:val="00406723"/>
    <w:rsid w:val="00406DF8"/>
    <w:rsid w:val="00406E94"/>
    <w:rsid w:val="00407F60"/>
    <w:rsid w:val="00410EB4"/>
    <w:rsid w:val="00411B57"/>
    <w:rsid w:val="00412792"/>
    <w:rsid w:val="00412A0F"/>
    <w:rsid w:val="00412E7C"/>
    <w:rsid w:val="004144E9"/>
    <w:rsid w:val="004168CB"/>
    <w:rsid w:val="00417300"/>
    <w:rsid w:val="00417B95"/>
    <w:rsid w:val="004211FA"/>
    <w:rsid w:val="00423D44"/>
    <w:rsid w:val="00424723"/>
    <w:rsid w:val="00425E3D"/>
    <w:rsid w:val="00426C95"/>
    <w:rsid w:val="00427FA5"/>
    <w:rsid w:val="00430389"/>
    <w:rsid w:val="00430BCE"/>
    <w:rsid w:val="00430D89"/>
    <w:rsid w:val="00431ECA"/>
    <w:rsid w:val="00436284"/>
    <w:rsid w:val="00436468"/>
    <w:rsid w:val="004367A5"/>
    <w:rsid w:val="004415E5"/>
    <w:rsid w:val="004416B2"/>
    <w:rsid w:val="004439FB"/>
    <w:rsid w:val="00444AC1"/>
    <w:rsid w:val="00447956"/>
    <w:rsid w:val="00450C02"/>
    <w:rsid w:val="00450C41"/>
    <w:rsid w:val="004511DF"/>
    <w:rsid w:val="00451546"/>
    <w:rsid w:val="00452C9D"/>
    <w:rsid w:val="0045359E"/>
    <w:rsid w:val="0045375E"/>
    <w:rsid w:val="00455F7E"/>
    <w:rsid w:val="00457921"/>
    <w:rsid w:val="004579EC"/>
    <w:rsid w:val="004612CF"/>
    <w:rsid w:val="00463046"/>
    <w:rsid w:val="0046322E"/>
    <w:rsid w:val="00464CD0"/>
    <w:rsid w:val="00464E3F"/>
    <w:rsid w:val="00471474"/>
    <w:rsid w:val="0047256F"/>
    <w:rsid w:val="00472CEB"/>
    <w:rsid w:val="00473FAD"/>
    <w:rsid w:val="00474222"/>
    <w:rsid w:val="00474A0E"/>
    <w:rsid w:val="00482318"/>
    <w:rsid w:val="00482535"/>
    <w:rsid w:val="00482C06"/>
    <w:rsid w:val="004849BB"/>
    <w:rsid w:val="004857F6"/>
    <w:rsid w:val="00486538"/>
    <w:rsid w:val="00487CBE"/>
    <w:rsid w:val="00490435"/>
    <w:rsid w:val="004906F1"/>
    <w:rsid w:val="00491910"/>
    <w:rsid w:val="00491E34"/>
    <w:rsid w:val="00491E97"/>
    <w:rsid w:val="00492FF4"/>
    <w:rsid w:val="00494197"/>
    <w:rsid w:val="00496F57"/>
    <w:rsid w:val="0049700C"/>
    <w:rsid w:val="00497632"/>
    <w:rsid w:val="00497735"/>
    <w:rsid w:val="00497834"/>
    <w:rsid w:val="004A05F3"/>
    <w:rsid w:val="004A114E"/>
    <w:rsid w:val="004A1D38"/>
    <w:rsid w:val="004A36AE"/>
    <w:rsid w:val="004A398C"/>
    <w:rsid w:val="004A4EAB"/>
    <w:rsid w:val="004A52F5"/>
    <w:rsid w:val="004A59E5"/>
    <w:rsid w:val="004A6D36"/>
    <w:rsid w:val="004B0520"/>
    <w:rsid w:val="004B301A"/>
    <w:rsid w:val="004B30D5"/>
    <w:rsid w:val="004B36F0"/>
    <w:rsid w:val="004B3FEC"/>
    <w:rsid w:val="004B5095"/>
    <w:rsid w:val="004B6684"/>
    <w:rsid w:val="004B7140"/>
    <w:rsid w:val="004B736B"/>
    <w:rsid w:val="004C0182"/>
    <w:rsid w:val="004C04FB"/>
    <w:rsid w:val="004C0AE1"/>
    <w:rsid w:val="004C2C11"/>
    <w:rsid w:val="004C4043"/>
    <w:rsid w:val="004C4137"/>
    <w:rsid w:val="004C67C1"/>
    <w:rsid w:val="004C77AD"/>
    <w:rsid w:val="004C7BC4"/>
    <w:rsid w:val="004D04F5"/>
    <w:rsid w:val="004D17BF"/>
    <w:rsid w:val="004D2720"/>
    <w:rsid w:val="004D27D6"/>
    <w:rsid w:val="004D5983"/>
    <w:rsid w:val="004D5CF6"/>
    <w:rsid w:val="004D63F2"/>
    <w:rsid w:val="004E10E6"/>
    <w:rsid w:val="004E3D73"/>
    <w:rsid w:val="004E4FEB"/>
    <w:rsid w:val="004E5C77"/>
    <w:rsid w:val="004E675F"/>
    <w:rsid w:val="004E7B0B"/>
    <w:rsid w:val="004F0B4E"/>
    <w:rsid w:val="004F0FBC"/>
    <w:rsid w:val="004F1513"/>
    <w:rsid w:val="004F230B"/>
    <w:rsid w:val="004F479C"/>
    <w:rsid w:val="004F652B"/>
    <w:rsid w:val="00502587"/>
    <w:rsid w:val="00502664"/>
    <w:rsid w:val="005026F9"/>
    <w:rsid w:val="00506D4B"/>
    <w:rsid w:val="005131D7"/>
    <w:rsid w:val="0051392B"/>
    <w:rsid w:val="0051562C"/>
    <w:rsid w:val="00516BAD"/>
    <w:rsid w:val="0052130C"/>
    <w:rsid w:val="0052175B"/>
    <w:rsid w:val="00522073"/>
    <w:rsid w:val="00522C55"/>
    <w:rsid w:val="0052754A"/>
    <w:rsid w:val="00527CD1"/>
    <w:rsid w:val="00530465"/>
    <w:rsid w:val="00530C33"/>
    <w:rsid w:val="00530CAD"/>
    <w:rsid w:val="00531FEC"/>
    <w:rsid w:val="005330DD"/>
    <w:rsid w:val="005342D0"/>
    <w:rsid w:val="005369A9"/>
    <w:rsid w:val="00537C67"/>
    <w:rsid w:val="0054069D"/>
    <w:rsid w:val="005416C8"/>
    <w:rsid w:val="00541E7D"/>
    <w:rsid w:val="005440CB"/>
    <w:rsid w:val="00551401"/>
    <w:rsid w:val="00552192"/>
    <w:rsid w:val="00552ED9"/>
    <w:rsid w:val="005560F0"/>
    <w:rsid w:val="005571AA"/>
    <w:rsid w:val="0055792A"/>
    <w:rsid w:val="00563912"/>
    <w:rsid w:val="00564601"/>
    <w:rsid w:val="005655FD"/>
    <w:rsid w:val="00566726"/>
    <w:rsid w:val="00566B38"/>
    <w:rsid w:val="005717A7"/>
    <w:rsid w:val="005722E5"/>
    <w:rsid w:val="0057285C"/>
    <w:rsid w:val="005733C9"/>
    <w:rsid w:val="00573FAF"/>
    <w:rsid w:val="00575E69"/>
    <w:rsid w:val="005800A5"/>
    <w:rsid w:val="00581C1E"/>
    <w:rsid w:val="00582F79"/>
    <w:rsid w:val="00583688"/>
    <w:rsid w:val="00584336"/>
    <w:rsid w:val="005852C9"/>
    <w:rsid w:val="00585CA2"/>
    <w:rsid w:val="0058626C"/>
    <w:rsid w:val="00586711"/>
    <w:rsid w:val="00587316"/>
    <w:rsid w:val="00587F5D"/>
    <w:rsid w:val="005909E4"/>
    <w:rsid w:val="00590B41"/>
    <w:rsid w:val="0059216D"/>
    <w:rsid w:val="005931E6"/>
    <w:rsid w:val="00593A3C"/>
    <w:rsid w:val="005940E9"/>
    <w:rsid w:val="00595A2B"/>
    <w:rsid w:val="005A358C"/>
    <w:rsid w:val="005A7BF4"/>
    <w:rsid w:val="005B214B"/>
    <w:rsid w:val="005B2D01"/>
    <w:rsid w:val="005B2EB5"/>
    <w:rsid w:val="005B367D"/>
    <w:rsid w:val="005B37FB"/>
    <w:rsid w:val="005B5A0A"/>
    <w:rsid w:val="005B6A92"/>
    <w:rsid w:val="005C1784"/>
    <w:rsid w:val="005C3C3B"/>
    <w:rsid w:val="005C3CAD"/>
    <w:rsid w:val="005C7472"/>
    <w:rsid w:val="005C74EF"/>
    <w:rsid w:val="005C799D"/>
    <w:rsid w:val="005C7F5F"/>
    <w:rsid w:val="005D1791"/>
    <w:rsid w:val="005D4D8A"/>
    <w:rsid w:val="005D6EA9"/>
    <w:rsid w:val="005D7299"/>
    <w:rsid w:val="005E0E19"/>
    <w:rsid w:val="005E2C62"/>
    <w:rsid w:val="005E2EC4"/>
    <w:rsid w:val="005E3863"/>
    <w:rsid w:val="005E432F"/>
    <w:rsid w:val="005E4D69"/>
    <w:rsid w:val="005E5603"/>
    <w:rsid w:val="005E7827"/>
    <w:rsid w:val="005F0AEA"/>
    <w:rsid w:val="005F1494"/>
    <w:rsid w:val="005F16EB"/>
    <w:rsid w:val="005F2B89"/>
    <w:rsid w:val="005F3DAC"/>
    <w:rsid w:val="005F40F4"/>
    <w:rsid w:val="005F6CCA"/>
    <w:rsid w:val="005F6CDF"/>
    <w:rsid w:val="0060015E"/>
    <w:rsid w:val="00602CBE"/>
    <w:rsid w:val="00604DAB"/>
    <w:rsid w:val="006060F1"/>
    <w:rsid w:val="006063BC"/>
    <w:rsid w:val="00606477"/>
    <w:rsid w:val="0060666C"/>
    <w:rsid w:val="006070CE"/>
    <w:rsid w:val="00607415"/>
    <w:rsid w:val="00607BDA"/>
    <w:rsid w:val="00610DD6"/>
    <w:rsid w:val="00611569"/>
    <w:rsid w:val="00612B41"/>
    <w:rsid w:val="006130D4"/>
    <w:rsid w:val="0061372C"/>
    <w:rsid w:val="00614285"/>
    <w:rsid w:val="006146CC"/>
    <w:rsid w:val="00616F27"/>
    <w:rsid w:val="00621F3E"/>
    <w:rsid w:val="006221E3"/>
    <w:rsid w:val="00623075"/>
    <w:rsid w:val="0062465F"/>
    <w:rsid w:val="00625C64"/>
    <w:rsid w:val="00625FAF"/>
    <w:rsid w:val="00626095"/>
    <w:rsid w:val="00626846"/>
    <w:rsid w:val="00630595"/>
    <w:rsid w:val="00630D1A"/>
    <w:rsid w:val="006314E6"/>
    <w:rsid w:val="00632DE8"/>
    <w:rsid w:val="00633176"/>
    <w:rsid w:val="00634708"/>
    <w:rsid w:val="00636B95"/>
    <w:rsid w:val="00637192"/>
    <w:rsid w:val="006371BF"/>
    <w:rsid w:val="00640A9B"/>
    <w:rsid w:val="006436BD"/>
    <w:rsid w:val="0064394C"/>
    <w:rsid w:val="0064401F"/>
    <w:rsid w:val="00645A43"/>
    <w:rsid w:val="006464FB"/>
    <w:rsid w:val="006470BC"/>
    <w:rsid w:val="0064767D"/>
    <w:rsid w:val="00651202"/>
    <w:rsid w:val="00651F05"/>
    <w:rsid w:val="006526CE"/>
    <w:rsid w:val="00652923"/>
    <w:rsid w:val="00652F30"/>
    <w:rsid w:val="0065349D"/>
    <w:rsid w:val="00654042"/>
    <w:rsid w:val="00654081"/>
    <w:rsid w:val="00654E2D"/>
    <w:rsid w:val="00661116"/>
    <w:rsid w:val="006615F2"/>
    <w:rsid w:val="00661B18"/>
    <w:rsid w:val="00663253"/>
    <w:rsid w:val="00663267"/>
    <w:rsid w:val="006640EE"/>
    <w:rsid w:val="006647A7"/>
    <w:rsid w:val="00664A8F"/>
    <w:rsid w:val="00665D51"/>
    <w:rsid w:val="006671AE"/>
    <w:rsid w:val="006706D2"/>
    <w:rsid w:val="00670737"/>
    <w:rsid w:val="0067099E"/>
    <w:rsid w:val="00671114"/>
    <w:rsid w:val="00673533"/>
    <w:rsid w:val="00674586"/>
    <w:rsid w:val="00675CE6"/>
    <w:rsid w:val="006765EB"/>
    <w:rsid w:val="00677410"/>
    <w:rsid w:val="00680602"/>
    <w:rsid w:val="00680FF9"/>
    <w:rsid w:val="006814B0"/>
    <w:rsid w:val="00684AA1"/>
    <w:rsid w:val="00685672"/>
    <w:rsid w:val="006857D9"/>
    <w:rsid w:val="006873A3"/>
    <w:rsid w:val="00690428"/>
    <w:rsid w:val="006919BE"/>
    <w:rsid w:val="00691E7B"/>
    <w:rsid w:val="00693A50"/>
    <w:rsid w:val="0069532D"/>
    <w:rsid w:val="0069605E"/>
    <w:rsid w:val="006A16DC"/>
    <w:rsid w:val="006A1F74"/>
    <w:rsid w:val="006A23D8"/>
    <w:rsid w:val="006A34A1"/>
    <w:rsid w:val="006A34E5"/>
    <w:rsid w:val="006A4D01"/>
    <w:rsid w:val="006A51CA"/>
    <w:rsid w:val="006A5267"/>
    <w:rsid w:val="006A6A96"/>
    <w:rsid w:val="006A6C73"/>
    <w:rsid w:val="006B03FA"/>
    <w:rsid w:val="006B04A5"/>
    <w:rsid w:val="006B2395"/>
    <w:rsid w:val="006B309E"/>
    <w:rsid w:val="006B5DAF"/>
    <w:rsid w:val="006B64B3"/>
    <w:rsid w:val="006B72E4"/>
    <w:rsid w:val="006B767B"/>
    <w:rsid w:val="006B773C"/>
    <w:rsid w:val="006C1525"/>
    <w:rsid w:val="006C1C99"/>
    <w:rsid w:val="006C205C"/>
    <w:rsid w:val="006C3044"/>
    <w:rsid w:val="006C3AF1"/>
    <w:rsid w:val="006C4EED"/>
    <w:rsid w:val="006C62D1"/>
    <w:rsid w:val="006C69B3"/>
    <w:rsid w:val="006C7533"/>
    <w:rsid w:val="006C7D96"/>
    <w:rsid w:val="006D4799"/>
    <w:rsid w:val="006D501C"/>
    <w:rsid w:val="006D5036"/>
    <w:rsid w:val="006D62F9"/>
    <w:rsid w:val="006D64DD"/>
    <w:rsid w:val="006D69AE"/>
    <w:rsid w:val="006D6EB4"/>
    <w:rsid w:val="006D72A8"/>
    <w:rsid w:val="006D7300"/>
    <w:rsid w:val="006E042A"/>
    <w:rsid w:val="006E1E45"/>
    <w:rsid w:val="006E2651"/>
    <w:rsid w:val="006E3553"/>
    <w:rsid w:val="006E5197"/>
    <w:rsid w:val="006E796C"/>
    <w:rsid w:val="006F07CA"/>
    <w:rsid w:val="006F6047"/>
    <w:rsid w:val="006F6B3E"/>
    <w:rsid w:val="006F7FB5"/>
    <w:rsid w:val="0070023E"/>
    <w:rsid w:val="007024F3"/>
    <w:rsid w:val="0070302B"/>
    <w:rsid w:val="007051A6"/>
    <w:rsid w:val="00705B03"/>
    <w:rsid w:val="007063B9"/>
    <w:rsid w:val="00710385"/>
    <w:rsid w:val="00711779"/>
    <w:rsid w:val="00712C40"/>
    <w:rsid w:val="00713313"/>
    <w:rsid w:val="007139E0"/>
    <w:rsid w:val="00714B9C"/>
    <w:rsid w:val="0071630C"/>
    <w:rsid w:val="00717C29"/>
    <w:rsid w:val="007202FA"/>
    <w:rsid w:val="0072221A"/>
    <w:rsid w:val="00722611"/>
    <w:rsid w:val="00722E06"/>
    <w:rsid w:val="0072325A"/>
    <w:rsid w:val="007238D9"/>
    <w:rsid w:val="00723A33"/>
    <w:rsid w:val="0072475A"/>
    <w:rsid w:val="007250AD"/>
    <w:rsid w:val="007251C1"/>
    <w:rsid w:val="007306F0"/>
    <w:rsid w:val="007314C6"/>
    <w:rsid w:val="00735D0A"/>
    <w:rsid w:val="00736DE1"/>
    <w:rsid w:val="00736EEB"/>
    <w:rsid w:val="0074082F"/>
    <w:rsid w:val="00740C5A"/>
    <w:rsid w:val="007414B9"/>
    <w:rsid w:val="00741F18"/>
    <w:rsid w:val="0074235D"/>
    <w:rsid w:val="0074261B"/>
    <w:rsid w:val="00742FBF"/>
    <w:rsid w:val="007432B1"/>
    <w:rsid w:val="00745B75"/>
    <w:rsid w:val="00745D63"/>
    <w:rsid w:val="00746BE1"/>
    <w:rsid w:val="00746E9B"/>
    <w:rsid w:val="00746F77"/>
    <w:rsid w:val="00747F44"/>
    <w:rsid w:val="00750236"/>
    <w:rsid w:val="00750F23"/>
    <w:rsid w:val="00751493"/>
    <w:rsid w:val="007529DE"/>
    <w:rsid w:val="00752DEE"/>
    <w:rsid w:val="00753A51"/>
    <w:rsid w:val="00754B58"/>
    <w:rsid w:val="00754BBE"/>
    <w:rsid w:val="007557A9"/>
    <w:rsid w:val="00756826"/>
    <w:rsid w:val="0075763D"/>
    <w:rsid w:val="00757ADD"/>
    <w:rsid w:val="00760DAF"/>
    <w:rsid w:val="007612D5"/>
    <w:rsid w:val="00761A26"/>
    <w:rsid w:val="0076263E"/>
    <w:rsid w:val="007626EB"/>
    <w:rsid w:val="007633AC"/>
    <w:rsid w:val="00763A81"/>
    <w:rsid w:val="00764A51"/>
    <w:rsid w:val="007655DB"/>
    <w:rsid w:val="00765992"/>
    <w:rsid w:val="00765EFA"/>
    <w:rsid w:val="00766BEE"/>
    <w:rsid w:val="0076781E"/>
    <w:rsid w:val="00767CC7"/>
    <w:rsid w:val="00770004"/>
    <w:rsid w:val="00770D57"/>
    <w:rsid w:val="00771B83"/>
    <w:rsid w:val="00771C2B"/>
    <w:rsid w:val="00772623"/>
    <w:rsid w:val="00772CD7"/>
    <w:rsid w:val="00773A85"/>
    <w:rsid w:val="00774021"/>
    <w:rsid w:val="007757A2"/>
    <w:rsid w:val="00777A36"/>
    <w:rsid w:val="007803E6"/>
    <w:rsid w:val="007809D4"/>
    <w:rsid w:val="00782CF7"/>
    <w:rsid w:val="00782EAA"/>
    <w:rsid w:val="0078333B"/>
    <w:rsid w:val="00784F26"/>
    <w:rsid w:val="00790CD6"/>
    <w:rsid w:val="00790CDA"/>
    <w:rsid w:val="007913EA"/>
    <w:rsid w:val="00796276"/>
    <w:rsid w:val="00796E70"/>
    <w:rsid w:val="00796F9A"/>
    <w:rsid w:val="0079733F"/>
    <w:rsid w:val="007A26F9"/>
    <w:rsid w:val="007A3FDC"/>
    <w:rsid w:val="007A640B"/>
    <w:rsid w:val="007A6844"/>
    <w:rsid w:val="007B1DA9"/>
    <w:rsid w:val="007B3218"/>
    <w:rsid w:val="007B3B39"/>
    <w:rsid w:val="007B730B"/>
    <w:rsid w:val="007B7E81"/>
    <w:rsid w:val="007B7EB5"/>
    <w:rsid w:val="007C0A11"/>
    <w:rsid w:val="007C1352"/>
    <w:rsid w:val="007C2057"/>
    <w:rsid w:val="007C21C2"/>
    <w:rsid w:val="007C29DF"/>
    <w:rsid w:val="007C35EE"/>
    <w:rsid w:val="007C3972"/>
    <w:rsid w:val="007C3B44"/>
    <w:rsid w:val="007C4090"/>
    <w:rsid w:val="007C47D4"/>
    <w:rsid w:val="007C494C"/>
    <w:rsid w:val="007C50D7"/>
    <w:rsid w:val="007C603E"/>
    <w:rsid w:val="007C7F35"/>
    <w:rsid w:val="007D0C0A"/>
    <w:rsid w:val="007D2A26"/>
    <w:rsid w:val="007D32B8"/>
    <w:rsid w:val="007D4A96"/>
    <w:rsid w:val="007D7AC2"/>
    <w:rsid w:val="007D7C78"/>
    <w:rsid w:val="007E1DA5"/>
    <w:rsid w:val="007E362E"/>
    <w:rsid w:val="007E61ED"/>
    <w:rsid w:val="007E70A7"/>
    <w:rsid w:val="007E7740"/>
    <w:rsid w:val="007F09AE"/>
    <w:rsid w:val="007F1E67"/>
    <w:rsid w:val="007F276C"/>
    <w:rsid w:val="007F3540"/>
    <w:rsid w:val="007F3C9F"/>
    <w:rsid w:val="007F4A34"/>
    <w:rsid w:val="00800315"/>
    <w:rsid w:val="00802C8D"/>
    <w:rsid w:val="008061DD"/>
    <w:rsid w:val="00814EE7"/>
    <w:rsid w:val="0081503E"/>
    <w:rsid w:val="00815C0C"/>
    <w:rsid w:val="00816225"/>
    <w:rsid w:val="0081790E"/>
    <w:rsid w:val="00817A38"/>
    <w:rsid w:val="00820D1B"/>
    <w:rsid w:val="008210A7"/>
    <w:rsid w:val="00821E6F"/>
    <w:rsid w:val="008222DE"/>
    <w:rsid w:val="00822EDC"/>
    <w:rsid w:val="00823E1F"/>
    <w:rsid w:val="0083257F"/>
    <w:rsid w:val="008348FC"/>
    <w:rsid w:val="00834E38"/>
    <w:rsid w:val="00834EE5"/>
    <w:rsid w:val="008351BA"/>
    <w:rsid w:val="00835345"/>
    <w:rsid w:val="00836845"/>
    <w:rsid w:val="008379FC"/>
    <w:rsid w:val="00841B82"/>
    <w:rsid w:val="008427B8"/>
    <w:rsid w:val="0084348B"/>
    <w:rsid w:val="0084349E"/>
    <w:rsid w:val="00843F89"/>
    <w:rsid w:val="00845A30"/>
    <w:rsid w:val="00846B52"/>
    <w:rsid w:val="00846CE5"/>
    <w:rsid w:val="008502CE"/>
    <w:rsid w:val="00850A42"/>
    <w:rsid w:val="0085100A"/>
    <w:rsid w:val="00851FCA"/>
    <w:rsid w:val="0085637F"/>
    <w:rsid w:val="008614E6"/>
    <w:rsid w:val="0086289E"/>
    <w:rsid w:val="0086442E"/>
    <w:rsid w:val="00864A0F"/>
    <w:rsid w:val="00865028"/>
    <w:rsid w:val="00865DF4"/>
    <w:rsid w:val="00866B54"/>
    <w:rsid w:val="00867DC8"/>
    <w:rsid w:val="008706C2"/>
    <w:rsid w:val="00871943"/>
    <w:rsid w:val="008734EB"/>
    <w:rsid w:val="0087575B"/>
    <w:rsid w:val="00876879"/>
    <w:rsid w:val="0087702A"/>
    <w:rsid w:val="00877C97"/>
    <w:rsid w:val="00880936"/>
    <w:rsid w:val="00880FEA"/>
    <w:rsid w:val="008820EC"/>
    <w:rsid w:val="00884359"/>
    <w:rsid w:val="0088588A"/>
    <w:rsid w:val="00886430"/>
    <w:rsid w:val="008879C5"/>
    <w:rsid w:val="00890F96"/>
    <w:rsid w:val="00892863"/>
    <w:rsid w:val="00892D72"/>
    <w:rsid w:val="00893ED3"/>
    <w:rsid w:val="0089753E"/>
    <w:rsid w:val="00897ED6"/>
    <w:rsid w:val="008A0492"/>
    <w:rsid w:val="008A116A"/>
    <w:rsid w:val="008A12BD"/>
    <w:rsid w:val="008A14CF"/>
    <w:rsid w:val="008A2C93"/>
    <w:rsid w:val="008A3068"/>
    <w:rsid w:val="008A3076"/>
    <w:rsid w:val="008A34F4"/>
    <w:rsid w:val="008A5ED2"/>
    <w:rsid w:val="008A6CD7"/>
    <w:rsid w:val="008A7EF3"/>
    <w:rsid w:val="008B2D16"/>
    <w:rsid w:val="008B38DC"/>
    <w:rsid w:val="008B4ED7"/>
    <w:rsid w:val="008C0DBE"/>
    <w:rsid w:val="008C21A1"/>
    <w:rsid w:val="008C27D6"/>
    <w:rsid w:val="008C4606"/>
    <w:rsid w:val="008C64B2"/>
    <w:rsid w:val="008D0B76"/>
    <w:rsid w:val="008D1366"/>
    <w:rsid w:val="008D1BD7"/>
    <w:rsid w:val="008D2627"/>
    <w:rsid w:val="008D423A"/>
    <w:rsid w:val="008D4AF5"/>
    <w:rsid w:val="008D7532"/>
    <w:rsid w:val="008D767D"/>
    <w:rsid w:val="008E0C73"/>
    <w:rsid w:val="008E13BF"/>
    <w:rsid w:val="008E298A"/>
    <w:rsid w:val="008E6441"/>
    <w:rsid w:val="008E715E"/>
    <w:rsid w:val="008E7395"/>
    <w:rsid w:val="008E7E05"/>
    <w:rsid w:val="008F1A88"/>
    <w:rsid w:val="008F2CC6"/>
    <w:rsid w:val="008F2DE2"/>
    <w:rsid w:val="008F7DCC"/>
    <w:rsid w:val="009001E6"/>
    <w:rsid w:val="00900991"/>
    <w:rsid w:val="00900BD2"/>
    <w:rsid w:val="00901468"/>
    <w:rsid w:val="00904417"/>
    <w:rsid w:val="00910739"/>
    <w:rsid w:val="00910958"/>
    <w:rsid w:val="00911C03"/>
    <w:rsid w:val="00911C2B"/>
    <w:rsid w:val="00911E9A"/>
    <w:rsid w:val="0091218A"/>
    <w:rsid w:val="00912CB6"/>
    <w:rsid w:val="009153D6"/>
    <w:rsid w:val="009161AD"/>
    <w:rsid w:val="0091664B"/>
    <w:rsid w:val="00920922"/>
    <w:rsid w:val="009210E8"/>
    <w:rsid w:val="009214E2"/>
    <w:rsid w:val="009219B6"/>
    <w:rsid w:val="00924811"/>
    <w:rsid w:val="00924893"/>
    <w:rsid w:val="00924EA1"/>
    <w:rsid w:val="009269C2"/>
    <w:rsid w:val="00931A1C"/>
    <w:rsid w:val="0093378B"/>
    <w:rsid w:val="00936427"/>
    <w:rsid w:val="00937545"/>
    <w:rsid w:val="00940012"/>
    <w:rsid w:val="00940813"/>
    <w:rsid w:val="0094276D"/>
    <w:rsid w:val="00944EE1"/>
    <w:rsid w:val="009465E2"/>
    <w:rsid w:val="00947082"/>
    <w:rsid w:val="009509FF"/>
    <w:rsid w:val="00950A07"/>
    <w:rsid w:val="00950C1D"/>
    <w:rsid w:val="0095107B"/>
    <w:rsid w:val="009521CF"/>
    <w:rsid w:val="00953428"/>
    <w:rsid w:val="00955E2A"/>
    <w:rsid w:val="00956CDA"/>
    <w:rsid w:val="00960A82"/>
    <w:rsid w:val="00962456"/>
    <w:rsid w:val="00962C1A"/>
    <w:rsid w:val="009633C8"/>
    <w:rsid w:val="00963CEA"/>
    <w:rsid w:val="0096500D"/>
    <w:rsid w:val="0097486A"/>
    <w:rsid w:val="00974C6C"/>
    <w:rsid w:val="00975012"/>
    <w:rsid w:val="00975720"/>
    <w:rsid w:val="00975DB7"/>
    <w:rsid w:val="00975F3E"/>
    <w:rsid w:val="00976612"/>
    <w:rsid w:val="00977BB9"/>
    <w:rsid w:val="009813F3"/>
    <w:rsid w:val="00981F86"/>
    <w:rsid w:val="00982E22"/>
    <w:rsid w:val="00986FEF"/>
    <w:rsid w:val="00987453"/>
    <w:rsid w:val="00987787"/>
    <w:rsid w:val="00990B08"/>
    <w:rsid w:val="00990E52"/>
    <w:rsid w:val="00992C0B"/>
    <w:rsid w:val="00993D09"/>
    <w:rsid w:val="00993E13"/>
    <w:rsid w:val="00994DA5"/>
    <w:rsid w:val="00995812"/>
    <w:rsid w:val="00995AEB"/>
    <w:rsid w:val="00995BD9"/>
    <w:rsid w:val="00995DE3"/>
    <w:rsid w:val="00995E58"/>
    <w:rsid w:val="00996170"/>
    <w:rsid w:val="00996286"/>
    <w:rsid w:val="0099659C"/>
    <w:rsid w:val="009973E5"/>
    <w:rsid w:val="009A178C"/>
    <w:rsid w:val="009A42FB"/>
    <w:rsid w:val="009A4799"/>
    <w:rsid w:val="009A56EF"/>
    <w:rsid w:val="009A5798"/>
    <w:rsid w:val="009A5B4D"/>
    <w:rsid w:val="009A6289"/>
    <w:rsid w:val="009A651F"/>
    <w:rsid w:val="009A6CB4"/>
    <w:rsid w:val="009A79BF"/>
    <w:rsid w:val="009B12F7"/>
    <w:rsid w:val="009B24B3"/>
    <w:rsid w:val="009B2D07"/>
    <w:rsid w:val="009B2E40"/>
    <w:rsid w:val="009B42A6"/>
    <w:rsid w:val="009B5153"/>
    <w:rsid w:val="009B677C"/>
    <w:rsid w:val="009C3540"/>
    <w:rsid w:val="009C416F"/>
    <w:rsid w:val="009C4B02"/>
    <w:rsid w:val="009C6FE1"/>
    <w:rsid w:val="009C71D4"/>
    <w:rsid w:val="009D01D4"/>
    <w:rsid w:val="009D175A"/>
    <w:rsid w:val="009D297F"/>
    <w:rsid w:val="009D2FF1"/>
    <w:rsid w:val="009D5833"/>
    <w:rsid w:val="009E2925"/>
    <w:rsid w:val="009E3E72"/>
    <w:rsid w:val="009E4D16"/>
    <w:rsid w:val="009E5458"/>
    <w:rsid w:val="009E5547"/>
    <w:rsid w:val="009E57E2"/>
    <w:rsid w:val="009E69B3"/>
    <w:rsid w:val="009E7A86"/>
    <w:rsid w:val="009E7C02"/>
    <w:rsid w:val="009E7CEB"/>
    <w:rsid w:val="009F3F52"/>
    <w:rsid w:val="009F48A3"/>
    <w:rsid w:val="009F5813"/>
    <w:rsid w:val="009F669B"/>
    <w:rsid w:val="009F7088"/>
    <w:rsid w:val="009F7ADC"/>
    <w:rsid w:val="00A00F78"/>
    <w:rsid w:val="00A02A1A"/>
    <w:rsid w:val="00A02F00"/>
    <w:rsid w:val="00A0319E"/>
    <w:rsid w:val="00A0511A"/>
    <w:rsid w:val="00A06F09"/>
    <w:rsid w:val="00A07979"/>
    <w:rsid w:val="00A122F5"/>
    <w:rsid w:val="00A12A8E"/>
    <w:rsid w:val="00A143FA"/>
    <w:rsid w:val="00A15ACE"/>
    <w:rsid w:val="00A17FC9"/>
    <w:rsid w:val="00A20304"/>
    <w:rsid w:val="00A209EB"/>
    <w:rsid w:val="00A21194"/>
    <w:rsid w:val="00A21635"/>
    <w:rsid w:val="00A218A8"/>
    <w:rsid w:val="00A232D8"/>
    <w:rsid w:val="00A238B4"/>
    <w:rsid w:val="00A23D1C"/>
    <w:rsid w:val="00A23E40"/>
    <w:rsid w:val="00A2441F"/>
    <w:rsid w:val="00A2479A"/>
    <w:rsid w:val="00A2598B"/>
    <w:rsid w:val="00A25C52"/>
    <w:rsid w:val="00A26DEE"/>
    <w:rsid w:val="00A271AB"/>
    <w:rsid w:val="00A272EF"/>
    <w:rsid w:val="00A3061E"/>
    <w:rsid w:val="00A325F7"/>
    <w:rsid w:val="00A32EBF"/>
    <w:rsid w:val="00A32F07"/>
    <w:rsid w:val="00A33982"/>
    <w:rsid w:val="00A35B69"/>
    <w:rsid w:val="00A37038"/>
    <w:rsid w:val="00A37DEA"/>
    <w:rsid w:val="00A4379F"/>
    <w:rsid w:val="00A43D51"/>
    <w:rsid w:val="00A45E51"/>
    <w:rsid w:val="00A46112"/>
    <w:rsid w:val="00A46507"/>
    <w:rsid w:val="00A467BD"/>
    <w:rsid w:val="00A46A73"/>
    <w:rsid w:val="00A50116"/>
    <w:rsid w:val="00A519A4"/>
    <w:rsid w:val="00A545B5"/>
    <w:rsid w:val="00A54ABB"/>
    <w:rsid w:val="00A554C0"/>
    <w:rsid w:val="00A5678A"/>
    <w:rsid w:val="00A56AAD"/>
    <w:rsid w:val="00A62957"/>
    <w:rsid w:val="00A64A5B"/>
    <w:rsid w:val="00A64EF5"/>
    <w:rsid w:val="00A652AA"/>
    <w:rsid w:val="00A704A1"/>
    <w:rsid w:val="00A70DE6"/>
    <w:rsid w:val="00A71579"/>
    <w:rsid w:val="00A71A58"/>
    <w:rsid w:val="00A71A9A"/>
    <w:rsid w:val="00A73868"/>
    <w:rsid w:val="00A73CDA"/>
    <w:rsid w:val="00A74138"/>
    <w:rsid w:val="00A7517D"/>
    <w:rsid w:val="00A75419"/>
    <w:rsid w:val="00A76D7F"/>
    <w:rsid w:val="00A77894"/>
    <w:rsid w:val="00A80A5B"/>
    <w:rsid w:val="00A82B13"/>
    <w:rsid w:val="00A82C56"/>
    <w:rsid w:val="00A83A39"/>
    <w:rsid w:val="00A841DA"/>
    <w:rsid w:val="00A84E72"/>
    <w:rsid w:val="00A8702B"/>
    <w:rsid w:val="00A8704A"/>
    <w:rsid w:val="00A904D9"/>
    <w:rsid w:val="00A92C21"/>
    <w:rsid w:val="00A93826"/>
    <w:rsid w:val="00A96707"/>
    <w:rsid w:val="00A96DE7"/>
    <w:rsid w:val="00A97723"/>
    <w:rsid w:val="00A978E8"/>
    <w:rsid w:val="00AA3D20"/>
    <w:rsid w:val="00AA4F05"/>
    <w:rsid w:val="00AA554A"/>
    <w:rsid w:val="00AA5F1E"/>
    <w:rsid w:val="00AA5FA4"/>
    <w:rsid w:val="00AA70EF"/>
    <w:rsid w:val="00AB1EC9"/>
    <w:rsid w:val="00AB1EDA"/>
    <w:rsid w:val="00AB33F4"/>
    <w:rsid w:val="00AB362D"/>
    <w:rsid w:val="00AB4B1D"/>
    <w:rsid w:val="00AB5F62"/>
    <w:rsid w:val="00AB7D21"/>
    <w:rsid w:val="00AC11C2"/>
    <w:rsid w:val="00AC11C6"/>
    <w:rsid w:val="00AC1650"/>
    <w:rsid w:val="00AC44AC"/>
    <w:rsid w:val="00AC6A07"/>
    <w:rsid w:val="00AC740F"/>
    <w:rsid w:val="00AC7CA4"/>
    <w:rsid w:val="00AD0441"/>
    <w:rsid w:val="00AD11D6"/>
    <w:rsid w:val="00AD17A8"/>
    <w:rsid w:val="00AD4FC0"/>
    <w:rsid w:val="00AD53C7"/>
    <w:rsid w:val="00AD6454"/>
    <w:rsid w:val="00AD66A4"/>
    <w:rsid w:val="00AD7F5D"/>
    <w:rsid w:val="00AD7F66"/>
    <w:rsid w:val="00AE087D"/>
    <w:rsid w:val="00AE2249"/>
    <w:rsid w:val="00AE26F1"/>
    <w:rsid w:val="00AE2EA2"/>
    <w:rsid w:val="00AE33A5"/>
    <w:rsid w:val="00AE5822"/>
    <w:rsid w:val="00AE590F"/>
    <w:rsid w:val="00AE7AE4"/>
    <w:rsid w:val="00AF11F8"/>
    <w:rsid w:val="00AF3DF8"/>
    <w:rsid w:val="00AF4A54"/>
    <w:rsid w:val="00AF634C"/>
    <w:rsid w:val="00AF6EA1"/>
    <w:rsid w:val="00AF7E21"/>
    <w:rsid w:val="00B00068"/>
    <w:rsid w:val="00B0128F"/>
    <w:rsid w:val="00B01435"/>
    <w:rsid w:val="00B02D12"/>
    <w:rsid w:val="00B02DB2"/>
    <w:rsid w:val="00B043AC"/>
    <w:rsid w:val="00B04C25"/>
    <w:rsid w:val="00B068EB"/>
    <w:rsid w:val="00B10CA1"/>
    <w:rsid w:val="00B12513"/>
    <w:rsid w:val="00B14389"/>
    <w:rsid w:val="00B156CB"/>
    <w:rsid w:val="00B171E1"/>
    <w:rsid w:val="00B172F1"/>
    <w:rsid w:val="00B235D1"/>
    <w:rsid w:val="00B23EBF"/>
    <w:rsid w:val="00B251D5"/>
    <w:rsid w:val="00B25280"/>
    <w:rsid w:val="00B262E1"/>
    <w:rsid w:val="00B26F23"/>
    <w:rsid w:val="00B275D6"/>
    <w:rsid w:val="00B2765D"/>
    <w:rsid w:val="00B318AB"/>
    <w:rsid w:val="00B33EE5"/>
    <w:rsid w:val="00B35525"/>
    <w:rsid w:val="00B35F45"/>
    <w:rsid w:val="00B363CB"/>
    <w:rsid w:val="00B41339"/>
    <w:rsid w:val="00B41A3A"/>
    <w:rsid w:val="00B4391C"/>
    <w:rsid w:val="00B4551B"/>
    <w:rsid w:val="00B45FF3"/>
    <w:rsid w:val="00B50C9F"/>
    <w:rsid w:val="00B51F0A"/>
    <w:rsid w:val="00B52F7E"/>
    <w:rsid w:val="00B5362F"/>
    <w:rsid w:val="00B5545A"/>
    <w:rsid w:val="00B55B61"/>
    <w:rsid w:val="00B61E92"/>
    <w:rsid w:val="00B62C8C"/>
    <w:rsid w:val="00B64025"/>
    <w:rsid w:val="00B6429B"/>
    <w:rsid w:val="00B65539"/>
    <w:rsid w:val="00B65C26"/>
    <w:rsid w:val="00B67367"/>
    <w:rsid w:val="00B70328"/>
    <w:rsid w:val="00B737AB"/>
    <w:rsid w:val="00B73C52"/>
    <w:rsid w:val="00B75612"/>
    <w:rsid w:val="00B76261"/>
    <w:rsid w:val="00B82CC5"/>
    <w:rsid w:val="00B833A2"/>
    <w:rsid w:val="00B836B6"/>
    <w:rsid w:val="00B84435"/>
    <w:rsid w:val="00B86487"/>
    <w:rsid w:val="00B866C5"/>
    <w:rsid w:val="00B86A42"/>
    <w:rsid w:val="00B87A4A"/>
    <w:rsid w:val="00B90700"/>
    <w:rsid w:val="00B9314A"/>
    <w:rsid w:val="00B93639"/>
    <w:rsid w:val="00B95F0C"/>
    <w:rsid w:val="00B966D7"/>
    <w:rsid w:val="00B96C65"/>
    <w:rsid w:val="00B97E8B"/>
    <w:rsid w:val="00BA0076"/>
    <w:rsid w:val="00BA0079"/>
    <w:rsid w:val="00BA04AC"/>
    <w:rsid w:val="00BA414C"/>
    <w:rsid w:val="00BA4D96"/>
    <w:rsid w:val="00BA6DF5"/>
    <w:rsid w:val="00BA736F"/>
    <w:rsid w:val="00BB08AD"/>
    <w:rsid w:val="00BB0A88"/>
    <w:rsid w:val="00BB0DD6"/>
    <w:rsid w:val="00BB0F97"/>
    <w:rsid w:val="00BB1249"/>
    <w:rsid w:val="00BB269D"/>
    <w:rsid w:val="00BB3126"/>
    <w:rsid w:val="00BB31E4"/>
    <w:rsid w:val="00BB4B62"/>
    <w:rsid w:val="00BB668E"/>
    <w:rsid w:val="00BB6B53"/>
    <w:rsid w:val="00BB7609"/>
    <w:rsid w:val="00BB79AE"/>
    <w:rsid w:val="00BC02EE"/>
    <w:rsid w:val="00BC198B"/>
    <w:rsid w:val="00BC2B58"/>
    <w:rsid w:val="00BC354A"/>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67B1"/>
    <w:rsid w:val="00BD702F"/>
    <w:rsid w:val="00BD7BB3"/>
    <w:rsid w:val="00BE0A55"/>
    <w:rsid w:val="00BE378D"/>
    <w:rsid w:val="00BE3BA2"/>
    <w:rsid w:val="00BE79DE"/>
    <w:rsid w:val="00BF1357"/>
    <w:rsid w:val="00BF1F5D"/>
    <w:rsid w:val="00BF2ACB"/>
    <w:rsid w:val="00BF36A6"/>
    <w:rsid w:val="00BF3DD2"/>
    <w:rsid w:val="00BF44C7"/>
    <w:rsid w:val="00BF4B82"/>
    <w:rsid w:val="00BF59C3"/>
    <w:rsid w:val="00BF615E"/>
    <w:rsid w:val="00BF65F9"/>
    <w:rsid w:val="00BF6BE0"/>
    <w:rsid w:val="00C018AC"/>
    <w:rsid w:val="00C018AF"/>
    <w:rsid w:val="00C01B67"/>
    <w:rsid w:val="00C02383"/>
    <w:rsid w:val="00C0350E"/>
    <w:rsid w:val="00C046ED"/>
    <w:rsid w:val="00C051D4"/>
    <w:rsid w:val="00C109EB"/>
    <w:rsid w:val="00C1341B"/>
    <w:rsid w:val="00C17469"/>
    <w:rsid w:val="00C1751F"/>
    <w:rsid w:val="00C1783A"/>
    <w:rsid w:val="00C20342"/>
    <w:rsid w:val="00C20B8C"/>
    <w:rsid w:val="00C21972"/>
    <w:rsid w:val="00C24898"/>
    <w:rsid w:val="00C2504B"/>
    <w:rsid w:val="00C25A5A"/>
    <w:rsid w:val="00C25CD8"/>
    <w:rsid w:val="00C26F7E"/>
    <w:rsid w:val="00C30705"/>
    <w:rsid w:val="00C31031"/>
    <w:rsid w:val="00C3151A"/>
    <w:rsid w:val="00C335D8"/>
    <w:rsid w:val="00C36645"/>
    <w:rsid w:val="00C37075"/>
    <w:rsid w:val="00C40C53"/>
    <w:rsid w:val="00C40F0A"/>
    <w:rsid w:val="00C41629"/>
    <w:rsid w:val="00C431EE"/>
    <w:rsid w:val="00C43CA0"/>
    <w:rsid w:val="00C44273"/>
    <w:rsid w:val="00C455ED"/>
    <w:rsid w:val="00C4675E"/>
    <w:rsid w:val="00C5019A"/>
    <w:rsid w:val="00C516FD"/>
    <w:rsid w:val="00C544A8"/>
    <w:rsid w:val="00C546E4"/>
    <w:rsid w:val="00C54A33"/>
    <w:rsid w:val="00C63BB4"/>
    <w:rsid w:val="00C6598D"/>
    <w:rsid w:val="00C705D3"/>
    <w:rsid w:val="00C71575"/>
    <w:rsid w:val="00C7499C"/>
    <w:rsid w:val="00C749E4"/>
    <w:rsid w:val="00C7549A"/>
    <w:rsid w:val="00C80169"/>
    <w:rsid w:val="00C809C1"/>
    <w:rsid w:val="00C831E4"/>
    <w:rsid w:val="00C84C2C"/>
    <w:rsid w:val="00C85259"/>
    <w:rsid w:val="00C854FC"/>
    <w:rsid w:val="00C85A21"/>
    <w:rsid w:val="00C86634"/>
    <w:rsid w:val="00C874D9"/>
    <w:rsid w:val="00C87516"/>
    <w:rsid w:val="00C87E49"/>
    <w:rsid w:val="00C92DBF"/>
    <w:rsid w:val="00C93B03"/>
    <w:rsid w:val="00C93D97"/>
    <w:rsid w:val="00C95BF9"/>
    <w:rsid w:val="00C961EB"/>
    <w:rsid w:val="00C96760"/>
    <w:rsid w:val="00C9780D"/>
    <w:rsid w:val="00C97C8B"/>
    <w:rsid w:val="00CA11D8"/>
    <w:rsid w:val="00CA199D"/>
    <w:rsid w:val="00CA3BBF"/>
    <w:rsid w:val="00CA3EE2"/>
    <w:rsid w:val="00CA41F7"/>
    <w:rsid w:val="00CB0163"/>
    <w:rsid w:val="00CB32A2"/>
    <w:rsid w:val="00CB32BF"/>
    <w:rsid w:val="00CB36D5"/>
    <w:rsid w:val="00CB3811"/>
    <w:rsid w:val="00CB682D"/>
    <w:rsid w:val="00CC1FBA"/>
    <w:rsid w:val="00CC300F"/>
    <w:rsid w:val="00CC32D2"/>
    <w:rsid w:val="00CC3B4E"/>
    <w:rsid w:val="00CC3C1F"/>
    <w:rsid w:val="00CC4392"/>
    <w:rsid w:val="00CC4CC5"/>
    <w:rsid w:val="00CC4D58"/>
    <w:rsid w:val="00CC53D6"/>
    <w:rsid w:val="00CC590E"/>
    <w:rsid w:val="00CC5ED3"/>
    <w:rsid w:val="00CC6298"/>
    <w:rsid w:val="00CD0094"/>
    <w:rsid w:val="00CD01F9"/>
    <w:rsid w:val="00CD0EFA"/>
    <w:rsid w:val="00CD0F10"/>
    <w:rsid w:val="00CD276C"/>
    <w:rsid w:val="00CD2865"/>
    <w:rsid w:val="00CD5AE0"/>
    <w:rsid w:val="00CD7CCD"/>
    <w:rsid w:val="00CE15AD"/>
    <w:rsid w:val="00CE1B91"/>
    <w:rsid w:val="00CE2BCD"/>
    <w:rsid w:val="00CF0257"/>
    <w:rsid w:val="00CF0D3E"/>
    <w:rsid w:val="00CF1574"/>
    <w:rsid w:val="00CF3DC0"/>
    <w:rsid w:val="00CF550B"/>
    <w:rsid w:val="00CF6C41"/>
    <w:rsid w:val="00CF73F2"/>
    <w:rsid w:val="00CF7C33"/>
    <w:rsid w:val="00D036C9"/>
    <w:rsid w:val="00D04C3B"/>
    <w:rsid w:val="00D04DD5"/>
    <w:rsid w:val="00D06D32"/>
    <w:rsid w:val="00D10BF6"/>
    <w:rsid w:val="00D13F74"/>
    <w:rsid w:val="00D142B7"/>
    <w:rsid w:val="00D15715"/>
    <w:rsid w:val="00D163C7"/>
    <w:rsid w:val="00D1738F"/>
    <w:rsid w:val="00D17D24"/>
    <w:rsid w:val="00D20A4F"/>
    <w:rsid w:val="00D20A6A"/>
    <w:rsid w:val="00D223EF"/>
    <w:rsid w:val="00D2354A"/>
    <w:rsid w:val="00D240B8"/>
    <w:rsid w:val="00D26F78"/>
    <w:rsid w:val="00D2756B"/>
    <w:rsid w:val="00D27CA1"/>
    <w:rsid w:val="00D309C9"/>
    <w:rsid w:val="00D31837"/>
    <w:rsid w:val="00D330D5"/>
    <w:rsid w:val="00D33A97"/>
    <w:rsid w:val="00D3472E"/>
    <w:rsid w:val="00D366B0"/>
    <w:rsid w:val="00D36F8A"/>
    <w:rsid w:val="00D37444"/>
    <w:rsid w:val="00D406B3"/>
    <w:rsid w:val="00D40E41"/>
    <w:rsid w:val="00D40E8C"/>
    <w:rsid w:val="00D40E99"/>
    <w:rsid w:val="00D416B4"/>
    <w:rsid w:val="00D41890"/>
    <w:rsid w:val="00D43E93"/>
    <w:rsid w:val="00D44DCD"/>
    <w:rsid w:val="00D4551A"/>
    <w:rsid w:val="00D4654E"/>
    <w:rsid w:val="00D475E4"/>
    <w:rsid w:val="00D501C6"/>
    <w:rsid w:val="00D50864"/>
    <w:rsid w:val="00D51B08"/>
    <w:rsid w:val="00D529E0"/>
    <w:rsid w:val="00D531F9"/>
    <w:rsid w:val="00D53A8F"/>
    <w:rsid w:val="00D54205"/>
    <w:rsid w:val="00D55F7E"/>
    <w:rsid w:val="00D600AB"/>
    <w:rsid w:val="00D616B2"/>
    <w:rsid w:val="00D624F3"/>
    <w:rsid w:val="00D6260F"/>
    <w:rsid w:val="00D62793"/>
    <w:rsid w:val="00D62983"/>
    <w:rsid w:val="00D62B02"/>
    <w:rsid w:val="00D63230"/>
    <w:rsid w:val="00D64D83"/>
    <w:rsid w:val="00D64F8A"/>
    <w:rsid w:val="00D66CE4"/>
    <w:rsid w:val="00D66E26"/>
    <w:rsid w:val="00D67E46"/>
    <w:rsid w:val="00D7019D"/>
    <w:rsid w:val="00D71B9E"/>
    <w:rsid w:val="00D729A8"/>
    <w:rsid w:val="00D73AE0"/>
    <w:rsid w:val="00D7505F"/>
    <w:rsid w:val="00D75789"/>
    <w:rsid w:val="00D76C32"/>
    <w:rsid w:val="00D80189"/>
    <w:rsid w:val="00D806D0"/>
    <w:rsid w:val="00D8189C"/>
    <w:rsid w:val="00D81B70"/>
    <w:rsid w:val="00D82CEB"/>
    <w:rsid w:val="00D82E53"/>
    <w:rsid w:val="00D844E3"/>
    <w:rsid w:val="00D8491C"/>
    <w:rsid w:val="00D87C7A"/>
    <w:rsid w:val="00D87EC8"/>
    <w:rsid w:val="00D9472A"/>
    <w:rsid w:val="00D948A6"/>
    <w:rsid w:val="00D95612"/>
    <w:rsid w:val="00D972EF"/>
    <w:rsid w:val="00D9777D"/>
    <w:rsid w:val="00D97F2C"/>
    <w:rsid w:val="00DA12CC"/>
    <w:rsid w:val="00DA14DC"/>
    <w:rsid w:val="00DA1CB2"/>
    <w:rsid w:val="00DA3194"/>
    <w:rsid w:val="00DA5033"/>
    <w:rsid w:val="00DA5F18"/>
    <w:rsid w:val="00DA7EF2"/>
    <w:rsid w:val="00DB1A31"/>
    <w:rsid w:val="00DB1C1B"/>
    <w:rsid w:val="00DB2506"/>
    <w:rsid w:val="00DB2C4E"/>
    <w:rsid w:val="00DB2E93"/>
    <w:rsid w:val="00DB3770"/>
    <w:rsid w:val="00DB4688"/>
    <w:rsid w:val="00DB51DA"/>
    <w:rsid w:val="00DB56D4"/>
    <w:rsid w:val="00DB602B"/>
    <w:rsid w:val="00DB74E0"/>
    <w:rsid w:val="00DB7A08"/>
    <w:rsid w:val="00DC0131"/>
    <w:rsid w:val="00DC0290"/>
    <w:rsid w:val="00DC15C0"/>
    <w:rsid w:val="00DC2B10"/>
    <w:rsid w:val="00DC493D"/>
    <w:rsid w:val="00DC5A81"/>
    <w:rsid w:val="00DC5F18"/>
    <w:rsid w:val="00DC7090"/>
    <w:rsid w:val="00DC794C"/>
    <w:rsid w:val="00DC7E1D"/>
    <w:rsid w:val="00DD0CE5"/>
    <w:rsid w:val="00DD232E"/>
    <w:rsid w:val="00DD5111"/>
    <w:rsid w:val="00DD65E2"/>
    <w:rsid w:val="00DD76EE"/>
    <w:rsid w:val="00DE08E6"/>
    <w:rsid w:val="00DE0F85"/>
    <w:rsid w:val="00DE4636"/>
    <w:rsid w:val="00DE571D"/>
    <w:rsid w:val="00DE580F"/>
    <w:rsid w:val="00DE5C56"/>
    <w:rsid w:val="00DE5C5C"/>
    <w:rsid w:val="00DE7123"/>
    <w:rsid w:val="00DE7CB0"/>
    <w:rsid w:val="00DF14DF"/>
    <w:rsid w:val="00DF2115"/>
    <w:rsid w:val="00DF5524"/>
    <w:rsid w:val="00DF557A"/>
    <w:rsid w:val="00DF6C91"/>
    <w:rsid w:val="00DF6FA2"/>
    <w:rsid w:val="00DF71CF"/>
    <w:rsid w:val="00DF76B7"/>
    <w:rsid w:val="00DF7AFE"/>
    <w:rsid w:val="00E0070F"/>
    <w:rsid w:val="00E01212"/>
    <w:rsid w:val="00E01574"/>
    <w:rsid w:val="00E01709"/>
    <w:rsid w:val="00E0291D"/>
    <w:rsid w:val="00E03AEC"/>
    <w:rsid w:val="00E03B42"/>
    <w:rsid w:val="00E03DEF"/>
    <w:rsid w:val="00E04F97"/>
    <w:rsid w:val="00E064B2"/>
    <w:rsid w:val="00E06852"/>
    <w:rsid w:val="00E13828"/>
    <w:rsid w:val="00E1568B"/>
    <w:rsid w:val="00E1568F"/>
    <w:rsid w:val="00E17EB5"/>
    <w:rsid w:val="00E17F01"/>
    <w:rsid w:val="00E20FE6"/>
    <w:rsid w:val="00E2456A"/>
    <w:rsid w:val="00E272BF"/>
    <w:rsid w:val="00E273A0"/>
    <w:rsid w:val="00E300ED"/>
    <w:rsid w:val="00E3070B"/>
    <w:rsid w:val="00E32A94"/>
    <w:rsid w:val="00E32E4D"/>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771"/>
    <w:rsid w:val="00E51B2D"/>
    <w:rsid w:val="00E52F93"/>
    <w:rsid w:val="00E541EB"/>
    <w:rsid w:val="00E542B7"/>
    <w:rsid w:val="00E5607E"/>
    <w:rsid w:val="00E560B5"/>
    <w:rsid w:val="00E57BB4"/>
    <w:rsid w:val="00E60E30"/>
    <w:rsid w:val="00E60F28"/>
    <w:rsid w:val="00E64789"/>
    <w:rsid w:val="00E6498D"/>
    <w:rsid w:val="00E7064A"/>
    <w:rsid w:val="00E70863"/>
    <w:rsid w:val="00E73B94"/>
    <w:rsid w:val="00E75382"/>
    <w:rsid w:val="00E75BD8"/>
    <w:rsid w:val="00E76464"/>
    <w:rsid w:val="00E800E8"/>
    <w:rsid w:val="00E80988"/>
    <w:rsid w:val="00E82C40"/>
    <w:rsid w:val="00E855AB"/>
    <w:rsid w:val="00E87355"/>
    <w:rsid w:val="00E913E4"/>
    <w:rsid w:val="00E91F2D"/>
    <w:rsid w:val="00E932D1"/>
    <w:rsid w:val="00E93EF7"/>
    <w:rsid w:val="00E94A92"/>
    <w:rsid w:val="00E94D2A"/>
    <w:rsid w:val="00E95C25"/>
    <w:rsid w:val="00E960AE"/>
    <w:rsid w:val="00E9646F"/>
    <w:rsid w:val="00E97628"/>
    <w:rsid w:val="00EA17A2"/>
    <w:rsid w:val="00EA21CE"/>
    <w:rsid w:val="00EA285A"/>
    <w:rsid w:val="00EA410A"/>
    <w:rsid w:val="00EA43E5"/>
    <w:rsid w:val="00EA4A4E"/>
    <w:rsid w:val="00EA58FA"/>
    <w:rsid w:val="00EA5ED3"/>
    <w:rsid w:val="00EB2E67"/>
    <w:rsid w:val="00EB3CE2"/>
    <w:rsid w:val="00EB3DA6"/>
    <w:rsid w:val="00EB461D"/>
    <w:rsid w:val="00EB57EA"/>
    <w:rsid w:val="00EB7ADF"/>
    <w:rsid w:val="00EC0BE7"/>
    <w:rsid w:val="00EC1147"/>
    <w:rsid w:val="00EC1501"/>
    <w:rsid w:val="00EC1A07"/>
    <w:rsid w:val="00EC1EDB"/>
    <w:rsid w:val="00EC24B6"/>
    <w:rsid w:val="00EC2E4A"/>
    <w:rsid w:val="00EC38ED"/>
    <w:rsid w:val="00EC5604"/>
    <w:rsid w:val="00EC57FE"/>
    <w:rsid w:val="00EC6634"/>
    <w:rsid w:val="00EC7A8E"/>
    <w:rsid w:val="00ED0518"/>
    <w:rsid w:val="00ED062F"/>
    <w:rsid w:val="00ED08A7"/>
    <w:rsid w:val="00ED2018"/>
    <w:rsid w:val="00ED39D0"/>
    <w:rsid w:val="00ED4809"/>
    <w:rsid w:val="00ED72BB"/>
    <w:rsid w:val="00ED7A86"/>
    <w:rsid w:val="00ED7DC4"/>
    <w:rsid w:val="00EE40BF"/>
    <w:rsid w:val="00EE51B5"/>
    <w:rsid w:val="00EE62BE"/>
    <w:rsid w:val="00EF0F48"/>
    <w:rsid w:val="00EF2F0A"/>
    <w:rsid w:val="00EF3512"/>
    <w:rsid w:val="00EF376F"/>
    <w:rsid w:val="00EF5741"/>
    <w:rsid w:val="00F00A4C"/>
    <w:rsid w:val="00F01167"/>
    <w:rsid w:val="00F01DC3"/>
    <w:rsid w:val="00F02D7E"/>
    <w:rsid w:val="00F036B1"/>
    <w:rsid w:val="00F0396F"/>
    <w:rsid w:val="00F0485C"/>
    <w:rsid w:val="00F04A7F"/>
    <w:rsid w:val="00F06C12"/>
    <w:rsid w:val="00F0772F"/>
    <w:rsid w:val="00F10774"/>
    <w:rsid w:val="00F13BC6"/>
    <w:rsid w:val="00F1441F"/>
    <w:rsid w:val="00F144B5"/>
    <w:rsid w:val="00F154B3"/>
    <w:rsid w:val="00F16566"/>
    <w:rsid w:val="00F16FD3"/>
    <w:rsid w:val="00F224E5"/>
    <w:rsid w:val="00F225BD"/>
    <w:rsid w:val="00F22D18"/>
    <w:rsid w:val="00F23DD7"/>
    <w:rsid w:val="00F24187"/>
    <w:rsid w:val="00F243D3"/>
    <w:rsid w:val="00F2582E"/>
    <w:rsid w:val="00F259FA"/>
    <w:rsid w:val="00F26418"/>
    <w:rsid w:val="00F27B8C"/>
    <w:rsid w:val="00F301DA"/>
    <w:rsid w:val="00F30B4C"/>
    <w:rsid w:val="00F31EC8"/>
    <w:rsid w:val="00F3209C"/>
    <w:rsid w:val="00F3360D"/>
    <w:rsid w:val="00F35CDB"/>
    <w:rsid w:val="00F36A6D"/>
    <w:rsid w:val="00F37394"/>
    <w:rsid w:val="00F376D1"/>
    <w:rsid w:val="00F41540"/>
    <w:rsid w:val="00F42555"/>
    <w:rsid w:val="00F42988"/>
    <w:rsid w:val="00F43478"/>
    <w:rsid w:val="00F43594"/>
    <w:rsid w:val="00F43ACC"/>
    <w:rsid w:val="00F45824"/>
    <w:rsid w:val="00F45B4D"/>
    <w:rsid w:val="00F46229"/>
    <w:rsid w:val="00F5118C"/>
    <w:rsid w:val="00F528EC"/>
    <w:rsid w:val="00F53202"/>
    <w:rsid w:val="00F532EA"/>
    <w:rsid w:val="00F53629"/>
    <w:rsid w:val="00F55D4D"/>
    <w:rsid w:val="00F569E5"/>
    <w:rsid w:val="00F6020E"/>
    <w:rsid w:val="00F6085F"/>
    <w:rsid w:val="00F64D1A"/>
    <w:rsid w:val="00F67ABF"/>
    <w:rsid w:val="00F70869"/>
    <w:rsid w:val="00F713AF"/>
    <w:rsid w:val="00F72AA5"/>
    <w:rsid w:val="00F731D7"/>
    <w:rsid w:val="00F73B6E"/>
    <w:rsid w:val="00F77534"/>
    <w:rsid w:val="00F90007"/>
    <w:rsid w:val="00F91B32"/>
    <w:rsid w:val="00F9278F"/>
    <w:rsid w:val="00F92E67"/>
    <w:rsid w:val="00F93036"/>
    <w:rsid w:val="00F933FD"/>
    <w:rsid w:val="00F93950"/>
    <w:rsid w:val="00FA0AC0"/>
    <w:rsid w:val="00FA0D85"/>
    <w:rsid w:val="00FA10FC"/>
    <w:rsid w:val="00FA1B6B"/>
    <w:rsid w:val="00FA5BD0"/>
    <w:rsid w:val="00FA60E7"/>
    <w:rsid w:val="00FA6C81"/>
    <w:rsid w:val="00FB111A"/>
    <w:rsid w:val="00FB146A"/>
    <w:rsid w:val="00FB16F9"/>
    <w:rsid w:val="00FB41BE"/>
    <w:rsid w:val="00FB4369"/>
    <w:rsid w:val="00FB541A"/>
    <w:rsid w:val="00FB6A07"/>
    <w:rsid w:val="00FB6ABE"/>
    <w:rsid w:val="00FB79B2"/>
    <w:rsid w:val="00FC016E"/>
    <w:rsid w:val="00FC2230"/>
    <w:rsid w:val="00FC649A"/>
    <w:rsid w:val="00FC7122"/>
    <w:rsid w:val="00FC7578"/>
    <w:rsid w:val="00FD1C98"/>
    <w:rsid w:val="00FD20B1"/>
    <w:rsid w:val="00FD23AB"/>
    <w:rsid w:val="00FD32A6"/>
    <w:rsid w:val="00FD3474"/>
    <w:rsid w:val="00FD5159"/>
    <w:rsid w:val="00FD51BD"/>
    <w:rsid w:val="00FD57D2"/>
    <w:rsid w:val="00FD642E"/>
    <w:rsid w:val="00FD6C15"/>
    <w:rsid w:val="00FD76DB"/>
    <w:rsid w:val="00FE09DF"/>
    <w:rsid w:val="00FE0CE3"/>
    <w:rsid w:val="00FE0DEB"/>
    <w:rsid w:val="00FE1167"/>
    <w:rsid w:val="00FE2EAD"/>
    <w:rsid w:val="00FE3AAB"/>
    <w:rsid w:val="00FE3D08"/>
    <w:rsid w:val="00FE446F"/>
    <w:rsid w:val="00FE5739"/>
    <w:rsid w:val="00FE683A"/>
    <w:rsid w:val="00FE7358"/>
    <w:rsid w:val="00FF074C"/>
    <w:rsid w:val="00FF0BD7"/>
    <w:rsid w:val="00FF0C8F"/>
    <w:rsid w:val="00FF0E57"/>
    <w:rsid w:val="00FF16BD"/>
    <w:rsid w:val="00FF182D"/>
    <w:rsid w:val="00FF190B"/>
    <w:rsid w:val="00FF3FEB"/>
    <w:rsid w:val="00FF4D50"/>
    <w:rsid w:val="00FF55A8"/>
    <w:rsid w:val="00FF5B79"/>
    <w:rsid w:val="00FF5B8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chartTrackingRefBased/>
  <w15:docId w15:val="{0E4283F6-223A-402D-B42F-3C24C105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4"/>
    <w:pPr>
      <w:jc w:val="both"/>
    </w:pPr>
    <w:rPr>
      <w:sz w:val="16"/>
      <w:szCs w:val="16"/>
      <w:lang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iPriority w:val="99"/>
    <w:unhideWhenUsed/>
    <w:qFormat/>
    <w:rsid w:val="00F224E5"/>
    <w:rPr>
      <w:szCs w:val="20"/>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uiPriority w:val="99"/>
    <w:qFormat/>
    <w:rsid w:val="00F224E5"/>
    <w:rPr>
      <w:sz w:val="16"/>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EC5604"/>
    <w:pPr>
      <w:spacing w:line="276" w:lineRule="auto"/>
      <w:ind w:left="709" w:hanging="709"/>
      <w:jc w:val="center"/>
    </w:pPr>
    <w:rPr>
      <w:b/>
      <w:caps/>
      <w:color w:val="000000"/>
      <w:sz w:val="24"/>
      <w:szCs w:val="16"/>
      <w:lang w:eastAsia="es-ES_tradnl"/>
    </w:rPr>
  </w:style>
  <w:style w:type="character" w:customStyle="1" w:styleId="NoSpacingChar">
    <w:name w:val="No Spacing Char"/>
    <w:aliases w:val="Encabezado1 Char"/>
    <w:link w:val="NoSpacing"/>
    <w:uiPriority w:val="1"/>
    <w:rsid w:val="00EC5604"/>
    <w:rPr>
      <w:b/>
      <w:caps/>
      <w:color w:val="000000"/>
      <w:sz w:val="24"/>
      <w:szCs w:val="16"/>
      <w:lang w:eastAsia="es-ES_tradnl"/>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styleId="CommentReference">
    <w:name w:val="annotation reference"/>
    <w:uiPriority w:val="99"/>
    <w:semiHidden/>
    <w:unhideWhenUsed/>
    <w:rsid w:val="006146CC"/>
    <w:rPr>
      <w:sz w:val="16"/>
      <w:szCs w:val="16"/>
    </w:rPr>
  </w:style>
  <w:style w:type="paragraph" w:styleId="CommentText">
    <w:name w:val="annotation text"/>
    <w:basedOn w:val="Normal"/>
    <w:link w:val="CommentTextCh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CommentTextChar">
    <w:name w:val="Comment Text Char"/>
    <w:link w:val="CommentText"/>
    <w:uiPriority w:val="99"/>
    <w:semiHidden/>
    <w:rsid w:val="006146CC"/>
    <w:rPr>
      <w:rFonts w:ascii="Calibri" w:hAnsi="Calibri" w:cs="Times New Roman"/>
      <w:lang w:val="es-ES" w:eastAsia="en-US"/>
    </w:rPr>
  </w:style>
  <w:style w:type="paragraph" w:styleId="BalloonText">
    <w:name w:val="Balloon Text"/>
    <w:basedOn w:val="Normal"/>
    <w:link w:val="BalloonTextChar"/>
    <w:uiPriority w:val="99"/>
    <w:semiHidden/>
    <w:unhideWhenUsed/>
    <w:rsid w:val="006146CC"/>
    <w:rPr>
      <w:rFonts w:ascii="Segoe UI" w:hAnsi="Segoe UI" w:cs="Segoe UI"/>
      <w:sz w:val="18"/>
      <w:szCs w:val="18"/>
    </w:rPr>
  </w:style>
  <w:style w:type="character" w:customStyle="1" w:styleId="BalloonTextChar">
    <w:name w:val="Balloon Text Char"/>
    <w:link w:val="BalloonText"/>
    <w:uiPriority w:val="99"/>
    <w:semiHidden/>
    <w:rsid w:val="006146CC"/>
    <w:rPr>
      <w:rFonts w:ascii="Segoe UI" w:hAnsi="Segoe UI" w:cs="Segoe UI"/>
      <w:sz w:val="18"/>
      <w:szCs w:val="18"/>
      <w:lang w:eastAsia="es-ES_tradnl"/>
    </w:rPr>
  </w:style>
  <w:style w:type="paragraph" w:styleId="ListParagraph">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
    <w:name w:val="List"/>
    <w:basedOn w:val="Normal"/>
    <w:uiPriority w:val="99"/>
    <w:unhideWhenUsed/>
    <w:rsid w:val="005F1494"/>
    <w:pPr>
      <w:ind w:left="283" w:hanging="283"/>
      <w:contextualSpacing/>
    </w:pPr>
  </w:style>
  <w:style w:type="paragraph" w:styleId="ListContinue">
    <w:name w:val="List Continue"/>
    <w:basedOn w:val="Normal"/>
    <w:uiPriority w:val="99"/>
    <w:unhideWhenUsed/>
    <w:rsid w:val="005F1494"/>
    <w:pPr>
      <w:spacing w:after="120"/>
      <w:ind w:left="283"/>
      <w:contextualSpacing/>
    </w:pPr>
  </w:style>
  <w:style w:type="paragraph" w:styleId="ListContinue2">
    <w:name w:val="List Continue 2"/>
    <w:basedOn w:val="Normal"/>
    <w:uiPriority w:val="99"/>
    <w:unhideWhenUsed/>
    <w:rsid w:val="005F1494"/>
    <w:pPr>
      <w:spacing w:after="120"/>
      <w:ind w:left="566"/>
      <w:contextualSpacing/>
    </w:pPr>
  </w:style>
  <w:style w:type="paragraph" w:styleId="BodyText">
    <w:name w:val="Body Text"/>
    <w:basedOn w:val="Normal"/>
    <w:link w:val="BodyTextChar"/>
    <w:uiPriority w:val="99"/>
    <w:unhideWhenUsed/>
    <w:rsid w:val="005F1494"/>
    <w:pPr>
      <w:spacing w:after="120"/>
    </w:pPr>
  </w:style>
  <w:style w:type="character" w:customStyle="1" w:styleId="BodyTextChar">
    <w:name w:val="Body Text Char"/>
    <w:basedOn w:val="DefaultParagraphFont"/>
    <w:link w:val="BodyText"/>
    <w:uiPriority w:val="99"/>
    <w:rsid w:val="005F1494"/>
    <w:rPr>
      <w:sz w:val="16"/>
      <w:szCs w:val="16"/>
      <w:lang w:eastAsia="es-ES_tradnl"/>
    </w:rPr>
  </w:style>
  <w:style w:type="table" w:styleId="TableGrid">
    <w:name w:val="Table Grid"/>
    <w:basedOn w:val="Table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73F8"/>
    <w:rPr>
      <w:color w:val="605E5C"/>
      <w:shd w:val="clear" w:color="auto" w:fill="E1DFDD"/>
    </w:rPr>
  </w:style>
  <w:style w:type="character" w:customStyle="1" w:styleId="Mencinsinresolver1">
    <w:name w:val="Mención sin resolver1"/>
    <w:basedOn w:val="DefaultParagraphFont"/>
    <w:uiPriority w:val="99"/>
    <w:semiHidden/>
    <w:unhideWhenUsed/>
    <w:rsid w:val="00EC5604"/>
    <w:rPr>
      <w:color w:val="605E5C"/>
      <w:shd w:val="clear" w:color="auto" w:fill="E1DFDD"/>
    </w:rPr>
  </w:style>
  <w:style w:type="paragraph" w:styleId="Revisio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phy">
    <w:name w:val="Bibliography"/>
    <w:basedOn w:val="Normal"/>
    <w:next w:val="Normal"/>
    <w:uiPriority w:val="37"/>
    <w:unhideWhenUsed/>
    <w:rsid w:val="00990B08"/>
  </w:style>
  <w:style w:type="character" w:styleId="UnresolvedMention">
    <w:name w:val="Unresolved Mention"/>
    <w:basedOn w:val="DefaultParagraphFont"/>
    <w:uiPriority w:val="99"/>
    <w:semiHidden/>
    <w:unhideWhenUsed/>
    <w:rsid w:val="008D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actosadministrativos.ramajudicial.gov.co/GetFile.ashx?url=%7e%2fApp_Data%2fUpload%2fGaceta+37+20.pdf" TargetMode="External"/><Relationship Id="rId1" Type="http://schemas.openxmlformats.org/officeDocument/2006/relationships/hyperlink" Target="http://actosadministrativos.ramajudicial.gov.co/GetFile.ashx?url=%7e%2fApp_Data%2fUpload%2fGACET62-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C7D5E5-6819-413A-A94B-FE438DCFC2BF}">
  <ds:schemaRefs>
    <ds:schemaRef ds:uri="http://schemas.openxmlformats.org/officeDocument/2006/bibliography"/>
  </ds:schemaRefs>
</ds:datastoreItem>
</file>

<file path=customXml/itemProps3.xml><?xml version="1.0" encoding="utf-8"?>
<ds:datastoreItem xmlns:ds="http://schemas.openxmlformats.org/officeDocument/2006/customXml" ds:itemID="{42855F6D-EFAE-4DC4-A6B7-9D0504164B5B}"/>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Pages>
  <Words>3086</Words>
  <Characters>17593</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Diego Nicolás Pardo Motta</cp:lastModifiedBy>
  <cp:revision>82</cp:revision>
  <cp:lastPrinted>2020-03-11T14:38:00Z</cp:lastPrinted>
  <dcterms:created xsi:type="dcterms:W3CDTF">2020-10-01T17:12:00Z</dcterms:created>
  <dcterms:modified xsi:type="dcterms:W3CDTF">2020-10-20T14:24:00Z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