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3B7A5B" w14:textId="77777777" w:rsidR="00283A32" w:rsidRPr="00EA3191" w:rsidRDefault="00283A32" w:rsidP="008D1B91">
      <w:pPr>
        <w:jc w:val="center"/>
        <w:rPr>
          <w:rFonts w:ascii="Verdana" w:hAnsi="Verdana"/>
          <w:b/>
          <w:bCs/>
          <w:lang w:val="es-ES_tradnl"/>
        </w:rPr>
      </w:pPr>
      <w:r w:rsidRPr="00EA3191">
        <w:rPr>
          <w:rFonts w:ascii="Verdana" w:hAnsi="Verdana"/>
          <w:b/>
          <w:bCs/>
          <w:lang w:val="es-ES_tradnl"/>
        </w:rPr>
        <w:t>CONSEJO DE ESTADO</w:t>
      </w:r>
    </w:p>
    <w:p w14:paraId="65BF0CDE" w14:textId="77777777" w:rsidR="00283A32" w:rsidRPr="00EA3191" w:rsidRDefault="00283A32" w:rsidP="00283A32">
      <w:pPr>
        <w:jc w:val="center"/>
        <w:rPr>
          <w:rFonts w:ascii="Verdana" w:hAnsi="Verdana"/>
          <w:b/>
          <w:bCs/>
          <w:lang w:val="es-ES_tradnl"/>
        </w:rPr>
      </w:pPr>
      <w:r w:rsidRPr="00EA3191">
        <w:rPr>
          <w:rFonts w:ascii="Verdana" w:hAnsi="Verdana"/>
          <w:b/>
          <w:bCs/>
          <w:lang w:val="es-ES_tradnl"/>
        </w:rPr>
        <w:t xml:space="preserve">SALA </w:t>
      </w:r>
      <w:r w:rsidR="00554D5C" w:rsidRPr="00EA3191">
        <w:rPr>
          <w:rFonts w:ascii="Verdana" w:hAnsi="Verdana"/>
          <w:b/>
          <w:bCs/>
          <w:lang w:val="es-ES_tradnl"/>
        </w:rPr>
        <w:t xml:space="preserve">PLENA </w:t>
      </w:r>
      <w:r w:rsidRPr="00EA3191">
        <w:rPr>
          <w:rFonts w:ascii="Verdana" w:hAnsi="Verdana"/>
          <w:b/>
          <w:bCs/>
          <w:lang w:val="es-ES_tradnl"/>
        </w:rPr>
        <w:t>DE LO CONTENCIOSO ADMINISTRATIVO</w:t>
      </w:r>
    </w:p>
    <w:p w14:paraId="6E919883" w14:textId="77777777" w:rsidR="00283A32" w:rsidRPr="00EA3191" w:rsidRDefault="00554D5C" w:rsidP="00283A32">
      <w:pPr>
        <w:jc w:val="center"/>
        <w:rPr>
          <w:rFonts w:ascii="Verdana" w:hAnsi="Verdana"/>
          <w:b/>
          <w:bCs/>
          <w:lang w:val="es-ES_tradnl"/>
        </w:rPr>
      </w:pPr>
      <w:r w:rsidRPr="00EA3191">
        <w:rPr>
          <w:rFonts w:ascii="Verdana" w:hAnsi="Verdana"/>
          <w:b/>
          <w:bCs/>
          <w:lang w:val="es-ES_tradnl"/>
        </w:rPr>
        <w:t>SALA 18 ESPECIAL DE DECISIÓN</w:t>
      </w:r>
    </w:p>
    <w:p w14:paraId="672A6659" w14:textId="77777777" w:rsidR="00283A32" w:rsidRPr="00EA3191" w:rsidRDefault="00283A32" w:rsidP="00283A32">
      <w:pPr>
        <w:jc w:val="center"/>
        <w:rPr>
          <w:rFonts w:ascii="Verdana" w:hAnsi="Verdana"/>
          <w:lang w:val="es-ES_tradnl"/>
        </w:rPr>
      </w:pPr>
    </w:p>
    <w:p w14:paraId="0A37501D" w14:textId="77777777" w:rsidR="00C42A22" w:rsidRPr="0090287D" w:rsidRDefault="00C42A22" w:rsidP="00ED27AC">
      <w:pPr>
        <w:rPr>
          <w:rFonts w:ascii="Verdana" w:hAnsi="Verdana"/>
          <w:b/>
          <w:bCs/>
          <w:sz w:val="23"/>
          <w:szCs w:val="23"/>
          <w:lang w:val="es-ES_tradnl"/>
        </w:rPr>
      </w:pPr>
    </w:p>
    <w:p w14:paraId="71978040" w14:textId="19D5111F" w:rsidR="000C64A5" w:rsidRPr="00EA3191" w:rsidRDefault="00ED27AC" w:rsidP="00D32449">
      <w:pPr>
        <w:jc w:val="both"/>
        <w:rPr>
          <w:rFonts w:ascii="Verdana" w:hAnsi="Verdana"/>
          <w:b/>
          <w:bCs/>
          <w:lang w:val="es-ES_tradnl"/>
        </w:rPr>
      </w:pPr>
      <w:r w:rsidRPr="0090287D">
        <w:rPr>
          <w:rFonts w:ascii="Verdana" w:hAnsi="Verdana"/>
          <w:b/>
          <w:bCs/>
          <w:sz w:val="23"/>
          <w:szCs w:val="23"/>
          <w:lang w:val="es-ES_tradnl"/>
        </w:rPr>
        <w:t>Bogotá D.C.,</w:t>
      </w:r>
      <w:r w:rsidR="00D32449" w:rsidRPr="0090287D">
        <w:rPr>
          <w:rFonts w:ascii="Verdana" w:hAnsi="Verdana"/>
          <w:b/>
          <w:bCs/>
          <w:sz w:val="23"/>
          <w:szCs w:val="23"/>
          <w:lang w:val="es-ES_tradnl"/>
        </w:rPr>
        <w:t xml:space="preserve"> </w:t>
      </w:r>
      <w:r w:rsidR="002075CB">
        <w:rPr>
          <w:rFonts w:ascii="Verdana" w:hAnsi="Verdana"/>
          <w:b/>
          <w:bCs/>
          <w:sz w:val="23"/>
          <w:szCs w:val="23"/>
          <w:lang w:val="es-ES_tradnl"/>
        </w:rPr>
        <w:t>diecinueve (19) de octubre de dos mil veinte (2020)</w:t>
      </w:r>
      <w:bookmarkStart w:id="0" w:name="_GoBack"/>
      <w:bookmarkEnd w:id="0"/>
    </w:p>
    <w:p w14:paraId="5DAB6C7B" w14:textId="77777777" w:rsidR="00D32449" w:rsidRPr="00EA3191" w:rsidRDefault="00D32449" w:rsidP="000C64A5">
      <w:pPr>
        <w:rPr>
          <w:rFonts w:ascii="Verdana" w:hAnsi="Verdana"/>
          <w:b/>
          <w:bCs/>
          <w:lang w:val="es-ES_tradnl"/>
        </w:rPr>
      </w:pPr>
    </w:p>
    <w:p w14:paraId="02EB378F" w14:textId="77777777" w:rsidR="009F5185" w:rsidRPr="00EA3191" w:rsidRDefault="009F5185" w:rsidP="000C64A5">
      <w:pPr>
        <w:rPr>
          <w:rFonts w:ascii="Verdana" w:hAnsi="Verdana"/>
          <w:b/>
          <w:bCs/>
          <w:lang w:val="es-ES_tradnl"/>
        </w:rPr>
      </w:pPr>
    </w:p>
    <w:p w14:paraId="132ED77E" w14:textId="3DE2B80C" w:rsidR="000C64A5" w:rsidRPr="00EA3191" w:rsidRDefault="000C64A5" w:rsidP="42888BDE">
      <w:pPr>
        <w:spacing w:line="360" w:lineRule="auto"/>
        <w:rPr>
          <w:rFonts w:ascii="Verdana" w:hAnsi="Verdana"/>
        </w:rPr>
      </w:pPr>
      <w:r w:rsidRPr="42888BDE">
        <w:rPr>
          <w:rFonts w:ascii="Verdana" w:hAnsi="Verdana"/>
          <w:b/>
          <w:bCs/>
        </w:rPr>
        <w:t>Radicación:</w:t>
      </w:r>
      <w:r w:rsidR="32E7871D" w:rsidRPr="42888BDE">
        <w:rPr>
          <w:rFonts w:ascii="Verdana" w:hAnsi="Verdana"/>
          <w:b/>
          <w:bCs/>
        </w:rPr>
        <w:t xml:space="preserve"> </w:t>
      </w:r>
      <w:r w:rsidRPr="00EA3191">
        <w:rPr>
          <w:rFonts w:ascii="Verdana" w:hAnsi="Verdana"/>
          <w:b/>
          <w:lang w:val="es-ES_tradnl"/>
        </w:rPr>
        <w:tab/>
      </w:r>
      <w:r w:rsidR="002C53EE" w:rsidRPr="42888BDE">
        <w:rPr>
          <w:rFonts w:ascii="Verdana" w:hAnsi="Verdana"/>
        </w:rPr>
        <w:t>11001 0315 000 2020 0</w:t>
      </w:r>
      <w:r w:rsidR="00F105A5" w:rsidRPr="42888BDE">
        <w:rPr>
          <w:rFonts w:ascii="Verdana" w:hAnsi="Verdana"/>
        </w:rPr>
        <w:t>4340</w:t>
      </w:r>
      <w:r w:rsidR="002C53EE" w:rsidRPr="42888BDE">
        <w:rPr>
          <w:rFonts w:ascii="Verdana" w:hAnsi="Verdana"/>
        </w:rPr>
        <w:t xml:space="preserve"> 00</w:t>
      </w:r>
    </w:p>
    <w:p w14:paraId="7572182F" w14:textId="3871B0D2" w:rsidR="005B69EE" w:rsidRPr="00F105A5" w:rsidRDefault="000C64A5" w:rsidP="00F105A5">
      <w:pPr>
        <w:spacing w:line="276" w:lineRule="auto"/>
        <w:ind w:left="2124" w:hanging="2124"/>
        <w:jc w:val="both"/>
        <w:rPr>
          <w:rFonts w:ascii="Verdana" w:hAnsi="Verdana"/>
          <w:bCs/>
          <w:color w:val="FF0000"/>
          <w:lang w:val="es-ES_tradnl"/>
        </w:rPr>
      </w:pPr>
      <w:r w:rsidRPr="00EA3191">
        <w:rPr>
          <w:rFonts w:ascii="Verdana" w:hAnsi="Verdana"/>
          <w:b/>
          <w:lang w:val="es-ES_tradnl"/>
        </w:rPr>
        <w:t>A</w:t>
      </w:r>
      <w:r w:rsidR="004A2428" w:rsidRPr="00EA3191">
        <w:rPr>
          <w:rFonts w:ascii="Verdana" w:hAnsi="Verdana"/>
          <w:b/>
          <w:bCs/>
          <w:lang w:val="es-ES_tradnl"/>
        </w:rPr>
        <w:t>sunto:</w:t>
      </w:r>
      <w:r w:rsidR="004A2428" w:rsidRPr="00EA3191">
        <w:rPr>
          <w:rFonts w:ascii="Verdana" w:hAnsi="Verdana"/>
          <w:bCs/>
          <w:lang w:val="es-ES_tradnl"/>
        </w:rPr>
        <w:t xml:space="preserve"> </w:t>
      </w:r>
      <w:r w:rsidR="004A2428" w:rsidRPr="00EA3191">
        <w:rPr>
          <w:rFonts w:ascii="Verdana" w:hAnsi="Verdana"/>
          <w:bCs/>
          <w:lang w:val="es-ES_tradnl"/>
        </w:rPr>
        <w:tab/>
        <w:t>Control inmediato de legalidad</w:t>
      </w:r>
      <w:r w:rsidR="00FC6FB8" w:rsidRPr="00EA3191">
        <w:rPr>
          <w:rFonts w:ascii="Verdana" w:hAnsi="Verdana"/>
          <w:bCs/>
          <w:lang w:val="es-ES_tradnl"/>
        </w:rPr>
        <w:t xml:space="preserve"> </w:t>
      </w:r>
      <w:r w:rsidR="00250DC1" w:rsidRPr="00EA3191">
        <w:rPr>
          <w:rFonts w:ascii="Verdana" w:hAnsi="Verdana"/>
          <w:bCs/>
          <w:lang w:val="es-ES_tradnl"/>
        </w:rPr>
        <w:t>de</w:t>
      </w:r>
      <w:r w:rsidR="00F105A5">
        <w:rPr>
          <w:rFonts w:ascii="Verdana" w:hAnsi="Verdana"/>
          <w:bCs/>
          <w:lang w:val="es-ES_tradnl"/>
        </w:rPr>
        <w:t xml:space="preserve">l Decreto 1332 de 6 de octubre de 2020, </w:t>
      </w:r>
      <w:r w:rsidR="00F105A5" w:rsidRPr="00097278">
        <w:rPr>
          <w:rFonts w:ascii="Verdana" w:hAnsi="Verdana"/>
          <w:bCs/>
          <w:i/>
          <w:lang w:val="es-ES_tradnl"/>
        </w:rPr>
        <w:t>“Por</w:t>
      </w:r>
      <w:r w:rsidR="00F105A5" w:rsidRPr="00097278">
        <w:rPr>
          <w:rFonts w:ascii="Verdana" w:hAnsi="Verdana"/>
          <w:bCs/>
          <w:i/>
        </w:rPr>
        <w:t xml:space="preserve"> el cual se reglamenta el Decreto Legislativo </w:t>
      </w:r>
      <w:hyperlink r:id="rId10" w:anchor="772" w:history="1">
        <w:r w:rsidR="00F105A5" w:rsidRPr="00097278">
          <w:rPr>
            <w:rStyle w:val="Hipervnculo"/>
            <w:rFonts w:ascii="Verdana" w:hAnsi="Verdana"/>
            <w:bCs/>
            <w:i/>
            <w:color w:val="auto"/>
            <w:u w:val="none"/>
          </w:rPr>
          <w:t>772</w:t>
        </w:r>
      </w:hyperlink>
      <w:r w:rsidR="00F105A5" w:rsidRPr="00097278">
        <w:rPr>
          <w:rFonts w:ascii="Verdana" w:hAnsi="Verdana"/>
          <w:bCs/>
          <w:i/>
        </w:rPr>
        <w:t> de 2020, sobre medidas especiales en materia de procesos de insolvencia”</w:t>
      </w:r>
      <w:r w:rsidR="00F105A5">
        <w:rPr>
          <w:rFonts w:ascii="Verdana" w:hAnsi="Verdana"/>
          <w:bCs/>
        </w:rPr>
        <w:t>, expedido por el Gobierno Nacional (Presidente de la República y Ministro de Comercio, Industria y Turismo)</w:t>
      </w:r>
    </w:p>
    <w:p w14:paraId="6A05A809" w14:textId="77777777" w:rsidR="0071715E" w:rsidRPr="00EA3191" w:rsidRDefault="0071715E" w:rsidP="000C64A5">
      <w:pPr>
        <w:jc w:val="both"/>
        <w:rPr>
          <w:rFonts w:ascii="Verdana" w:hAnsi="Verdana"/>
          <w:b/>
          <w:color w:val="FF0000"/>
          <w:lang w:val="es-ES_tradnl"/>
        </w:rPr>
      </w:pPr>
    </w:p>
    <w:p w14:paraId="5A39BBE3" w14:textId="77777777" w:rsidR="004F7D60" w:rsidRPr="00EA3191" w:rsidRDefault="004F7D60" w:rsidP="00ED27AC">
      <w:pPr>
        <w:pBdr>
          <w:bottom w:val="single" w:sz="12" w:space="0" w:color="auto"/>
        </w:pBdr>
        <w:ind w:left="2832" w:hanging="2832"/>
        <w:jc w:val="both"/>
        <w:rPr>
          <w:rFonts w:ascii="Verdana" w:hAnsi="Verdana"/>
          <w:b/>
          <w:lang w:val="es-ES_tradnl"/>
        </w:rPr>
      </w:pPr>
    </w:p>
    <w:p w14:paraId="1C34F17C" w14:textId="77777777" w:rsidR="00ED27AC" w:rsidRPr="00EA3191" w:rsidRDefault="00ED27AC" w:rsidP="00ED27AC">
      <w:pPr>
        <w:pBdr>
          <w:bottom w:val="single" w:sz="12" w:space="0" w:color="auto"/>
        </w:pBdr>
        <w:ind w:left="2832" w:hanging="2832"/>
        <w:jc w:val="both"/>
        <w:rPr>
          <w:rFonts w:ascii="Verdana" w:hAnsi="Verdana"/>
          <w:b/>
          <w:lang w:val="es-ES_tradnl"/>
        </w:rPr>
      </w:pPr>
      <w:r w:rsidRPr="00EA3191">
        <w:rPr>
          <w:rFonts w:ascii="Verdana" w:hAnsi="Verdana"/>
          <w:b/>
          <w:lang w:val="es-ES_tradnl"/>
        </w:rPr>
        <w:t>AUTO</w:t>
      </w:r>
      <w:r w:rsidR="00EF0535" w:rsidRPr="00EA3191">
        <w:rPr>
          <w:rFonts w:ascii="Verdana" w:hAnsi="Verdana"/>
          <w:b/>
          <w:lang w:val="es-ES_tradnl"/>
        </w:rPr>
        <w:t xml:space="preserve"> </w:t>
      </w:r>
      <w:r w:rsidR="00371DBC" w:rsidRPr="00EA3191">
        <w:rPr>
          <w:rFonts w:ascii="Verdana" w:hAnsi="Verdana"/>
          <w:b/>
          <w:lang w:val="es-ES_tradnl"/>
        </w:rPr>
        <w:t>INTERLOCUTORIO</w:t>
      </w:r>
    </w:p>
    <w:p w14:paraId="41C8F396" w14:textId="77777777" w:rsidR="002578EF" w:rsidRPr="00EA3191" w:rsidRDefault="002578EF" w:rsidP="0087360C">
      <w:pPr>
        <w:suppressAutoHyphens/>
        <w:spacing w:line="480" w:lineRule="auto"/>
        <w:rPr>
          <w:rFonts w:ascii="Verdana" w:hAnsi="Verdana"/>
          <w:lang w:val="es-ES_tradnl"/>
        </w:rPr>
      </w:pPr>
    </w:p>
    <w:p w14:paraId="082C4ABF" w14:textId="643C76BA" w:rsidR="00EF0535" w:rsidRPr="00F105A5" w:rsidRDefault="00512A93" w:rsidP="42888BDE">
      <w:pPr>
        <w:pStyle w:val="Textonotapie"/>
        <w:spacing w:line="360" w:lineRule="auto"/>
        <w:rPr>
          <w:sz w:val="24"/>
          <w:szCs w:val="24"/>
        </w:rPr>
      </w:pPr>
      <w:r w:rsidRPr="42888BDE">
        <w:rPr>
          <w:sz w:val="24"/>
          <w:szCs w:val="24"/>
        </w:rPr>
        <w:t xml:space="preserve">El </w:t>
      </w:r>
      <w:r w:rsidR="00EF0535" w:rsidRPr="42888BDE">
        <w:rPr>
          <w:sz w:val="24"/>
          <w:szCs w:val="24"/>
        </w:rPr>
        <w:t xml:space="preserve">Despacho </w:t>
      </w:r>
      <w:r w:rsidR="00EE7D88" w:rsidRPr="42888BDE">
        <w:rPr>
          <w:sz w:val="24"/>
          <w:szCs w:val="24"/>
        </w:rPr>
        <w:t xml:space="preserve">procede a decidir si </w:t>
      </w:r>
      <w:r w:rsidRPr="42888BDE">
        <w:rPr>
          <w:sz w:val="24"/>
          <w:szCs w:val="24"/>
        </w:rPr>
        <w:t xml:space="preserve">avoca </w:t>
      </w:r>
      <w:r w:rsidR="00EF0535" w:rsidRPr="42888BDE">
        <w:rPr>
          <w:sz w:val="24"/>
          <w:szCs w:val="24"/>
        </w:rPr>
        <w:t>el conocimiento</w:t>
      </w:r>
      <w:r w:rsidR="0071715E" w:rsidRPr="42888BDE">
        <w:rPr>
          <w:sz w:val="24"/>
          <w:szCs w:val="24"/>
        </w:rPr>
        <w:t xml:space="preserve"> </w:t>
      </w:r>
      <w:r w:rsidR="00F105A5" w:rsidRPr="42888BDE">
        <w:rPr>
          <w:sz w:val="24"/>
          <w:szCs w:val="24"/>
        </w:rPr>
        <w:t xml:space="preserve">del Decreto 1332 de 6 de octubre de 2020, </w:t>
      </w:r>
      <w:r w:rsidR="00295C47" w:rsidRPr="42888BDE">
        <w:rPr>
          <w:i/>
          <w:iCs/>
          <w:sz w:val="24"/>
          <w:szCs w:val="24"/>
        </w:rPr>
        <w:t>“</w:t>
      </w:r>
      <w:r w:rsidR="00F105A5" w:rsidRPr="42888BDE">
        <w:rPr>
          <w:i/>
          <w:iCs/>
          <w:sz w:val="24"/>
          <w:szCs w:val="24"/>
        </w:rPr>
        <w:t>Por el cual se reglamenta el Decreto Legislativo </w:t>
      </w:r>
      <w:r w:rsidR="4A0F4F39" w:rsidRPr="42888BDE">
        <w:rPr>
          <w:i/>
          <w:iCs/>
          <w:sz w:val="24"/>
          <w:szCs w:val="24"/>
        </w:rPr>
        <w:t xml:space="preserve"> </w:t>
      </w:r>
      <w:hyperlink r:id="rId11" w:anchor="772" w:history="1">
        <w:r w:rsidR="00F105A5" w:rsidRPr="42888BDE">
          <w:rPr>
            <w:rStyle w:val="Hipervnculo"/>
            <w:i/>
            <w:iCs/>
            <w:color w:val="auto"/>
            <w:sz w:val="24"/>
            <w:szCs w:val="24"/>
            <w:u w:val="none"/>
          </w:rPr>
          <w:t>772</w:t>
        </w:r>
      </w:hyperlink>
      <w:r w:rsidR="4FA97EFC" w:rsidRPr="42888BDE">
        <w:rPr>
          <w:i/>
          <w:iCs/>
          <w:sz w:val="24"/>
          <w:szCs w:val="24"/>
        </w:rPr>
        <w:t xml:space="preserve"> </w:t>
      </w:r>
      <w:r w:rsidR="00F105A5" w:rsidRPr="42888BDE">
        <w:rPr>
          <w:i/>
          <w:iCs/>
          <w:sz w:val="24"/>
          <w:szCs w:val="24"/>
        </w:rPr>
        <w:t> de 2020, sobre medidas especiales en materia de procesos de insolvencia”</w:t>
      </w:r>
      <w:r w:rsidR="00F105A5" w:rsidRPr="42888BDE">
        <w:rPr>
          <w:sz w:val="24"/>
          <w:szCs w:val="24"/>
        </w:rPr>
        <w:t>, expedido por el Gobierno Nacional (Presidente de la República y Ministro de Comercio, Industria y Turismo)</w:t>
      </w:r>
      <w:r w:rsidR="007719E5" w:rsidRPr="42888BDE">
        <w:rPr>
          <w:rStyle w:val="Refdenotaalpie"/>
          <w:sz w:val="24"/>
          <w:szCs w:val="24"/>
        </w:rPr>
        <w:footnoteReference w:id="1"/>
      </w:r>
      <w:r w:rsidR="007719E5" w:rsidRPr="42888BDE">
        <w:rPr>
          <w:sz w:val="24"/>
          <w:szCs w:val="24"/>
        </w:rPr>
        <w:t>, previas las siguientes:</w:t>
      </w:r>
      <w:r w:rsidR="007719E5" w:rsidRPr="42888BDE">
        <w:rPr>
          <w:rStyle w:val="Refdenotaalpie"/>
          <w:sz w:val="24"/>
          <w:szCs w:val="24"/>
        </w:rPr>
        <w:t xml:space="preserve"> </w:t>
      </w:r>
    </w:p>
    <w:p w14:paraId="72A3D3EC" w14:textId="77777777" w:rsidR="007719E5" w:rsidRPr="00EA3191" w:rsidRDefault="007719E5" w:rsidP="000C64A5">
      <w:pPr>
        <w:pStyle w:val="Textonotapie"/>
        <w:spacing w:line="360" w:lineRule="auto"/>
        <w:rPr>
          <w:color w:val="FF0000"/>
          <w:sz w:val="24"/>
          <w:szCs w:val="24"/>
          <w:lang w:val="es-ES_tradnl"/>
        </w:rPr>
      </w:pPr>
    </w:p>
    <w:p w14:paraId="35CE8A98" w14:textId="77777777" w:rsidR="00EF0535" w:rsidRPr="00EA3191" w:rsidRDefault="00EF0535" w:rsidP="00EF0535">
      <w:pPr>
        <w:pStyle w:val="Textonotapie"/>
        <w:spacing w:line="360" w:lineRule="auto"/>
        <w:jc w:val="center"/>
        <w:rPr>
          <w:b/>
          <w:sz w:val="24"/>
          <w:szCs w:val="24"/>
          <w:lang w:val="es-ES_tradnl"/>
        </w:rPr>
      </w:pPr>
      <w:r w:rsidRPr="00EA3191">
        <w:rPr>
          <w:b/>
          <w:sz w:val="24"/>
          <w:szCs w:val="24"/>
          <w:lang w:val="es-ES_tradnl"/>
        </w:rPr>
        <w:t>CONSIDERACIONES:</w:t>
      </w:r>
    </w:p>
    <w:p w14:paraId="0D0B940D" w14:textId="77777777" w:rsidR="00EF0535" w:rsidRPr="00EA3191" w:rsidRDefault="00EF0535" w:rsidP="000C64A5">
      <w:pPr>
        <w:pStyle w:val="Textonotapie"/>
        <w:spacing w:line="360" w:lineRule="auto"/>
        <w:rPr>
          <w:b/>
          <w:lang w:val="es-ES_tradnl"/>
        </w:rPr>
      </w:pPr>
    </w:p>
    <w:p w14:paraId="68694F59" w14:textId="77777777" w:rsidR="009F5185" w:rsidRPr="00EA3191" w:rsidRDefault="00A74C7D" w:rsidP="0071715E">
      <w:pPr>
        <w:pStyle w:val="Textonotapie"/>
        <w:spacing w:line="360" w:lineRule="auto"/>
        <w:rPr>
          <w:rFonts w:cs="Arial"/>
          <w:sz w:val="24"/>
          <w:szCs w:val="24"/>
          <w:lang w:val="es-ES_tradnl"/>
        </w:rPr>
      </w:pPr>
      <w:r w:rsidRPr="00EA3191">
        <w:rPr>
          <w:sz w:val="24"/>
          <w:szCs w:val="24"/>
          <w:lang w:val="es-ES_tradnl"/>
        </w:rPr>
        <w:t>En armonía con lo dispuesto en el artículo 20 de la Ley 137 de 1994</w:t>
      </w:r>
      <w:r w:rsidR="00A86772" w:rsidRPr="00EA3191">
        <w:rPr>
          <w:rStyle w:val="Refdenotaalpie"/>
          <w:sz w:val="24"/>
          <w:szCs w:val="24"/>
          <w:lang w:val="es-ES_tradnl"/>
        </w:rPr>
        <w:footnoteReference w:id="2"/>
      </w:r>
      <w:r w:rsidRPr="00EA3191">
        <w:rPr>
          <w:sz w:val="24"/>
          <w:szCs w:val="24"/>
          <w:lang w:val="es-ES_tradnl"/>
        </w:rPr>
        <w:t xml:space="preserve">, </w:t>
      </w:r>
      <w:r w:rsidRPr="00EA3191">
        <w:rPr>
          <w:i/>
          <w:sz w:val="24"/>
          <w:szCs w:val="24"/>
          <w:lang w:val="es-ES_tradnl"/>
        </w:rPr>
        <w:t>“</w:t>
      </w:r>
      <w:r w:rsidRPr="00EA3191">
        <w:rPr>
          <w:rFonts w:cs="Arial"/>
          <w:i/>
          <w:sz w:val="24"/>
          <w:szCs w:val="24"/>
          <w:lang w:val="es-ES_tradnl"/>
        </w:rPr>
        <w:t>Por la cual se reglamentan los Estados de Excepción en Colombia</w:t>
      </w:r>
      <w:r w:rsidRPr="00EA3191">
        <w:rPr>
          <w:rFonts w:cs="Arial"/>
          <w:sz w:val="24"/>
          <w:szCs w:val="24"/>
          <w:lang w:val="es-ES_tradnl"/>
        </w:rPr>
        <w:t xml:space="preserve">”, el artículo </w:t>
      </w:r>
      <w:r w:rsidRPr="00EA3191">
        <w:rPr>
          <w:rFonts w:cs="Arial"/>
          <w:sz w:val="24"/>
          <w:szCs w:val="24"/>
          <w:lang w:val="es-ES_tradnl"/>
        </w:rPr>
        <w:lastRenderedPageBreak/>
        <w:t>136 de la Ley 1437 de 2011</w:t>
      </w:r>
      <w:r w:rsidR="00A86772" w:rsidRPr="00EA3191">
        <w:rPr>
          <w:rFonts w:cs="Arial"/>
          <w:sz w:val="24"/>
          <w:szCs w:val="24"/>
          <w:lang w:val="es-ES_tradnl"/>
        </w:rPr>
        <w:t xml:space="preserve"> establece</w:t>
      </w:r>
      <w:r w:rsidR="0071715E" w:rsidRPr="00EA3191">
        <w:rPr>
          <w:rFonts w:cs="Arial"/>
          <w:sz w:val="24"/>
          <w:szCs w:val="24"/>
          <w:lang w:val="es-ES_tradnl"/>
        </w:rPr>
        <w:t xml:space="preserve"> </w:t>
      </w:r>
      <w:r w:rsidRPr="00EA3191">
        <w:rPr>
          <w:rFonts w:cs="Arial"/>
          <w:sz w:val="24"/>
          <w:szCs w:val="24"/>
          <w:lang w:val="es-ES_tradnl"/>
        </w:rPr>
        <w:t xml:space="preserve">que </w:t>
      </w:r>
      <w:r w:rsidR="00A86772" w:rsidRPr="00EA3191">
        <w:rPr>
          <w:rFonts w:cs="Arial"/>
          <w:sz w:val="24"/>
          <w:szCs w:val="24"/>
          <w:lang w:val="es-ES_tradnl"/>
        </w:rPr>
        <w:t>las medidas de carácter general</w:t>
      </w:r>
      <w:r w:rsidR="00A86772" w:rsidRPr="00EA3191">
        <w:rPr>
          <w:rFonts w:cs="Arial"/>
          <w:i/>
          <w:sz w:val="24"/>
          <w:szCs w:val="24"/>
          <w:lang w:val="es-ES_tradnl"/>
        </w:rPr>
        <w:t xml:space="preserve"> </w:t>
      </w:r>
      <w:r w:rsidR="00A86772" w:rsidRPr="00EA3191">
        <w:rPr>
          <w:rFonts w:cs="Arial"/>
          <w:sz w:val="24"/>
          <w:szCs w:val="24"/>
          <w:lang w:val="es-ES_tradnl"/>
        </w:rPr>
        <w:t>que sean dictadas en ejercicio de la función administrativa y como desarrollo de los decretos legislativos durante los Estados de Excepción, tendrán un control inmediato de legalidad, ejercido por la Jurisdicción de lo Contencioso Administrativo en el lugar donde se expidan, si se tratare de entidades territoriales, o del Consejo de Estado</w:t>
      </w:r>
      <w:r w:rsidR="00512A93" w:rsidRPr="00EA3191">
        <w:rPr>
          <w:rStyle w:val="Refdenotaalpie"/>
          <w:sz w:val="24"/>
          <w:szCs w:val="24"/>
          <w:lang w:val="es-ES_tradnl"/>
        </w:rPr>
        <w:footnoteReference w:id="3"/>
      </w:r>
      <w:r w:rsidR="00A86772" w:rsidRPr="00EA3191">
        <w:rPr>
          <w:rFonts w:cs="Arial"/>
          <w:sz w:val="24"/>
          <w:szCs w:val="24"/>
          <w:lang w:val="es-ES_tradnl"/>
        </w:rPr>
        <w:t xml:space="preserve"> si emanaren de autoridades nacionales, de acuerdo con las reglas de competencia establecidas en este Código</w:t>
      </w:r>
      <w:r w:rsidR="00512A93" w:rsidRPr="00EA3191">
        <w:rPr>
          <w:rStyle w:val="Refdenotaalpie"/>
          <w:sz w:val="24"/>
          <w:szCs w:val="24"/>
          <w:lang w:val="es-ES_tradnl"/>
        </w:rPr>
        <w:footnoteReference w:id="4"/>
      </w:r>
      <w:r w:rsidR="00A86772" w:rsidRPr="00EA3191">
        <w:rPr>
          <w:rFonts w:cs="Arial"/>
          <w:sz w:val="24"/>
          <w:szCs w:val="24"/>
          <w:lang w:val="es-ES_tradnl"/>
        </w:rPr>
        <w:t xml:space="preserve">. </w:t>
      </w:r>
    </w:p>
    <w:p w14:paraId="0E27B00A" w14:textId="77777777" w:rsidR="009F5185" w:rsidRPr="00EA3191" w:rsidRDefault="009F5185" w:rsidP="0071715E">
      <w:pPr>
        <w:pStyle w:val="Textonotapie"/>
        <w:spacing w:line="360" w:lineRule="auto"/>
        <w:rPr>
          <w:rFonts w:cs="Arial"/>
          <w:sz w:val="24"/>
          <w:szCs w:val="24"/>
          <w:lang w:val="es-ES_tradnl"/>
        </w:rPr>
      </w:pPr>
    </w:p>
    <w:p w14:paraId="233602F1" w14:textId="77777777" w:rsidR="00A86772" w:rsidRPr="00EA3191" w:rsidRDefault="00A86772" w:rsidP="0071715E">
      <w:pPr>
        <w:pStyle w:val="Textonotapie"/>
        <w:spacing w:line="360" w:lineRule="auto"/>
        <w:rPr>
          <w:sz w:val="24"/>
          <w:szCs w:val="24"/>
          <w:lang w:val="es-ES_tradnl"/>
        </w:rPr>
      </w:pPr>
      <w:r w:rsidRPr="00EA3191">
        <w:rPr>
          <w:sz w:val="24"/>
          <w:szCs w:val="24"/>
          <w:lang w:val="es-ES_tradnl"/>
        </w:rPr>
        <w:t>Las autoridades competentes que los expidan enviarán los actos administrativos a la autoridad judicial indicada, dentro de las cuarenta y ocho (48) horas siguientes a su expedición. Si no se efectuare el envío, la autoridad judicial competente aprehenderá de oficio su conocimiento.</w:t>
      </w:r>
    </w:p>
    <w:p w14:paraId="60061E4C" w14:textId="77777777" w:rsidR="00512A93" w:rsidRPr="00EA3191" w:rsidRDefault="00512A93" w:rsidP="0071715E">
      <w:pPr>
        <w:pStyle w:val="Textonotapie"/>
        <w:spacing w:line="360" w:lineRule="auto"/>
        <w:rPr>
          <w:sz w:val="24"/>
          <w:szCs w:val="24"/>
          <w:lang w:val="es-ES_tradnl"/>
        </w:rPr>
      </w:pPr>
    </w:p>
    <w:p w14:paraId="5CA9447A" w14:textId="15929913" w:rsidR="00512A93" w:rsidRPr="00EA3191" w:rsidRDefault="00512A93" w:rsidP="42888BDE">
      <w:pPr>
        <w:spacing w:line="360" w:lineRule="auto"/>
        <w:jc w:val="both"/>
        <w:rPr>
          <w:rFonts w:ascii="Verdana" w:hAnsi="Verdana"/>
        </w:rPr>
      </w:pPr>
      <w:r w:rsidRPr="42888BDE">
        <w:rPr>
          <w:rFonts w:ascii="Verdana" w:hAnsi="Verdana"/>
        </w:rPr>
        <w:t xml:space="preserve">En el artículo 185 </w:t>
      </w:r>
      <w:r w:rsidRPr="42888BDE">
        <w:rPr>
          <w:rFonts w:ascii="Verdana" w:hAnsi="Verdana"/>
          <w:i/>
          <w:iCs/>
        </w:rPr>
        <w:t xml:space="preserve">ibídem </w:t>
      </w:r>
      <w:r w:rsidRPr="42888BDE">
        <w:rPr>
          <w:rFonts w:ascii="Verdana" w:hAnsi="Verdana"/>
        </w:rPr>
        <w:t>se establece el trámite procesal que debe seguir el referido medio de control.</w:t>
      </w:r>
    </w:p>
    <w:p w14:paraId="44EAFD9C" w14:textId="77777777" w:rsidR="00A86772" w:rsidRPr="00EA3191" w:rsidRDefault="00A86772" w:rsidP="0071715E">
      <w:pPr>
        <w:pStyle w:val="Textonotapie"/>
        <w:spacing w:line="360" w:lineRule="auto"/>
        <w:rPr>
          <w:sz w:val="24"/>
          <w:szCs w:val="24"/>
          <w:lang w:val="es-ES_tradnl"/>
        </w:rPr>
      </w:pPr>
    </w:p>
    <w:p w14:paraId="2326517F" w14:textId="008236E3" w:rsidR="00581001" w:rsidRDefault="009E7826" w:rsidP="42888BDE">
      <w:pPr>
        <w:pStyle w:val="Textonotapie"/>
        <w:spacing w:line="360" w:lineRule="auto"/>
        <w:rPr>
          <w:sz w:val="24"/>
          <w:szCs w:val="24"/>
        </w:rPr>
      </w:pPr>
      <w:r w:rsidRPr="42888BDE">
        <w:rPr>
          <w:sz w:val="24"/>
          <w:szCs w:val="24"/>
        </w:rPr>
        <w:t>La Secretaria Jurídica de la Presidencia de la República</w:t>
      </w:r>
      <w:r w:rsidR="00581001" w:rsidRPr="42888BDE">
        <w:rPr>
          <w:sz w:val="24"/>
          <w:szCs w:val="24"/>
        </w:rPr>
        <w:t xml:space="preserve"> remitió</w:t>
      </w:r>
      <w:r w:rsidR="00BF6AC9" w:rsidRPr="42888BDE">
        <w:rPr>
          <w:sz w:val="24"/>
          <w:szCs w:val="24"/>
        </w:rPr>
        <w:t xml:space="preserve">, </w:t>
      </w:r>
      <w:r w:rsidR="0097463E" w:rsidRPr="42888BDE">
        <w:rPr>
          <w:sz w:val="24"/>
          <w:szCs w:val="24"/>
        </w:rPr>
        <w:t xml:space="preserve">para los fines </w:t>
      </w:r>
      <w:r w:rsidR="00781FBB" w:rsidRPr="42888BDE">
        <w:rPr>
          <w:sz w:val="24"/>
          <w:szCs w:val="24"/>
        </w:rPr>
        <w:t>antes señalados</w:t>
      </w:r>
      <w:r w:rsidR="0097463E" w:rsidRPr="42888BDE">
        <w:rPr>
          <w:sz w:val="24"/>
          <w:szCs w:val="24"/>
        </w:rPr>
        <w:t>,</w:t>
      </w:r>
      <w:r w:rsidRPr="42888BDE">
        <w:rPr>
          <w:sz w:val="24"/>
          <w:szCs w:val="24"/>
        </w:rPr>
        <w:t xml:space="preserve"> el Decreto 1332 de 6 de octubre de 2020, </w:t>
      </w:r>
      <w:r w:rsidRPr="42888BDE">
        <w:rPr>
          <w:i/>
          <w:iCs/>
          <w:sz w:val="24"/>
          <w:szCs w:val="24"/>
        </w:rPr>
        <w:t>“Por el cual se reglamenta el Decreto Legislativo </w:t>
      </w:r>
      <w:r w:rsidR="285C4BA0" w:rsidRPr="42888BDE">
        <w:rPr>
          <w:i/>
          <w:iCs/>
          <w:sz w:val="24"/>
          <w:szCs w:val="24"/>
        </w:rPr>
        <w:t xml:space="preserve"> </w:t>
      </w:r>
      <w:hyperlink r:id="rId12" w:anchor="772">
        <w:r w:rsidRPr="42888BDE">
          <w:rPr>
            <w:rStyle w:val="Hipervnculo"/>
            <w:i/>
            <w:iCs/>
            <w:color w:val="auto"/>
            <w:sz w:val="24"/>
            <w:szCs w:val="24"/>
            <w:u w:val="none"/>
          </w:rPr>
          <w:t>772</w:t>
        </w:r>
      </w:hyperlink>
      <w:r w:rsidR="604C0579" w:rsidRPr="42888BDE">
        <w:rPr>
          <w:i/>
          <w:iCs/>
          <w:sz w:val="24"/>
          <w:szCs w:val="24"/>
        </w:rPr>
        <w:t xml:space="preserve"> </w:t>
      </w:r>
      <w:r w:rsidRPr="42888BDE">
        <w:rPr>
          <w:i/>
          <w:iCs/>
          <w:sz w:val="24"/>
          <w:szCs w:val="24"/>
        </w:rPr>
        <w:t> de 2020, sobre medidas especiales en materia de procesos de insolvencia”</w:t>
      </w:r>
      <w:r w:rsidRPr="42888BDE">
        <w:rPr>
          <w:sz w:val="24"/>
          <w:szCs w:val="24"/>
        </w:rPr>
        <w:t>, expedido por el Gobierno Nacional (Presidente de la República y Ministro de Comercio, Industria y Turismo)</w:t>
      </w:r>
      <w:r w:rsidR="00D6241E" w:rsidRPr="42888BDE">
        <w:rPr>
          <w:i/>
          <w:iCs/>
          <w:sz w:val="24"/>
          <w:szCs w:val="24"/>
        </w:rPr>
        <w:t xml:space="preserve">. </w:t>
      </w:r>
      <w:r w:rsidR="00097278" w:rsidRPr="42888BDE">
        <w:rPr>
          <w:sz w:val="24"/>
          <w:szCs w:val="24"/>
        </w:rPr>
        <w:t>En los considerandos de este</w:t>
      </w:r>
      <w:r w:rsidR="004572F4" w:rsidRPr="42888BDE">
        <w:rPr>
          <w:sz w:val="24"/>
          <w:szCs w:val="24"/>
        </w:rPr>
        <w:t xml:space="preserve"> </w:t>
      </w:r>
      <w:r w:rsidRPr="42888BDE">
        <w:rPr>
          <w:sz w:val="24"/>
          <w:szCs w:val="24"/>
        </w:rPr>
        <w:t xml:space="preserve">Decreto </w:t>
      </w:r>
      <w:r w:rsidR="0097463E" w:rsidRPr="42888BDE">
        <w:rPr>
          <w:sz w:val="24"/>
          <w:szCs w:val="24"/>
        </w:rPr>
        <w:t>se señalan</w:t>
      </w:r>
      <w:r w:rsidRPr="42888BDE">
        <w:rPr>
          <w:sz w:val="24"/>
          <w:szCs w:val="24"/>
        </w:rPr>
        <w:t xml:space="preserve"> como</w:t>
      </w:r>
      <w:r w:rsidR="0097463E" w:rsidRPr="42888BDE">
        <w:rPr>
          <w:sz w:val="24"/>
          <w:szCs w:val="24"/>
        </w:rPr>
        <w:t xml:space="preserve"> motivaciones para su expedición, las siguientes:</w:t>
      </w:r>
    </w:p>
    <w:p w14:paraId="67C5E272" w14:textId="27D83B1B" w:rsidR="42888BDE" w:rsidRDefault="42888BDE" w:rsidP="42888BDE">
      <w:pPr>
        <w:pStyle w:val="Textonotapie"/>
        <w:spacing w:line="360" w:lineRule="auto"/>
        <w:rPr>
          <w:sz w:val="24"/>
          <w:szCs w:val="24"/>
        </w:rPr>
      </w:pPr>
    </w:p>
    <w:p w14:paraId="1AF8ABC7" w14:textId="7F0586B7" w:rsidR="009E7826" w:rsidRPr="009E7826" w:rsidRDefault="009E7826" w:rsidP="009E7826">
      <w:pPr>
        <w:pStyle w:val="Textonotapie"/>
        <w:ind w:left="567"/>
        <w:rPr>
          <w:bCs/>
          <w:sz w:val="22"/>
          <w:szCs w:val="22"/>
        </w:rPr>
      </w:pPr>
      <w:r>
        <w:rPr>
          <w:bCs/>
          <w:sz w:val="22"/>
          <w:szCs w:val="22"/>
        </w:rPr>
        <w:t>“</w:t>
      </w:r>
      <w:r w:rsidRPr="009E7826">
        <w:rPr>
          <w:bCs/>
          <w:sz w:val="22"/>
          <w:szCs w:val="22"/>
        </w:rPr>
        <w:t>Que la Ley 1116 de 2006 establece el régimen de insolvencia empresarial y su objetivo consiste en proteger el crédito, recuperar y conservar las empresas como unidades de explotación económica y fuentes generadoras de empleo, a tr</w:t>
      </w:r>
      <w:r w:rsidR="00097278">
        <w:rPr>
          <w:bCs/>
          <w:sz w:val="22"/>
          <w:szCs w:val="22"/>
        </w:rPr>
        <w:t>avés de l</w:t>
      </w:r>
      <w:r w:rsidRPr="009E7826">
        <w:rPr>
          <w:bCs/>
          <w:sz w:val="22"/>
          <w:szCs w:val="22"/>
        </w:rPr>
        <w:t>os procesos de reorganización y de liquidación judicial, buscando el aprovechamiento del patrimonio del deudor, cuando no es posible su recuperación, siempre bajo el criterio de agregación de valor.</w:t>
      </w:r>
    </w:p>
    <w:p w14:paraId="50E2AA03" w14:textId="77777777" w:rsidR="009E7826" w:rsidRPr="009E7826" w:rsidRDefault="009E7826" w:rsidP="009E7826">
      <w:pPr>
        <w:pStyle w:val="Textonotapie"/>
        <w:ind w:left="567"/>
        <w:rPr>
          <w:bCs/>
          <w:sz w:val="22"/>
          <w:szCs w:val="22"/>
        </w:rPr>
      </w:pPr>
      <w:r w:rsidRPr="009E7826">
        <w:rPr>
          <w:bCs/>
          <w:sz w:val="22"/>
          <w:szCs w:val="22"/>
        </w:rPr>
        <w:t> </w:t>
      </w:r>
    </w:p>
    <w:p w14:paraId="22A12230" w14:textId="77777777" w:rsidR="009E7826" w:rsidRPr="009E7826" w:rsidRDefault="009E7826" w:rsidP="009E7826">
      <w:pPr>
        <w:pStyle w:val="Textonotapie"/>
        <w:ind w:left="567"/>
        <w:rPr>
          <w:bCs/>
          <w:sz w:val="22"/>
          <w:szCs w:val="22"/>
        </w:rPr>
      </w:pPr>
      <w:r w:rsidRPr="009E7826">
        <w:rPr>
          <w:bCs/>
          <w:sz w:val="22"/>
          <w:szCs w:val="22"/>
        </w:rPr>
        <w:t>Que la Ley 1116 de 2006 otorgó facultades jurisdiccionales a la Superintendencia de Sociedades para conocer como Juez del Concurso en el caso de todas las sociedades, empresas unipersonales y sucursales de sociedades extranjeras y, a prevención, tratándose de deudores personas naturales comerciantes.</w:t>
      </w:r>
    </w:p>
    <w:p w14:paraId="1AA950E6" w14:textId="77777777" w:rsidR="009E7826" w:rsidRPr="009E7826" w:rsidRDefault="009E7826" w:rsidP="009E7826">
      <w:pPr>
        <w:pStyle w:val="Textonotapie"/>
        <w:ind w:left="567"/>
        <w:rPr>
          <w:bCs/>
          <w:sz w:val="22"/>
          <w:szCs w:val="22"/>
        </w:rPr>
      </w:pPr>
      <w:r w:rsidRPr="009E7826">
        <w:rPr>
          <w:bCs/>
          <w:sz w:val="22"/>
          <w:szCs w:val="22"/>
        </w:rPr>
        <w:t> </w:t>
      </w:r>
    </w:p>
    <w:p w14:paraId="6C9149A4" w14:textId="77777777" w:rsidR="009E7826" w:rsidRPr="009E7826" w:rsidRDefault="009E7826" w:rsidP="009E7826">
      <w:pPr>
        <w:pStyle w:val="Textonotapie"/>
        <w:ind w:left="567"/>
        <w:rPr>
          <w:bCs/>
          <w:sz w:val="22"/>
          <w:szCs w:val="22"/>
        </w:rPr>
      </w:pPr>
      <w:r w:rsidRPr="009E7826">
        <w:rPr>
          <w:bCs/>
          <w:sz w:val="22"/>
          <w:szCs w:val="22"/>
        </w:rPr>
        <w:t>Que el Gobierno nacional expidió el Decreto Legislativo 772 de 2020, por el cual se dictan medidas especiales en materia de procesos de insolvencia, con el fin de mitigar los efectos de la emergencia social, económica y ecológica en el sector empresarial.</w:t>
      </w:r>
    </w:p>
    <w:p w14:paraId="1CC2FA5D" w14:textId="77777777" w:rsidR="009E7826" w:rsidRPr="009E7826" w:rsidRDefault="009E7826" w:rsidP="009E7826">
      <w:pPr>
        <w:pStyle w:val="Textonotapie"/>
        <w:ind w:left="567"/>
        <w:rPr>
          <w:bCs/>
          <w:sz w:val="22"/>
          <w:szCs w:val="22"/>
        </w:rPr>
      </w:pPr>
      <w:r w:rsidRPr="009E7826">
        <w:rPr>
          <w:bCs/>
          <w:sz w:val="22"/>
          <w:szCs w:val="22"/>
        </w:rPr>
        <w:t> </w:t>
      </w:r>
    </w:p>
    <w:p w14:paraId="7F0B76E8" w14:textId="77777777" w:rsidR="009E7826" w:rsidRPr="009E7826" w:rsidRDefault="009E7826" w:rsidP="009E7826">
      <w:pPr>
        <w:pStyle w:val="Textonotapie"/>
        <w:ind w:left="567"/>
        <w:rPr>
          <w:bCs/>
          <w:sz w:val="22"/>
          <w:szCs w:val="22"/>
        </w:rPr>
      </w:pPr>
      <w:r w:rsidRPr="009E7826">
        <w:rPr>
          <w:bCs/>
          <w:sz w:val="22"/>
          <w:szCs w:val="22"/>
        </w:rPr>
        <w:t>Que los artículos 11 y 12 del precitado Decreto Legislativo definieron los procesos de reorganización abreviado y liquidación judicial simplificado para pequeñas insolvencias, dirigido a aquellos deudores con activos inferiores o iguales a cinco mil. salarios mínimos legales mensuales vigentes (5.000 SMMLV), por lo que resulta necesario definir algunos aspectos relativos a los destinatarios de los mencionados procesos, así como la posibilidad que tienen los deudores para acceder a otros procesos, procedimientos o trámites definidos en la Ley 1116 de 2020 y el Decreto Legislativo 560 de 2020.</w:t>
      </w:r>
    </w:p>
    <w:p w14:paraId="75DD9A2A" w14:textId="77777777" w:rsidR="009E7826" w:rsidRPr="009E7826" w:rsidRDefault="009E7826" w:rsidP="009E7826">
      <w:pPr>
        <w:pStyle w:val="Textonotapie"/>
        <w:ind w:left="567"/>
        <w:rPr>
          <w:bCs/>
          <w:sz w:val="22"/>
          <w:szCs w:val="22"/>
        </w:rPr>
      </w:pPr>
      <w:r w:rsidRPr="009E7826">
        <w:rPr>
          <w:bCs/>
          <w:sz w:val="22"/>
          <w:szCs w:val="22"/>
        </w:rPr>
        <w:t> </w:t>
      </w:r>
    </w:p>
    <w:p w14:paraId="51702F13" w14:textId="77777777" w:rsidR="009E7826" w:rsidRPr="009E7826" w:rsidRDefault="009E7826" w:rsidP="009E7826">
      <w:pPr>
        <w:pStyle w:val="Textonotapie"/>
        <w:ind w:left="567"/>
        <w:rPr>
          <w:bCs/>
          <w:sz w:val="22"/>
          <w:szCs w:val="22"/>
        </w:rPr>
      </w:pPr>
      <w:r w:rsidRPr="009E7826">
        <w:rPr>
          <w:bCs/>
          <w:sz w:val="22"/>
          <w:szCs w:val="22"/>
        </w:rPr>
        <w:t>Que de acuerdo con las reglas establecidas para los procesos de reorganización abreviado y liquidación judicial simplificado para pequeñas insolvencias, se debe precisar la aplicación de la coordinación de estos procesos.</w:t>
      </w:r>
    </w:p>
    <w:p w14:paraId="57CAC272" w14:textId="77777777" w:rsidR="009E7826" w:rsidRPr="009E7826" w:rsidRDefault="009E7826" w:rsidP="009E7826">
      <w:pPr>
        <w:pStyle w:val="Textonotapie"/>
        <w:ind w:left="567"/>
        <w:rPr>
          <w:bCs/>
          <w:sz w:val="22"/>
          <w:szCs w:val="22"/>
        </w:rPr>
      </w:pPr>
      <w:r w:rsidRPr="009E7826">
        <w:rPr>
          <w:bCs/>
          <w:sz w:val="22"/>
          <w:szCs w:val="22"/>
        </w:rPr>
        <w:t> </w:t>
      </w:r>
    </w:p>
    <w:p w14:paraId="18926163" w14:textId="626BA675" w:rsidR="009E7826" w:rsidRPr="009E7826" w:rsidRDefault="009E7826" w:rsidP="009E7826">
      <w:pPr>
        <w:pStyle w:val="Textonotapie"/>
        <w:ind w:left="567"/>
        <w:rPr>
          <w:bCs/>
          <w:sz w:val="22"/>
          <w:szCs w:val="22"/>
        </w:rPr>
      </w:pPr>
      <w:r w:rsidRPr="009E7826">
        <w:rPr>
          <w:bCs/>
          <w:sz w:val="22"/>
          <w:szCs w:val="22"/>
        </w:rPr>
        <w:t xml:space="preserve">Que de </w:t>
      </w:r>
      <w:r w:rsidR="00097278">
        <w:rPr>
          <w:bCs/>
          <w:sz w:val="22"/>
          <w:szCs w:val="22"/>
        </w:rPr>
        <w:t>conformidad con las etapas señ</w:t>
      </w:r>
      <w:r w:rsidRPr="009E7826">
        <w:rPr>
          <w:bCs/>
          <w:sz w:val="22"/>
          <w:szCs w:val="22"/>
        </w:rPr>
        <w:t>aladas en los procesos de reorganización abreviado y liquidación judicial simplificado para pequeñas insolvencias, se estableció la presentación de objeciones a la calificación y graduación de créditos, determinación de los derechos de voto y resulta necesario definir que su presentación se realice ante el Juez del Concurso para que obren en el expediente, así como los términos para la sustentación del plan de negocios y de la propuesta de acuerdo de reorganización.</w:t>
      </w:r>
    </w:p>
    <w:p w14:paraId="42AEE1DD" w14:textId="77777777" w:rsidR="009E7826" w:rsidRPr="009E7826" w:rsidRDefault="009E7826" w:rsidP="009E7826">
      <w:pPr>
        <w:pStyle w:val="Textonotapie"/>
        <w:ind w:left="567"/>
        <w:rPr>
          <w:bCs/>
          <w:sz w:val="22"/>
          <w:szCs w:val="22"/>
        </w:rPr>
      </w:pPr>
      <w:r w:rsidRPr="009E7826">
        <w:rPr>
          <w:bCs/>
          <w:sz w:val="22"/>
          <w:szCs w:val="22"/>
        </w:rPr>
        <w:t> </w:t>
      </w:r>
    </w:p>
    <w:p w14:paraId="4A1BBF64" w14:textId="77777777" w:rsidR="009E7826" w:rsidRPr="009E7826" w:rsidRDefault="009E7826" w:rsidP="009E7826">
      <w:pPr>
        <w:pStyle w:val="Textonotapie"/>
        <w:ind w:left="567"/>
        <w:rPr>
          <w:bCs/>
          <w:sz w:val="22"/>
          <w:szCs w:val="22"/>
        </w:rPr>
      </w:pPr>
      <w:r w:rsidRPr="009E7826">
        <w:rPr>
          <w:bCs/>
          <w:sz w:val="22"/>
          <w:szCs w:val="22"/>
        </w:rPr>
        <w:t>Que, con el fin de dar claridad sobre la designación de los promotores en el proceso de reorganización abreviado para pequeñas insolvencias, se hace necesario señalar la aplicación de las normas previstas para tal fin en los procesos de reorganización, en especial las contenidas en la Ley 1429 de 2010.</w:t>
      </w:r>
    </w:p>
    <w:p w14:paraId="258A2C95" w14:textId="77777777" w:rsidR="009E7826" w:rsidRPr="009E7826" w:rsidRDefault="009E7826" w:rsidP="009E7826">
      <w:pPr>
        <w:pStyle w:val="Textonotapie"/>
        <w:ind w:left="567"/>
        <w:rPr>
          <w:bCs/>
          <w:sz w:val="22"/>
          <w:szCs w:val="22"/>
        </w:rPr>
      </w:pPr>
      <w:r w:rsidRPr="009E7826">
        <w:rPr>
          <w:bCs/>
          <w:sz w:val="22"/>
          <w:szCs w:val="22"/>
        </w:rPr>
        <w:t> </w:t>
      </w:r>
    </w:p>
    <w:p w14:paraId="40DD0E05" w14:textId="77777777" w:rsidR="009E7826" w:rsidRPr="009E7826" w:rsidRDefault="009E7826" w:rsidP="009E7826">
      <w:pPr>
        <w:pStyle w:val="Textonotapie"/>
        <w:ind w:left="567"/>
        <w:rPr>
          <w:bCs/>
          <w:sz w:val="22"/>
          <w:szCs w:val="22"/>
        </w:rPr>
      </w:pPr>
      <w:r w:rsidRPr="009E7826">
        <w:rPr>
          <w:bCs/>
          <w:sz w:val="22"/>
          <w:szCs w:val="22"/>
        </w:rPr>
        <w:t xml:space="preserve">Que es pertinente desarrollar el artículo 5 del Decreto Legislativo 772 de 2020, respecto a los mecanismos de protección de la empresa y el empleo, </w:t>
      </w:r>
      <w:r w:rsidRPr="009E7826">
        <w:rPr>
          <w:bCs/>
          <w:sz w:val="22"/>
          <w:szCs w:val="22"/>
        </w:rPr>
        <w:lastRenderedPageBreak/>
        <w:t>para definir algunas obligaciones especiales en cabeza de los deudores que se encuentren en trámite de un proceso de reorganización o hayan solicitado su inicio y cuya actividad es la construcción de inmuebles destinados a vivienda, para tramitar con eficacia dichos mecanismos.</w:t>
      </w:r>
    </w:p>
    <w:p w14:paraId="7B6FB100" w14:textId="77777777" w:rsidR="009E7826" w:rsidRPr="009E7826" w:rsidRDefault="009E7826" w:rsidP="009E7826">
      <w:pPr>
        <w:pStyle w:val="Textonotapie"/>
        <w:ind w:left="567"/>
        <w:rPr>
          <w:bCs/>
          <w:sz w:val="22"/>
          <w:szCs w:val="22"/>
        </w:rPr>
      </w:pPr>
      <w:r w:rsidRPr="009E7826">
        <w:rPr>
          <w:bCs/>
          <w:sz w:val="22"/>
          <w:szCs w:val="22"/>
        </w:rPr>
        <w:t> </w:t>
      </w:r>
    </w:p>
    <w:p w14:paraId="06E64F61" w14:textId="77777777" w:rsidR="009E7826" w:rsidRPr="009E7826" w:rsidRDefault="009E7826" w:rsidP="009E7826">
      <w:pPr>
        <w:pStyle w:val="Textonotapie"/>
        <w:ind w:left="567"/>
        <w:rPr>
          <w:bCs/>
          <w:sz w:val="22"/>
          <w:szCs w:val="22"/>
        </w:rPr>
      </w:pPr>
      <w:r w:rsidRPr="009E7826">
        <w:rPr>
          <w:bCs/>
          <w:sz w:val="22"/>
          <w:szCs w:val="22"/>
        </w:rPr>
        <w:t>Que resulta necesario para el cumplimiento de los fines del Decreto Legislativo 772 de 2020 que durante su vigencia no sea procedente el registro como gravamen judicial de las medidas cautelares decretadas sobre bienes del deudor ejecutado, así como definir su tratamiento en los procesos de insolvencia, especialmente sobre el levantamiento por parte del Juez del Concurso.</w:t>
      </w:r>
    </w:p>
    <w:p w14:paraId="4C7FF1D0" w14:textId="77777777" w:rsidR="009E7826" w:rsidRPr="009E7826" w:rsidRDefault="009E7826" w:rsidP="009E7826">
      <w:pPr>
        <w:pStyle w:val="Textonotapie"/>
        <w:ind w:left="567"/>
        <w:rPr>
          <w:bCs/>
          <w:sz w:val="22"/>
          <w:szCs w:val="22"/>
        </w:rPr>
      </w:pPr>
      <w:r w:rsidRPr="009E7826">
        <w:rPr>
          <w:bCs/>
          <w:sz w:val="22"/>
          <w:szCs w:val="22"/>
        </w:rPr>
        <w:t> </w:t>
      </w:r>
    </w:p>
    <w:p w14:paraId="636C8D88" w14:textId="77777777" w:rsidR="009E7826" w:rsidRPr="009E7826" w:rsidRDefault="009E7826" w:rsidP="009E7826">
      <w:pPr>
        <w:pStyle w:val="Textonotapie"/>
        <w:ind w:left="567"/>
        <w:rPr>
          <w:bCs/>
          <w:sz w:val="22"/>
          <w:szCs w:val="22"/>
        </w:rPr>
      </w:pPr>
      <w:r w:rsidRPr="009E7826">
        <w:rPr>
          <w:bCs/>
          <w:sz w:val="22"/>
          <w:szCs w:val="22"/>
        </w:rPr>
        <w:t>Que de acuerdo con lo señalado en el artículo 6 del Decreto Legislativo 772 de 2020, en relación con la caducidad de las acciones individuales de cobro, es necesario precisar el alcance de la figura y su aplicación en el proceso de liquidación judicial.</w:t>
      </w:r>
    </w:p>
    <w:p w14:paraId="567E737F" w14:textId="77777777" w:rsidR="009E7826" w:rsidRPr="009E7826" w:rsidRDefault="009E7826" w:rsidP="009E7826">
      <w:pPr>
        <w:pStyle w:val="Textonotapie"/>
        <w:ind w:left="567"/>
        <w:rPr>
          <w:bCs/>
          <w:sz w:val="22"/>
          <w:szCs w:val="22"/>
        </w:rPr>
      </w:pPr>
      <w:r w:rsidRPr="009E7826">
        <w:rPr>
          <w:bCs/>
          <w:sz w:val="22"/>
          <w:szCs w:val="22"/>
        </w:rPr>
        <w:t> </w:t>
      </w:r>
    </w:p>
    <w:p w14:paraId="4C21A7DA" w14:textId="77777777" w:rsidR="009E7826" w:rsidRPr="009E7826" w:rsidRDefault="009E7826" w:rsidP="009E7826">
      <w:pPr>
        <w:pStyle w:val="Textonotapie"/>
        <w:ind w:left="567"/>
        <w:rPr>
          <w:bCs/>
          <w:sz w:val="22"/>
          <w:szCs w:val="22"/>
        </w:rPr>
      </w:pPr>
      <w:r w:rsidRPr="009E7826">
        <w:rPr>
          <w:bCs/>
          <w:sz w:val="22"/>
          <w:szCs w:val="22"/>
        </w:rPr>
        <w:t>Que el artículo 6 del Decreto Legislativo 772 de 2020, definió los mecanismos de recuperación de valor en los procesos de liquidación, de tal forma que resulta pertinente determinar algunos aspectos relativos a la propuesta de adjudicación directa del liquidador.</w:t>
      </w:r>
    </w:p>
    <w:p w14:paraId="4231326F" w14:textId="77777777" w:rsidR="009E7826" w:rsidRPr="009E7826" w:rsidRDefault="009E7826" w:rsidP="009E7826">
      <w:pPr>
        <w:pStyle w:val="Textonotapie"/>
        <w:ind w:left="567"/>
        <w:rPr>
          <w:bCs/>
          <w:sz w:val="22"/>
          <w:szCs w:val="22"/>
        </w:rPr>
      </w:pPr>
      <w:r w:rsidRPr="009E7826">
        <w:rPr>
          <w:bCs/>
          <w:sz w:val="22"/>
          <w:szCs w:val="22"/>
        </w:rPr>
        <w:t> </w:t>
      </w:r>
    </w:p>
    <w:p w14:paraId="746896CD" w14:textId="77777777" w:rsidR="009E7826" w:rsidRPr="009E7826" w:rsidRDefault="009E7826" w:rsidP="009E7826">
      <w:pPr>
        <w:pStyle w:val="Textonotapie"/>
        <w:ind w:left="567"/>
        <w:rPr>
          <w:bCs/>
          <w:sz w:val="22"/>
          <w:szCs w:val="22"/>
        </w:rPr>
      </w:pPr>
      <w:r w:rsidRPr="009E7826">
        <w:rPr>
          <w:bCs/>
          <w:sz w:val="22"/>
          <w:szCs w:val="22"/>
        </w:rPr>
        <w:t>Que mediante Boletín No.139 de 3 de septiembre de 2020, la Corte Constitucional declaró que el Decreto Legislativo 772 de 2020, está ajustado a la Constitución, con algunas excepciones relativas al pago de los honorarios del liquidador en los procesos de liquidación judicial simplificado, previsto en el artículo 13 del mencionado decreto.</w:t>
      </w:r>
    </w:p>
    <w:p w14:paraId="6B6E2570" w14:textId="77777777" w:rsidR="009E7826" w:rsidRPr="009E7826" w:rsidRDefault="009E7826" w:rsidP="009E7826">
      <w:pPr>
        <w:pStyle w:val="Textonotapie"/>
        <w:ind w:left="567"/>
        <w:rPr>
          <w:bCs/>
          <w:sz w:val="22"/>
          <w:szCs w:val="22"/>
        </w:rPr>
      </w:pPr>
      <w:r w:rsidRPr="009E7826">
        <w:rPr>
          <w:bCs/>
          <w:sz w:val="22"/>
          <w:szCs w:val="22"/>
        </w:rPr>
        <w:t> </w:t>
      </w:r>
    </w:p>
    <w:p w14:paraId="7B9F3A56" w14:textId="139E8E81" w:rsidR="009E7826" w:rsidRPr="009E7826" w:rsidRDefault="009E7826" w:rsidP="009E7826">
      <w:pPr>
        <w:pStyle w:val="Textonotapie"/>
        <w:ind w:left="567"/>
        <w:rPr>
          <w:bCs/>
          <w:sz w:val="22"/>
          <w:szCs w:val="22"/>
        </w:rPr>
      </w:pPr>
      <w:r w:rsidRPr="009E7826">
        <w:rPr>
          <w:bCs/>
          <w:sz w:val="22"/>
          <w:szCs w:val="22"/>
        </w:rPr>
        <w:t>Que en virtud de lo previsto en el artículo 2.1.2.1.14 del Decreto 1081 de 2015, Único Reglamentario del Sector Administrativo de la Presidencia de la República, el presente decreto estuvo publicado por el término de quince (15) días calendario, entre el 6 y 23 de agosto de 2020.”</w:t>
      </w:r>
    </w:p>
    <w:p w14:paraId="22E676A0" w14:textId="77777777" w:rsidR="009E7826" w:rsidRDefault="009E7826" w:rsidP="00F343F4">
      <w:pPr>
        <w:pStyle w:val="Textonotapie"/>
        <w:spacing w:line="480" w:lineRule="auto"/>
        <w:rPr>
          <w:bCs/>
          <w:sz w:val="24"/>
          <w:szCs w:val="24"/>
          <w:lang w:val="es-ES_tradnl"/>
        </w:rPr>
      </w:pPr>
    </w:p>
    <w:p w14:paraId="3AE7DE08" w14:textId="18A0C0DB" w:rsidR="0082251C" w:rsidRPr="00C109F8" w:rsidRDefault="006E3782" w:rsidP="70F0865B">
      <w:pPr>
        <w:spacing w:line="360" w:lineRule="auto"/>
        <w:jc w:val="both"/>
        <w:rPr>
          <w:rFonts w:ascii="Verdana" w:hAnsi="Verdana"/>
          <w:color w:val="000000"/>
        </w:rPr>
      </w:pPr>
      <w:r w:rsidRPr="70F0865B">
        <w:rPr>
          <w:rFonts w:ascii="Verdana" w:hAnsi="Verdana"/>
          <w:color w:val="000000"/>
        </w:rPr>
        <w:t>En ese orden</w:t>
      </w:r>
      <w:r w:rsidR="0087360C" w:rsidRPr="70F0865B">
        <w:rPr>
          <w:rFonts w:ascii="Verdana" w:hAnsi="Verdana"/>
          <w:color w:val="000000"/>
        </w:rPr>
        <w:t xml:space="preserve">, se tiene que </w:t>
      </w:r>
      <w:r w:rsidR="00F343F4">
        <w:rPr>
          <w:rFonts w:ascii="Verdana" w:hAnsi="Verdana"/>
          <w:color w:val="000000"/>
        </w:rPr>
        <w:t>el Decreto 1332 de 6 de octubre de 2020</w:t>
      </w:r>
      <w:r w:rsidR="00E312B6" w:rsidRPr="70F0865B">
        <w:rPr>
          <w:rFonts w:ascii="Verdana" w:hAnsi="Verdana"/>
          <w:color w:val="000000"/>
        </w:rPr>
        <w:t xml:space="preserve"> </w:t>
      </w:r>
      <w:r w:rsidR="008C4FAC" w:rsidRPr="70F0865B">
        <w:rPr>
          <w:rFonts w:ascii="Verdana" w:hAnsi="Verdana"/>
          <w:color w:val="000000"/>
        </w:rPr>
        <w:t xml:space="preserve">es un acto de carácter general dictado </w:t>
      </w:r>
      <w:r w:rsidR="00781FBB" w:rsidRPr="70F0865B">
        <w:rPr>
          <w:rFonts w:ascii="Verdana" w:hAnsi="Verdana"/>
          <w:color w:val="000000"/>
        </w:rPr>
        <w:t xml:space="preserve">por una autoridad nacional </w:t>
      </w:r>
      <w:r w:rsidR="008C4FAC" w:rsidRPr="70F0865B">
        <w:rPr>
          <w:rFonts w:ascii="Verdana" w:hAnsi="Verdana"/>
          <w:color w:val="000000"/>
        </w:rPr>
        <w:t>en ejercicio de la función administrati</w:t>
      </w:r>
      <w:r w:rsidRPr="70F0865B">
        <w:rPr>
          <w:rFonts w:ascii="Verdana" w:hAnsi="Verdana"/>
          <w:color w:val="000000"/>
        </w:rPr>
        <w:t xml:space="preserve">va y como desarrollo </w:t>
      </w:r>
      <w:r w:rsidR="00F343F4">
        <w:rPr>
          <w:rFonts w:ascii="Verdana" w:hAnsi="Verdana"/>
          <w:color w:val="000000"/>
        </w:rPr>
        <w:t xml:space="preserve">reglamentario </w:t>
      </w:r>
      <w:r w:rsidRPr="70F0865B">
        <w:rPr>
          <w:rFonts w:ascii="Verdana" w:hAnsi="Verdana"/>
          <w:color w:val="000000"/>
        </w:rPr>
        <w:t>del</w:t>
      </w:r>
      <w:r w:rsidR="008C4FAC" w:rsidRPr="70F0865B">
        <w:rPr>
          <w:rFonts w:ascii="Verdana" w:hAnsi="Verdana"/>
          <w:color w:val="000000"/>
        </w:rPr>
        <w:t xml:space="preserve"> </w:t>
      </w:r>
      <w:r w:rsidR="00C3445E" w:rsidRPr="70F0865B">
        <w:rPr>
          <w:rFonts w:ascii="Verdana" w:hAnsi="Verdana"/>
          <w:i/>
          <w:iCs/>
          <w:color w:val="000000"/>
        </w:rPr>
        <w:t>Decreto L</w:t>
      </w:r>
      <w:r w:rsidR="008C4FAC" w:rsidRPr="70F0865B">
        <w:rPr>
          <w:rFonts w:ascii="Verdana" w:hAnsi="Verdana"/>
          <w:i/>
          <w:iCs/>
          <w:color w:val="000000"/>
        </w:rPr>
        <w:t>egislativo</w:t>
      </w:r>
      <w:r w:rsidR="00F343F4">
        <w:rPr>
          <w:rFonts w:ascii="Verdana" w:hAnsi="Verdana"/>
          <w:i/>
          <w:iCs/>
          <w:color w:val="000000"/>
        </w:rPr>
        <w:t xml:space="preserve"> 772 de 3 de junio de 2020</w:t>
      </w:r>
      <w:r w:rsidR="00CD06A2" w:rsidRPr="70F0865B">
        <w:rPr>
          <w:rStyle w:val="Refdenotaalpie"/>
          <w:rFonts w:ascii="Verdana" w:hAnsi="Verdana"/>
          <w:color w:val="000000"/>
        </w:rPr>
        <w:footnoteReference w:id="5"/>
      </w:r>
      <w:r w:rsidR="008C4FAC" w:rsidRPr="70F0865B">
        <w:rPr>
          <w:rFonts w:ascii="Verdana" w:hAnsi="Verdana"/>
          <w:color w:val="000000"/>
        </w:rPr>
        <w:t xml:space="preserve">, </w:t>
      </w:r>
      <w:r w:rsidR="00F343F4">
        <w:rPr>
          <w:rFonts w:ascii="Verdana" w:hAnsi="Verdana"/>
          <w:color w:val="000000"/>
        </w:rPr>
        <w:t xml:space="preserve">a su vez, expedido en uso de las facultades otorgadas mediante el Decreto 637 </w:t>
      </w:r>
      <w:r w:rsidR="00F343F4">
        <w:t xml:space="preserve">del 6 de mayo de </w:t>
      </w:r>
      <w:r w:rsidR="00F343F4" w:rsidRPr="00F343F4">
        <w:rPr>
          <w:rFonts w:ascii="Verdana" w:hAnsi="Verdana"/>
        </w:rPr>
        <w:t>2020</w:t>
      </w:r>
      <w:r w:rsidR="00F343F4" w:rsidRPr="00F343F4">
        <w:rPr>
          <w:rStyle w:val="Refdenotaalpie"/>
          <w:rFonts w:ascii="Verdana" w:hAnsi="Verdana"/>
        </w:rPr>
        <w:footnoteReference w:id="6"/>
      </w:r>
      <w:r w:rsidR="00F343F4" w:rsidRPr="00F343F4">
        <w:rPr>
          <w:rFonts w:ascii="Verdana" w:hAnsi="Verdana"/>
        </w:rPr>
        <w:t>, p</w:t>
      </w:r>
      <w:r w:rsidR="008C4FAC" w:rsidRPr="00F343F4">
        <w:rPr>
          <w:rFonts w:ascii="Verdana" w:hAnsi="Verdana"/>
          <w:color w:val="000000"/>
        </w:rPr>
        <w:t>or</w:t>
      </w:r>
      <w:r w:rsidR="008C4FAC" w:rsidRPr="70F0865B">
        <w:rPr>
          <w:rFonts w:ascii="Verdana" w:hAnsi="Verdana"/>
          <w:color w:val="000000"/>
        </w:rPr>
        <w:t xml:space="preserve"> lo cual esta Corporación avocará el conocimiento del presente asunto, </w:t>
      </w:r>
      <w:r w:rsidR="001373F7" w:rsidRPr="70F0865B">
        <w:rPr>
          <w:rFonts w:ascii="Verdana" w:hAnsi="Verdana"/>
          <w:color w:val="000000"/>
        </w:rPr>
        <w:t xml:space="preserve">de </w:t>
      </w:r>
      <w:r w:rsidR="001373F7" w:rsidRPr="70F0865B">
        <w:rPr>
          <w:rFonts w:ascii="Verdana" w:hAnsi="Verdana"/>
          <w:color w:val="000000"/>
        </w:rPr>
        <w:lastRenderedPageBreak/>
        <w:t xml:space="preserve">conformidad con lo dispuesto en el artículo 136 de la Ley 1437 de 2011, </w:t>
      </w:r>
      <w:r w:rsidR="0082251C" w:rsidRPr="70F0865B">
        <w:rPr>
          <w:rFonts w:ascii="Verdana" w:hAnsi="Verdana"/>
          <w:color w:val="000000"/>
        </w:rPr>
        <w:t>a efectos de efectuar el con</w:t>
      </w:r>
      <w:r w:rsidR="001373F7" w:rsidRPr="70F0865B">
        <w:rPr>
          <w:rFonts w:ascii="Verdana" w:hAnsi="Verdana"/>
          <w:color w:val="000000"/>
        </w:rPr>
        <w:t>trol inmediato de legalidad de dicho acto.</w:t>
      </w:r>
      <w:r w:rsidR="0082251C" w:rsidRPr="70F0865B">
        <w:rPr>
          <w:rFonts w:ascii="Verdana" w:hAnsi="Verdana"/>
          <w:color w:val="000000"/>
        </w:rPr>
        <w:t xml:space="preserve"> </w:t>
      </w:r>
    </w:p>
    <w:p w14:paraId="40B7C861" w14:textId="4BBE7A51" w:rsidR="70F0865B" w:rsidRDefault="70F0865B" w:rsidP="70F0865B">
      <w:pPr>
        <w:spacing w:line="360" w:lineRule="auto"/>
        <w:jc w:val="both"/>
        <w:rPr>
          <w:rFonts w:ascii="Verdana" w:hAnsi="Verdana"/>
          <w:color w:val="000000" w:themeColor="text1"/>
        </w:rPr>
      </w:pPr>
    </w:p>
    <w:p w14:paraId="34BDF10B" w14:textId="77777777" w:rsidR="00AD6DEC" w:rsidRPr="00C109F8" w:rsidRDefault="00AD6DEC" w:rsidP="00AD6DEC">
      <w:pPr>
        <w:spacing w:line="360" w:lineRule="auto"/>
        <w:jc w:val="both"/>
        <w:rPr>
          <w:rFonts w:ascii="Verdana" w:hAnsi="Verdana"/>
          <w:color w:val="000000"/>
          <w:lang w:val="es-ES_tradnl"/>
        </w:rPr>
      </w:pPr>
      <w:r w:rsidRPr="00C109F8">
        <w:rPr>
          <w:rFonts w:ascii="Verdana" w:hAnsi="Verdana"/>
          <w:color w:val="000000"/>
          <w:lang w:val="es-ES_tradnl"/>
        </w:rPr>
        <w:t xml:space="preserve">Se pone de relieve que, en sesión virtual número 10 llevada a cabo el 1º de abril del año en curso, la Sala Plena de lo Contencioso Administrativo del Consejo de Estado aprobó </w:t>
      </w:r>
      <w:r w:rsidRPr="00C109F8">
        <w:rPr>
          <w:rFonts w:ascii="Verdana" w:hAnsi="Verdana"/>
          <w:i/>
          <w:iCs/>
          <w:color w:val="000000"/>
          <w:lang w:val="es-ES_tradnl"/>
        </w:rPr>
        <w:t xml:space="preserve">“asignar los controles inmediatos de legalidad a las salas especiales de decisión, de conformidad, entre otros, con los artículos 107-4, 185-1 y 111-8 del CPACA y 23, 29-3 y 42 del Acuerdo 080 de 2019”. </w:t>
      </w:r>
      <w:r w:rsidRPr="00C109F8">
        <w:rPr>
          <w:rFonts w:ascii="Verdana" w:hAnsi="Verdana"/>
          <w:color w:val="000000"/>
          <w:lang w:val="es-ES_tradnl"/>
        </w:rPr>
        <w:t xml:space="preserve">Por ende, el conocimiento del control de legalidad que nos ocupa corresponde a la Sala </w:t>
      </w:r>
      <w:r w:rsidR="00525E80" w:rsidRPr="00C109F8">
        <w:rPr>
          <w:rFonts w:ascii="Verdana" w:hAnsi="Verdana"/>
          <w:color w:val="000000"/>
          <w:lang w:val="es-ES_tradnl"/>
        </w:rPr>
        <w:t>18</w:t>
      </w:r>
      <w:r w:rsidRPr="00C109F8">
        <w:rPr>
          <w:rFonts w:ascii="Verdana" w:hAnsi="Verdana"/>
          <w:color w:val="000000"/>
          <w:lang w:val="es-ES_tradnl"/>
        </w:rPr>
        <w:t xml:space="preserve"> Especial de Decisión</w:t>
      </w:r>
      <w:r w:rsidR="00525E80" w:rsidRPr="00C109F8">
        <w:rPr>
          <w:rFonts w:ascii="Verdana" w:hAnsi="Verdana"/>
          <w:color w:val="000000"/>
          <w:lang w:val="es-ES_tradnl"/>
        </w:rPr>
        <w:t>,</w:t>
      </w:r>
      <w:r w:rsidR="00BD4835" w:rsidRPr="00C109F8">
        <w:rPr>
          <w:rFonts w:ascii="Verdana" w:hAnsi="Verdana"/>
          <w:color w:val="000000"/>
          <w:lang w:val="es-ES_tradnl"/>
        </w:rPr>
        <w:t xml:space="preserve"> en la cual el Consejero P</w:t>
      </w:r>
      <w:r w:rsidRPr="00C109F8">
        <w:rPr>
          <w:rFonts w:ascii="Verdana" w:hAnsi="Verdana"/>
          <w:color w:val="000000"/>
          <w:lang w:val="es-ES_tradnl"/>
        </w:rPr>
        <w:t>onente que suscribe esta decisión actúa como presidente.</w:t>
      </w:r>
    </w:p>
    <w:p w14:paraId="463F29E8" w14:textId="77777777" w:rsidR="00AD6DEC" w:rsidRPr="00C109F8" w:rsidRDefault="00AD6DEC" w:rsidP="0082251C">
      <w:pPr>
        <w:spacing w:line="360" w:lineRule="auto"/>
        <w:jc w:val="both"/>
        <w:rPr>
          <w:rFonts w:ascii="Verdana" w:hAnsi="Verdana"/>
          <w:color w:val="000000"/>
          <w:lang w:val="es-ES_tradnl"/>
        </w:rPr>
      </w:pPr>
    </w:p>
    <w:p w14:paraId="4C767D05" w14:textId="6FCA22E0" w:rsidR="003235D1" w:rsidRPr="00C109F8" w:rsidRDefault="001373F7" w:rsidP="00962143">
      <w:pPr>
        <w:spacing w:line="360" w:lineRule="auto"/>
        <w:jc w:val="both"/>
        <w:rPr>
          <w:rFonts w:ascii="Verdana" w:hAnsi="Verdana"/>
          <w:color w:val="000000"/>
          <w:lang w:val="es-ES_tradnl"/>
        </w:rPr>
      </w:pPr>
      <w:r w:rsidRPr="00C109F8">
        <w:rPr>
          <w:rFonts w:ascii="Verdana" w:hAnsi="Verdana"/>
          <w:color w:val="000000"/>
          <w:lang w:val="es-ES_tradnl"/>
        </w:rPr>
        <w:t xml:space="preserve">De acuerdo con lo dispuesto en el artículo 185 </w:t>
      </w:r>
      <w:r w:rsidR="00B14F2D" w:rsidRPr="00C109F8">
        <w:rPr>
          <w:rFonts w:ascii="Verdana" w:hAnsi="Verdana"/>
          <w:color w:val="000000"/>
          <w:lang w:val="es-ES_tradnl"/>
        </w:rPr>
        <w:t>de la Ley 1437 de 2011</w:t>
      </w:r>
      <w:r w:rsidRPr="00C109F8">
        <w:rPr>
          <w:rFonts w:ascii="Verdana" w:hAnsi="Verdana"/>
          <w:color w:val="000000"/>
          <w:lang w:val="es-ES_tradnl"/>
        </w:rPr>
        <w:t xml:space="preserve">, </w:t>
      </w:r>
      <w:r w:rsidR="00962143" w:rsidRPr="00C109F8">
        <w:rPr>
          <w:rFonts w:ascii="Verdana" w:hAnsi="Verdana"/>
          <w:color w:val="000000"/>
          <w:lang w:val="es-ES_tradnl"/>
        </w:rPr>
        <w:t>se ordenará informar a la comunidad en general sobre la existencia de este proceso, por medio de aviso fijado en la Secretaría General del Consejo de Estado por el término de diez (10) días, y a través de los diferentes medios virtuales que en estos momentos estén a disposición de la Secretaría, a efectos de que cualquier ciudadano intervenga por escrito para defender o impugnar l</w:t>
      </w:r>
      <w:r w:rsidR="00C3445E" w:rsidRPr="00C109F8">
        <w:rPr>
          <w:rFonts w:ascii="Verdana" w:hAnsi="Verdana"/>
          <w:color w:val="000000"/>
          <w:lang w:val="es-ES_tradnl"/>
        </w:rPr>
        <w:t>a legalidad de</w:t>
      </w:r>
      <w:r w:rsidR="00F343F4">
        <w:rPr>
          <w:rFonts w:ascii="Verdana" w:hAnsi="Verdana"/>
          <w:color w:val="000000"/>
          <w:lang w:val="es-ES_tradnl"/>
        </w:rPr>
        <w:t>l Decreto 1332 de 6 de octubre de 2020</w:t>
      </w:r>
      <w:r w:rsidR="00962143" w:rsidRPr="00C109F8">
        <w:rPr>
          <w:rFonts w:ascii="Verdana" w:hAnsi="Verdana"/>
          <w:color w:val="000000"/>
          <w:lang w:val="es-ES_tradnl"/>
        </w:rPr>
        <w:t>, expedida por</w:t>
      </w:r>
      <w:r w:rsidR="00444380" w:rsidRPr="00C109F8">
        <w:rPr>
          <w:rFonts w:ascii="Verdana" w:hAnsi="Verdana"/>
          <w:color w:val="000000"/>
          <w:lang w:val="es-ES_tradnl"/>
        </w:rPr>
        <w:t xml:space="preserve"> </w:t>
      </w:r>
      <w:r w:rsidR="00F343F4">
        <w:rPr>
          <w:rFonts w:ascii="Verdana" w:hAnsi="Verdana"/>
          <w:color w:val="000000"/>
          <w:lang w:val="es-ES_tradnl"/>
        </w:rPr>
        <w:t>el Gobierno Nacional (Presidente de la República y Ministro de Comercio, Industria y Turismo)</w:t>
      </w:r>
      <w:r w:rsidR="00962143" w:rsidRPr="00C109F8">
        <w:rPr>
          <w:rFonts w:ascii="Verdana" w:hAnsi="Verdana"/>
          <w:color w:val="000000"/>
          <w:lang w:val="es-ES_tradnl"/>
        </w:rPr>
        <w:t xml:space="preserve">. Se dispondrá, así mismo, que el citado aviso se publique, por ese mismo término, en el sitio </w:t>
      </w:r>
      <w:r w:rsidR="00962143" w:rsidRPr="00C109F8">
        <w:rPr>
          <w:rFonts w:ascii="Verdana" w:hAnsi="Verdana"/>
          <w:i/>
          <w:iCs/>
          <w:color w:val="000000"/>
          <w:lang w:val="es-ES_tradnl"/>
        </w:rPr>
        <w:t>web</w:t>
      </w:r>
      <w:r w:rsidR="00962143" w:rsidRPr="00C109F8">
        <w:rPr>
          <w:rFonts w:ascii="Verdana" w:hAnsi="Verdana"/>
          <w:color w:val="000000"/>
          <w:lang w:val="es-ES_tradnl"/>
        </w:rPr>
        <w:t xml:space="preserve"> de esta Corporación y de la Rama Judicial.</w:t>
      </w:r>
    </w:p>
    <w:p w14:paraId="3B7B4B86" w14:textId="77777777" w:rsidR="003235D1" w:rsidRPr="00C109F8" w:rsidRDefault="003235D1" w:rsidP="199EA685">
      <w:pPr>
        <w:spacing w:line="360" w:lineRule="auto"/>
        <w:jc w:val="both"/>
        <w:rPr>
          <w:rFonts w:ascii="Verdana" w:hAnsi="Verdana"/>
          <w:color w:val="000000"/>
          <w:lang w:val="es-ES_tradnl"/>
        </w:rPr>
      </w:pPr>
    </w:p>
    <w:p w14:paraId="344561E3" w14:textId="7B3974C6" w:rsidR="0082251C" w:rsidRPr="00295C47" w:rsidRDefault="003235D1" w:rsidP="199EA685">
      <w:pPr>
        <w:spacing w:line="360" w:lineRule="auto"/>
        <w:jc w:val="both"/>
        <w:rPr>
          <w:rFonts w:ascii="Verdana" w:hAnsi="Verdana"/>
          <w:lang w:val="es-ES_tradnl"/>
        </w:rPr>
      </w:pPr>
      <w:r w:rsidRPr="00295C47">
        <w:rPr>
          <w:rFonts w:ascii="Verdana" w:hAnsi="Verdana"/>
          <w:lang w:val="es-ES_tradnl"/>
        </w:rPr>
        <w:t>Igualmente, s</w:t>
      </w:r>
      <w:r w:rsidR="00B06CFC" w:rsidRPr="00295C47">
        <w:rPr>
          <w:rFonts w:ascii="Verdana" w:hAnsi="Verdana"/>
          <w:lang w:val="es-ES_tradnl"/>
        </w:rPr>
        <w:t>e oficiará a</w:t>
      </w:r>
      <w:r w:rsidR="00295C47">
        <w:rPr>
          <w:rFonts w:ascii="Verdana" w:hAnsi="Verdana"/>
          <w:lang w:val="es-ES_tradnl"/>
        </w:rPr>
        <w:t xml:space="preserve"> la Secretaría Jurídica de la Presidencia de la República y a la Secretaría General del Ministerio de Comercio, Industria y Turismo,</w:t>
      </w:r>
      <w:r w:rsidR="00781FBB" w:rsidRPr="00295C47">
        <w:rPr>
          <w:rFonts w:ascii="Verdana" w:hAnsi="Verdana"/>
          <w:lang w:val="es-ES_tradnl"/>
        </w:rPr>
        <w:t xml:space="preserve"> con el fin de que remita</w:t>
      </w:r>
      <w:r w:rsidR="00295C47">
        <w:rPr>
          <w:rFonts w:ascii="Verdana" w:hAnsi="Verdana"/>
          <w:lang w:val="es-ES_tradnl"/>
        </w:rPr>
        <w:t>n</w:t>
      </w:r>
      <w:r w:rsidR="00781FBB" w:rsidRPr="00295C47">
        <w:rPr>
          <w:rFonts w:ascii="Verdana" w:hAnsi="Verdana"/>
          <w:lang w:val="es-ES_tradnl"/>
        </w:rPr>
        <w:t xml:space="preserve"> los antecedentes </w:t>
      </w:r>
      <w:r w:rsidR="00B14F2D" w:rsidRPr="00295C47">
        <w:rPr>
          <w:rFonts w:ascii="Verdana" w:hAnsi="Verdana"/>
          <w:lang w:val="es-ES_tradnl"/>
        </w:rPr>
        <w:t xml:space="preserve">administrativos que sirvieron de fundamento </w:t>
      </w:r>
      <w:r w:rsidR="00F343F4" w:rsidRPr="00295C47">
        <w:rPr>
          <w:rFonts w:ascii="Verdana" w:hAnsi="Verdana"/>
          <w:lang w:val="es-ES_tradnl"/>
        </w:rPr>
        <w:t>al Decreto 1332 de 6 de octubre de 2020</w:t>
      </w:r>
      <w:r w:rsidR="00B14F2D" w:rsidRPr="00295C47">
        <w:rPr>
          <w:rFonts w:ascii="Verdana" w:hAnsi="Verdana"/>
          <w:lang w:val="es-ES_tradnl"/>
        </w:rPr>
        <w:t>, o de cualquier otro documento que hubiere sido relevante para expedir dicho acto administrativo.</w:t>
      </w:r>
    </w:p>
    <w:p w14:paraId="3A0FF5F2" w14:textId="77777777" w:rsidR="00B14F2D" w:rsidRPr="00295C47" w:rsidRDefault="00B14F2D" w:rsidP="199EA685">
      <w:pPr>
        <w:spacing w:line="360" w:lineRule="auto"/>
        <w:jc w:val="both"/>
        <w:rPr>
          <w:rFonts w:ascii="Verdana" w:hAnsi="Verdana"/>
          <w:lang w:val="es-ES_tradnl"/>
        </w:rPr>
      </w:pPr>
    </w:p>
    <w:p w14:paraId="59B84C5C" w14:textId="77777777" w:rsidR="0082251C" w:rsidRPr="00295C47" w:rsidRDefault="0082251C" w:rsidP="0082251C">
      <w:pPr>
        <w:spacing w:line="360" w:lineRule="auto"/>
        <w:jc w:val="both"/>
        <w:rPr>
          <w:rFonts w:ascii="Verdana" w:hAnsi="Verdana"/>
          <w:lang w:val="es-ES_tradnl"/>
        </w:rPr>
      </w:pPr>
      <w:r w:rsidRPr="00295C47">
        <w:rPr>
          <w:rFonts w:ascii="Verdana" w:hAnsi="Verdana"/>
          <w:lang w:val="es-ES_tradnl"/>
        </w:rPr>
        <w:t xml:space="preserve">En </w:t>
      </w:r>
      <w:r w:rsidR="002726A4" w:rsidRPr="00295C47">
        <w:rPr>
          <w:rFonts w:ascii="Verdana" w:hAnsi="Verdana"/>
          <w:lang w:val="es-ES_tradnl"/>
        </w:rPr>
        <w:t>mérito</w:t>
      </w:r>
      <w:r w:rsidRPr="00295C47">
        <w:rPr>
          <w:rFonts w:ascii="Verdana" w:hAnsi="Verdana"/>
          <w:lang w:val="es-ES_tradnl"/>
        </w:rPr>
        <w:t xml:space="preserve"> de lo expuesto, el Despacho </w:t>
      </w:r>
    </w:p>
    <w:p w14:paraId="21736F93" w14:textId="714CC8C4" w:rsidR="00295C47" w:rsidRPr="00295C47" w:rsidRDefault="00295C47" w:rsidP="42888BDE">
      <w:pPr>
        <w:spacing w:line="360" w:lineRule="auto"/>
        <w:jc w:val="both"/>
        <w:rPr>
          <w:rFonts w:ascii="Verdana" w:hAnsi="Verdana"/>
        </w:rPr>
      </w:pPr>
    </w:p>
    <w:p w14:paraId="23A75B80" w14:textId="77777777" w:rsidR="0082251C" w:rsidRPr="00295C47" w:rsidRDefault="0082251C" w:rsidP="00C64FA1">
      <w:pPr>
        <w:spacing w:line="360" w:lineRule="auto"/>
        <w:jc w:val="center"/>
        <w:rPr>
          <w:rFonts w:ascii="Verdana" w:hAnsi="Verdana"/>
          <w:b/>
          <w:bCs/>
          <w:lang w:val="es-ES_tradnl"/>
        </w:rPr>
      </w:pPr>
      <w:r w:rsidRPr="00295C47">
        <w:rPr>
          <w:rFonts w:ascii="Verdana" w:hAnsi="Verdana"/>
          <w:b/>
          <w:bCs/>
          <w:lang w:val="es-ES_tradnl"/>
        </w:rPr>
        <w:t>RESUELVE</w:t>
      </w:r>
      <w:r w:rsidR="0055659E" w:rsidRPr="00295C47">
        <w:rPr>
          <w:rFonts w:ascii="Verdana" w:hAnsi="Verdana"/>
          <w:b/>
          <w:bCs/>
          <w:lang w:val="es-ES_tradnl"/>
        </w:rPr>
        <w:t>:</w:t>
      </w:r>
    </w:p>
    <w:p w14:paraId="2BA226A1" w14:textId="77777777" w:rsidR="0082251C" w:rsidRPr="00295C47" w:rsidRDefault="0082251C" w:rsidP="00C64FA1">
      <w:pPr>
        <w:spacing w:line="360" w:lineRule="auto"/>
        <w:jc w:val="both"/>
        <w:rPr>
          <w:rFonts w:ascii="Verdana" w:hAnsi="Verdana"/>
          <w:b/>
          <w:lang w:val="es-ES_tradnl"/>
        </w:rPr>
      </w:pPr>
    </w:p>
    <w:p w14:paraId="237A3BE7" w14:textId="7E3C3C65" w:rsidR="0082251C" w:rsidRPr="00295C47" w:rsidRDefault="0082251C" w:rsidP="00C64FA1">
      <w:pPr>
        <w:suppressAutoHyphens/>
        <w:spacing w:line="360" w:lineRule="auto"/>
        <w:jc w:val="both"/>
        <w:rPr>
          <w:rFonts w:ascii="Verdana" w:hAnsi="Verdana"/>
          <w:bCs/>
          <w:lang w:val="es-ES_tradnl"/>
        </w:rPr>
      </w:pPr>
      <w:r w:rsidRPr="00295C47">
        <w:rPr>
          <w:rFonts w:ascii="Verdana" w:hAnsi="Verdana"/>
          <w:b/>
          <w:lang w:val="es-ES_tradnl"/>
        </w:rPr>
        <w:t xml:space="preserve">PRIMERO: AVOCAR CONOCIMIENTO, </w:t>
      </w:r>
      <w:r w:rsidRPr="00295C47">
        <w:rPr>
          <w:rFonts w:ascii="Verdana" w:hAnsi="Verdana"/>
          <w:lang w:val="es-ES_tradnl"/>
        </w:rPr>
        <w:t>en única instancia,</w:t>
      </w:r>
      <w:r w:rsidR="0080081D" w:rsidRPr="00295C47">
        <w:rPr>
          <w:rFonts w:ascii="Verdana" w:hAnsi="Verdana"/>
          <w:bCs/>
          <w:lang w:val="es-ES_tradnl"/>
        </w:rPr>
        <w:t xml:space="preserve"> de</w:t>
      </w:r>
      <w:r w:rsidR="00F343F4" w:rsidRPr="00295C47">
        <w:rPr>
          <w:rFonts w:ascii="Verdana" w:hAnsi="Verdana"/>
          <w:bCs/>
          <w:lang w:val="es-ES_tradnl"/>
        </w:rPr>
        <w:t xml:space="preserve">l </w:t>
      </w:r>
      <w:r w:rsidR="00F343F4" w:rsidRPr="00295C47">
        <w:rPr>
          <w:rFonts w:ascii="Verdana" w:hAnsi="Verdana"/>
          <w:lang w:val="es-ES_tradnl"/>
        </w:rPr>
        <w:t>Decreto 1332 de 6 de octubre de 2020</w:t>
      </w:r>
      <w:r w:rsidR="0030434C" w:rsidRPr="00295C47">
        <w:rPr>
          <w:rFonts w:ascii="Verdana" w:hAnsi="Verdana"/>
          <w:bCs/>
          <w:lang w:val="es-ES_tradnl"/>
        </w:rPr>
        <w:t xml:space="preserve">, </w:t>
      </w:r>
      <w:r w:rsidR="0030434C" w:rsidRPr="00745518">
        <w:rPr>
          <w:rFonts w:ascii="Verdana" w:hAnsi="Verdana"/>
          <w:bCs/>
          <w:i/>
          <w:lang w:val="es-ES_tradnl"/>
        </w:rPr>
        <w:t>“</w:t>
      </w:r>
      <w:r w:rsidR="00295C47" w:rsidRPr="00745518">
        <w:rPr>
          <w:rFonts w:ascii="Verdana" w:eastAsia="Calibri" w:hAnsi="Verdana" w:cs="Times New Roman"/>
          <w:bCs/>
          <w:i/>
          <w:lang w:val="es-ES_tradnl"/>
        </w:rPr>
        <w:t>Por</w:t>
      </w:r>
      <w:r w:rsidR="00295C47" w:rsidRPr="00745518">
        <w:rPr>
          <w:rFonts w:ascii="Verdana" w:eastAsia="Calibri" w:hAnsi="Verdana" w:cs="Times New Roman"/>
          <w:bCs/>
          <w:i/>
        </w:rPr>
        <w:t xml:space="preserve"> el cual se reglamenta el Decreto Legislativo </w:t>
      </w:r>
      <w:hyperlink r:id="rId13" w:anchor="772" w:history="1">
        <w:r w:rsidR="00295C47" w:rsidRPr="00745518">
          <w:rPr>
            <w:rStyle w:val="Hipervnculo"/>
            <w:rFonts w:ascii="Verdana" w:eastAsia="Calibri" w:hAnsi="Verdana"/>
            <w:bCs/>
            <w:i/>
            <w:color w:val="auto"/>
            <w:u w:val="none"/>
          </w:rPr>
          <w:t>772</w:t>
        </w:r>
      </w:hyperlink>
      <w:r w:rsidR="00295C47" w:rsidRPr="00745518">
        <w:rPr>
          <w:rFonts w:ascii="Verdana" w:eastAsia="Calibri" w:hAnsi="Verdana" w:cs="Times New Roman"/>
          <w:bCs/>
          <w:i/>
        </w:rPr>
        <w:t> de 2020, sobre medidas especiales en materia de procesos de insolvencia”</w:t>
      </w:r>
      <w:r w:rsidR="00295C47" w:rsidRPr="00295C47">
        <w:rPr>
          <w:rFonts w:ascii="Verdana" w:eastAsia="Calibri" w:hAnsi="Verdana" w:cs="Times New Roman"/>
          <w:bCs/>
        </w:rPr>
        <w:t xml:space="preserve">, </w:t>
      </w:r>
      <w:r w:rsidR="00F343F4" w:rsidRPr="00295C47">
        <w:rPr>
          <w:rFonts w:ascii="Verdana" w:hAnsi="Verdana"/>
          <w:bCs/>
          <w:lang w:val="es-ES_tradnl"/>
        </w:rPr>
        <w:t>expedido</w:t>
      </w:r>
      <w:r w:rsidR="00444380" w:rsidRPr="00295C47">
        <w:rPr>
          <w:rFonts w:ascii="Verdana" w:hAnsi="Verdana"/>
          <w:bCs/>
          <w:lang w:val="es-ES_tradnl"/>
        </w:rPr>
        <w:t xml:space="preserve"> por</w:t>
      </w:r>
      <w:r w:rsidR="00F343F4" w:rsidRPr="00295C47">
        <w:rPr>
          <w:rFonts w:ascii="Verdana" w:hAnsi="Verdana"/>
          <w:bCs/>
          <w:lang w:val="es-ES_tradnl"/>
        </w:rPr>
        <w:t xml:space="preserve"> </w:t>
      </w:r>
      <w:r w:rsidR="00F343F4" w:rsidRPr="00295C47">
        <w:rPr>
          <w:rFonts w:ascii="Verdana" w:hAnsi="Verdana"/>
          <w:lang w:val="es-ES_tradnl"/>
        </w:rPr>
        <w:t>el Gobierno Nacional (Presidente de la República y Ministro de Comercio, Industria y Turismo)</w:t>
      </w:r>
      <w:r w:rsidR="00444380" w:rsidRPr="00295C47">
        <w:rPr>
          <w:rFonts w:ascii="Verdana" w:hAnsi="Verdana"/>
          <w:bCs/>
          <w:lang w:val="es-ES_tradnl"/>
        </w:rPr>
        <w:t xml:space="preserve">, </w:t>
      </w:r>
      <w:r w:rsidR="001F406E" w:rsidRPr="00295C47">
        <w:rPr>
          <w:rFonts w:ascii="Verdana" w:hAnsi="Verdana"/>
          <w:lang w:val="es-ES_tradnl"/>
        </w:rPr>
        <w:t>con</w:t>
      </w:r>
      <w:r w:rsidRPr="00295C47">
        <w:rPr>
          <w:rFonts w:ascii="Verdana" w:hAnsi="Verdana"/>
          <w:lang w:val="es-ES_tradnl"/>
        </w:rPr>
        <w:t xml:space="preserve"> el fin de efectuar el control inmediato de legalidad previsto en el artículo 136 del CPACA.</w:t>
      </w:r>
    </w:p>
    <w:p w14:paraId="17AD93B2" w14:textId="77777777" w:rsidR="0082251C" w:rsidRPr="00295C47" w:rsidRDefault="0082251C" w:rsidP="00C64FA1">
      <w:pPr>
        <w:suppressAutoHyphens/>
        <w:spacing w:line="360" w:lineRule="auto"/>
        <w:jc w:val="both"/>
        <w:rPr>
          <w:rFonts w:ascii="Verdana" w:hAnsi="Verdana"/>
          <w:lang w:val="es-ES_tradnl"/>
        </w:rPr>
      </w:pPr>
    </w:p>
    <w:p w14:paraId="42C99B35" w14:textId="79FB7828" w:rsidR="00214D13" w:rsidRPr="00295C47" w:rsidRDefault="00214D13" w:rsidP="00C64FA1">
      <w:pPr>
        <w:pStyle w:val="NormalWeb"/>
        <w:spacing w:before="0" w:beforeAutospacing="0" w:after="0" w:afterAutospacing="0" w:line="360" w:lineRule="auto"/>
        <w:jc w:val="both"/>
        <w:rPr>
          <w:rFonts w:ascii="Verdana" w:hAnsi="Verdana" w:cs="Arial"/>
          <w:lang w:val="es-ES_tradnl"/>
        </w:rPr>
      </w:pPr>
      <w:r w:rsidRPr="00295C47">
        <w:rPr>
          <w:rFonts w:ascii="Verdana" w:hAnsi="Verdana"/>
          <w:b/>
          <w:bCs/>
          <w:lang w:val="es-ES_tradnl"/>
        </w:rPr>
        <w:t xml:space="preserve">SEGUNDO: </w:t>
      </w:r>
      <w:r w:rsidRPr="00295C47">
        <w:rPr>
          <w:rFonts w:ascii="Verdana" w:hAnsi="Verdana" w:cs="Arial"/>
          <w:b/>
          <w:bCs/>
          <w:lang w:val="es-ES_tradnl"/>
        </w:rPr>
        <w:t>NOTIFICAR</w:t>
      </w:r>
      <w:r w:rsidRPr="00295C47">
        <w:rPr>
          <w:rFonts w:ascii="Verdana" w:hAnsi="Verdana" w:cs="Arial"/>
          <w:lang w:val="es-ES_tradnl"/>
        </w:rPr>
        <w:t xml:space="preserve"> la presente decisión </w:t>
      </w:r>
      <w:r w:rsidR="006851AE" w:rsidRPr="00295C47">
        <w:rPr>
          <w:rFonts w:ascii="Verdana" w:hAnsi="Verdana" w:cs="Arial"/>
          <w:lang w:val="es-ES_tradnl"/>
        </w:rPr>
        <w:t xml:space="preserve">al </w:t>
      </w:r>
      <w:r w:rsidR="00295C47" w:rsidRPr="00295C47">
        <w:rPr>
          <w:rFonts w:ascii="Verdana" w:hAnsi="Verdana"/>
          <w:bCs/>
        </w:rPr>
        <w:t>Presidente de la República, a través del Secretario Jurídico de la Presidencia o de quien esté autorizado por delegación para recibir las notificaciones, y al Ministro de Comercio, Industria y Turismo, o a quien este haya delegado la facultad de notificarse de las decisiones judiciales, bien sea de manera personal o a través de los diferentes medios virtuales que en estos momentos estén a disposición de la Secretaría General del Consejo de Estado</w:t>
      </w:r>
      <w:r w:rsidR="00F063EF" w:rsidRPr="00295C47">
        <w:rPr>
          <w:rFonts w:ascii="Verdana" w:hAnsi="Verdana" w:cs="Arial"/>
          <w:lang w:val="es-ES_tradnl"/>
        </w:rPr>
        <w:t>, de conformidad con lo dispuesto en los artículos 185 y 186 del CPACA.</w:t>
      </w:r>
    </w:p>
    <w:p w14:paraId="0DE4B5B7" w14:textId="77777777" w:rsidR="00214D13" w:rsidRPr="00F343F4" w:rsidRDefault="00214D13" w:rsidP="00C64FA1">
      <w:pPr>
        <w:pStyle w:val="NormalWeb"/>
        <w:spacing w:before="0" w:beforeAutospacing="0" w:after="0" w:afterAutospacing="0" w:line="360" w:lineRule="auto"/>
        <w:jc w:val="both"/>
        <w:rPr>
          <w:rFonts w:ascii="Verdana" w:hAnsi="Verdana" w:cs="Arial"/>
          <w:b/>
          <w:bCs/>
          <w:color w:val="FF0000"/>
          <w:lang w:val="es-ES_tradnl"/>
        </w:rPr>
      </w:pPr>
    </w:p>
    <w:p w14:paraId="76A5E49F" w14:textId="77777777" w:rsidR="00214D13" w:rsidRPr="00295C47" w:rsidRDefault="00214D13" w:rsidP="00C64FA1">
      <w:pPr>
        <w:pStyle w:val="NormalWeb"/>
        <w:spacing w:before="0" w:beforeAutospacing="0" w:after="0" w:afterAutospacing="0" w:line="360" w:lineRule="auto"/>
        <w:jc w:val="both"/>
        <w:rPr>
          <w:rFonts w:ascii="Verdana" w:hAnsi="Verdana" w:cs="Arial"/>
          <w:lang w:val="es-ES_tradnl"/>
        </w:rPr>
      </w:pPr>
      <w:r w:rsidRPr="00295C47">
        <w:rPr>
          <w:rFonts w:ascii="Verdana" w:hAnsi="Verdana" w:cs="Arial"/>
          <w:b/>
          <w:bCs/>
          <w:lang w:val="es-ES_tradnl"/>
        </w:rPr>
        <w:t>TERCERO:</w:t>
      </w:r>
      <w:r w:rsidRPr="00295C47">
        <w:rPr>
          <w:rFonts w:ascii="Verdana" w:hAnsi="Verdana" w:cs="Arial"/>
          <w:lang w:val="es-ES_tradnl"/>
        </w:rPr>
        <w:t xml:space="preserve"> </w:t>
      </w:r>
      <w:r w:rsidRPr="00295C47">
        <w:rPr>
          <w:rFonts w:ascii="Verdana" w:hAnsi="Verdana" w:cs="Arial"/>
          <w:b/>
          <w:bCs/>
          <w:lang w:val="es-ES_tradnl"/>
        </w:rPr>
        <w:t>NOTIFICAR</w:t>
      </w:r>
      <w:r w:rsidRPr="00295C47">
        <w:rPr>
          <w:rFonts w:ascii="Verdana" w:hAnsi="Verdana" w:cs="Arial"/>
          <w:lang w:val="es-ES_tradnl"/>
        </w:rPr>
        <w:t xml:space="preserve"> la presente decisión al Director de la Agencia Nacional de Defensa Jurídica del Estado o a quien este haya delegado la facultad de notificarse de las decisiones judiciales, bien sea de manera personal o a través de los diferentes medios virtuales que en estos momentos estén a disposición de la Secretaría General del Consejo de Estado, de conformidad con lo dispuesto en el artículo 199 del CPACA, modificado por el artículo 612 de la Ley 1564 de 2012.</w:t>
      </w:r>
    </w:p>
    <w:p w14:paraId="66204FF1" w14:textId="77777777" w:rsidR="003477D7" w:rsidRPr="00F343F4" w:rsidRDefault="003477D7" w:rsidP="00C64FA1">
      <w:pPr>
        <w:pStyle w:val="NormalWeb"/>
        <w:spacing w:before="0" w:beforeAutospacing="0" w:after="0" w:afterAutospacing="0" w:line="360" w:lineRule="auto"/>
        <w:jc w:val="both"/>
        <w:rPr>
          <w:rFonts w:ascii="Verdana" w:hAnsi="Verdana" w:cs="Arial"/>
          <w:color w:val="FF0000"/>
          <w:lang w:val="es-ES_tradnl"/>
        </w:rPr>
      </w:pPr>
    </w:p>
    <w:p w14:paraId="507BDBB6" w14:textId="77777777" w:rsidR="00214D13" w:rsidRPr="00295C47" w:rsidRDefault="00214D13" w:rsidP="00C64FA1">
      <w:pPr>
        <w:pStyle w:val="NormalWeb"/>
        <w:spacing w:before="0" w:beforeAutospacing="0" w:after="0" w:afterAutospacing="0" w:line="360" w:lineRule="auto"/>
        <w:jc w:val="both"/>
        <w:rPr>
          <w:rFonts w:ascii="Verdana" w:hAnsi="Verdana" w:cs="Arial"/>
          <w:lang w:val="es-ES_tradnl"/>
        </w:rPr>
      </w:pPr>
      <w:r w:rsidRPr="00295C47">
        <w:rPr>
          <w:rFonts w:ascii="Verdana" w:hAnsi="Verdana" w:cs="Arial"/>
          <w:b/>
          <w:bCs/>
          <w:lang w:val="es-ES_tradnl"/>
        </w:rPr>
        <w:t>CUARTO: NOTIFICAR</w:t>
      </w:r>
      <w:r w:rsidRPr="00295C47">
        <w:rPr>
          <w:rFonts w:ascii="Verdana" w:hAnsi="Verdana" w:cs="Arial"/>
          <w:lang w:val="es-ES_tradnl"/>
        </w:rPr>
        <w:t xml:space="preserve"> la presente decisión al Ministerio Público, bien sea de manera personal o a través de los diferentes medios virtuales que en estos momentos estén a disposición de la Secretaría General del Consejo </w:t>
      </w:r>
      <w:r w:rsidRPr="00295C47">
        <w:rPr>
          <w:rFonts w:ascii="Verdana" w:hAnsi="Verdana" w:cs="Arial"/>
          <w:lang w:val="es-ES_tradnl"/>
        </w:rPr>
        <w:lastRenderedPageBreak/>
        <w:t>de Estado, de conformidad con lo dispuesto en los artículos 171 y 185 del CPACA.</w:t>
      </w:r>
    </w:p>
    <w:p w14:paraId="2DBF0D7D" w14:textId="77777777" w:rsidR="73D6CF63" w:rsidRPr="00295C47" w:rsidRDefault="73D6CF63" w:rsidP="00C64FA1">
      <w:pPr>
        <w:spacing w:line="360" w:lineRule="auto"/>
        <w:jc w:val="both"/>
        <w:rPr>
          <w:rFonts w:ascii="Verdana" w:hAnsi="Verdana"/>
          <w:b/>
          <w:bCs/>
          <w:lang w:val="es-ES_tradnl"/>
        </w:rPr>
      </w:pPr>
    </w:p>
    <w:p w14:paraId="69A39D2B" w14:textId="3E31E130" w:rsidR="0082251C" w:rsidRPr="00F343F4" w:rsidRDefault="00214D13" w:rsidP="00C64FA1">
      <w:pPr>
        <w:spacing w:line="360" w:lineRule="auto"/>
        <w:jc w:val="both"/>
        <w:rPr>
          <w:rFonts w:ascii="Verdana" w:hAnsi="Verdana"/>
          <w:b/>
          <w:bCs/>
          <w:color w:val="FF0000"/>
          <w:lang w:val="es-ES_tradnl"/>
        </w:rPr>
      </w:pPr>
      <w:r w:rsidRPr="00295C47">
        <w:rPr>
          <w:rFonts w:ascii="Verdana" w:hAnsi="Verdana"/>
          <w:b/>
          <w:bCs/>
          <w:lang w:val="es-ES_tradnl"/>
        </w:rPr>
        <w:t xml:space="preserve">QUINTO: </w:t>
      </w:r>
      <w:r w:rsidR="0082251C" w:rsidRPr="00295C47">
        <w:rPr>
          <w:rFonts w:ascii="Verdana" w:hAnsi="Verdana"/>
          <w:b/>
          <w:bCs/>
          <w:lang w:val="es-ES_tradnl"/>
        </w:rPr>
        <w:t xml:space="preserve">INFORMAR </w:t>
      </w:r>
      <w:r w:rsidR="0082251C" w:rsidRPr="00295C47">
        <w:rPr>
          <w:rFonts w:ascii="Verdana" w:hAnsi="Verdana"/>
          <w:lang w:val="es-ES_tradnl"/>
        </w:rPr>
        <w:t xml:space="preserve">a la comunidad en general sobre la existencia de este proceso, por medio de aviso </w:t>
      </w:r>
      <w:r w:rsidR="00EC4816" w:rsidRPr="00295C47">
        <w:rPr>
          <w:rFonts w:ascii="Verdana" w:hAnsi="Verdana"/>
          <w:lang w:val="es-ES_tradnl"/>
        </w:rPr>
        <w:t>fijado</w:t>
      </w:r>
      <w:r w:rsidR="0082251C" w:rsidRPr="00295C47">
        <w:rPr>
          <w:rFonts w:ascii="Verdana" w:hAnsi="Verdana"/>
          <w:lang w:val="es-ES_tradnl"/>
        </w:rPr>
        <w:t xml:space="preserve"> en la Secretaría General del Consejo de Estado por </w:t>
      </w:r>
      <w:r w:rsidR="00EC4816" w:rsidRPr="00295C47">
        <w:rPr>
          <w:rFonts w:ascii="Verdana" w:hAnsi="Verdana"/>
          <w:lang w:val="es-ES_tradnl"/>
        </w:rPr>
        <w:t>el término de diez</w:t>
      </w:r>
      <w:r w:rsidR="0082251C" w:rsidRPr="00295C47">
        <w:rPr>
          <w:rFonts w:ascii="Verdana" w:hAnsi="Verdana"/>
          <w:lang w:val="es-ES_tradnl"/>
        </w:rPr>
        <w:t xml:space="preserve"> (10) días, </w:t>
      </w:r>
      <w:r w:rsidR="00570F8D" w:rsidRPr="00295C47">
        <w:rPr>
          <w:rFonts w:ascii="Verdana" w:hAnsi="Verdana"/>
          <w:lang w:val="es-ES_tradnl"/>
        </w:rPr>
        <w:t>y a través de los diferentes medios virtuales que en estos momentos estén a disposición de la Secretaría, de conformidad con lo previsto en el numeral 2 del artículo 185 y en el artículo</w:t>
      </w:r>
      <w:r w:rsidR="00AB4B6F" w:rsidRPr="00295C47">
        <w:rPr>
          <w:rFonts w:ascii="Verdana" w:hAnsi="Verdana"/>
          <w:lang w:val="es-ES_tradnl"/>
        </w:rPr>
        <w:t xml:space="preserve"> </w:t>
      </w:r>
      <w:r w:rsidR="00570F8D" w:rsidRPr="00295C47">
        <w:rPr>
          <w:rFonts w:ascii="Verdana" w:hAnsi="Verdana"/>
          <w:lang w:val="es-ES_tradnl"/>
        </w:rPr>
        <w:t xml:space="preserve">186 del CPACA; lapso durante el cual cualquier ciudadano podrá́ intervenir por escrito para defender o impugnar </w:t>
      </w:r>
      <w:r w:rsidR="00062A56" w:rsidRPr="00295C47">
        <w:rPr>
          <w:rFonts w:ascii="Verdana" w:hAnsi="Verdana"/>
          <w:lang w:val="es-ES_tradnl"/>
        </w:rPr>
        <w:t>la legalidad de</w:t>
      </w:r>
      <w:r w:rsidR="00295C47">
        <w:rPr>
          <w:rFonts w:ascii="Verdana" w:hAnsi="Verdana"/>
          <w:lang w:val="es-ES_tradnl"/>
        </w:rPr>
        <w:t>l Decreto 1332 de 6 de octubre de 2020, expedido por el Gobierno Nacional (Presidente de la República y Ministro de Comercio, Industria y Turismo)</w:t>
      </w:r>
      <w:r w:rsidR="00062A56" w:rsidRPr="00295C47">
        <w:rPr>
          <w:rFonts w:ascii="Verdana" w:hAnsi="Verdana"/>
          <w:lang w:val="es-ES_tradnl"/>
        </w:rPr>
        <w:t xml:space="preserve">. </w:t>
      </w:r>
      <w:r w:rsidR="00570F8D" w:rsidRPr="00295C47">
        <w:rPr>
          <w:rFonts w:ascii="Verdana" w:hAnsi="Verdana"/>
          <w:lang w:val="es-ES_tradnl"/>
        </w:rPr>
        <w:t xml:space="preserve">El citado aviso </w:t>
      </w:r>
      <w:r w:rsidR="00EC4816" w:rsidRPr="00295C47">
        <w:rPr>
          <w:rFonts w:ascii="Verdana" w:hAnsi="Verdana"/>
          <w:lang w:val="es-ES_tradnl"/>
        </w:rPr>
        <w:t xml:space="preserve">se </w:t>
      </w:r>
      <w:r w:rsidR="00570F8D" w:rsidRPr="00295C47">
        <w:rPr>
          <w:rFonts w:ascii="Verdana" w:hAnsi="Verdana"/>
          <w:lang w:val="es-ES_tradnl"/>
        </w:rPr>
        <w:t>deberá</w:t>
      </w:r>
      <w:r w:rsidR="00EC4816" w:rsidRPr="00295C47">
        <w:rPr>
          <w:rFonts w:ascii="Verdana" w:hAnsi="Verdana"/>
          <w:lang w:val="es-ES_tradnl"/>
        </w:rPr>
        <w:t xml:space="preserve"> publicar, por ese mismo término,</w:t>
      </w:r>
      <w:r w:rsidR="0082251C" w:rsidRPr="00295C47">
        <w:rPr>
          <w:rFonts w:ascii="Verdana" w:hAnsi="Verdana"/>
          <w:lang w:val="es-ES_tradnl"/>
        </w:rPr>
        <w:t xml:space="preserve"> en el sitio </w:t>
      </w:r>
      <w:r w:rsidR="0082251C" w:rsidRPr="00295C47">
        <w:rPr>
          <w:rFonts w:ascii="Verdana" w:hAnsi="Verdana"/>
          <w:i/>
          <w:iCs/>
          <w:lang w:val="es-ES_tradnl"/>
        </w:rPr>
        <w:t>web</w:t>
      </w:r>
      <w:r w:rsidR="0082251C" w:rsidRPr="00295C47">
        <w:rPr>
          <w:rFonts w:ascii="Verdana" w:hAnsi="Verdana"/>
          <w:lang w:val="es-ES_tradnl"/>
        </w:rPr>
        <w:t xml:space="preserve"> de </w:t>
      </w:r>
      <w:r w:rsidR="00EC4816" w:rsidRPr="00295C47">
        <w:rPr>
          <w:rFonts w:ascii="Verdana" w:hAnsi="Verdana"/>
          <w:lang w:val="es-ES_tradnl"/>
        </w:rPr>
        <w:t>esta Corporación</w:t>
      </w:r>
      <w:r w:rsidR="00672082" w:rsidRPr="00295C47">
        <w:rPr>
          <w:rFonts w:ascii="Verdana" w:hAnsi="Verdana"/>
          <w:lang w:val="es-ES_tradnl"/>
        </w:rPr>
        <w:t xml:space="preserve"> y de la Rama Judicial</w:t>
      </w:r>
      <w:r w:rsidR="00EC4816" w:rsidRPr="00295C47">
        <w:rPr>
          <w:rFonts w:ascii="Verdana" w:hAnsi="Verdana"/>
          <w:lang w:val="es-ES_tradnl"/>
        </w:rPr>
        <w:t xml:space="preserve">. </w:t>
      </w:r>
    </w:p>
    <w:p w14:paraId="6B62F1B3" w14:textId="77777777" w:rsidR="0082251C" w:rsidRPr="00F343F4" w:rsidRDefault="0082251C" w:rsidP="00C64FA1">
      <w:pPr>
        <w:spacing w:line="360" w:lineRule="auto"/>
        <w:ind w:right="51"/>
        <w:jc w:val="both"/>
        <w:rPr>
          <w:rFonts w:ascii="Verdana" w:hAnsi="Verdana"/>
          <w:color w:val="FF0000"/>
          <w:lang w:val="es-ES_tradnl"/>
        </w:rPr>
      </w:pPr>
    </w:p>
    <w:p w14:paraId="5EE995B9" w14:textId="5DE0BA9A" w:rsidR="0082251C" w:rsidRPr="00C56C5D" w:rsidRDefault="00214D13" w:rsidP="00C64FA1">
      <w:pPr>
        <w:spacing w:line="360" w:lineRule="auto"/>
        <w:ind w:right="51"/>
        <w:jc w:val="both"/>
        <w:rPr>
          <w:rFonts w:ascii="Verdana" w:hAnsi="Verdana"/>
          <w:lang w:val="es-ES_tradnl"/>
        </w:rPr>
      </w:pPr>
      <w:r w:rsidRPr="00C56C5D">
        <w:rPr>
          <w:rFonts w:ascii="Verdana" w:hAnsi="Verdana"/>
          <w:b/>
          <w:lang w:val="es-ES_tradnl"/>
        </w:rPr>
        <w:t>SEXT</w:t>
      </w:r>
      <w:r w:rsidR="0082251C" w:rsidRPr="00C56C5D">
        <w:rPr>
          <w:rFonts w:ascii="Verdana" w:hAnsi="Verdana"/>
          <w:b/>
          <w:lang w:val="es-ES_tradnl"/>
        </w:rPr>
        <w:t xml:space="preserve">O: </w:t>
      </w:r>
      <w:r w:rsidR="003235D1" w:rsidRPr="00C56C5D">
        <w:rPr>
          <w:rFonts w:ascii="Verdana" w:hAnsi="Verdana"/>
          <w:b/>
          <w:lang w:val="es-ES_tradnl"/>
        </w:rPr>
        <w:t xml:space="preserve">INVITAR, </w:t>
      </w:r>
      <w:r w:rsidR="009A5A2D" w:rsidRPr="00C56C5D">
        <w:rPr>
          <w:rFonts w:ascii="Verdana" w:hAnsi="Verdana"/>
          <w:lang w:val="es-ES_tradnl"/>
        </w:rPr>
        <w:t>a través de los diferentes medios virtuales que en estos momentos estén a disposición de la Secretaría General</w:t>
      </w:r>
      <w:r w:rsidR="003235D1" w:rsidRPr="00C56C5D">
        <w:rPr>
          <w:rFonts w:ascii="Verdana" w:hAnsi="Verdana"/>
          <w:lang w:val="es-ES_tradnl"/>
        </w:rPr>
        <w:t xml:space="preserve">, a las entidades públicas, organizaciones privadas y expertos en </w:t>
      </w:r>
      <w:r w:rsidR="002653EB">
        <w:rPr>
          <w:rFonts w:ascii="Verdana" w:hAnsi="Verdana"/>
          <w:lang w:val="es-ES_tradnl"/>
        </w:rPr>
        <w:t>derecho comercial y/o en materia de</w:t>
      </w:r>
      <w:r w:rsidR="00AE2968" w:rsidRPr="00C56C5D">
        <w:rPr>
          <w:rFonts w:ascii="Verdana" w:hAnsi="Verdana"/>
          <w:lang w:val="es-ES_tradnl"/>
        </w:rPr>
        <w:t xml:space="preserve"> </w:t>
      </w:r>
      <w:r w:rsidR="002653EB">
        <w:rPr>
          <w:rFonts w:ascii="Verdana" w:hAnsi="Verdana"/>
          <w:lang w:val="es-ES_tradnl"/>
        </w:rPr>
        <w:t>insolvencia empresarial</w:t>
      </w:r>
      <w:r w:rsidR="003235D1" w:rsidRPr="00C56C5D">
        <w:rPr>
          <w:rFonts w:ascii="Verdana" w:hAnsi="Verdana"/>
          <w:lang w:val="es-ES_tradnl"/>
        </w:rPr>
        <w:t>, para que, si desean intervenir, presenten su concepto sobre este asunto dentro de los diez (10) días siguientes a la publicación de esta providencia, de conformidad con lo dispuesto en e</w:t>
      </w:r>
      <w:r w:rsidRPr="00C56C5D">
        <w:rPr>
          <w:rFonts w:ascii="Verdana" w:hAnsi="Verdana"/>
          <w:lang w:val="es-ES_tradnl"/>
        </w:rPr>
        <w:t>l numeral 3 del artículo 185 del CPACA.</w:t>
      </w:r>
    </w:p>
    <w:p w14:paraId="02F2C34E" w14:textId="77777777" w:rsidR="00570F8D" w:rsidRPr="00F343F4" w:rsidRDefault="00570F8D" w:rsidP="00C64FA1">
      <w:pPr>
        <w:spacing w:line="360" w:lineRule="auto"/>
        <w:ind w:right="51"/>
        <w:jc w:val="both"/>
        <w:rPr>
          <w:rFonts w:ascii="Verdana" w:hAnsi="Verdana"/>
          <w:i/>
          <w:color w:val="FF0000"/>
          <w:lang w:val="es-ES_tradnl"/>
        </w:rPr>
      </w:pPr>
    </w:p>
    <w:p w14:paraId="6DAC0C7B" w14:textId="10098DF1" w:rsidR="00EC4816" w:rsidRPr="00C56C5D" w:rsidRDefault="00214D13" w:rsidP="00C64FA1">
      <w:pPr>
        <w:spacing w:line="360" w:lineRule="auto"/>
        <w:jc w:val="both"/>
        <w:rPr>
          <w:rFonts w:ascii="Verdana" w:hAnsi="Verdana"/>
          <w:lang w:val="es-ES_tradnl"/>
        </w:rPr>
      </w:pPr>
      <w:r w:rsidRPr="00C56C5D">
        <w:rPr>
          <w:rFonts w:ascii="Verdana" w:hAnsi="Verdana"/>
          <w:b/>
          <w:lang w:val="es-ES_tradnl"/>
        </w:rPr>
        <w:t>SÉPTIMO</w:t>
      </w:r>
      <w:r w:rsidR="00EC4816" w:rsidRPr="00C56C5D">
        <w:rPr>
          <w:rFonts w:ascii="Verdana" w:hAnsi="Verdana"/>
          <w:b/>
          <w:lang w:val="es-ES_tradnl"/>
        </w:rPr>
        <w:t xml:space="preserve">: OFICIAR </w:t>
      </w:r>
      <w:r w:rsidR="00062A56" w:rsidRPr="00C56C5D">
        <w:rPr>
          <w:rFonts w:ascii="Verdana" w:hAnsi="Verdana"/>
          <w:lang w:val="es-ES_tradnl"/>
        </w:rPr>
        <w:t>a la</w:t>
      </w:r>
      <w:r w:rsidR="00A74CCA" w:rsidRPr="00C56C5D">
        <w:rPr>
          <w:rFonts w:ascii="Verdana" w:hAnsi="Verdana"/>
          <w:lang w:val="es-ES_tradnl"/>
        </w:rPr>
        <w:t xml:space="preserve"> Secretaría </w:t>
      </w:r>
      <w:r w:rsidR="00C56C5D" w:rsidRPr="00C56C5D">
        <w:rPr>
          <w:rFonts w:ascii="Verdana" w:hAnsi="Verdana"/>
          <w:lang w:val="es-ES_tradnl"/>
        </w:rPr>
        <w:t>Jurídica de la Presidencia de la República y a la Secretaría General del Ministerio de Comercio, Industria y Turismo</w:t>
      </w:r>
      <w:r w:rsidR="00EC4816" w:rsidRPr="00C56C5D">
        <w:rPr>
          <w:rFonts w:ascii="Verdana" w:hAnsi="Verdana"/>
          <w:lang w:val="es-ES_tradnl"/>
        </w:rPr>
        <w:t>, con el fin de que remita</w:t>
      </w:r>
      <w:r w:rsidR="00097278">
        <w:rPr>
          <w:rFonts w:ascii="Verdana" w:hAnsi="Verdana"/>
          <w:lang w:val="es-ES_tradnl"/>
        </w:rPr>
        <w:t>n</w:t>
      </w:r>
      <w:r w:rsidRPr="00C56C5D">
        <w:rPr>
          <w:rFonts w:ascii="Verdana" w:hAnsi="Verdana"/>
          <w:lang w:val="es-ES_tradnl"/>
        </w:rPr>
        <w:t>,</w:t>
      </w:r>
      <w:r w:rsidR="00EC4816" w:rsidRPr="00C56C5D">
        <w:rPr>
          <w:rFonts w:ascii="Verdana" w:hAnsi="Verdana"/>
          <w:lang w:val="es-ES_tradnl"/>
        </w:rPr>
        <w:t xml:space="preserve"> </w:t>
      </w:r>
      <w:r w:rsidRPr="00C56C5D">
        <w:rPr>
          <w:rFonts w:ascii="Verdana" w:hAnsi="Verdana"/>
          <w:lang w:val="es-ES_tradnl"/>
        </w:rPr>
        <w:t xml:space="preserve">en medio magnético, </w:t>
      </w:r>
      <w:r w:rsidR="00A7516E" w:rsidRPr="00C56C5D">
        <w:rPr>
          <w:rFonts w:ascii="Verdana" w:hAnsi="Verdana"/>
          <w:lang w:val="es-ES_tradnl"/>
        </w:rPr>
        <w:t xml:space="preserve">copia de </w:t>
      </w:r>
      <w:r w:rsidR="00EC4816" w:rsidRPr="00C56C5D">
        <w:rPr>
          <w:rFonts w:ascii="Verdana" w:hAnsi="Verdana"/>
          <w:lang w:val="es-ES_tradnl"/>
        </w:rPr>
        <w:t xml:space="preserve">los antecedentes </w:t>
      </w:r>
      <w:r w:rsidR="009A5A2D" w:rsidRPr="00C56C5D">
        <w:rPr>
          <w:rFonts w:ascii="Verdana" w:hAnsi="Verdana"/>
          <w:lang w:val="es-ES_tradnl"/>
        </w:rPr>
        <w:t>administrativos que sirvieron de fundamento a</w:t>
      </w:r>
      <w:r w:rsidR="00C56C5D" w:rsidRPr="00C56C5D">
        <w:rPr>
          <w:rFonts w:ascii="Verdana" w:hAnsi="Verdana"/>
          <w:lang w:val="es-ES_tradnl"/>
        </w:rPr>
        <w:t>l Decreto 1332 de 6 de octubre de 2020</w:t>
      </w:r>
      <w:r w:rsidR="003235D1" w:rsidRPr="00C56C5D">
        <w:rPr>
          <w:rFonts w:ascii="Verdana" w:hAnsi="Verdana"/>
          <w:lang w:val="es-ES_tradnl"/>
        </w:rPr>
        <w:t xml:space="preserve">, </w:t>
      </w:r>
      <w:r w:rsidR="009A5A2D" w:rsidRPr="00C56C5D">
        <w:rPr>
          <w:rFonts w:ascii="Verdana" w:hAnsi="Verdana"/>
          <w:lang w:val="es-ES_tradnl"/>
        </w:rPr>
        <w:t xml:space="preserve">o de cualquier otro documento que hubiere sido relevante para expedir dicho acto administrativo, </w:t>
      </w:r>
      <w:r w:rsidR="003235D1" w:rsidRPr="00C56C5D">
        <w:rPr>
          <w:rFonts w:ascii="Verdana" w:hAnsi="Verdana"/>
          <w:lang w:val="es-ES_tradnl"/>
        </w:rPr>
        <w:t>de acuerdo con lo dispuesto en el numeral 4</w:t>
      </w:r>
      <w:r w:rsidRPr="00C56C5D">
        <w:rPr>
          <w:rFonts w:ascii="Verdana" w:hAnsi="Verdana"/>
          <w:lang w:val="es-ES_tradnl"/>
        </w:rPr>
        <w:t xml:space="preserve"> del artículo 185 del CPACA</w:t>
      </w:r>
      <w:r w:rsidR="00EC4816" w:rsidRPr="00C56C5D">
        <w:rPr>
          <w:rFonts w:ascii="Verdana" w:hAnsi="Verdana"/>
          <w:lang w:val="es-ES_tradnl"/>
        </w:rPr>
        <w:t>. Para el efecto, se le conce</w:t>
      </w:r>
      <w:r w:rsidR="00ED53A9" w:rsidRPr="00C56C5D">
        <w:rPr>
          <w:rFonts w:ascii="Verdana" w:hAnsi="Verdana"/>
          <w:lang w:val="es-ES_tradnl"/>
        </w:rPr>
        <w:t>de un término de diez (10) días, contados desde la fecha en que reciba el correspondiente oficio.</w:t>
      </w:r>
    </w:p>
    <w:p w14:paraId="680A4E5D" w14:textId="77777777" w:rsidR="0082251C" w:rsidRPr="00F343F4" w:rsidRDefault="0082251C" w:rsidP="00C64FA1">
      <w:pPr>
        <w:spacing w:line="360" w:lineRule="auto"/>
        <w:ind w:right="51"/>
        <w:jc w:val="both"/>
        <w:rPr>
          <w:rFonts w:ascii="Verdana" w:hAnsi="Verdana"/>
          <w:color w:val="FF0000"/>
          <w:lang w:val="es-ES_tradnl"/>
        </w:rPr>
      </w:pPr>
    </w:p>
    <w:p w14:paraId="748D363A" w14:textId="77777777" w:rsidR="0082251C" w:rsidRPr="00C56C5D" w:rsidRDefault="00214D13" w:rsidP="00C64FA1">
      <w:pPr>
        <w:spacing w:line="360" w:lineRule="auto"/>
        <w:ind w:right="51"/>
        <w:jc w:val="both"/>
        <w:rPr>
          <w:rFonts w:ascii="Verdana" w:hAnsi="Verdana"/>
          <w:lang w:val="es-ES_tradnl"/>
        </w:rPr>
      </w:pPr>
      <w:r w:rsidRPr="00C56C5D">
        <w:rPr>
          <w:rFonts w:ascii="Verdana" w:hAnsi="Verdana"/>
          <w:b/>
          <w:lang w:val="es-ES_tradnl"/>
        </w:rPr>
        <w:t>OCTAVO</w:t>
      </w:r>
      <w:r w:rsidR="0082251C" w:rsidRPr="00C56C5D">
        <w:rPr>
          <w:rFonts w:ascii="Verdana" w:hAnsi="Verdana"/>
          <w:b/>
          <w:lang w:val="es-ES_tradnl"/>
        </w:rPr>
        <w:t xml:space="preserve">: ORDENAR </w:t>
      </w:r>
      <w:r w:rsidR="0082251C" w:rsidRPr="00C56C5D">
        <w:rPr>
          <w:rFonts w:ascii="Verdana" w:hAnsi="Verdana"/>
          <w:lang w:val="es-ES_tradnl"/>
        </w:rPr>
        <w:t xml:space="preserve">a la Secretaría General de esta Corporación que, </w:t>
      </w:r>
      <w:r w:rsidR="00EC4816" w:rsidRPr="00C56C5D">
        <w:rPr>
          <w:rFonts w:ascii="Verdana" w:hAnsi="Verdana"/>
          <w:lang w:val="es-ES_tradnl"/>
        </w:rPr>
        <w:t xml:space="preserve">vencido el término </w:t>
      </w:r>
      <w:r w:rsidR="001267F6" w:rsidRPr="00C56C5D">
        <w:rPr>
          <w:rFonts w:ascii="Verdana" w:hAnsi="Verdana"/>
          <w:lang w:val="es-ES_tradnl"/>
        </w:rPr>
        <w:t xml:space="preserve">de que trata el numeral </w:t>
      </w:r>
      <w:r w:rsidRPr="00C56C5D">
        <w:rPr>
          <w:rFonts w:ascii="Verdana" w:hAnsi="Verdana"/>
          <w:lang w:val="es-ES_tradnl"/>
        </w:rPr>
        <w:t>4 del artículo 185 del CPACA</w:t>
      </w:r>
      <w:r w:rsidR="0082251C" w:rsidRPr="00C56C5D">
        <w:rPr>
          <w:rFonts w:ascii="Verdana" w:hAnsi="Verdana"/>
          <w:lang w:val="es-ES_tradnl"/>
        </w:rPr>
        <w:t>, remita el asunto al Ministerio Público para que</w:t>
      </w:r>
      <w:r w:rsidR="00EC4816" w:rsidRPr="00C56C5D">
        <w:rPr>
          <w:rFonts w:ascii="Verdana" w:hAnsi="Verdana"/>
          <w:lang w:val="es-ES_tradnl"/>
        </w:rPr>
        <w:t>,</w:t>
      </w:r>
      <w:r w:rsidR="0082251C" w:rsidRPr="00C56C5D">
        <w:rPr>
          <w:rFonts w:ascii="Verdana" w:hAnsi="Verdana"/>
          <w:lang w:val="es-ES_tradnl"/>
        </w:rPr>
        <w:t xml:space="preserve"> dentro de los diez (10) días siguientes</w:t>
      </w:r>
      <w:r w:rsidR="00EC4816" w:rsidRPr="00C56C5D">
        <w:rPr>
          <w:rFonts w:ascii="Verdana" w:hAnsi="Verdana"/>
          <w:lang w:val="es-ES_tradnl"/>
        </w:rPr>
        <w:t>,</w:t>
      </w:r>
      <w:r w:rsidR="0082251C" w:rsidRPr="00C56C5D">
        <w:rPr>
          <w:rFonts w:ascii="Verdana" w:hAnsi="Verdana"/>
          <w:lang w:val="es-ES_tradnl"/>
        </w:rPr>
        <w:t xml:space="preserve"> rinda su concepto, de conformidad con lo previsto en el numeral 5 </w:t>
      </w:r>
      <w:r w:rsidRPr="00C56C5D">
        <w:rPr>
          <w:rFonts w:ascii="Verdana" w:hAnsi="Verdana"/>
          <w:lang w:val="es-ES_tradnl"/>
        </w:rPr>
        <w:t>de esta misma norma</w:t>
      </w:r>
      <w:r w:rsidR="0082251C" w:rsidRPr="00C56C5D">
        <w:rPr>
          <w:rFonts w:ascii="Verdana" w:hAnsi="Verdana"/>
          <w:lang w:val="es-ES_tradnl"/>
        </w:rPr>
        <w:t>.</w:t>
      </w:r>
    </w:p>
    <w:p w14:paraId="19219836" w14:textId="77777777" w:rsidR="0082251C" w:rsidRPr="00C56C5D" w:rsidRDefault="0082251C" w:rsidP="00C64FA1">
      <w:pPr>
        <w:spacing w:line="360" w:lineRule="auto"/>
        <w:ind w:right="51"/>
        <w:jc w:val="both"/>
        <w:rPr>
          <w:rFonts w:ascii="Verdana" w:hAnsi="Verdana"/>
          <w:lang w:val="es-ES_tradnl"/>
        </w:rPr>
      </w:pPr>
    </w:p>
    <w:p w14:paraId="006AE78D" w14:textId="77777777" w:rsidR="0082251C" w:rsidRPr="00C56C5D" w:rsidRDefault="00214D13" w:rsidP="00C64FA1">
      <w:pPr>
        <w:spacing w:line="360" w:lineRule="auto"/>
        <w:ind w:right="51"/>
        <w:jc w:val="both"/>
        <w:rPr>
          <w:rFonts w:ascii="Verdana" w:hAnsi="Verdana"/>
          <w:b/>
          <w:lang w:val="es-ES_tradnl"/>
        </w:rPr>
      </w:pPr>
      <w:r w:rsidRPr="00C56C5D">
        <w:rPr>
          <w:rFonts w:ascii="Verdana" w:hAnsi="Verdana"/>
          <w:b/>
          <w:lang w:val="es-ES_tradnl"/>
        </w:rPr>
        <w:t>NOVENO</w:t>
      </w:r>
      <w:r w:rsidR="0082251C" w:rsidRPr="00C56C5D">
        <w:rPr>
          <w:rFonts w:ascii="Verdana" w:hAnsi="Verdana"/>
          <w:b/>
          <w:lang w:val="es-ES_tradnl"/>
        </w:rPr>
        <w:t>:</w:t>
      </w:r>
      <w:r w:rsidRPr="00C56C5D">
        <w:rPr>
          <w:rFonts w:ascii="Verdana" w:hAnsi="Verdana"/>
          <w:b/>
          <w:lang w:val="es-ES_tradnl"/>
        </w:rPr>
        <w:t xml:space="preserve"> </w:t>
      </w:r>
      <w:r w:rsidR="0082251C" w:rsidRPr="00C56C5D">
        <w:rPr>
          <w:rFonts w:ascii="Verdana" w:hAnsi="Verdana"/>
          <w:b/>
          <w:lang w:val="es-ES_tradnl"/>
        </w:rPr>
        <w:t xml:space="preserve">DISPONER </w:t>
      </w:r>
      <w:r w:rsidR="0082251C" w:rsidRPr="00C56C5D">
        <w:rPr>
          <w:rFonts w:ascii="Verdana" w:hAnsi="Verdana"/>
          <w:lang w:val="es-ES_tradnl"/>
        </w:rPr>
        <w:t>la siguiente</w:t>
      </w:r>
      <w:r w:rsidR="00F37167" w:rsidRPr="00C56C5D">
        <w:rPr>
          <w:rFonts w:ascii="Verdana" w:hAnsi="Verdana"/>
          <w:lang w:val="es-ES_tradnl"/>
        </w:rPr>
        <w:t xml:space="preserve"> cuenta</w:t>
      </w:r>
      <w:r w:rsidR="0082251C" w:rsidRPr="00C56C5D">
        <w:rPr>
          <w:rFonts w:ascii="Verdana" w:hAnsi="Verdana"/>
          <w:lang w:val="es-ES_tradnl"/>
        </w:rPr>
        <w:t xml:space="preserve"> de correo electrónico </w:t>
      </w:r>
      <w:r w:rsidR="00F37167" w:rsidRPr="00C56C5D">
        <w:rPr>
          <w:rFonts w:ascii="Verdana" w:hAnsi="Verdana"/>
          <w:lang w:val="es-ES_tradnl"/>
        </w:rPr>
        <w:t>del</w:t>
      </w:r>
      <w:r w:rsidR="0082251C" w:rsidRPr="00C56C5D">
        <w:rPr>
          <w:rFonts w:ascii="Verdana" w:hAnsi="Verdana"/>
          <w:lang w:val="es-ES_tradnl"/>
        </w:rPr>
        <w:t xml:space="preserve"> Consejo de Estado para el recibo de oficios, memoriales</w:t>
      </w:r>
      <w:r w:rsidR="00F636DA" w:rsidRPr="00C56C5D">
        <w:rPr>
          <w:rFonts w:ascii="Verdana" w:hAnsi="Verdana"/>
          <w:lang w:val="es-ES_tradnl"/>
        </w:rPr>
        <w:t>, escritos, pruebas documentales</w:t>
      </w:r>
      <w:r w:rsidR="0082251C" w:rsidRPr="00C56C5D">
        <w:rPr>
          <w:rFonts w:ascii="Verdana" w:hAnsi="Verdana"/>
          <w:lang w:val="es-ES_tradnl"/>
        </w:rPr>
        <w:t xml:space="preserve"> y demás</w:t>
      </w:r>
      <w:r w:rsidR="00F636DA" w:rsidRPr="00C56C5D">
        <w:rPr>
          <w:rFonts w:ascii="Verdana" w:hAnsi="Verdana"/>
          <w:lang w:val="es-ES_tradnl"/>
        </w:rPr>
        <w:t>,</w:t>
      </w:r>
      <w:r w:rsidR="0082251C" w:rsidRPr="00C56C5D">
        <w:rPr>
          <w:rFonts w:ascii="Verdana" w:hAnsi="Verdana"/>
          <w:lang w:val="es-ES_tradnl"/>
        </w:rPr>
        <w:t xml:space="preserve"> relacionados con </w:t>
      </w:r>
      <w:r w:rsidR="00F37167" w:rsidRPr="00C56C5D">
        <w:rPr>
          <w:rFonts w:ascii="Verdana" w:hAnsi="Verdana"/>
          <w:lang w:val="es-ES_tradnl"/>
        </w:rPr>
        <w:t xml:space="preserve">el presente trámite judicial: </w:t>
      </w:r>
      <w:hyperlink r:id="rId14" w:history="1">
        <w:r w:rsidR="00F37167" w:rsidRPr="00C56C5D">
          <w:rPr>
            <w:rStyle w:val="Hipervnculo"/>
            <w:rFonts w:ascii="Verdana" w:eastAsia="Calibri" w:hAnsi="Verdana"/>
            <w:color w:val="auto"/>
            <w:lang w:val="es-ES_tradnl"/>
          </w:rPr>
          <w:t>secgeneral@consejoestado.ramajudicial.gov.co</w:t>
        </w:r>
      </w:hyperlink>
    </w:p>
    <w:p w14:paraId="296FEF7D" w14:textId="77777777" w:rsidR="0082251C" w:rsidRPr="00C56C5D" w:rsidRDefault="0082251C" w:rsidP="00C64FA1">
      <w:pPr>
        <w:spacing w:line="360" w:lineRule="auto"/>
        <w:ind w:right="51"/>
        <w:jc w:val="both"/>
        <w:rPr>
          <w:rFonts w:ascii="Verdana" w:hAnsi="Verdana"/>
          <w:lang w:val="es-ES_tradnl"/>
        </w:rPr>
      </w:pPr>
    </w:p>
    <w:p w14:paraId="596E35B7" w14:textId="77777777" w:rsidR="0082251C" w:rsidRPr="00C56C5D" w:rsidRDefault="0082251C" w:rsidP="00C64FA1">
      <w:pPr>
        <w:spacing w:line="360" w:lineRule="auto"/>
        <w:ind w:right="51"/>
        <w:jc w:val="both"/>
        <w:rPr>
          <w:rFonts w:ascii="Verdana" w:hAnsi="Verdana"/>
          <w:b/>
          <w:lang w:val="es-ES_tradnl"/>
        </w:rPr>
      </w:pPr>
      <w:r w:rsidRPr="00C56C5D">
        <w:rPr>
          <w:rFonts w:ascii="Verdana" w:hAnsi="Verdana"/>
          <w:b/>
          <w:lang w:val="es-ES_tradnl"/>
        </w:rPr>
        <w:t xml:space="preserve">Notifíquese y cúmplase. </w:t>
      </w:r>
    </w:p>
    <w:p w14:paraId="7194DBDC" w14:textId="77777777" w:rsidR="00345548" w:rsidRPr="00C56C5D" w:rsidRDefault="00345548" w:rsidP="0082251C">
      <w:pPr>
        <w:spacing w:line="360" w:lineRule="auto"/>
        <w:ind w:right="51"/>
        <w:jc w:val="both"/>
        <w:rPr>
          <w:rFonts w:ascii="Verdana" w:hAnsi="Verdana"/>
          <w:highlight w:val="yellow"/>
          <w:lang w:val="es-ES_tradnl"/>
        </w:rPr>
      </w:pPr>
    </w:p>
    <w:p w14:paraId="769D0D3C" w14:textId="77777777" w:rsidR="00C64FA1" w:rsidRPr="00C56C5D" w:rsidRDefault="00C64FA1" w:rsidP="0082251C">
      <w:pPr>
        <w:spacing w:line="360" w:lineRule="auto"/>
        <w:ind w:right="51"/>
        <w:jc w:val="both"/>
        <w:rPr>
          <w:rFonts w:ascii="Verdana" w:hAnsi="Verdana"/>
          <w:highlight w:val="yellow"/>
          <w:lang w:val="es-ES_tradnl"/>
        </w:rPr>
      </w:pPr>
    </w:p>
    <w:p w14:paraId="54CD245A" w14:textId="77777777" w:rsidR="00093E14" w:rsidRPr="00C56C5D" w:rsidRDefault="00093E14" w:rsidP="0082251C">
      <w:pPr>
        <w:spacing w:line="360" w:lineRule="auto"/>
        <w:ind w:right="51"/>
        <w:jc w:val="both"/>
        <w:rPr>
          <w:rFonts w:ascii="Verdana" w:hAnsi="Verdana"/>
          <w:highlight w:val="yellow"/>
          <w:lang w:val="es-ES_tradnl"/>
        </w:rPr>
      </w:pPr>
    </w:p>
    <w:p w14:paraId="3FEE60C3" w14:textId="77777777" w:rsidR="0082251C" w:rsidRPr="00C56C5D" w:rsidRDefault="0082251C" w:rsidP="0082251C">
      <w:pPr>
        <w:tabs>
          <w:tab w:val="left" w:pos="-720"/>
        </w:tabs>
        <w:suppressAutoHyphens/>
        <w:jc w:val="center"/>
        <w:rPr>
          <w:rFonts w:ascii="Verdana" w:hAnsi="Verdana"/>
          <w:b/>
          <w:spacing w:val="-18"/>
          <w:lang w:val="es-ES_tradnl"/>
        </w:rPr>
      </w:pPr>
      <w:r w:rsidRPr="00C56C5D">
        <w:rPr>
          <w:rFonts w:ascii="Verdana" w:hAnsi="Verdana"/>
          <w:b/>
          <w:spacing w:val="-18"/>
          <w:lang w:val="es-ES_tradnl"/>
        </w:rPr>
        <w:t>OSWALDO GIRALDO LÓPEZ</w:t>
      </w:r>
    </w:p>
    <w:p w14:paraId="0098C753" w14:textId="77777777" w:rsidR="004C5E97" w:rsidRPr="00C56C5D" w:rsidRDefault="004C5E97" w:rsidP="0055659E">
      <w:pPr>
        <w:tabs>
          <w:tab w:val="left" w:pos="-720"/>
        </w:tabs>
        <w:suppressAutoHyphens/>
        <w:jc w:val="center"/>
        <w:rPr>
          <w:rFonts w:ascii="Verdana" w:hAnsi="Verdana"/>
          <w:b/>
          <w:sz w:val="22"/>
          <w:lang w:val="es-ES_tradnl"/>
        </w:rPr>
      </w:pPr>
      <w:r w:rsidRPr="00C56C5D">
        <w:rPr>
          <w:rFonts w:ascii="Verdana" w:hAnsi="Verdana"/>
          <w:b/>
          <w:bCs/>
          <w:spacing w:val="-18"/>
          <w:lang w:val="es-ES_tradnl"/>
        </w:rPr>
        <w:t xml:space="preserve">Presidente Sala </w:t>
      </w:r>
      <w:r w:rsidR="005745A7" w:rsidRPr="00C56C5D">
        <w:rPr>
          <w:rFonts w:ascii="Verdana" w:hAnsi="Verdana"/>
          <w:b/>
          <w:bCs/>
          <w:spacing w:val="-18"/>
          <w:lang w:val="es-ES_tradnl"/>
        </w:rPr>
        <w:t xml:space="preserve">18 </w:t>
      </w:r>
      <w:r w:rsidRPr="00C56C5D">
        <w:rPr>
          <w:rFonts w:ascii="Verdana" w:hAnsi="Verdana"/>
          <w:b/>
          <w:bCs/>
          <w:spacing w:val="-18"/>
          <w:lang w:val="es-ES_tradnl"/>
        </w:rPr>
        <w:t>Especial de Decisi</w:t>
      </w:r>
      <w:r w:rsidR="00757A65" w:rsidRPr="00C56C5D">
        <w:rPr>
          <w:rFonts w:ascii="Verdana" w:hAnsi="Verdana"/>
          <w:b/>
          <w:bCs/>
          <w:spacing w:val="-18"/>
          <w:lang w:val="es-ES_tradnl"/>
        </w:rPr>
        <w:t>ón</w:t>
      </w:r>
    </w:p>
    <w:p w14:paraId="1231BE67" w14:textId="77777777" w:rsidR="0082251C" w:rsidRPr="00C56C5D" w:rsidRDefault="0082251C" w:rsidP="00E75F2B">
      <w:pPr>
        <w:pStyle w:val="Textonotapie"/>
        <w:spacing w:line="360" w:lineRule="auto"/>
        <w:rPr>
          <w:sz w:val="24"/>
          <w:szCs w:val="24"/>
          <w:lang w:val="es-ES_tradnl"/>
        </w:rPr>
      </w:pPr>
    </w:p>
    <w:sectPr w:rsidR="0082251C" w:rsidRPr="00C56C5D" w:rsidSect="004F7D60">
      <w:headerReference w:type="default" r:id="rId15"/>
      <w:footerReference w:type="default" r:id="rId16"/>
      <w:headerReference w:type="first" r:id="rId17"/>
      <w:footerReference w:type="first" r:id="rId18"/>
      <w:pgSz w:w="12242" w:h="18722" w:code="14"/>
      <w:pgMar w:top="787" w:right="1701" w:bottom="1701" w:left="170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773964" w14:textId="77777777" w:rsidR="000D5310" w:rsidRDefault="000D5310" w:rsidP="004A1AD1">
      <w:r>
        <w:separator/>
      </w:r>
    </w:p>
  </w:endnote>
  <w:endnote w:type="continuationSeparator" w:id="0">
    <w:p w14:paraId="19F28A50" w14:textId="77777777" w:rsidR="000D5310" w:rsidRDefault="000D5310" w:rsidP="004A1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4D26B" w14:textId="234B8E74" w:rsidR="00E7732F" w:rsidRDefault="00E7732F" w:rsidP="005F5DD1">
    <w:pPr>
      <w:pStyle w:val="Piedepgina"/>
      <w:spacing w:line="240" w:lineRule="auto"/>
      <w:jc w:val="right"/>
      <w:rPr>
        <w:rFonts w:ascii="Verdana" w:hAnsi="Verdana"/>
        <w:color w:val="767171"/>
        <w:sz w:val="20"/>
        <w:szCs w:val="20"/>
      </w:rPr>
    </w:pPr>
    <w:r>
      <w:rPr>
        <w:rFonts w:ascii="Verdana" w:hAnsi="Verdana"/>
        <w:color w:val="767171"/>
        <w:sz w:val="20"/>
        <w:szCs w:val="20"/>
      </w:rPr>
      <w:fldChar w:fldCharType="begin"/>
    </w:r>
    <w:r>
      <w:rPr>
        <w:rFonts w:ascii="Verdana" w:hAnsi="Verdana"/>
        <w:color w:val="767171"/>
        <w:sz w:val="20"/>
        <w:szCs w:val="20"/>
      </w:rPr>
      <w:instrText xml:space="preserve"> </w:instrText>
    </w:r>
    <w:r w:rsidR="00652F80">
      <w:rPr>
        <w:rFonts w:ascii="Verdana" w:hAnsi="Verdana"/>
        <w:color w:val="767171"/>
        <w:sz w:val="20"/>
        <w:szCs w:val="20"/>
      </w:rPr>
      <w:instrText>PAGE</w:instrText>
    </w:r>
    <w:r>
      <w:rPr>
        <w:rFonts w:ascii="Verdana" w:hAnsi="Verdana"/>
        <w:color w:val="767171"/>
        <w:sz w:val="20"/>
        <w:szCs w:val="20"/>
      </w:rPr>
      <w:instrText xml:space="preserve">  \* Arabic  \* MERGEFORMAT </w:instrText>
    </w:r>
    <w:r>
      <w:rPr>
        <w:rFonts w:ascii="Verdana" w:hAnsi="Verdana"/>
        <w:color w:val="767171"/>
        <w:sz w:val="20"/>
        <w:szCs w:val="20"/>
      </w:rPr>
      <w:fldChar w:fldCharType="separate"/>
    </w:r>
    <w:r w:rsidR="002075CB">
      <w:rPr>
        <w:rFonts w:ascii="Verdana" w:hAnsi="Verdana"/>
        <w:noProof/>
        <w:color w:val="767171"/>
        <w:sz w:val="20"/>
        <w:szCs w:val="20"/>
      </w:rPr>
      <w:t>2</w:t>
    </w:r>
    <w:r>
      <w:rPr>
        <w:rFonts w:ascii="Verdana" w:hAnsi="Verdana"/>
        <w:color w:val="767171"/>
        <w:sz w:val="20"/>
        <w:szCs w:val="20"/>
      </w:rPr>
      <w:fldChar w:fldCharType="end"/>
    </w:r>
  </w:p>
  <w:p w14:paraId="60E1FF49" w14:textId="77777777" w:rsidR="00E7732F" w:rsidRPr="00727CA8" w:rsidRDefault="00E7732F" w:rsidP="00283A32">
    <w:pPr>
      <w:pStyle w:val="Piedepgina"/>
      <w:spacing w:line="240" w:lineRule="auto"/>
      <w:jc w:val="center"/>
      <w:rPr>
        <w:rFonts w:ascii="Verdana" w:hAnsi="Verdana"/>
        <w:color w:val="767171"/>
        <w:sz w:val="20"/>
        <w:szCs w:val="20"/>
      </w:rPr>
    </w:pPr>
    <w:r w:rsidRPr="00727CA8">
      <w:rPr>
        <w:rFonts w:ascii="Verdana" w:hAnsi="Verdana"/>
        <w:color w:val="767171"/>
        <w:sz w:val="20"/>
        <w:szCs w:val="20"/>
      </w:rPr>
      <w:t>Calle 12 No. 7-65 – Tel: (57-1) 350-6700 – Bogotá D.C. – Colombia</w:t>
    </w:r>
  </w:p>
  <w:p w14:paraId="1601DE47" w14:textId="77777777" w:rsidR="00E7732F" w:rsidRPr="00727CA8" w:rsidRDefault="00E7732F" w:rsidP="00283A32">
    <w:pPr>
      <w:pStyle w:val="Piedepgina"/>
      <w:spacing w:line="240" w:lineRule="auto"/>
      <w:jc w:val="center"/>
      <w:rPr>
        <w:rFonts w:ascii="Verdana" w:hAnsi="Verdana"/>
        <w:color w:val="767171"/>
        <w:sz w:val="20"/>
        <w:szCs w:val="20"/>
      </w:rPr>
    </w:pPr>
    <w:r w:rsidRPr="00727CA8">
      <w:rPr>
        <w:rFonts w:ascii="Verdana" w:hAnsi="Verdana"/>
        <w:color w:val="767171"/>
        <w:sz w:val="20"/>
        <w:szCs w:val="20"/>
      </w:rPr>
      <w:t>www.consejodeestado.gov.co</w:t>
    </w:r>
  </w:p>
  <w:p w14:paraId="48A21919" w14:textId="77777777" w:rsidR="00E7732F" w:rsidRDefault="00E7732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16D46" w14:textId="77777777" w:rsidR="00E7732F" w:rsidRDefault="00E7732F" w:rsidP="005F5DD1">
    <w:pPr>
      <w:pStyle w:val="Piedepgina"/>
      <w:tabs>
        <w:tab w:val="clear" w:pos="4252"/>
        <w:tab w:val="clear" w:pos="8504"/>
        <w:tab w:val="center" w:pos="4420"/>
        <w:tab w:val="right" w:pos="8840"/>
      </w:tabs>
      <w:spacing w:line="240" w:lineRule="auto"/>
      <w:jc w:val="center"/>
      <w:rPr>
        <w:rFonts w:ascii="Verdana" w:hAnsi="Verdana"/>
        <w:color w:val="767171"/>
        <w:sz w:val="20"/>
        <w:szCs w:val="20"/>
      </w:rPr>
    </w:pPr>
    <w:r>
      <w:rPr>
        <w:rFonts w:ascii="Verdana" w:hAnsi="Verdana"/>
        <w:color w:val="767171"/>
        <w:sz w:val="20"/>
        <w:szCs w:val="20"/>
      </w:rPr>
      <w:tab/>
    </w:r>
    <w:r>
      <w:rPr>
        <w:rFonts w:ascii="Verdana" w:hAnsi="Verdana"/>
        <w:color w:val="767171"/>
        <w:sz w:val="20"/>
        <w:szCs w:val="20"/>
      </w:rPr>
      <w:tab/>
    </w:r>
    <w:r>
      <w:rPr>
        <w:rFonts w:ascii="Verdana" w:hAnsi="Verdana"/>
        <w:color w:val="767171"/>
        <w:sz w:val="20"/>
        <w:szCs w:val="20"/>
      </w:rPr>
      <w:tab/>
      <w:t xml:space="preserve"> </w:t>
    </w:r>
    <w:r>
      <w:rPr>
        <w:rFonts w:ascii="Verdana" w:hAnsi="Verdana"/>
        <w:color w:val="767171"/>
        <w:sz w:val="20"/>
        <w:szCs w:val="20"/>
      </w:rPr>
      <w:fldChar w:fldCharType="begin"/>
    </w:r>
    <w:r>
      <w:rPr>
        <w:rFonts w:ascii="Verdana" w:hAnsi="Verdana"/>
        <w:color w:val="767171"/>
        <w:sz w:val="20"/>
        <w:szCs w:val="20"/>
      </w:rPr>
      <w:instrText xml:space="preserve"> </w:instrText>
    </w:r>
    <w:r w:rsidR="00652F80">
      <w:rPr>
        <w:rFonts w:ascii="Verdana" w:hAnsi="Verdana"/>
        <w:color w:val="767171"/>
        <w:sz w:val="20"/>
        <w:szCs w:val="20"/>
      </w:rPr>
      <w:instrText>PAGE</w:instrText>
    </w:r>
    <w:r>
      <w:rPr>
        <w:rFonts w:ascii="Verdana" w:hAnsi="Verdana"/>
        <w:color w:val="767171"/>
        <w:sz w:val="20"/>
        <w:szCs w:val="20"/>
      </w:rPr>
      <w:instrText xml:space="preserve">  \* Arabic  \* MERGEFORMAT </w:instrText>
    </w:r>
    <w:r>
      <w:rPr>
        <w:rFonts w:ascii="Verdana" w:hAnsi="Verdana"/>
        <w:color w:val="767171"/>
        <w:sz w:val="20"/>
        <w:szCs w:val="20"/>
      </w:rPr>
      <w:fldChar w:fldCharType="separate"/>
    </w:r>
    <w:r>
      <w:rPr>
        <w:rFonts w:ascii="Verdana" w:hAnsi="Verdana"/>
        <w:noProof/>
        <w:color w:val="767171"/>
        <w:sz w:val="20"/>
        <w:szCs w:val="20"/>
      </w:rPr>
      <w:t>1</w:t>
    </w:r>
    <w:r>
      <w:rPr>
        <w:rFonts w:ascii="Verdana" w:hAnsi="Verdana"/>
        <w:color w:val="767171"/>
        <w:sz w:val="20"/>
        <w:szCs w:val="20"/>
      </w:rPr>
      <w:fldChar w:fldCharType="end"/>
    </w:r>
  </w:p>
  <w:p w14:paraId="0C43E376" w14:textId="77777777" w:rsidR="00E7732F" w:rsidRPr="00727CA8" w:rsidRDefault="00E7732F" w:rsidP="00283A32">
    <w:pPr>
      <w:pStyle w:val="Piedepgina"/>
      <w:spacing w:line="240" w:lineRule="auto"/>
      <w:jc w:val="center"/>
      <w:rPr>
        <w:rFonts w:ascii="Verdana" w:hAnsi="Verdana"/>
        <w:color w:val="767171"/>
        <w:sz w:val="20"/>
        <w:szCs w:val="20"/>
      </w:rPr>
    </w:pPr>
    <w:r w:rsidRPr="00727CA8">
      <w:rPr>
        <w:rFonts w:ascii="Verdana" w:hAnsi="Verdana"/>
        <w:color w:val="767171"/>
        <w:sz w:val="20"/>
        <w:szCs w:val="20"/>
      </w:rPr>
      <w:t>Calle 12 No. 7-65 – Tel: (57-1) 350-6700 – Bogotá D.C. – Colombia</w:t>
    </w:r>
  </w:p>
  <w:p w14:paraId="4007CEC6" w14:textId="77777777" w:rsidR="00E7732F" w:rsidRPr="00727CA8" w:rsidRDefault="00E7732F" w:rsidP="00283A32">
    <w:pPr>
      <w:pStyle w:val="Piedepgina"/>
      <w:spacing w:line="240" w:lineRule="auto"/>
      <w:jc w:val="center"/>
      <w:rPr>
        <w:rFonts w:ascii="Verdana" w:hAnsi="Verdana"/>
        <w:color w:val="767171"/>
        <w:sz w:val="20"/>
        <w:szCs w:val="20"/>
      </w:rPr>
    </w:pPr>
    <w:r w:rsidRPr="00727CA8">
      <w:rPr>
        <w:rFonts w:ascii="Verdana" w:hAnsi="Verdana"/>
        <w:color w:val="767171"/>
        <w:sz w:val="20"/>
        <w:szCs w:val="20"/>
      </w:rPr>
      <w:t>www.consejodeestado.gov.co</w:t>
    </w:r>
  </w:p>
  <w:p w14:paraId="5023141B" w14:textId="77777777" w:rsidR="00E7732F" w:rsidRDefault="00E7732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C238E2" w14:textId="77777777" w:rsidR="000D5310" w:rsidRDefault="000D5310" w:rsidP="004A1AD1">
      <w:r>
        <w:separator/>
      </w:r>
    </w:p>
  </w:footnote>
  <w:footnote w:type="continuationSeparator" w:id="0">
    <w:p w14:paraId="467F9E58" w14:textId="77777777" w:rsidR="000D5310" w:rsidRDefault="000D5310" w:rsidP="004A1AD1">
      <w:r>
        <w:continuationSeparator/>
      </w:r>
    </w:p>
  </w:footnote>
  <w:footnote w:id="1">
    <w:p w14:paraId="7BE8D3CC" w14:textId="7F69AA09" w:rsidR="00E7732F" w:rsidRDefault="00E7732F" w:rsidP="007719E5">
      <w:pPr>
        <w:pStyle w:val="Textonotapie"/>
      </w:pPr>
      <w:r w:rsidRPr="00DD6A17">
        <w:rPr>
          <w:rStyle w:val="Refdenotaalpie"/>
        </w:rPr>
        <w:footnoteRef/>
      </w:r>
      <w:r w:rsidRPr="00DD6A17">
        <w:t xml:space="preserve"> Asunto repartido a este Despacho por la Secretarí</w:t>
      </w:r>
      <w:r>
        <w:t xml:space="preserve">a General de la </w:t>
      </w:r>
      <w:r w:rsidR="00F105A5">
        <w:t xml:space="preserve">Corporación el 8 </w:t>
      </w:r>
      <w:r>
        <w:t xml:space="preserve">de </w:t>
      </w:r>
      <w:r w:rsidR="00F105A5">
        <w:t>octub</w:t>
      </w:r>
      <w:r>
        <w:t>re de 2020.</w:t>
      </w:r>
    </w:p>
  </w:footnote>
  <w:footnote w:id="2">
    <w:p w14:paraId="57BC241C" w14:textId="77777777" w:rsidR="00E7732F" w:rsidRPr="00A86772" w:rsidRDefault="00E7732F" w:rsidP="00A86772">
      <w:pPr>
        <w:pStyle w:val="NormalWeb"/>
        <w:spacing w:before="0" w:beforeAutospacing="0" w:after="0" w:afterAutospacing="0"/>
        <w:jc w:val="both"/>
        <w:rPr>
          <w:rFonts w:ascii="Verdana" w:hAnsi="Verdana"/>
          <w:sz w:val="20"/>
          <w:szCs w:val="20"/>
        </w:rPr>
      </w:pPr>
      <w:r w:rsidRPr="00A86772">
        <w:rPr>
          <w:rStyle w:val="Refdenotaalpie"/>
          <w:rFonts w:ascii="Verdana" w:hAnsi="Verdana"/>
          <w:sz w:val="20"/>
          <w:szCs w:val="20"/>
        </w:rPr>
        <w:footnoteRef/>
      </w:r>
      <w:r w:rsidRPr="00A86772">
        <w:rPr>
          <w:rFonts w:ascii="Verdana" w:hAnsi="Verdana"/>
          <w:sz w:val="20"/>
          <w:szCs w:val="20"/>
        </w:rPr>
        <w:t xml:space="preserve"> </w:t>
      </w:r>
      <w:bookmarkStart w:id="1" w:name="20"/>
      <w:r>
        <w:rPr>
          <w:rFonts w:ascii="Verdana" w:hAnsi="Verdana"/>
          <w:sz w:val="20"/>
          <w:szCs w:val="20"/>
        </w:rPr>
        <w:t>“Artículo</w:t>
      </w:r>
      <w:r w:rsidRPr="00A86772">
        <w:rPr>
          <w:rFonts w:ascii="Verdana" w:hAnsi="Verdana" w:cs="Arial"/>
          <w:bCs/>
          <w:sz w:val="20"/>
          <w:szCs w:val="20"/>
          <w:lang w:val="es-ES" w:eastAsia="es-ES"/>
        </w:rPr>
        <w:t xml:space="preserve"> 20. Control de legalidad.</w:t>
      </w:r>
      <w:bookmarkEnd w:id="1"/>
      <w:r w:rsidRPr="00A86772">
        <w:rPr>
          <w:rFonts w:ascii="Verdana" w:hAnsi="Verdana" w:cs="Arial"/>
          <w:sz w:val="20"/>
          <w:szCs w:val="20"/>
          <w:lang w:val="es-ES" w:eastAsia="es-ES"/>
        </w:rPr>
        <w:t> Las medidas de carácter general que sean dictadas en ejercicio de la función administrativa y como desarrollo de los decretos legislativos durante los Estados de Excepción, tendrán un control inmediato de legalidad, ejercido por la autoridad de lo contencioso administrativo en el lugar donde se expidan si se tratare de entidades territoriales o del Consejo de Estado si emanaren de autoridades nacionales. ||</w:t>
      </w:r>
      <w:r>
        <w:rPr>
          <w:rFonts w:ascii="Verdana" w:hAnsi="Verdana" w:cs="Arial"/>
          <w:sz w:val="20"/>
          <w:szCs w:val="20"/>
          <w:lang w:val="es-ES" w:eastAsia="es-ES"/>
        </w:rPr>
        <w:t xml:space="preserve"> </w:t>
      </w:r>
      <w:r w:rsidRPr="00A86772">
        <w:rPr>
          <w:rFonts w:ascii="Verdana" w:hAnsi="Verdana" w:cs="Arial"/>
          <w:sz w:val="20"/>
          <w:szCs w:val="20"/>
          <w:lang w:val="es-ES" w:eastAsia="es-ES"/>
        </w:rPr>
        <w:t>L</w:t>
      </w:r>
      <w:proofErr w:type="spellStart"/>
      <w:r w:rsidRPr="00A86772">
        <w:rPr>
          <w:rFonts w:ascii="Verdana" w:hAnsi="Verdana"/>
          <w:sz w:val="20"/>
          <w:szCs w:val="20"/>
        </w:rPr>
        <w:t>as</w:t>
      </w:r>
      <w:proofErr w:type="spellEnd"/>
      <w:r w:rsidRPr="00A86772">
        <w:rPr>
          <w:rFonts w:ascii="Verdana" w:hAnsi="Verdana"/>
          <w:sz w:val="20"/>
          <w:szCs w:val="20"/>
        </w:rPr>
        <w:t xml:space="preserve"> autoridades competentes que los expidan enviarán los actos administrativos a la jurisdicción contencioso-administrativa indicada, dentro de las cuarenta y ocho (48) horas siguientes a su expedición.”</w:t>
      </w:r>
    </w:p>
  </w:footnote>
  <w:footnote w:id="3">
    <w:p w14:paraId="1495EE96" w14:textId="77777777" w:rsidR="00E7732F" w:rsidRPr="00512A93" w:rsidRDefault="00E7732F">
      <w:pPr>
        <w:pStyle w:val="Textonotapie"/>
      </w:pPr>
      <w:r w:rsidRPr="00512A93">
        <w:rPr>
          <w:rStyle w:val="Refdenotaalpie"/>
        </w:rPr>
        <w:footnoteRef/>
      </w:r>
      <w:r w:rsidRPr="00512A93">
        <w:t xml:space="preserve"> A través de su Sala Plena de lo Contencioso Administrativo (Ley 1437 de 2011, artículo 111 numeral 8).</w:t>
      </w:r>
    </w:p>
  </w:footnote>
  <w:footnote w:id="4">
    <w:p w14:paraId="6D86A0E6" w14:textId="77777777" w:rsidR="00E7732F" w:rsidRPr="00512A93" w:rsidRDefault="00E7732F">
      <w:pPr>
        <w:pStyle w:val="Textonotapie"/>
      </w:pPr>
      <w:r w:rsidRPr="00512A93">
        <w:rPr>
          <w:rStyle w:val="Refdenotaalpie"/>
        </w:rPr>
        <w:footnoteRef/>
      </w:r>
      <w:r w:rsidRPr="00512A93">
        <w:t xml:space="preserve"> La Sala Plena de lo Contencioso Administrativo del Consejo de Estado, en sentencia de 5 de marzo de 2012, destacó que </w:t>
      </w:r>
      <w:r w:rsidRPr="00512A93">
        <w:rPr>
          <w:i/>
        </w:rPr>
        <w:t xml:space="preserve">“El control inmediato de legalidad es el medio jurídico previsto en la Constitución Política para examinar los actos administrativos de carácter general que se expiden al amparo de los estados de excepción, esto es, actos administrativos que desarrollan o reglamentan un decreto legislativo. El examen de legalidad se realiza mediante la confrontación del acto administrativo con las normas constitucionales que permiten la declaratoria de los estados de excepción (artículos 212 a 215 de la Constitución Política), la ley estatutaria de los estados de excepción (Ley 137 de 1994) y los decretos expedidos por el Gobierno Nacional con ocasión de la declaratoria del estado de excepción”. </w:t>
      </w:r>
      <w:r>
        <w:t>[</w:t>
      </w:r>
      <w:r w:rsidRPr="00512A93">
        <w:t xml:space="preserve">Expediente núm. </w:t>
      </w:r>
      <w:r w:rsidRPr="00512A93">
        <w:rPr>
          <w:bCs/>
        </w:rPr>
        <w:t>11001-03-15-000-2010-00369-00 (CA)</w:t>
      </w:r>
      <w:r>
        <w:rPr>
          <w:bCs/>
        </w:rPr>
        <w:t>]</w:t>
      </w:r>
      <w:r w:rsidRPr="00512A93">
        <w:rPr>
          <w:bCs/>
        </w:rPr>
        <w:t>.</w:t>
      </w:r>
    </w:p>
  </w:footnote>
  <w:footnote w:id="5">
    <w:p w14:paraId="52FCE9A1" w14:textId="448B1F31" w:rsidR="00E7732F" w:rsidRPr="00CD06A2" w:rsidRDefault="00E7732F" w:rsidP="006B72DE">
      <w:pPr>
        <w:pStyle w:val="Textonotapie"/>
        <w:rPr>
          <w:lang w:val="es-ES_tradnl"/>
        </w:rPr>
      </w:pPr>
      <w:r>
        <w:rPr>
          <w:rStyle w:val="Refdenotaalpie"/>
        </w:rPr>
        <w:footnoteRef/>
      </w:r>
      <w:r w:rsidR="00F343F4">
        <w:t xml:space="preserve"> “Por el cual se dictan medidas especiales en materia de procesos de insolvencia, con el fin de mitigar los efectos de la emergencia social, económica y ecológica en el sector empresarial”</w:t>
      </w:r>
    </w:p>
  </w:footnote>
  <w:footnote w:id="6">
    <w:p w14:paraId="46CEF5B0" w14:textId="13AC30AD" w:rsidR="00F343F4" w:rsidRDefault="00F343F4">
      <w:pPr>
        <w:pStyle w:val="Textonotapie"/>
      </w:pPr>
      <w:r>
        <w:rPr>
          <w:rStyle w:val="Refdenotaalpie"/>
        </w:rPr>
        <w:footnoteRef/>
      </w:r>
      <w:r>
        <w:t xml:space="preserve"> “Por el cual se declara un Estado de Emergencia Económica, Social y Ecológica en todo el territorio nacional”.</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18F9B" w14:textId="77777777" w:rsidR="00E7732F" w:rsidRPr="00C627B5" w:rsidRDefault="00E7732F" w:rsidP="00996C2B">
    <w:pPr>
      <w:pStyle w:val="Encabezado"/>
      <w:framePr w:wrap="auto" w:vAnchor="text" w:hAnchor="page" w:x="6022" w:y="-221"/>
      <w:rPr>
        <w:rStyle w:val="Nmerodepgina"/>
        <w:rFonts w:cs="Arial"/>
      </w:rPr>
    </w:pPr>
  </w:p>
  <w:p w14:paraId="543646D9" w14:textId="77777777" w:rsidR="00E7732F" w:rsidRPr="001F3E3E" w:rsidRDefault="006E4A63" w:rsidP="001F3E3E">
    <w:pPr>
      <w:pStyle w:val="Piedepgina"/>
      <w:jc w:val="center"/>
      <w:rPr>
        <w:rFonts w:ascii="Verdana" w:hAnsi="Verdana" w:cs="Arial"/>
      </w:rPr>
    </w:pPr>
    <w:r>
      <w:rPr>
        <w:noProof/>
      </w:rPr>
      <w:drawing>
        <wp:anchor distT="0" distB="0" distL="114300" distR="114300" simplePos="0" relativeHeight="251659264" behindDoc="0" locked="0" layoutInCell="1" allowOverlap="1" wp14:anchorId="36DEC5C0" wp14:editId="07777777">
          <wp:simplePos x="0" y="0"/>
          <wp:positionH relativeFrom="column">
            <wp:posOffset>-370840</wp:posOffset>
          </wp:positionH>
          <wp:positionV relativeFrom="paragraph">
            <wp:posOffset>168275</wp:posOffset>
          </wp:positionV>
          <wp:extent cx="1238250" cy="1152525"/>
          <wp:effectExtent l="0" t="0" r="0" b="0"/>
          <wp:wrapSquare wrapText="bothSides"/>
          <wp:docPr id="4" name="Imagen 6" descr="Descripción: NEGRO-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Descripción: NEGRO-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8601FE" w14:textId="77777777" w:rsidR="00E7732F" w:rsidRPr="00283A32" w:rsidRDefault="00E7732F" w:rsidP="00283A32">
    <w:pPr>
      <w:rPr>
        <w:b/>
        <w:bCs/>
        <w:sz w:val="20"/>
        <w:szCs w:val="20"/>
        <w:lang w:val="en-US"/>
      </w:rPr>
    </w:pPr>
  </w:p>
  <w:p w14:paraId="0F3CABC7" w14:textId="77777777" w:rsidR="00E7732F" w:rsidRPr="0070023E" w:rsidRDefault="00E7732F" w:rsidP="00283A32">
    <w:pPr>
      <w:pStyle w:val="Encabezado"/>
      <w:rPr>
        <w:sz w:val="20"/>
        <w:szCs w:val="20"/>
      </w:rPr>
    </w:pPr>
  </w:p>
  <w:p w14:paraId="7E0FDD67" w14:textId="77777777" w:rsidR="00E7732F" w:rsidRPr="0070023E" w:rsidRDefault="006E4A63" w:rsidP="00283A32">
    <w:pPr>
      <w:pStyle w:val="Encabezado"/>
      <w:rPr>
        <w:sz w:val="20"/>
        <w:szCs w:val="20"/>
      </w:rPr>
    </w:pPr>
    <w:r>
      <w:rPr>
        <w:noProof/>
      </w:rPr>
      <mc:AlternateContent>
        <mc:Choice Requires="wps">
          <w:drawing>
            <wp:anchor distT="4294967293" distB="4294967293" distL="114300" distR="114300" simplePos="0" relativeHeight="251658240" behindDoc="0" locked="0" layoutInCell="1" allowOverlap="1" wp14:anchorId="3DF8573E" wp14:editId="07777777">
              <wp:simplePos x="0" y="0"/>
              <wp:positionH relativeFrom="column">
                <wp:posOffset>1366520</wp:posOffset>
              </wp:positionH>
              <wp:positionV relativeFrom="paragraph">
                <wp:posOffset>67310</wp:posOffset>
              </wp:positionV>
              <wp:extent cx="5400040" cy="0"/>
              <wp:effectExtent l="23495" t="19685" r="15240" b="18415"/>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http://schemas.openxmlformats.org/drawingml/2006/main" xmlns:pic="http://schemas.openxmlformats.org/drawingml/2006/picture" xmlns:a14="http://schemas.microsoft.com/office/drawing/2010/main" xmlns:wp14="http://schemas.microsoft.com/office/word/2010/wordml">
          <w:pict w14:anchorId="0AA06EDB">
            <v:shapetype id="_x0000_t32" coordsize="21600,21600" o:oned="t" filled="f" o:spt="32" path="m,l21600,21600e" w14:anchorId="63575F9C">
              <v:path fillok="f" arrowok="t" o:connecttype="none"/>
              <o:lock v:ext="edit" shapetype="t"/>
            </v:shapetype>
            <v:shape id="AutoShape 1" style="position:absolute;margin-left:107.6pt;margin-top:5.3pt;width:425.2pt;height:0;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spid="_x0000_s1026"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">
              <v:shadow color="#1f3763" opacity=".5" offset="1pt"/>
            </v:shape>
          </w:pict>
        </mc:Fallback>
      </mc:AlternateContent>
    </w:r>
  </w:p>
  <w:p w14:paraId="39690818" w14:textId="2E7B0F50" w:rsidR="00E7732F" w:rsidRDefault="00E7732F" w:rsidP="008D1B91">
    <w:pPr>
      <w:pStyle w:val="Encabezado"/>
      <w:spacing w:line="240" w:lineRule="auto"/>
      <w:jc w:val="right"/>
      <w:rPr>
        <w:rFonts w:ascii="Verdana" w:hAnsi="Verdana"/>
        <w:color w:val="767171"/>
        <w:sz w:val="20"/>
        <w:szCs w:val="20"/>
      </w:rPr>
    </w:pPr>
    <w:r w:rsidRPr="00DD6A17">
      <w:rPr>
        <w:rFonts w:ascii="Verdana" w:hAnsi="Verdana"/>
        <w:color w:val="767171"/>
        <w:sz w:val="20"/>
        <w:szCs w:val="20"/>
      </w:rPr>
      <w:t xml:space="preserve">Radicado: </w:t>
    </w:r>
    <w:r w:rsidRPr="002C53EE">
      <w:rPr>
        <w:rFonts w:ascii="Verdana" w:hAnsi="Verdana"/>
        <w:color w:val="767171"/>
        <w:sz w:val="20"/>
        <w:szCs w:val="20"/>
      </w:rPr>
      <w:t>11001</w:t>
    </w:r>
    <w:r>
      <w:rPr>
        <w:rFonts w:ascii="Verdana" w:hAnsi="Verdana"/>
        <w:color w:val="767171"/>
        <w:sz w:val="20"/>
        <w:szCs w:val="20"/>
      </w:rPr>
      <w:t xml:space="preserve"> </w:t>
    </w:r>
    <w:r w:rsidRPr="002C53EE">
      <w:rPr>
        <w:rFonts w:ascii="Verdana" w:hAnsi="Verdana"/>
        <w:color w:val="767171"/>
        <w:sz w:val="20"/>
        <w:szCs w:val="20"/>
      </w:rPr>
      <w:t>0315</w:t>
    </w:r>
    <w:r>
      <w:rPr>
        <w:rFonts w:ascii="Verdana" w:hAnsi="Verdana"/>
        <w:color w:val="767171"/>
        <w:sz w:val="20"/>
        <w:szCs w:val="20"/>
      </w:rPr>
      <w:t xml:space="preserve"> </w:t>
    </w:r>
    <w:r w:rsidRPr="002C53EE">
      <w:rPr>
        <w:rFonts w:ascii="Verdana" w:hAnsi="Verdana"/>
        <w:color w:val="767171"/>
        <w:sz w:val="20"/>
        <w:szCs w:val="20"/>
      </w:rPr>
      <w:t>000</w:t>
    </w:r>
    <w:r>
      <w:rPr>
        <w:rFonts w:ascii="Verdana" w:hAnsi="Verdana"/>
        <w:color w:val="767171"/>
        <w:sz w:val="20"/>
        <w:szCs w:val="20"/>
      </w:rPr>
      <w:t xml:space="preserve"> </w:t>
    </w:r>
    <w:r w:rsidRPr="002C53EE">
      <w:rPr>
        <w:rFonts w:ascii="Verdana" w:hAnsi="Verdana"/>
        <w:color w:val="767171"/>
        <w:sz w:val="20"/>
        <w:szCs w:val="20"/>
      </w:rPr>
      <w:t>2020</w:t>
    </w:r>
    <w:r>
      <w:rPr>
        <w:rFonts w:ascii="Verdana" w:hAnsi="Verdana"/>
        <w:color w:val="767171"/>
        <w:sz w:val="20"/>
        <w:szCs w:val="20"/>
      </w:rPr>
      <w:t xml:space="preserve"> </w:t>
    </w:r>
    <w:r w:rsidRPr="002C53EE">
      <w:rPr>
        <w:rFonts w:ascii="Verdana" w:hAnsi="Verdana"/>
        <w:color w:val="767171"/>
        <w:sz w:val="20"/>
        <w:szCs w:val="20"/>
      </w:rPr>
      <w:t>0</w:t>
    </w:r>
    <w:r w:rsidR="00F105A5">
      <w:rPr>
        <w:rFonts w:ascii="Verdana" w:hAnsi="Verdana"/>
        <w:color w:val="767171"/>
        <w:sz w:val="20"/>
        <w:szCs w:val="20"/>
      </w:rPr>
      <w:t>4340</w:t>
    </w:r>
    <w:r>
      <w:rPr>
        <w:rFonts w:ascii="Verdana" w:hAnsi="Verdana"/>
        <w:color w:val="767171"/>
        <w:sz w:val="20"/>
        <w:szCs w:val="20"/>
      </w:rPr>
      <w:t xml:space="preserve"> </w:t>
    </w:r>
    <w:r w:rsidRPr="002C53EE">
      <w:rPr>
        <w:rFonts w:ascii="Verdana" w:hAnsi="Verdana"/>
        <w:color w:val="767171"/>
        <w:sz w:val="20"/>
        <w:szCs w:val="20"/>
      </w:rPr>
      <w:t>00</w:t>
    </w:r>
  </w:p>
  <w:p w14:paraId="5176005E" w14:textId="77777777" w:rsidR="00E7732F" w:rsidRDefault="00E7732F" w:rsidP="008D1B91">
    <w:pPr>
      <w:pStyle w:val="Encabezado"/>
      <w:spacing w:line="240" w:lineRule="auto"/>
      <w:jc w:val="right"/>
      <w:rPr>
        <w:rFonts w:ascii="Verdana" w:hAnsi="Verdana"/>
        <w:color w:val="767171"/>
        <w:sz w:val="20"/>
        <w:szCs w:val="20"/>
      </w:rPr>
    </w:pPr>
    <w:r>
      <w:rPr>
        <w:rFonts w:ascii="Verdana" w:hAnsi="Verdana"/>
        <w:color w:val="767171"/>
        <w:sz w:val="20"/>
        <w:szCs w:val="20"/>
      </w:rPr>
      <w:t>Control inmediato de legalidad</w:t>
    </w:r>
  </w:p>
  <w:p w14:paraId="5B08B5D1" w14:textId="77777777" w:rsidR="00E7732F" w:rsidRDefault="00E7732F" w:rsidP="008D1B91">
    <w:pPr>
      <w:pStyle w:val="Encabezado"/>
      <w:spacing w:line="240" w:lineRule="auto"/>
      <w:jc w:val="right"/>
      <w:rPr>
        <w:noProof/>
      </w:rPr>
    </w:pPr>
  </w:p>
  <w:p w14:paraId="16DEB4AB" w14:textId="77777777" w:rsidR="00E7732F" w:rsidRDefault="00E7732F" w:rsidP="00996C2B">
    <w:pPr>
      <w:jc w:val="center"/>
      <w:rPr>
        <w:b/>
        <w:lang w:val="es-CO"/>
      </w:rPr>
    </w:pPr>
  </w:p>
  <w:p w14:paraId="0AD9C6F4" w14:textId="77777777" w:rsidR="00E7732F" w:rsidRDefault="00E7732F" w:rsidP="00283A32">
    <w:pPr>
      <w:rPr>
        <w:b/>
        <w:lang w:val="es-CO"/>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369D1" w14:textId="77777777" w:rsidR="00E7732F" w:rsidRPr="00283A32" w:rsidRDefault="006E4A63" w:rsidP="00283A32">
    <w:pPr>
      <w:rPr>
        <w:b/>
        <w:bCs/>
        <w:sz w:val="20"/>
        <w:szCs w:val="20"/>
        <w:lang w:val="en-US"/>
      </w:rPr>
    </w:pPr>
    <w:r>
      <w:rPr>
        <w:noProof/>
      </w:rPr>
      <w:drawing>
        <wp:anchor distT="0" distB="0" distL="114300" distR="114300" simplePos="0" relativeHeight="251657216" behindDoc="0" locked="0" layoutInCell="1" allowOverlap="1" wp14:anchorId="60DB37CE" wp14:editId="07777777">
          <wp:simplePos x="0" y="0"/>
          <wp:positionH relativeFrom="column">
            <wp:posOffset>-384175</wp:posOffset>
          </wp:positionH>
          <wp:positionV relativeFrom="paragraph">
            <wp:posOffset>177165</wp:posOffset>
          </wp:positionV>
          <wp:extent cx="1238250" cy="1152525"/>
          <wp:effectExtent l="0" t="0" r="0" b="0"/>
          <wp:wrapSquare wrapText="bothSides"/>
          <wp:docPr id="2" name="Imagen 6" descr="Descripción: NEGRO-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Descripción: NEGRO-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FF1C98" w14:textId="77777777" w:rsidR="00E7732F" w:rsidRPr="0070023E" w:rsidRDefault="00E7732F" w:rsidP="00283A32">
    <w:pPr>
      <w:pStyle w:val="Encabezado"/>
      <w:rPr>
        <w:sz w:val="20"/>
        <w:szCs w:val="20"/>
      </w:rPr>
    </w:pPr>
  </w:p>
  <w:p w14:paraId="6D072C0D" w14:textId="77777777" w:rsidR="00E7732F" w:rsidRPr="0070023E" w:rsidRDefault="00E7732F" w:rsidP="00283A32">
    <w:pPr>
      <w:pStyle w:val="Encabezado"/>
      <w:rPr>
        <w:sz w:val="20"/>
        <w:szCs w:val="20"/>
      </w:rPr>
    </w:pPr>
  </w:p>
  <w:p w14:paraId="4B90DC7A" w14:textId="77777777" w:rsidR="00E7732F" w:rsidRPr="0070023E" w:rsidRDefault="006E4A63" w:rsidP="00283A32">
    <w:pPr>
      <w:pStyle w:val="Encabezado"/>
      <w:rPr>
        <w:sz w:val="20"/>
        <w:szCs w:val="20"/>
      </w:rPr>
    </w:pPr>
    <w:r>
      <w:rPr>
        <w:noProof/>
      </w:rPr>
      <mc:AlternateContent>
        <mc:Choice Requires="wps">
          <w:drawing>
            <wp:anchor distT="4294967293" distB="4294967293" distL="114300" distR="114300" simplePos="0" relativeHeight="251656192" behindDoc="0" locked="0" layoutInCell="1" allowOverlap="1" wp14:anchorId="1F491C6D" wp14:editId="07777777">
              <wp:simplePos x="0" y="0"/>
              <wp:positionH relativeFrom="column">
                <wp:posOffset>1379855</wp:posOffset>
              </wp:positionH>
              <wp:positionV relativeFrom="paragraph">
                <wp:posOffset>60325</wp:posOffset>
              </wp:positionV>
              <wp:extent cx="5400040" cy="0"/>
              <wp:effectExtent l="17780" t="22225" r="20955" b="1587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http://schemas.openxmlformats.org/drawingml/2006/main" xmlns:pic="http://schemas.openxmlformats.org/drawingml/2006/picture" xmlns:a14="http://schemas.microsoft.com/office/drawing/2010/main" xmlns:wp14="http://schemas.microsoft.com/office/word/2010/wordml">
          <w:pict w14:anchorId="6E026B75">
            <v:shapetype id="_x0000_t32" coordsize="21600,21600" o:oned="t" filled="f" o:spt="32" path="m,l21600,21600e" w14:anchorId="0166E08F">
              <v:path fillok="f" arrowok="t" o:connecttype="none"/>
              <o:lock v:ext="edit" shapetype="t"/>
            </v:shapetype>
            <v:shape id="AutoShape 1" style="position:absolute;margin-left:108.65pt;margin-top:4.75pt;width:425.2pt;height:0;z-index:251656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spid="_x0000_s1026"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">
              <v:shadow color="#1f3763" opacity=".5" offset="1pt"/>
            </v:shape>
          </w:pict>
        </mc:Fallback>
      </mc:AlternateContent>
    </w:r>
  </w:p>
  <w:p w14:paraId="71F43233" w14:textId="77777777" w:rsidR="00E7732F" w:rsidRDefault="00E7732F" w:rsidP="00FE12C7">
    <w:pPr>
      <w:pStyle w:val="Encabezado"/>
      <w:spacing w:line="240" w:lineRule="auto"/>
      <w:jc w:val="right"/>
      <w:rPr>
        <w:rFonts w:ascii="Verdana" w:hAnsi="Verdana"/>
        <w:color w:val="767171"/>
        <w:sz w:val="20"/>
        <w:szCs w:val="20"/>
      </w:rPr>
    </w:pPr>
    <w:r w:rsidRPr="00727CA8">
      <w:rPr>
        <w:rFonts w:ascii="Verdana" w:hAnsi="Verdana"/>
        <w:color w:val="767171"/>
        <w:sz w:val="20"/>
        <w:szCs w:val="20"/>
      </w:rPr>
      <w:t xml:space="preserve">Radicado: </w:t>
    </w:r>
    <w:r>
      <w:rPr>
        <w:rFonts w:ascii="Verdana" w:hAnsi="Verdana"/>
        <w:color w:val="767171"/>
        <w:sz w:val="20"/>
        <w:szCs w:val="20"/>
      </w:rPr>
      <w:t>11001 03 24 000 2015 00337 00</w:t>
    </w:r>
  </w:p>
  <w:p w14:paraId="564094B2" w14:textId="77777777" w:rsidR="00E7732F" w:rsidRDefault="00E7732F" w:rsidP="008D1B91">
    <w:pPr>
      <w:pStyle w:val="Encabezado"/>
      <w:spacing w:line="240" w:lineRule="auto"/>
      <w:jc w:val="right"/>
      <w:rPr>
        <w:noProof/>
      </w:rPr>
    </w:pPr>
    <w:r w:rsidRPr="00727CA8">
      <w:rPr>
        <w:rFonts w:ascii="Verdana" w:hAnsi="Verdana"/>
        <w:color w:val="767171"/>
        <w:sz w:val="20"/>
        <w:szCs w:val="20"/>
      </w:rPr>
      <w:t xml:space="preserve">Demandante: </w:t>
    </w:r>
    <w:r>
      <w:rPr>
        <w:rFonts w:ascii="Verdana" w:hAnsi="Verdana"/>
        <w:color w:val="767171"/>
        <w:sz w:val="20"/>
        <w:szCs w:val="20"/>
      </w:rPr>
      <w:t>Paula Andrea Mejía Cardona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A50F23"/>
    <w:multiLevelType w:val="hybridMultilevel"/>
    <w:tmpl w:val="EF0E9F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F835782"/>
    <w:multiLevelType w:val="hybridMultilevel"/>
    <w:tmpl w:val="B614B2E6"/>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AD1"/>
    <w:rsid w:val="00002C0A"/>
    <w:rsid w:val="0000664F"/>
    <w:rsid w:val="0001145C"/>
    <w:rsid w:val="00012744"/>
    <w:rsid w:val="000139DE"/>
    <w:rsid w:val="00015BC6"/>
    <w:rsid w:val="00016D3C"/>
    <w:rsid w:val="000217AF"/>
    <w:rsid w:val="00022680"/>
    <w:rsid w:val="00023C3D"/>
    <w:rsid w:val="0002407F"/>
    <w:rsid w:val="00026E3F"/>
    <w:rsid w:val="00031DEF"/>
    <w:rsid w:val="00035482"/>
    <w:rsid w:val="00044891"/>
    <w:rsid w:val="000470CC"/>
    <w:rsid w:val="00047A90"/>
    <w:rsid w:val="000517AF"/>
    <w:rsid w:val="00053495"/>
    <w:rsid w:val="000535EC"/>
    <w:rsid w:val="00054BCA"/>
    <w:rsid w:val="00055781"/>
    <w:rsid w:val="00056202"/>
    <w:rsid w:val="00057C2A"/>
    <w:rsid w:val="00062A56"/>
    <w:rsid w:val="000633D1"/>
    <w:rsid w:val="000649C4"/>
    <w:rsid w:val="000706D3"/>
    <w:rsid w:val="0007282D"/>
    <w:rsid w:val="00080D0A"/>
    <w:rsid w:val="00080DEA"/>
    <w:rsid w:val="00084874"/>
    <w:rsid w:val="00093E14"/>
    <w:rsid w:val="000942A7"/>
    <w:rsid w:val="0009491F"/>
    <w:rsid w:val="00094B11"/>
    <w:rsid w:val="00096A94"/>
    <w:rsid w:val="00097278"/>
    <w:rsid w:val="000975EA"/>
    <w:rsid w:val="000A0EBA"/>
    <w:rsid w:val="000A16F6"/>
    <w:rsid w:val="000A4D72"/>
    <w:rsid w:val="000A536A"/>
    <w:rsid w:val="000A5978"/>
    <w:rsid w:val="000A7CA3"/>
    <w:rsid w:val="000A7EB1"/>
    <w:rsid w:val="000B01C3"/>
    <w:rsid w:val="000B32C7"/>
    <w:rsid w:val="000B366E"/>
    <w:rsid w:val="000B7746"/>
    <w:rsid w:val="000C02FE"/>
    <w:rsid w:val="000C13C8"/>
    <w:rsid w:val="000C4FCB"/>
    <w:rsid w:val="000C500A"/>
    <w:rsid w:val="000C64A5"/>
    <w:rsid w:val="000C6B72"/>
    <w:rsid w:val="000D0FC2"/>
    <w:rsid w:val="000D20A2"/>
    <w:rsid w:val="000D4FEE"/>
    <w:rsid w:val="000D5310"/>
    <w:rsid w:val="000E06DB"/>
    <w:rsid w:val="000E0DE2"/>
    <w:rsid w:val="000E1BB7"/>
    <w:rsid w:val="000E7801"/>
    <w:rsid w:val="000F1C15"/>
    <w:rsid w:val="000F21E9"/>
    <w:rsid w:val="000F25AA"/>
    <w:rsid w:val="000F3B3C"/>
    <w:rsid w:val="000F3C64"/>
    <w:rsid w:val="000F7F5A"/>
    <w:rsid w:val="001004D4"/>
    <w:rsid w:val="00100C81"/>
    <w:rsid w:val="00102061"/>
    <w:rsid w:val="001035CF"/>
    <w:rsid w:val="0011208B"/>
    <w:rsid w:val="00120A50"/>
    <w:rsid w:val="001219F3"/>
    <w:rsid w:val="00122AE9"/>
    <w:rsid w:val="00122C09"/>
    <w:rsid w:val="00122CFC"/>
    <w:rsid w:val="00122E2A"/>
    <w:rsid w:val="001240F1"/>
    <w:rsid w:val="001241EB"/>
    <w:rsid w:val="001267F6"/>
    <w:rsid w:val="00127B82"/>
    <w:rsid w:val="00132325"/>
    <w:rsid w:val="00135915"/>
    <w:rsid w:val="00135A06"/>
    <w:rsid w:val="0013609A"/>
    <w:rsid w:val="001373F7"/>
    <w:rsid w:val="00137C25"/>
    <w:rsid w:val="001412F6"/>
    <w:rsid w:val="00142C70"/>
    <w:rsid w:val="001436C0"/>
    <w:rsid w:val="001533C4"/>
    <w:rsid w:val="00154DCB"/>
    <w:rsid w:val="001579FC"/>
    <w:rsid w:val="00160EC5"/>
    <w:rsid w:val="0016196B"/>
    <w:rsid w:val="00162E32"/>
    <w:rsid w:val="00166AA6"/>
    <w:rsid w:val="00171BED"/>
    <w:rsid w:val="0017225B"/>
    <w:rsid w:val="001744DB"/>
    <w:rsid w:val="00175EF7"/>
    <w:rsid w:val="00181189"/>
    <w:rsid w:val="00184468"/>
    <w:rsid w:val="001855CB"/>
    <w:rsid w:val="00185718"/>
    <w:rsid w:val="00192012"/>
    <w:rsid w:val="00195FBE"/>
    <w:rsid w:val="001A21E6"/>
    <w:rsid w:val="001A65BA"/>
    <w:rsid w:val="001A7CE5"/>
    <w:rsid w:val="001B207B"/>
    <w:rsid w:val="001B2FD6"/>
    <w:rsid w:val="001B723A"/>
    <w:rsid w:val="001B7F7B"/>
    <w:rsid w:val="001C1050"/>
    <w:rsid w:val="001C22EA"/>
    <w:rsid w:val="001C25BC"/>
    <w:rsid w:val="001C61FD"/>
    <w:rsid w:val="001D4090"/>
    <w:rsid w:val="001D4888"/>
    <w:rsid w:val="001D4DFF"/>
    <w:rsid w:val="001D647D"/>
    <w:rsid w:val="001D6593"/>
    <w:rsid w:val="001D6ACE"/>
    <w:rsid w:val="001E252D"/>
    <w:rsid w:val="001F111A"/>
    <w:rsid w:val="001F2A86"/>
    <w:rsid w:val="001F3E3E"/>
    <w:rsid w:val="001F406E"/>
    <w:rsid w:val="001F5BCD"/>
    <w:rsid w:val="001F634B"/>
    <w:rsid w:val="001F7743"/>
    <w:rsid w:val="00200649"/>
    <w:rsid w:val="0020263E"/>
    <w:rsid w:val="00202A88"/>
    <w:rsid w:val="00203E34"/>
    <w:rsid w:val="002058A5"/>
    <w:rsid w:val="002063FD"/>
    <w:rsid w:val="00206C6C"/>
    <w:rsid w:val="002075CB"/>
    <w:rsid w:val="002105CA"/>
    <w:rsid w:val="00210686"/>
    <w:rsid w:val="002135E0"/>
    <w:rsid w:val="00214D13"/>
    <w:rsid w:val="00215CDC"/>
    <w:rsid w:val="00217F0A"/>
    <w:rsid w:val="00220CE9"/>
    <w:rsid w:val="00221A3F"/>
    <w:rsid w:val="00222F9B"/>
    <w:rsid w:val="00222FAA"/>
    <w:rsid w:val="00223538"/>
    <w:rsid w:val="002245C6"/>
    <w:rsid w:val="0022517A"/>
    <w:rsid w:val="00230037"/>
    <w:rsid w:val="0023072F"/>
    <w:rsid w:val="00234340"/>
    <w:rsid w:val="0023443A"/>
    <w:rsid w:val="0023443E"/>
    <w:rsid w:val="00236C0B"/>
    <w:rsid w:val="00240311"/>
    <w:rsid w:val="00243DF0"/>
    <w:rsid w:val="00250DC1"/>
    <w:rsid w:val="00255067"/>
    <w:rsid w:val="002578EF"/>
    <w:rsid w:val="00257DE1"/>
    <w:rsid w:val="002653EB"/>
    <w:rsid w:val="002674B9"/>
    <w:rsid w:val="002705C9"/>
    <w:rsid w:val="00271129"/>
    <w:rsid w:val="00272167"/>
    <w:rsid w:val="002726A4"/>
    <w:rsid w:val="00274810"/>
    <w:rsid w:val="00277275"/>
    <w:rsid w:val="00283A32"/>
    <w:rsid w:val="00287BB5"/>
    <w:rsid w:val="00290411"/>
    <w:rsid w:val="00292B2A"/>
    <w:rsid w:val="00295C47"/>
    <w:rsid w:val="002966B9"/>
    <w:rsid w:val="00296D83"/>
    <w:rsid w:val="002A218D"/>
    <w:rsid w:val="002A2E53"/>
    <w:rsid w:val="002A3B55"/>
    <w:rsid w:val="002A7834"/>
    <w:rsid w:val="002B1D72"/>
    <w:rsid w:val="002B438A"/>
    <w:rsid w:val="002B4E0B"/>
    <w:rsid w:val="002B67C0"/>
    <w:rsid w:val="002C4EBC"/>
    <w:rsid w:val="002C53EE"/>
    <w:rsid w:val="002C7960"/>
    <w:rsid w:val="002D0619"/>
    <w:rsid w:val="002D2889"/>
    <w:rsid w:val="002D2FA7"/>
    <w:rsid w:val="002D373A"/>
    <w:rsid w:val="002D3F1A"/>
    <w:rsid w:val="002D742B"/>
    <w:rsid w:val="002E4656"/>
    <w:rsid w:val="002E48B4"/>
    <w:rsid w:val="002E5743"/>
    <w:rsid w:val="002F628A"/>
    <w:rsid w:val="00300864"/>
    <w:rsid w:val="0030434C"/>
    <w:rsid w:val="003048BA"/>
    <w:rsid w:val="0030734E"/>
    <w:rsid w:val="00310F7F"/>
    <w:rsid w:val="0032114E"/>
    <w:rsid w:val="00321393"/>
    <w:rsid w:val="00323419"/>
    <w:rsid w:val="003235D1"/>
    <w:rsid w:val="0032477C"/>
    <w:rsid w:val="00330A59"/>
    <w:rsid w:val="00332510"/>
    <w:rsid w:val="00333A1A"/>
    <w:rsid w:val="00333C33"/>
    <w:rsid w:val="00336E08"/>
    <w:rsid w:val="00340AF2"/>
    <w:rsid w:val="00341244"/>
    <w:rsid w:val="00341AF1"/>
    <w:rsid w:val="00342B02"/>
    <w:rsid w:val="00344456"/>
    <w:rsid w:val="0034539B"/>
    <w:rsid w:val="00345548"/>
    <w:rsid w:val="00347765"/>
    <w:rsid w:val="003477D7"/>
    <w:rsid w:val="003516D1"/>
    <w:rsid w:val="003522C8"/>
    <w:rsid w:val="00352787"/>
    <w:rsid w:val="00353ABE"/>
    <w:rsid w:val="003543B4"/>
    <w:rsid w:val="00355019"/>
    <w:rsid w:val="00356DA2"/>
    <w:rsid w:val="00356F5B"/>
    <w:rsid w:val="003600D3"/>
    <w:rsid w:val="00361BE2"/>
    <w:rsid w:val="00363978"/>
    <w:rsid w:val="00365FD7"/>
    <w:rsid w:val="003661EB"/>
    <w:rsid w:val="00371DBC"/>
    <w:rsid w:val="00372411"/>
    <w:rsid w:val="003724B9"/>
    <w:rsid w:val="003731FC"/>
    <w:rsid w:val="00377ED3"/>
    <w:rsid w:val="00380504"/>
    <w:rsid w:val="00380C64"/>
    <w:rsid w:val="003811CE"/>
    <w:rsid w:val="00381763"/>
    <w:rsid w:val="00381E53"/>
    <w:rsid w:val="00384DFA"/>
    <w:rsid w:val="00385F55"/>
    <w:rsid w:val="00392C15"/>
    <w:rsid w:val="00392FEE"/>
    <w:rsid w:val="00394999"/>
    <w:rsid w:val="00394C14"/>
    <w:rsid w:val="00394E1D"/>
    <w:rsid w:val="00395B11"/>
    <w:rsid w:val="003A1892"/>
    <w:rsid w:val="003A6322"/>
    <w:rsid w:val="003A6D90"/>
    <w:rsid w:val="003B1963"/>
    <w:rsid w:val="003B28FB"/>
    <w:rsid w:val="003B39CC"/>
    <w:rsid w:val="003B47EF"/>
    <w:rsid w:val="003B4E99"/>
    <w:rsid w:val="003B4ECA"/>
    <w:rsid w:val="003B4F26"/>
    <w:rsid w:val="003B5766"/>
    <w:rsid w:val="003B6433"/>
    <w:rsid w:val="003C309E"/>
    <w:rsid w:val="003C30CA"/>
    <w:rsid w:val="003C4F4F"/>
    <w:rsid w:val="003C5583"/>
    <w:rsid w:val="003C56B7"/>
    <w:rsid w:val="003C6251"/>
    <w:rsid w:val="003D1E4A"/>
    <w:rsid w:val="003D262B"/>
    <w:rsid w:val="003D38A4"/>
    <w:rsid w:val="003D5570"/>
    <w:rsid w:val="003D69AA"/>
    <w:rsid w:val="003E2EAC"/>
    <w:rsid w:val="003E2FCC"/>
    <w:rsid w:val="003E3F89"/>
    <w:rsid w:val="003E4085"/>
    <w:rsid w:val="003E4F3D"/>
    <w:rsid w:val="003E56B5"/>
    <w:rsid w:val="003E614E"/>
    <w:rsid w:val="003F0D6E"/>
    <w:rsid w:val="003F18C5"/>
    <w:rsid w:val="003F52DB"/>
    <w:rsid w:val="003F6803"/>
    <w:rsid w:val="003F7ECD"/>
    <w:rsid w:val="00400097"/>
    <w:rsid w:val="0040229B"/>
    <w:rsid w:val="00405309"/>
    <w:rsid w:val="00410196"/>
    <w:rsid w:val="00414019"/>
    <w:rsid w:val="00417BE4"/>
    <w:rsid w:val="00424E06"/>
    <w:rsid w:val="00426628"/>
    <w:rsid w:val="00426E45"/>
    <w:rsid w:val="00432055"/>
    <w:rsid w:val="00435CA0"/>
    <w:rsid w:val="00436283"/>
    <w:rsid w:val="00436369"/>
    <w:rsid w:val="00444380"/>
    <w:rsid w:val="00444C8C"/>
    <w:rsid w:val="004454B8"/>
    <w:rsid w:val="004458BB"/>
    <w:rsid w:val="004472BF"/>
    <w:rsid w:val="00447948"/>
    <w:rsid w:val="004572F4"/>
    <w:rsid w:val="00457E3C"/>
    <w:rsid w:val="004603E0"/>
    <w:rsid w:val="0046306C"/>
    <w:rsid w:val="00466267"/>
    <w:rsid w:val="00467424"/>
    <w:rsid w:val="00467CAE"/>
    <w:rsid w:val="0047003C"/>
    <w:rsid w:val="00471216"/>
    <w:rsid w:val="00471779"/>
    <w:rsid w:val="0047462E"/>
    <w:rsid w:val="004748EF"/>
    <w:rsid w:val="00475856"/>
    <w:rsid w:val="00475DF1"/>
    <w:rsid w:val="00476E69"/>
    <w:rsid w:val="00477151"/>
    <w:rsid w:val="00480793"/>
    <w:rsid w:val="00482702"/>
    <w:rsid w:val="004837DD"/>
    <w:rsid w:val="00491F96"/>
    <w:rsid w:val="00493A3E"/>
    <w:rsid w:val="00495F75"/>
    <w:rsid w:val="004A1AD1"/>
    <w:rsid w:val="004A2428"/>
    <w:rsid w:val="004A5483"/>
    <w:rsid w:val="004B4E47"/>
    <w:rsid w:val="004B7467"/>
    <w:rsid w:val="004C05EF"/>
    <w:rsid w:val="004C5AD2"/>
    <w:rsid w:val="004C5E97"/>
    <w:rsid w:val="004C7841"/>
    <w:rsid w:val="004D08B8"/>
    <w:rsid w:val="004D08F8"/>
    <w:rsid w:val="004D0BC0"/>
    <w:rsid w:val="004D1BA1"/>
    <w:rsid w:val="004D74B6"/>
    <w:rsid w:val="004E2276"/>
    <w:rsid w:val="004E3345"/>
    <w:rsid w:val="004E3619"/>
    <w:rsid w:val="004E682B"/>
    <w:rsid w:val="004F2D52"/>
    <w:rsid w:val="004F7D60"/>
    <w:rsid w:val="0050025A"/>
    <w:rsid w:val="00500929"/>
    <w:rsid w:val="00505034"/>
    <w:rsid w:val="005067F3"/>
    <w:rsid w:val="00507067"/>
    <w:rsid w:val="005118F9"/>
    <w:rsid w:val="0051191F"/>
    <w:rsid w:val="00511D77"/>
    <w:rsid w:val="00512A93"/>
    <w:rsid w:val="0051301D"/>
    <w:rsid w:val="00513B32"/>
    <w:rsid w:val="00514AB7"/>
    <w:rsid w:val="00514CDA"/>
    <w:rsid w:val="00515398"/>
    <w:rsid w:val="005161B9"/>
    <w:rsid w:val="00517BF3"/>
    <w:rsid w:val="00525C39"/>
    <w:rsid w:val="00525E80"/>
    <w:rsid w:val="00526400"/>
    <w:rsid w:val="00530F84"/>
    <w:rsid w:val="0053108B"/>
    <w:rsid w:val="00532FCE"/>
    <w:rsid w:val="00534834"/>
    <w:rsid w:val="00541649"/>
    <w:rsid w:val="00542043"/>
    <w:rsid w:val="0054533B"/>
    <w:rsid w:val="00547F59"/>
    <w:rsid w:val="00551902"/>
    <w:rsid w:val="00554D5C"/>
    <w:rsid w:val="0055536B"/>
    <w:rsid w:val="0055659E"/>
    <w:rsid w:val="00556691"/>
    <w:rsid w:val="0056059E"/>
    <w:rsid w:val="00560755"/>
    <w:rsid w:val="00560E6C"/>
    <w:rsid w:val="005617ED"/>
    <w:rsid w:val="00564990"/>
    <w:rsid w:val="00567D65"/>
    <w:rsid w:val="005700A0"/>
    <w:rsid w:val="00570F8D"/>
    <w:rsid w:val="005745A7"/>
    <w:rsid w:val="005745AB"/>
    <w:rsid w:val="00574F46"/>
    <w:rsid w:val="0057560B"/>
    <w:rsid w:val="005763C0"/>
    <w:rsid w:val="00576F81"/>
    <w:rsid w:val="00580062"/>
    <w:rsid w:val="005807BC"/>
    <w:rsid w:val="00581001"/>
    <w:rsid w:val="005832F2"/>
    <w:rsid w:val="00583C67"/>
    <w:rsid w:val="00594252"/>
    <w:rsid w:val="00594257"/>
    <w:rsid w:val="00594516"/>
    <w:rsid w:val="00595B67"/>
    <w:rsid w:val="005967E7"/>
    <w:rsid w:val="00596C4D"/>
    <w:rsid w:val="005A15FE"/>
    <w:rsid w:val="005A297B"/>
    <w:rsid w:val="005A3BC2"/>
    <w:rsid w:val="005A52AE"/>
    <w:rsid w:val="005A653D"/>
    <w:rsid w:val="005A67D4"/>
    <w:rsid w:val="005B1086"/>
    <w:rsid w:val="005B12EA"/>
    <w:rsid w:val="005B1484"/>
    <w:rsid w:val="005B69EE"/>
    <w:rsid w:val="005C061F"/>
    <w:rsid w:val="005C0C87"/>
    <w:rsid w:val="005C1B4A"/>
    <w:rsid w:val="005C2B4E"/>
    <w:rsid w:val="005C740A"/>
    <w:rsid w:val="005D0EE6"/>
    <w:rsid w:val="005D287D"/>
    <w:rsid w:val="005D2DFA"/>
    <w:rsid w:val="005E11F3"/>
    <w:rsid w:val="005E1C09"/>
    <w:rsid w:val="005E3653"/>
    <w:rsid w:val="005E5239"/>
    <w:rsid w:val="005E531A"/>
    <w:rsid w:val="005E674F"/>
    <w:rsid w:val="005E6A82"/>
    <w:rsid w:val="005E711B"/>
    <w:rsid w:val="005E7C12"/>
    <w:rsid w:val="005F0C7D"/>
    <w:rsid w:val="005F3EE1"/>
    <w:rsid w:val="005F46D9"/>
    <w:rsid w:val="005F5DD1"/>
    <w:rsid w:val="005F715D"/>
    <w:rsid w:val="00601628"/>
    <w:rsid w:val="006018E1"/>
    <w:rsid w:val="00602AB5"/>
    <w:rsid w:val="006065CD"/>
    <w:rsid w:val="00612189"/>
    <w:rsid w:val="0061277F"/>
    <w:rsid w:val="00612F32"/>
    <w:rsid w:val="006132D6"/>
    <w:rsid w:val="006143FB"/>
    <w:rsid w:val="00615767"/>
    <w:rsid w:val="006165C1"/>
    <w:rsid w:val="006177ED"/>
    <w:rsid w:val="00620D4B"/>
    <w:rsid w:val="0062380F"/>
    <w:rsid w:val="00623D87"/>
    <w:rsid w:val="00624631"/>
    <w:rsid w:val="00630223"/>
    <w:rsid w:val="006304E2"/>
    <w:rsid w:val="00631BE3"/>
    <w:rsid w:val="00633393"/>
    <w:rsid w:val="006342C0"/>
    <w:rsid w:val="00637816"/>
    <w:rsid w:val="0064029B"/>
    <w:rsid w:val="00641795"/>
    <w:rsid w:val="0064398B"/>
    <w:rsid w:val="00650A83"/>
    <w:rsid w:val="00652F80"/>
    <w:rsid w:val="00653A17"/>
    <w:rsid w:val="00654982"/>
    <w:rsid w:val="006563F5"/>
    <w:rsid w:val="00664006"/>
    <w:rsid w:val="00664BC3"/>
    <w:rsid w:val="00665D4D"/>
    <w:rsid w:val="00665EBD"/>
    <w:rsid w:val="0066669F"/>
    <w:rsid w:val="006673CE"/>
    <w:rsid w:val="006674F3"/>
    <w:rsid w:val="0067032D"/>
    <w:rsid w:val="00670C00"/>
    <w:rsid w:val="0067100A"/>
    <w:rsid w:val="00672082"/>
    <w:rsid w:val="0067396C"/>
    <w:rsid w:val="00674576"/>
    <w:rsid w:val="0068014C"/>
    <w:rsid w:val="00681116"/>
    <w:rsid w:val="00681A72"/>
    <w:rsid w:val="00682F38"/>
    <w:rsid w:val="006833AC"/>
    <w:rsid w:val="006851AE"/>
    <w:rsid w:val="006B6D1D"/>
    <w:rsid w:val="006B72DE"/>
    <w:rsid w:val="006B7B86"/>
    <w:rsid w:val="006C5886"/>
    <w:rsid w:val="006C628A"/>
    <w:rsid w:val="006C7B3B"/>
    <w:rsid w:val="006D17CF"/>
    <w:rsid w:val="006D2514"/>
    <w:rsid w:val="006D2B85"/>
    <w:rsid w:val="006D477A"/>
    <w:rsid w:val="006D4B1D"/>
    <w:rsid w:val="006D76DB"/>
    <w:rsid w:val="006E312F"/>
    <w:rsid w:val="006E3782"/>
    <w:rsid w:val="006E4A63"/>
    <w:rsid w:val="006E73B6"/>
    <w:rsid w:val="006F290B"/>
    <w:rsid w:val="006F41C4"/>
    <w:rsid w:val="007003B7"/>
    <w:rsid w:val="007005C3"/>
    <w:rsid w:val="00700B7D"/>
    <w:rsid w:val="00701766"/>
    <w:rsid w:val="007022EF"/>
    <w:rsid w:val="00703201"/>
    <w:rsid w:val="00703429"/>
    <w:rsid w:val="0070355F"/>
    <w:rsid w:val="00707425"/>
    <w:rsid w:val="00710355"/>
    <w:rsid w:val="007140CD"/>
    <w:rsid w:val="007151EE"/>
    <w:rsid w:val="00716A2D"/>
    <w:rsid w:val="0071715E"/>
    <w:rsid w:val="0072205D"/>
    <w:rsid w:val="00723709"/>
    <w:rsid w:val="007276F8"/>
    <w:rsid w:val="00732390"/>
    <w:rsid w:val="00733602"/>
    <w:rsid w:val="00734321"/>
    <w:rsid w:val="007362DB"/>
    <w:rsid w:val="00740A58"/>
    <w:rsid w:val="00745518"/>
    <w:rsid w:val="00745A8B"/>
    <w:rsid w:val="00747186"/>
    <w:rsid w:val="007471F0"/>
    <w:rsid w:val="007479AF"/>
    <w:rsid w:val="0075008F"/>
    <w:rsid w:val="0075362C"/>
    <w:rsid w:val="00753874"/>
    <w:rsid w:val="00753AE6"/>
    <w:rsid w:val="0075425D"/>
    <w:rsid w:val="00757A65"/>
    <w:rsid w:val="00764DBE"/>
    <w:rsid w:val="00765F90"/>
    <w:rsid w:val="007666CA"/>
    <w:rsid w:val="00771202"/>
    <w:rsid w:val="0077154A"/>
    <w:rsid w:val="007719E5"/>
    <w:rsid w:val="00772F85"/>
    <w:rsid w:val="00775698"/>
    <w:rsid w:val="00780573"/>
    <w:rsid w:val="00781FBB"/>
    <w:rsid w:val="007835A9"/>
    <w:rsid w:val="00783802"/>
    <w:rsid w:val="00795AB7"/>
    <w:rsid w:val="00796D32"/>
    <w:rsid w:val="00796F9A"/>
    <w:rsid w:val="007A1705"/>
    <w:rsid w:val="007A42EC"/>
    <w:rsid w:val="007B00F7"/>
    <w:rsid w:val="007B2EA1"/>
    <w:rsid w:val="007B4211"/>
    <w:rsid w:val="007B45CE"/>
    <w:rsid w:val="007B5226"/>
    <w:rsid w:val="007B6244"/>
    <w:rsid w:val="007C1CFE"/>
    <w:rsid w:val="007C2343"/>
    <w:rsid w:val="007C5205"/>
    <w:rsid w:val="007C5643"/>
    <w:rsid w:val="007C5CC7"/>
    <w:rsid w:val="007E3484"/>
    <w:rsid w:val="007E3961"/>
    <w:rsid w:val="007E779E"/>
    <w:rsid w:val="007E7ED3"/>
    <w:rsid w:val="007F0A5D"/>
    <w:rsid w:val="007F429C"/>
    <w:rsid w:val="0080081D"/>
    <w:rsid w:val="008013CB"/>
    <w:rsid w:val="00802695"/>
    <w:rsid w:val="00810185"/>
    <w:rsid w:val="00810201"/>
    <w:rsid w:val="008103DB"/>
    <w:rsid w:val="0081246E"/>
    <w:rsid w:val="0081699E"/>
    <w:rsid w:val="0082251C"/>
    <w:rsid w:val="008273EA"/>
    <w:rsid w:val="00827F1E"/>
    <w:rsid w:val="00832677"/>
    <w:rsid w:val="008327E9"/>
    <w:rsid w:val="00840076"/>
    <w:rsid w:val="00841128"/>
    <w:rsid w:val="008412FF"/>
    <w:rsid w:val="008437C8"/>
    <w:rsid w:val="00845175"/>
    <w:rsid w:val="00845E5B"/>
    <w:rsid w:val="00846189"/>
    <w:rsid w:val="00847065"/>
    <w:rsid w:val="00860529"/>
    <w:rsid w:val="0086163C"/>
    <w:rsid w:val="008641F6"/>
    <w:rsid w:val="008651AE"/>
    <w:rsid w:val="0086562B"/>
    <w:rsid w:val="008666D2"/>
    <w:rsid w:val="00867D40"/>
    <w:rsid w:val="0087360C"/>
    <w:rsid w:val="00875B9E"/>
    <w:rsid w:val="00877D15"/>
    <w:rsid w:val="00890DD1"/>
    <w:rsid w:val="00897160"/>
    <w:rsid w:val="008A05D5"/>
    <w:rsid w:val="008A0692"/>
    <w:rsid w:val="008A2D2F"/>
    <w:rsid w:val="008A31BC"/>
    <w:rsid w:val="008A34B5"/>
    <w:rsid w:val="008A4D21"/>
    <w:rsid w:val="008A6719"/>
    <w:rsid w:val="008B23BA"/>
    <w:rsid w:val="008B4A5B"/>
    <w:rsid w:val="008B5DD5"/>
    <w:rsid w:val="008B6352"/>
    <w:rsid w:val="008B761E"/>
    <w:rsid w:val="008C0124"/>
    <w:rsid w:val="008C10B8"/>
    <w:rsid w:val="008C3B98"/>
    <w:rsid w:val="008C4896"/>
    <w:rsid w:val="008C4927"/>
    <w:rsid w:val="008C4A1C"/>
    <w:rsid w:val="008C4FAC"/>
    <w:rsid w:val="008D1B91"/>
    <w:rsid w:val="008D2BBF"/>
    <w:rsid w:val="008D2BCD"/>
    <w:rsid w:val="008D3506"/>
    <w:rsid w:val="008E060F"/>
    <w:rsid w:val="008E09FF"/>
    <w:rsid w:val="008E0C35"/>
    <w:rsid w:val="008E33F8"/>
    <w:rsid w:val="008E4395"/>
    <w:rsid w:val="008E5A32"/>
    <w:rsid w:val="008F5B22"/>
    <w:rsid w:val="008F67F4"/>
    <w:rsid w:val="009014EC"/>
    <w:rsid w:val="00902101"/>
    <w:rsid w:val="0090287D"/>
    <w:rsid w:val="00903E3B"/>
    <w:rsid w:val="009052CC"/>
    <w:rsid w:val="0090589B"/>
    <w:rsid w:val="00905B82"/>
    <w:rsid w:val="00905BF1"/>
    <w:rsid w:val="00906A85"/>
    <w:rsid w:val="009077E8"/>
    <w:rsid w:val="00913CB6"/>
    <w:rsid w:val="00915ECD"/>
    <w:rsid w:val="009165CF"/>
    <w:rsid w:val="009174B4"/>
    <w:rsid w:val="00917949"/>
    <w:rsid w:val="009234D3"/>
    <w:rsid w:val="00933C83"/>
    <w:rsid w:val="00933D6D"/>
    <w:rsid w:val="00935718"/>
    <w:rsid w:val="00936A62"/>
    <w:rsid w:val="00944810"/>
    <w:rsid w:val="00945A2E"/>
    <w:rsid w:val="009466A3"/>
    <w:rsid w:val="00947528"/>
    <w:rsid w:val="00947777"/>
    <w:rsid w:val="009503F9"/>
    <w:rsid w:val="00950805"/>
    <w:rsid w:val="0095261B"/>
    <w:rsid w:val="00953387"/>
    <w:rsid w:val="009536B0"/>
    <w:rsid w:val="009541D3"/>
    <w:rsid w:val="009548A6"/>
    <w:rsid w:val="0095583D"/>
    <w:rsid w:val="00956A08"/>
    <w:rsid w:val="00962143"/>
    <w:rsid w:val="009640BB"/>
    <w:rsid w:val="0096457E"/>
    <w:rsid w:val="0096519E"/>
    <w:rsid w:val="00967403"/>
    <w:rsid w:val="009709F8"/>
    <w:rsid w:val="0097285B"/>
    <w:rsid w:val="00973CA5"/>
    <w:rsid w:val="0097463E"/>
    <w:rsid w:val="00974F26"/>
    <w:rsid w:val="00976ED0"/>
    <w:rsid w:val="009818FA"/>
    <w:rsid w:val="009820DE"/>
    <w:rsid w:val="00982FC7"/>
    <w:rsid w:val="009843BC"/>
    <w:rsid w:val="00984A36"/>
    <w:rsid w:val="00987981"/>
    <w:rsid w:val="009934F1"/>
    <w:rsid w:val="009938CD"/>
    <w:rsid w:val="0099462C"/>
    <w:rsid w:val="009948CC"/>
    <w:rsid w:val="00994AE9"/>
    <w:rsid w:val="009956BB"/>
    <w:rsid w:val="00996C2B"/>
    <w:rsid w:val="009A0379"/>
    <w:rsid w:val="009A1E30"/>
    <w:rsid w:val="009A3274"/>
    <w:rsid w:val="009A5A2D"/>
    <w:rsid w:val="009A6F4E"/>
    <w:rsid w:val="009A78F0"/>
    <w:rsid w:val="009A7E8D"/>
    <w:rsid w:val="009B1240"/>
    <w:rsid w:val="009B5CBC"/>
    <w:rsid w:val="009B65CE"/>
    <w:rsid w:val="009C1DE1"/>
    <w:rsid w:val="009C4109"/>
    <w:rsid w:val="009C6035"/>
    <w:rsid w:val="009D1952"/>
    <w:rsid w:val="009D1D32"/>
    <w:rsid w:val="009D48B1"/>
    <w:rsid w:val="009D5F8F"/>
    <w:rsid w:val="009E4CDF"/>
    <w:rsid w:val="009E5E1C"/>
    <w:rsid w:val="009E7826"/>
    <w:rsid w:val="009F19A4"/>
    <w:rsid w:val="009F2FB1"/>
    <w:rsid w:val="009F5185"/>
    <w:rsid w:val="009F6BF3"/>
    <w:rsid w:val="00A008D3"/>
    <w:rsid w:val="00A00E4F"/>
    <w:rsid w:val="00A03041"/>
    <w:rsid w:val="00A05F47"/>
    <w:rsid w:val="00A13FEC"/>
    <w:rsid w:val="00A15E26"/>
    <w:rsid w:val="00A161ED"/>
    <w:rsid w:val="00A16FB7"/>
    <w:rsid w:val="00A1781B"/>
    <w:rsid w:val="00A212FF"/>
    <w:rsid w:val="00A22197"/>
    <w:rsid w:val="00A22746"/>
    <w:rsid w:val="00A23E7A"/>
    <w:rsid w:val="00A24508"/>
    <w:rsid w:val="00A30BF1"/>
    <w:rsid w:val="00A3283D"/>
    <w:rsid w:val="00A33F6D"/>
    <w:rsid w:val="00A347A4"/>
    <w:rsid w:val="00A36494"/>
    <w:rsid w:val="00A3688D"/>
    <w:rsid w:val="00A36EA3"/>
    <w:rsid w:val="00A36F63"/>
    <w:rsid w:val="00A371A9"/>
    <w:rsid w:val="00A41BB2"/>
    <w:rsid w:val="00A430FE"/>
    <w:rsid w:val="00A45A4F"/>
    <w:rsid w:val="00A46B4D"/>
    <w:rsid w:val="00A5163D"/>
    <w:rsid w:val="00A60C50"/>
    <w:rsid w:val="00A635B1"/>
    <w:rsid w:val="00A66C22"/>
    <w:rsid w:val="00A71D7A"/>
    <w:rsid w:val="00A73582"/>
    <w:rsid w:val="00A749B8"/>
    <w:rsid w:val="00A74C7D"/>
    <w:rsid w:val="00A74CCA"/>
    <w:rsid w:val="00A7516E"/>
    <w:rsid w:val="00A753F2"/>
    <w:rsid w:val="00A77B5B"/>
    <w:rsid w:val="00A824A0"/>
    <w:rsid w:val="00A84D59"/>
    <w:rsid w:val="00A86772"/>
    <w:rsid w:val="00A91123"/>
    <w:rsid w:val="00A91AD4"/>
    <w:rsid w:val="00A94628"/>
    <w:rsid w:val="00A9509A"/>
    <w:rsid w:val="00A96E23"/>
    <w:rsid w:val="00AA187E"/>
    <w:rsid w:val="00AA1CCB"/>
    <w:rsid w:val="00AA2F28"/>
    <w:rsid w:val="00AA374B"/>
    <w:rsid w:val="00AA41A2"/>
    <w:rsid w:val="00AA450D"/>
    <w:rsid w:val="00AA45CA"/>
    <w:rsid w:val="00AB098F"/>
    <w:rsid w:val="00AB1D11"/>
    <w:rsid w:val="00AB2E7C"/>
    <w:rsid w:val="00AB2F59"/>
    <w:rsid w:val="00AB335C"/>
    <w:rsid w:val="00AB3ABF"/>
    <w:rsid w:val="00AB40B1"/>
    <w:rsid w:val="00AB4B6F"/>
    <w:rsid w:val="00AB5971"/>
    <w:rsid w:val="00AC416C"/>
    <w:rsid w:val="00AC4599"/>
    <w:rsid w:val="00AC47A2"/>
    <w:rsid w:val="00AC7FD1"/>
    <w:rsid w:val="00AD38AA"/>
    <w:rsid w:val="00AD5E8E"/>
    <w:rsid w:val="00AD64ED"/>
    <w:rsid w:val="00AD6DEC"/>
    <w:rsid w:val="00AE2968"/>
    <w:rsid w:val="00AE5C77"/>
    <w:rsid w:val="00AF5FF4"/>
    <w:rsid w:val="00AF7636"/>
    <w:rsid w:val="00AF7E45"/>
    <w:rsid w:val="00B00127"/>
    <w:rsid w:val="00B06CFC"/>
    <w:rsid w:val="00B0762B"/>
    <w:rsid w:val="00B11818"/>
    <w:rsid w:val="00B13524"/>
    <w:rsid w:val="00B13BB4"/>
    <w:rsid w:val="00B14F2D"/>
    <w:rsid w:val="00B165CD"/>
    <w:rsid w:val="00B21086"/>
    <w:rsid w:val="00B237F7"/>
    <w:rsid w:val="00B23969"/>
    <w:rsid w:val="00B23A12"/>
    <w:rsid w:val="00B2656C"/>
    <w:rsid w:val="00B27589"/>
    <w:rsid w:val="00B30BAA"/>
    <w:rsid w:val="00B33FC1"/>
    <w:rsid w:val="00B37116"/>
    <w:rsid w:val="00B44F57"/>
    <w:rsid w:val="00B476E0"/>
    <w:rsid w:val="00B51239"/>
    <w:rsid w:val="00B53547"/>
    <w:rsid w:val="00B53977"/>
    <w:rsid w:val="00B54C52"/>
    <w:rsid w:val="00B61DE3"/>
    <w:rsid w:val="00B62B00"/>
    <w:rsid w:val="00B65968"/>
    <w:rsid w:val="00B65B46"/>
    <w:rsid w:val="00B74CE5"/>
    <w:rsid w:val="00B807A9"/>
    <w:rsid w:val="00B81AC8"/>
    <w:rsid w:val="00B81F23"/>
    <w:rsid w:val="00B833CB"/>
    <w:rsid w:val="00B8468B"/>
    <w:rsid w:val="00B847F2"/>
    <w:rsid w:val="00B8635F"/>
    <w:rsid w:val="00B86FBA"/>
    <w:rsid w:val="00B91081"/>
    <w:rsid w:val="00B912C9"/>
    <w:rsid w:val="00B91C59"/>
    <w:rsid w:val="00BA2067"/>
    <w:rsid w:val="00BA23E6"/>
    <w:rsid w:val="00BA7AC0"/>
    <w:rsid w:val="00BB15F6"/>
    <w:rsid w:val="00BB6375"/>
    <w:rsid w:val="00BB645B"/>
    <w:rsid w:val="00BC0B0D"/>
    <w:rsid w:val="00BC1BC9"/>
    <w:rsid w:val="00BC3A98"/>
    <w:rsid w:val="00BC509D"/>
    <w:rsid w:val="00BC5E4A"/>
    <w:rsid w:val="00BD4401"/>
    <w:rsid w:val="00BD4835"/>
    <w:rsid w:val="00BD7E5F"/>
    <w:rsid w:val="00BE120C"/>
    <w:rsid w:val="00BE7743"/>
    <w:rsid w:val="00BE7CA7"/>
    <w:rsid w:val="00BF0994"/>
    <w:rsid w:val="00BF13FA"/>
    <w:rsid w:val="00BF21A4"/>
    <w:rsid w:val="00BF2BD7"/>
    <w:rsid w:val="00BF4BD8"/>
    <w:rsid w:val="00BF6AC9"/>
    <w:rsid w:val="00C00148"/>
    <w:rsid w:val="00C01486"/>
    <w:rsid w:val="00C0436E"/>
    <w:rsid w:val="00C049D8"/>
    <w:rsid w:val="00C06D4C"/>
    <w:rsid w:val="00C0741D"/>
    <w:rsid w:val="00C109F8"/>
    <w:rsid w:val="00C1136B"/>
    <w:rsid w:val="00C1136C"/>
    <w:rsid w:val="00C11AB5"/>
    <w:rsid w:val="00C11CAD"/>
    <w:rsid w:val="00C11D91"/>
    <w:rsid w:val="00C13433"/>
    <w:rsid w:val="00C21139"/>
    <w:rsid w:val="00C24356"/>
    <w:rsid w:val="00C24763"/>
    <w:rsid w:val="00C25F3C"/>
    <w:rsid w:val="00C26F99"/>
    <w:rsid w:val="00C31436"/>
    <w:rsid w:val="00C314F9"/>
    <w:rsid w:val="00C32735"/>
    <w:rsid w:val="00C3445E"/>
    <w:rsid w:val="00C35FE8"/>
    <w:rsid w:val="00C42A22"/>
    <w:rsid w:val="00C44175"/>
    <w:rsid w:val="00C470FB"/>
    <w:rsid w:val="00C50621"/>
    <w:rsid w:val="00C5085C"/>
    <w:rsid w:val="00C50D78"/>
    <w:rsid w:val="00C52163"/>
    <w:rsid w:val="00C526DF"/>
    <w:rsid w:val="00C54BC1"/>
    <w:rsid w:val="00C561FD"/>
    <w:rsid w:val="00C56C5D"/>
    <w:rsid w:val="00C57518"/>
    <w:rsid w:val="00C64FA1"/>
    <w:rsid w:val="00C7212C"/>
    <w:rsid w:val="00C77846"/>
    <w:rsid w:val="00C77B54"/>
    <w:rsid w:val="00C83285"/>
    <w:rsid w:val="00C8558D"/>
    <w:rsid w:val="00C925EB"/>
    <w:rsid w:val="00C9602F"/>
    <w:rsid w:val="00C96BFB"/>
    <w:rsid w:val="00CA48E1"/>
    <w:rsid w:val="00CA6FE9"/>
    <w:rsid w:val="00CA71C2"/>
    <w:rsid w:val="00CA7C74"/>
    <w:rsid w:val="00CA7EE2"/>
    <w:rsid w:val="00CB340F"/>
    <w:rsid w:val="00CB37E4"/>
    <w:rsid w:val="00CB637C"/>
    <w:rsid w:val="00CB6F76"/>
    <w:rsid w:val="00CB72FA"/>
    <w:rsid w:val="00CB7B27"/>
    <w:rsid w:val="00CC0710"/>
    <w:rsid w:val="00CC1374"/>
    <w:rsid w:val="00CC3380"/>
    <w:rsid w:val="00CC7371"/>
    <w:rsid w:val="00CC758E"/>
    <w:rsid w:val="00CC7987"/>
    <w:rsid w:val="00CC7B51"/>
    <w:rsid w:val="00CD06A2"/>
    <w:rsid w:val="00CD1924"/>
    <w:rsid w:val="00CD210D"/>
    <w:rsid w:val="00CE030C"/>
    <w:rsid w:val="00CE18A6"/>
    <w:rsid w:val="00CE38A7"/>
    <w:rsid w:val="00CE7677"/>
    <w:rsid w:val="00CE7882"/>
    <w:rsid w:val="00CF107C"/>
    <w:rsid w:val="00CF1F49"/>
    <w:rsid w:val="00CF4395"/>
    <w:rsid w:val="00CF51A2"/>
    <w:rsid w:val="00CF5A9E"/>
    <w:rsid w:val="00CF5ACC"/>
    <w:rsid w:val="00CF7A04"/>
    <w:rsid w:val="00D00B00"/>
    <w:rsid w:val="00D037B3"/>
    <w:rsid w:val="00D05498"/>
    <w:rsid w:val="00D057F9"/>
    <w:rsid w:val="00D07A76"/>
    <w:rsid w:val="00D10CC7"/>
    <w:rsid w:val="00D13C47"/>
    <w:rsid w:val="00D14367"/>
    <w:rsid w:val="00D16C94"/>
    <w:rsid w:val="00D20BA3"/>
    <w:rsid w:val="00D233E3"/>
    <w:rsid w:val="00D2794F"/>
    <w:rsid w:val="00D32120"/>
    <w:rsid w:val="00D32449"/>
    <w:rsid w:val="00D4221C"/>
    <w:rsid w:val="00D4248F"/>
    <w:rsid w:val="00D42B69"/>
    <w:rsid w:val="00D45D44"/>
    <w:rsid w:val="00D51A3E"/>
    <w:rsid w:val="00D5381A"/>
    <w:rsid w:val="00D554D4"/>
    <w:rsid w:val="00D56ACA"/>
    <w:rsid w:val="00D57B36"/>
    <w:rsid w:val="00D6241E"/>
    <w:rsid w:val="00D6399F"/>
    <w:rsid w:val="00D64276"/>
    <w:rsid w:val="00D65530"/>
    <w:rsid w:val="00D65856"/>
    <w:rsid w:val="00D65BB8"/>
    <w:rsid w:val="00D71A50"/>
    <w:rsid w:val="00D73AF0"/>
    <w:rsid w:val="00D73C52"/>
    <w:rsid w:val="00D7670D"/>
    <w:rsid w:val="00D80B5C"/>
    <w:rsid w:val="00D81E0C"/>
    <w:rsid w:val="00D82122"/>
    <w:rsid w:val="00D85654"/>
    <w:rsid w:val="00D85F6E"/>
    <w:rsid w:val="00D90076"/>
    <w:rsid w:val="00D93851"/>
    <w:rsid w:val="00D956D6"/>
    <w:rsid w:val="00DA1A1C"/>
    <w:rsid w:val="00DB4E7B"/>
    <w:rsid w:val="00DC1E1F"/>
    <w:rsid w:val="00DC22CD"/>
    <w:rsid w:val="00DC390C"/>
    <w:rsid w:val="00DC69E8"/>
    <w:rsid w:val="00DD1503"/>
    <w:rsid w:val="00DD49A1"/>
    <w:rsid w:val="00DD6A17"/>
    <w:rsid w:val="00DD7123"/>
    <w:rsid w:val="00DE039C"/>
    <w:rsid w:val="00DE1FC4"/>
    <w:rsid w:val="00DE228F"/>
    <w:rsid w:val="00DE74B6"/>
    <w:rsid w:val="00DF1BF4"/>
    <w:rsid w:val="00DF3425"/>
    <w:rsid w:val="00DF6328"/>
    <w:rsid w:val="00DF7A19"/>
    <w:rsid w:val="00E00CB4"/>
    <w:rsid w:val="00E01963"/>
    <w:rsid w:val="00E02604"/>
    <w:rsid w:val="00E04592"/>
    <w:rsid w:val="00E047C0"/>
    <w:rsid w:val="00E05850"/>
    <w:rsid w:val="00E11557"/>
    <w:rsid w:val="00E1333F"/>
    <w:rsid w:val="00E16895"/>
    <w:rsid w:val="00E16E2F"/>
    <w:rsid w:val="00E22E77"/>
    <w:rsid w:val="00E275F6"/>
    <w:rsid w:val="00E312B6"/>
    <w:rsid w:val="00E3463A"/>
    <w:rsid w:val="00E35F74"/>
    <w:rsid w:val="00E446AC"/>
    <w:rsid w:val="00E44E1F"/>
    <w:rsid w:val="00E45A2D"/>
    <w:rsid w:val="00E46154"/>
    <w:rsid w:val="00E508A6"/>
    <w:rsid w:val="00E533E3"/>
    <w:rsid w:val="00E53D90"/>
    <w:rsid w:val="00E57D40"/>
    <w:rsid w:val="00E610D5"/>
    <w:rsid w:val="00E63473"/>
    <w:rsid w:val="00E7375D"/>
    <w:rsid w:val="00E75226"/>
    <w:rsid w:val="00E75F2B"/>
    <w:rsid w:val="00E7732F"/>
    <w:rsid w:val="00E8398C"/>
    <w:rsid w:val="00E83D66"/>
    <w:rsid w:val="00E846C9"/>
    <w:rsid w:val="00E8642C"/>
    <w:rsid w:val="00E864D6"/>
    <w:rsid w:val="00E8658C"/>
    <w:rsid w:val="00E875FA"/>
    <w:rsid w:val="00E90012"/>
    <w:rsid w:val="00E901FD"/>
    <w:rsid w:val="00E9167E"/>
    <w:rsid w:val="00E93467"/>
    <w:rsid w:val="00E972B9"/>
    <w:rsid w:val="00EA09AF"/>
    <w:rsid w:val="00EA14D3"/>
    <w:rsid w:val="00EA238B"/>
    <w:rsid w:val="00EA3191"/>
    <w:rsid w:val="00EA6893"/>
    <w:rsid w:val="00EA6D4A"/>
    <w:rsid w:val="00EA7A96"/>
    <w:rsid w:val="00EB021C"/>
    <w:rsid w:val="00EB0BF3"/>
    <w:rsid w:val="00EB1C6A"/>
    <w:rsid w:val="00EB1CE7"/>
    <w:rsid w:val="00EB1DFF"/>
    <w:rsid w:val="00EB44D7"/>
    <w:rsid w:val="00EB78D0"/>
    <w:rsid w:val="00EB797B"/>
    <w:rsid w:val="00EC00FA"/>
    <w:rsid w:val="00EC2CDA"/>
    <w:rsid w:val="00EC43CC"/>
    <w:rsid w:val="00EC4816"/>
    <w:rsid w:val="00EC61F7"/>
    <w:rsid w:val="00EC7948"/>
    <w:rsid w:val="00ED1997"/>
    <w:rsid w:val="00ED27AC"/>
    <w:rsid w:val="00ED2BD2"/>
    <w:rsid w:val="00ED3838"/>
    <w:rsid w:val="00ED395E"/>
    <w:rsid w:val="00ED4227"/>
    <w:rsid w:val="00ED466C"/>
    <w:rsid w:val="00ED53A9"/>
    <w:rsid w:val="00EE4593"/>
    <w:rsid w:val="00EE4D8C"/>
    <w:rsid w:val="00EE5D49"/>
    <w:rsid w:val="00EE71EC"/>
    <w:rsid w:val="00EE7D88"/>
    <w:rsid w:val="00EF0535"/>
    <w:rsid w:val="00EF2B77"/>
    <w:rsid w:val="00EF5698"/>
    <w:rsid w:val="00EF5B4C"/>
    <w:rsid w:val="00EF6155"/>
    <w:rsid w:val="00EF67C0"/>
    <w:rsid w:val="00EF6B6A"/>
    <w:rsid w:val="00F00781"/>
    <w:rsid w:val="00F00DF6"/>
    <w:rsid w:val="00F01CF9"/>
    <w:rsid w:val="00F023B9"/>
    <w:rsid w:val="00F063EF"/>
    <w:rsid w:val="00F06579"/>
    <w:rsid w:val="00F105A5"/>
    <w:rsid w:val="00F1581A"/>
    <w:rsid w:val="00F20AB5"/>
    <w:rsid w:val="00F22CBC"/>
    <w:rsid w:val="00F22D6A"/>
    <w:rsid w:val="00F2351F"/>
    <w:rsid w:val="00F26F93"/>
    <w:rsid w:val="00F30795"/>
    <w:rsid w:val="00F343F4"/>
    <w:rsid w:val="00F363C4"/>
    <w:rsid w:val="00F37167"/>
    <w:rsid w:val="00F40599"/>
    <w:rsid w:val="00F45E66"/>
    <w:rsid w:val="00F4601A"/>
    <w:rsid w:val="00F51BE9"/>
    <w:rsid w:val="00F52887"/>
    <w:rsid w:val="00F539A7"/>
    <w:rsid w:val="00F53E4C"/>
    <w:rsid w:val="00F55D19"/>
    <w:rsid w:val="00F61DF2"/>
    <w:rsid w:val="00F636DA"/>
    <w:rsid w:val="00F64040"/>
    <w:rsid w:val="00F647F4"/>
    <w:rsid w:val="00F653D6"/>
    <w:rsid w:val="00F655D0"/>
    <w:rsid w:val="00F6712F"/>
    <w:rsid w:val="00F676D0"/>
    <w:rsid w:val="00F72D83"/>
    <w:rsid w:val="00F738CC"/>
    <w:rsid w:val="00F755CD"/>
    <w:rsid w:val="00F80298"/>
    <w:rsid w:val="00F80FA1"/>
    <w:rsid w:val="00F835C8"/>
    <w:rsid w:val="00F83E4B"/>
    <w:rsid w:val="00F8559E"/>
    <w:rsid w:val="00F86B14"/>
    <w:rsid w:val="00F945B1"/>
    <w:rsid w:val="00F968C2"/>
    <w:rsid w:val="00F97A8E"/>
    <w:rsid w:val="00FA0EEE"/>
    <w:rsid w:val="00FA2E9E"/>
    <w:rsid w:val="00FB4E47"/>
    <w:rsid w:val="00FB6C04"/>
    <w:rsid w:val="00FC2C57"/>
    <w:rsid w:val="00FC4C32"/>
    <w:rsid w:val="00FC6D35"/>
    <w:rsid w:val="00FC6FB8"/>
    <w:rsid w:val="00FD0A3D"/>
    <w:rsid w:val="00FD2066"/>
    <w:rsid w:val="00FD3BFC"/>
    <w:rsid w:val="00FD429D"/>
    <w:rsid w:val="00FD45F7"/>
    <w:rsid w:val="00FE07A8"/>
    <w:rsid w:val="00FE12C7"/>
    <w:rsid w:val="00FE3ECA"/>
    <w:rsid w:val="00FE59D9"/>
    <w:rsid w:val="00FE67AE"/>
    <w:rsid w:val="00FF0428"/>
    <w:rsid w:val="00FF1E42"/>
    <w:rsid w:val="00FF43A6"/>
    <w:rsid w:val="08D206CC"/>
    <w:rsid w:val="0C363AD5"/>
    <w:rsid w:val="199EA685"/>
    <w:rsid w:val="1B281277"/>
    <w:rsid w:val="285C4BA0"/>
    <w:rsid w:val="32E7871D"/>
    <w:rsid w:val="36AA86D2"/>
    <w:rsid w:val="382A0323"/>
    <w:rsid w:val="41A9160F"/>
    <w:rsid w:val="42888BDE"/>
    <w:rsid w:val="4748F66C"/>
    <w:rsid w:val="47A86595"/>
    <w:rsid w:val="4A0F4F39"/>
    <w:rsid w:val="4C2E33A9"/>
    <w:rsid w:val="4FA97EFC"/>
    <w:rsid w:val="533FEA5F"/>
    <w:rsid w:val="5A470100"/>
    <w:rsid w:val="604C0579"/>
    <w:rsid w:val="67446B62"/>
    <w:rsid w:val="692EA980"/>
    <w:rsid w:val="6BF2E78F"/>
    <w:rsid w:val="70F0865B"/>
    <w:rsid w:val="73D6CF63"/>
    <w:rsid w:val="74A38DDD"/>
    <w:rsid w:val="7B4F4880"/>
    <w:rsid w:val="7BD35703"/>
    <w:rsid w:val="7D31EFB4"/>
    <w:rsid w:val="7E433CC3"/>
    <w:rsid w:val="7E953A83"/>
    <w:rsid w:val="7F8BA8C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0C02B11"/>
  <w15:chartTrackingRefBased/>
  <w15:docId w15:val="{56C1799E-5E28-4A81-B512-0F159D9CD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ja-JP"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AD1"/>
    <w:rPr>
      <w:rFonts w:ascii="Arial" w:eastAsia="Times New Roman" w:hAnsi="Arial" w:cs="Arial"/>
      <w:sz w:val="24"/>
      <w:szCs w:val="24"/>
      <w:lang w:eastAsia="es-ES"/>
    </w:rPr>
  </w:style>
  <w:style w:type="paragraph" w:styleId="Ttulo1">
    <w:name w:val="heading 1"/>
    <w:basedOn w:val="Normal"/>
    <w:next w:val="Normal"/>
    <w:link w:val="Ttulo1Car"/>
    <w:uiPriority w:val="99"/>
    <w:qFormat/>
    <w:rsid w:val="004A1AD1"/>
    <w:pPr>
      <w:keepNext/>
      <w:overflowPunct w:val="0"/>
      <w:autoSpaceDE w:val="0"/>
      <w:autoSpaceDN w:val="0"/>
      <w:adjustRightInd w:val="0"/>
      <w:spacing w:line="480" w:lineRule="auto"/>
      <w:jc w:val="center"/>
      <w:textAlignment w:val="baseline"/>
      <w:outlineLvl w:val="0"/>
    </w:pPr>
    <w:rPr>
      <w:rFonts w:ascii="Times New Roman" w:hAnsi="Times New Roman" w:cs="Times New Roman"/>
      <w:b/>
      <w:bCs/>
      <w:sz w:val="28"/>
      <w:szCs w:val="28"/>
      <w:lang w:val="es-ES_tradnl"/>
    </w:rPr>
  </w:style>
  <w:style w:type="paragraph" w:styleId="Ttulo2">
    <w:name w:val="heading 2"/>
    <w:basedOn w:val="Normal"/>
    <w:next w:val="Normal"/>
    <w:link w:val="Ttulo2Car"/>
    <w:uiPriority w:val="9"/>
    <w:qFormat/>
    <w:rsid w:val="006563F5"/>
    <w:pPr>
      <w:keepNext/>
      <w:keepLines/>
      <w:spacing w:before="40"/>
      <w:outlineLvl w:val="1"/>
    </w:pPr>
    <w:rPr>
      <w:rFonts w:ascii="Cambria" w:hAnsi="Cambria" w:cs="Times New Roman"/>
      <w:color w:val="365F91"/>
      <w:sz w:val="26"/>
      <w:szCs w:val="26"/>
    </w:rPr>
  </w:style>
  <w:style w:type="paragraph" w:styleId="Ttulo3">
    <w:name w:val="heading 3"/>
    <w:basedOn w:val="Normal"/>
    <w:next w:val="Normal"/>
    <w:link w:val="Ttulo3Car"/>
    <w:uiPriority w:val="99"/>
    <w:qFormat/>
    <w:rsid w:val="004A1AD1"/>
    <w:pPr>
      <w:keepNext/>
      <w:overflowPunct w:val="0"/>
      <w:autoSpaceDE w:val="0"/>
      <w:autoSpaceDN w:val="0"/>
      <w:adjustRightInd w:val="0"/>
      <w:spacing w:after="480" w:line="360" w:lineRule="auto"/>
      <w:jc w:val="both"/>
      <w:textAlignment w:val="baseline"/>
      <w:outlineLvl w:val="2"/>
    </w:pPr>
    <w:rPr>
      <w:rFonts w:eastAsia="Calibri" w:cs="Times New Roman"/>
      <w:b/>
      <w:bCs/>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rsid w:val="004A1AD1"/>
    <w:rPr>
      <w:rFonts w:ascii="Times New Roman" w:eastAsia="Times New Roman" w:hAnsi="Times New Roman" w:cs="Times New Roman"/>
      <w:b/>
      <w:bCs/>
      <w:sz w:val="28"/>
      <w:szCs w:val="28"/>
      <w:lang w:val="es-ES_tradnl" w:eastAsia="es-ES"/>
    </w:rPr>
  </w:style>
  <w:style w:type="character" w:customStyle="1" w:styleId="Ttulo3Car">
    <w:name w:val="Título 3 Car"/>
    <w:link w:val="Ttulo3"/>
    <w:uiPriority w:val="99"/>
    <w:rsid w:val="004A1AD1"/>
    <w:rPr>
      <w:rFonts w:ascii="Arial" w:eastAsia="Calibri" w:hAnsi="Arial" w:cs="Times New Roman"/>
      <w:b/>
      <w:bCs/>
      <w:sz w:val="24"/>
      <w:szCs w:val="24"/>
      <w:lang w:val="es-ES_tradnl" w:eastAsia="es-ES"/>
    </w:rPr>
  </w:style>
  <w:style w:type="paragraph" w:styleId="Encabezado">
    <w:name w:val="header"/>
    <w:basedOn w:val="Normal"/>
    <w:link w:val="EncabezadoCar"/>
    <w:uiPriority w:val="99"/>
    <w:rsid w:val="004A1AD1"/>
    <w:pPr>
      <w:tabs>
        <w:tab w:val="center" w:pos="4252"/>
        <w:tab w:val="right" w:pos="8504"/>
      </w:tabs>
      <w:spacing w:line="360" w:lineRule="auto"/>
    </w:pPr>
    <w:rPr>
      <w:rFonts w:ascii="Times New Roman" w:eastAsia="Calibri" w:hAnsi="Times New Roman" w:cs="Times New Roman"/>
    </w:rPr>
  </w:style>
  <w:style w:type="character" w:customStyle="1" w:styleId="EncabezadoCar">
    <w:name w:val="Encabezado Car"/>
    <w:link w:val="Encabezado"/>
    <w:uiPriority w:val="99"/>
    <w:rsid w:val="004A1AD1"/>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rsid w:val="004A1AD1"/>
    <w:pPr>
      <w:tabs>
        <w:tab w:val="center" w:pos="4252"/>
        <w:tab w:val="right" w:pos="8504"/>
      </w:tabs>
      <w:spacing w:line="360" w:lineRule="auto"/>
    </w:pPr>
    <w:rPr>
      <w:rFonts w:ascii="Times New Roman" w:eastAsia="Calibri" w:hAnsi="Times New Roman" w:cs="Times New Roman"/>
    </w:rPr>
  </w:style>
  <w:style w:type="character" w:customStyle="1" w:styleId="PiedepginaCar">
    <w:name w:val="Pie de página Car"/>
    <w:link w:val="Piedepgina"/>
    <w:uiPriority w:val="99"/>
    <w:rsid w:val="004A1AD1"/>
    <w:rPr>
      <w:rFonts w:ascii="Times New Roman" w:eastAsia="Calibri" w:hAnsi="Times New Roman" w:cs="Times New Roman"/>
      <w:sz w:val="24"/>
      <w:szCs w:val="24"/>
      <w:lang w:val="es-ES" w:eastAsia="es-ES"/>
    </w:rPr>
  </w:style>
  <w:style w:type="character" w:styleId="Nmerodepgina">
    <w:name w:val="page number"/>
    <w:uiPriority w:val="99"/>
    <w:rsid w:val="004A1AD1"/>
    <w:rPr>
      <w:rFonts w:cs="Times New Roman"/>
    </w:rPr>
  </w:style>
  <w:style w:type="paragraph" w:styleId="Textoindependiente2">
    <w:name w:val="Body Text 2"/>
    <w:basedOn w:val="Normal"/>
    <w:link w:val="Textoindependiente2Car"/>
    <w:uiPriority w:val="99"/>
    <w:rsid w:val="004A1AD1"/>
    <w:pPr>
      <w:suppressAutoHyphens/>
      <w:spacing w:line="360" w:lineRule="auto"/>
      <w:jc w:val="both"/>
    </w:pPr>
    <w:rPr>
      <w:rFonts w:eastAsia="Calibri" w:cs="Times New Roman"/>
      <w:spacing w:val="-3"/>
    </w:rPr>
  </w:style>
  <w:style w:type="character" w:customStyle="1" w:styleId="Textoindependiente2Car">
    <w:name w:val="Texto independiente 2 Car"/>
    <w:link w:val="Textoindependiente2"/>
    <w:uiPriority w:val="99"/>
    <w:rsid w:val="004A1AD1"/>
    <w:rPr>
      <w:rFonts w:ascii="Arial" w:eastAsia="Calibri" w:hAnsi="Arial" w:cs="Times New Roman"/>
      <w:spacing w:val="-3"/>
      <w:sz w:val="24"/>
      <w:szCs w:val="24"/>
      <w:lang w:val="es-ES" w:eastAsia="es-ES"/>
    </w:rPr>
  </w:style>
  <w:style w:type="paragraph" w:styleId="Sangradetextonormal">
    <w:name w:val="Body Text Indent"/>
    <w:basedOn w:val="Normal"/>
    <w:link w:val="SangradetextonormalCar"/>
    <w:uiPriority w:val="99"/>
    <w:rsid w:val="004A1AD1"/>
    <w:pPr>
      <w:ind w:left="4189"/>
      <w:jc w:val="both"/>
    </w:pPr>
    <w:rPr>
      <w:rFonts w:eastAsia="Calibri" w:cs="Times New Roman"/>
    </w:rPr>
  </w:style>
  <w:style w:type="character" w:customStyle="1" w:styleId="SangradetextonormalCar">
    <w:name w:val="Sangría de texto normal Car"/>
    <w:link w:val="Sangradetextonormal"/>
    <w:uiPriority w:val="99"/>
    <w:rsid w:val="004A1AD1"/>
    <w:rPr>
      <w:rFonts w:ascii="Arial" w:eastAsia="Calibri" w:hAnsi="Arial" w:cs="Times New Roman"/>
      <w:sz w:val="24"/>
      <w:szCs w:val="24"/>
      <w:lang w:val="es-ES" w:eastAsia="es-ES"/>
    </w:rPr>
  </w:style>
  <w:style w:type="paragraph" w:styleId="Textoindependiente">
    <w:name w:val="Body Text"/>
    <w:basedOn w:val="Normal"/>
    <w:link w:val="TextoindependienteCar"/>
    <w:uiPriority w:val="99"/>
    <w:rsid w:val="004A1AD1"/>
    <w:pPr>
      <w:spacing w:after="120"/>
    </w:pPr>
    <w:rPr>
      <w:rFonts w:eastAsia="Calibri" w:cs="Times New Roman"/>
    </w:rPr>
  </w:style>
  <w:style w:type="character" w:customStyle="1" w:styleId="TextoindependienteCar">
    <w:name w:val="Texto independiente Car"/>
    <w:link w:val="Textoindependiente"/>
    <w:uiPriority w:val="99"/>
    <w:rsid w:val="004A1AD1"/>
    <w:rPr>
      <w:rFonts w:ascii="Arial" w:eastAsia="Calibri" w:hAnsi="Arial" w:cs="Times New Roman"/>
      <w:sz w:val="24"/>
      <w:szCs w:val="24"/>
      <w:lang w:val="es-ES" w:eastAsia="es-ES"/>
    </w:rPr>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Footnote Text Char,Ref. de nota al pi"/>
    <w:basedOn w:val="Normal"/>
    <w:link w:val="TextonotapieCar"/>
    <w:qFormat/>
    <w:rsid w:val="00195FBE"/>
    <w:pPr>
      <w:jc w:val="both"/>
    </w:pPr>
    <w:rPr>
      <w:rFonts w:ascii="Verdana" w:eastAsia="Calibri" w:hAnsi="Verdana" w:cs="Times New Roman"/>
      <w:sz w:val="20"/>
      <w:szCs w:val="20"/>
    </w:rPr>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ﬂnotentext Car,Footnote Text Char Car"/>
    <w:link w:val="Textonotapie"/>
    <w:qFormat/>
    <w:rsid w:val="00195FBE"/>
    <w:rPr>
      <w:rFonts w:ascii="Verdana" w:hAnsi="Verdana"/>
    </w:rPr>
  </w:style>
  <w:style w:type="character" w:styleId="Refdenotaalpie">
    <w:name w:val="footnote reference"/>
    <w:aliases w:val="Ref. de nota al pie 2,Texto de nota al pie,Appel note de bas de page,Footnotes refss,Footnote number,referencia nota al pie,BVI fnr,f,4_G,16 Point,Superscript 6 Point,Texto nota al pie,Pie de Página,FC,Texto de nota al pi,Nota de pie"/>
    <w:link w:val="Piedepagina"/>
    <w:qFormat/>
    <w:rsid w:val="004A1AD1"/>
    <w:rPr>
      <w:rFonts w:cs="Times New Roman"/>
      <w:vertAlign w:val="superscript"/>
    </w:rPr>
  </w:style>
  <w:style w:type="paragraph" w:styleId="Textoindependiente3">
    <w:name w:val="Body Text 3"/>
    <w:basedOn w:val="Normal"/>
    <w:link w:val="Textoindependiente3Car"/>
    <w:uiPriority w:val="99"/>
    <w:unhideWhenUsed/>
    <w:rsid w:val="004A1AD1"/>
    <w:pPr>
      <w:spacing w:after="120"/>
    </w:pPr>
    <w:rPr>
      <w:rFonts w:cs="Times New Roman"/>
      <w:sz w:val="16"/>
      <w:szCs w:val="16"/>
    </w:rPr>
  </w:style>
  <w:style w:type="character" w:customStyle="1" w:styleId="Textoindependiente3Car">
    <w:name w:val="Texto independiente 3 Car"/>
    <w:link w:val="Textoindependiente3"/>
    <w:uiPriority w:val="99"/>
    <w:rsid w:val="004A1AD1"/>
    <w:rPr>
      <w:rFonts w:ascii="Arial" w:eastAsia="Times New Roman" w:hAnsi="Arial" w:cs="Times New Roman"/>
      <w:sz w:val="16"/>
      <w:szCs w:val="16"/>
      <w:lang w:val="es-ES" w:eastAsia="es-ES"/>
    </w:rPr>
  </w:style>
  <w:style w:type="paragraph" w:styleId="NormalWeb">
    <w:name w:val="Normal (Web)"/>
    <w:basedOn w:val="Normal"/>
    <w:uiPriority w:val="99"/>
    <w:unhideWhenUsed/>
    <w:rsid w:val="004A1AD1"/>
    <w:pPr>
      <w:spacing w:before="100" w:beforeAutospacing="1" w:after="100" w:afterAutospacing="1"/>
    </w:pPr>
    <w:rPr>
      <w:rFonts w:ascii="Times New Roman" w:hAnsi="Times New Roman" w:cs="Times New Roman"/>
      <w:lang w:val="es-CO" w:eastAsia="es-CO"/>
    </w:rPr>
  </w:style>
  <w:style w:type="paragraph" w:styleId="Textodeglobo">
    <w:name w:val="Balloon Text"/>
    <w:basedOn w:val="Normal"/>
    <w:link w:val="TextodegloboCar"/>
    <w:uiPriority w:val="99"/>
    <w:semiHidden/>
    <w:unhideWhenUsed/>
    <w:rsid w:val="004A1AD1"/>
    <w:rPr>
      <w:rFonts w:ascii="Tahoma" w:hAnsi="Tahoma" w:cs="Tahoma"/>
      <w:sz w:val="16"/>
      <w:szCs w:val="16"/>
    </w:rPr>
  </w:style>
  <w:style w:type="character" w:customStyle="1" w:styleId="TextodegloboCar">
    <w:name w:val="Texto de globo Car"/>
    <w:link w:val="Textodeglobo"/>
    <w:uiPriority w:val="99"/>
    <w:semiHidden/>
    <w:rsid w:val="004A1AD1"/>
    <w:rPr>
      <w:rFonts w:ascii="Tahoma" w:eastAsia="Times New Roman" w:hAnsi="Tahoma" w:cs="Tahoma"/>
      <w:sz w:val="16"/>
      <w:szCs w:val="16"/>
      <w:lang w:val="es-ES" w:eastAsia="es-ES"/>
    </w:rPr>
  </w:style>
  <w:style w:type="character" w:customStyle="1" w:styleId="apple-converted-space">
    <w:name w:val="apple-converted-space"/>
    <w:rsid w:val="00CA6FE9"/>
  </w:style>
  <w:style w:type="character" w:styleId="Textoennegrita">
    <w:name w:val="Strong"/>
    <w:uiPriority w:val="22"/>
    <w:qFormat/>
    <w:rsid w:val="00CA6FE9"/>
    <w:rPr>
      <w:b/>
      <w:bCs/>
    </w:rPr>
  </w:style>
  <w:style w:type="paragraph" w:customStyle="1" w:styleId="Textoindependiente21">
    <w:name w:val="Texto independiente 21"/>
    <w:basedOn w:val="Normal"/>
    <w:rsid w:val="00956A08"/>
    <w:pPr>
      <w:overflowPunct w:val="0"/>
      <w:autoSpaceDE w:val="0"/>
      <w:autoSpaceDN w:val="0"/>
      <w:adjustRightInd w:val="0"/>
      <w:spacing w:line="480" w:lineRule="auto"/>
      <w:jc w:val="both"/>
      <w:textAlignment w:val="baseline"/>
    </w:pPr>
    <w:rPr>
      <w:rFonts w:cs="Times New Roman"/>
      <w:szCs w:val="20"/>
    </w:rPr>
  </w:style>
  <w:style w:type="paragraph" w:customStyle="1" w:styleId="Cuadrculamedia21">
    <w:name w:val="Cuadrícula media 21"/>
    <w:link w:val="Cuadrculamedia2Car"/>
    <w:uiPriority w:val="1"/>
    <w:qFormat/>
    <w:rsid w:val="00623D87"/>
    <w:rPr>
      <w:sz w:val="22"/>
      <w:szCs w:val="22"/>
      <w:lang w:eastAsia="en-US"/>
    </w:rPr>
  </w:style>
  <w:style w:type="character" w:styleId="Hipervnculo">
    <w:name w:val="Hyperlink"/>
    <w:uiPriority w:val="99"/>
    <w:unhideWhenUsed/>
    <w:rsid w:val="00623D87"/>
    <w:rPr>
      <w:color w:val="0000FF"/>
      <w:u w:val="single"/>
    </w:rPr>
  </w:style>
  <w:style w:type="character" w:customStyle="1" w:styleId="Cuadrculamedia2Car">
    <w:name w:val="Cuadrícula media 2 Car"/>
    <w:link w:val="Cuadrculamedia21"/>
    <w:rsid w:val="00623D87"/>
    <w:rPr>
      <w:rFonts w:ascii="Calibri" w:eastAsia="Calibri" w:hAnsi="Calibri" w:cs="Times New Roman"/>
      <w:lang w:val="es-ES"/>
    </w:rPr>
  </w:style>
  <w:style w:type="character" w:customStyle="1" w:styleId="Ttulo2Car">
    <w:name w:val="Título 2 Car"/>
    <w:link w:val="Ttulo2"/>
    <w:uiPriority w:val="9"/>
    <w:semiHidden/>
    <w:rsid w:val="006563F5"/>
    <w:rPr>
      <w:rFonts w:ascii="Cambria" w:eastAsia="Times New Roman" w:hAnsi="Cambria" w:cs="Times New Roman"/>
      <w:color w:val="365F91"/>
      <w:sz w:val="26"/>
      <w:szCs w:val="26"/>
      <w:lang w:val="es-ES" w:eastAsia="es-ES"/>
    </w:rPr>
  </w:style>
  <w:style w:type="paragraph" w:styleId="Saludo">
    <w:name w:val="Salutation"/>
    <w:basedOn w:val="Normal"/>
    <w:next w:val="Normal"/>
    <w:link w:val="SaludoCar"/>
    <w:uiPriority w:val="99"/>
    <w:unhideWhenUsed/>
    <w:rsid w:val="00283A32"/>
    <w:pPr>
      <w:spacing w:line="360" w:lineRule="auto"/>
      <w:jc w:val="both"/>
    </w:pPr>
    <w:rPr>
      <w:rFonts w:eastAsia="Calibri" w:cs="Times New Roman"/>
      <w:sz w:val="26"/>
      <w:szCs w:val="26"/>
      <w:lang w:eastAsia="en-US"/>
    </w:rPr>
  </w:style>
  <w:style w:type="character" w:customStyle="1" w:styleId="SaludoCar">
    <w:name w:val="Saludo Car"/>
    <w:link w:val="Saludo"/>
    <w:uiPriority w:val="99"/>
    <w:rsid w:val="00283A32"/>
    <w:rPr>
      <w:rFonts w:ascii="Arial" w:hAnsi="Arial"/>
      <w:sz w:val="26"/>
      <w:szCs w:val="26"/>
      <w:lang w:eastAsia="en-US"/>
    </w:rPr>
  </w:style>
  <w:style w:type="paragraph" w:customStyle="1" w:styleId="Listavistosa-nfasis11">
    <w:name w:val="Lista vistosa - Énfasis 11"/>
    <w:basedOn w:val="Normal"/>
    <w:uiPriority w:val="34"/>
    <w:qFormat/>
    <w:rsid w:val="00867D40"/>
    <w:pPr>
      <w:ind w:left="720"/>
      <w:contextualSpacing/>
    </w:pPr>
    <w:rPr>
      <w:rFonts w:ascii="Times New Roman" w:hAnsi="Times New Roman" w:cs="Times New Roman"/>
    </w:rPr>
  </w:style>
  <w:style w:type="paragraph" w:customStyle="1" w:styleId="Piedepagina">
    <w:name w:val="Pie de pagina"/>
    <w:basedOn w:val="Normal"/>
    <w:link w:val="Refdenotaalpie"/>
    <w:rsid w:val="00E53D90"/>
    <w:pPr>
      <w:spacing w:after="160" w:line="240" w:lineRule="exact"/>
    </w:pPr>
    <w:rPr>
      <w:rFonts w:ascii="Calibri" w:eastAsia="Calibri" w:hAnsi="Calibri" w:cs="Times New Roman"/>
      <w:sz w:val="20"/>
      <w:szCs w:val="20"/>
      <w:vertAlign w:val="superscript"/>
    </w:rPr>
  </w:style>
  <w:style w:type="paragraph" w:customStyle="1" w:styleId="Default">
    <w:name w:val="Default"/>
    <w:rsid w:val="00FC6FB8"/>
    <w:pPr>
      <w:autoSpaceDE w:val="0"/>
      <w:autoSpaceDN w:val="0"/>
      <w:adjustRightInd w:val="0"/>
    </w:pPr>
    <w:rPr>
      <w:rFonts w:ascii="Arial" w:hAnsi="Arial" w:cs="Arial"/>
      <w:color w:val="000000"/>
      <w:sz w:val="24"/>
      <w:szCs w:val="24"/>
      <w:lang w:eastAsia="es-ES"/>
    </w:rPr>
  </w:style>
  <w:style w:type="character" w:customStyle="1" w:styleId="baj">
    <w:name w:val="b_aj"/>
    <w:basedOn w:val="Fuentedeprrafopredeter"/>
    <w:rsid w:val="00EF0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546">
      <w:bodyDiv w:val="1"/>
      <w:marLeft w:val="0"/>
      <w:marRight w:val="0"/>
      <w:marTop w:val="0"/>
      <w:marBottom w:val="0"/>
      <w:divBdr>
        <w:top w:val="none" w:sz="0" w:space="0" w:color="auto"/>
        <w:left w:val="none" w:sz="0" w:space="0" w:color="auto"/>
        <w:bottom w:val="none" w:sz="0" w:space="0" w:color="auto"/>
        <w:right w:val="none" w:sz="0" w:space="0" w:color="auto"/>
      </w:divBdr>
    </w:div>
    <w:div w:id="218706869">
      <w:bodyDiv w:val="1"/>
      <w:marLeft w:val="0"/>
      <w:marRight w:val="0"/>
      <w:marTop w:val="0"/>
      <w:marBottom w:val="0"/>
      <w:divBdr>
        <w:top w:val="none" w:sz="0" w:space="0" w:color="auto"/>
        <w:left w:val="none" w:sz="0" w:space="0" w:color="auto"/>
        <w:bottom w:val="none" w:sz="0" w:space="0" w:color="auto"/>
        <w:right w:val="none" w:sz="0" w:space="0" w:color="auto"/>
      </w:divBdr>
    </w:div>
    <w:div w:id="417940924">
      <w:bodyDiv w:val="1"/>
      <w:marLeft w:val="0"/>
      <w:marRight w:val="0"/>
      <w:marTop w:val="0"/>
      <w:marBottom w:val="0"/>
      <w:divBdr>
        <w:top w:val="none" w:sz="0" w:space="0" w:color="auto"/>
        <w:left w:val="none" w:sz="0" w:space="0" w:color="auto"/>
        <w:bottom w:val="none" w:sz="0" w:space="0" w:color="auto"/>
        <w:right w:val="none" w:sz="0" w:space="0" w:color="auto"/>
      </w:divBdr>
    </w:div>
    <w:div w:id="418987914">
      <w:bodyDiv w:val="1"/>
      <w:marLeft w:val="0"/>
      <w:marRight w:val="0"/>
      <w:marTop w:val="0"/>
      <w:marBottom w:val="0"/>
      <w:divBdr>
        <w:top w:val="none" w:sz="0" w:space="0" w:color="auto"/>
        <w:left w:val="none" w:sz="0" w:space="0" w:color="auto"/>
        <w:bottom w:val="none" w:sz="0" w:space="0" w:color="auto"/>
        <w:right w:val="none" w:sz="0" w:space="0" w:color="auto"/>
      </w:divBdr>
    </w:div>
    <w:div w:id="494686711">
      <w:bodyDiv w:val="1"/>
      <w:marLeft w:val="0"/>
      <w:marRight w:val="0"/>
      <w:marTop w:val="0"/>
      <w:marBottom w:val="0"/>
      <w:divBdr>
        <w:top w:val="none" w:sz="0" w:space="0" w:color="auto"/>
        <w:left w:val="none" w:sz="0" w:space="0" w:color="auto"/>
        <w:bottom w:val="none" w:sz="0" w:space="0" w:color="auto"/>
        <w:right w:val="none" w:sz="0" w:space="0" w:color="auto"/>
      </w:divBdr>
    </w:div>
    <w:div w:id="522284454">
      <w:bodyDiv w:val="1"/>
      <w:marLeft w:val="0"/>
      <w:marRight w:val="0"/>
      <w:marTop w:val="0"/>
      <w:marBottom w:val="0"/>
      <w:divBdr>
        <w:top w:val="none" w:sz="0" w:space="0" w:color="auto"/>
        <w:left w:val="none" w:sz="0" w:space="0" w:color="auto"/>
        <w:bottom w:val="none" w:sz="0" w:space="0" w:color="auto"/>
        <w:right w:val="none" w:sz="0" w:space="0" w:color="auto"/>
      </w:divBdr>
    </w:div>
    <w:div w:id="562761919">
      <w:bodyDiv w:val="1"/>
      <w:marLeft w:val="0"/>
      <w:marRight w:val="0"/>
      <w:marTop w:val="0"/>
      <w:marBottom w:val="0"/>
      <w:divBdr>
        <w:top w:val="none" w:sz="0" w:space="0" w:color="auto"/>
        <w:left w:val="none" w:sz="0" w:space="0" w:color="auto"/>
        <w:bottom w:val="none" w:sz="0" w:space="0" w:color="auto"/>
        <w:right w:val="none" w:sz="0" w:space="0" w:color="auto"/>
      </w:divBdr>
    </w:div>
    <w:div w:id="593132350">
      <w:bodyDiv w:val="1"/>
      <w:marLeft w:val="0"/>
      <w:marRight w:val="0"/>
      <w:marTop w:val="0"/>
      <w:marBottom w:val="0"/>
      <w:divBdr>
        <w:top w:val="none" w:sz="0" w:space="0" w:color="auto"/>
        <w:left w:val="none" w:sz="0" w:space="0" w:color="auto"/>
        <w:bottom w:val="none" w:sz="0" w:space="0" w:color="auto"/>
        <w:right w:val="none" w:sz="0" w:space="0" w:color="auto"/>
      </w:divBdr>
    </w:div>
    <w:div w:id="760107999">
      <w:bodyDiv w:val="1"/>
      <w:marLeft w:val="0"/>
      <w:marRight w:val="0"/>
      <w:marTop w:val="0"/>
      <w:marBottom w:val="0"/>
      <w:divBdr>
        <w:top w:val="none" w:sz="0" w:space="0" w:color="auto"/>
        <w:left w:val="none" w:sz="0" w:space="0" w:color="auto"/>
        <w:bottom w:val="none" w:sz="0" w:space="0" w:color="auto"/>
        <w:right w:val="none" w:sz="0" w:space="0" w:color="auto"/>
      </w:divBdr>
      <w:divsChild>
        <w:div w:id="41640828">
          <w:marLeft w:val="0"/>
          <w:marRight w:val="0"/>
          <w:marTop w:val="0"/>
          <w:marBottom w:val="0"/>
          <w:divBdr>
            <w:top w:val="none" w:sz="0" w:space="0" w:color="auto"/>
            <w:left w:val="none" w:sz="0" w:space="0" w:color="auto"/>
            <w:bottom w:val="none" w:sz="0" w:space="0" w:color="auto"/>
            <w:right w:val="none" w:sz="0" w:space="0" w:color="auto"/>
          </w:divBdr>
        </w:div>
        <w:div w:id="490023107">
          <w:marLeft w:val="0"/>
          <w:marRight w:val="0"/>
          <w:marTop w:val="0"/>
          <w:marBottom w:val="0"/>
          <w:divBdr>
            <w:top w:val="none" w:sz="0" w:space="0" w:color="auto"/>
            <w:left w:val="none" w:sz="0" w:space="0" w:color="auto"/>
            <w:bottom w:val="none" w:sz="0" w:space="0" w:color="auto"/>
            <w:right w:val="none" w:sz="0" w:space="0" w:color="auto"/>
          </w:divBdr>
        </w:div>
        <w:div w:id="664014520">
          <w:marLeft w:val="0"/>
          <w:marRight w:val="0"/>
          <w:marTop w:val="0"/>
          <w:marBottom w:val="0"/>
          <w:divBdr>
            <w:top w:val="none" w:sz="0" w:space="0" w:color="auto"/>
            <w:left w:val="none" w:sz="0" w:space="0" w:color="auto"/>
            <w:bottom w:val="none" w:sz="0" w:space="0" w:color="auto"/>
            <w:right w:val="none" w:sz="0" w:space="0" w:color="auto"/>
          </w:divBdr>
        </w:div>
        <w:div w:id="1023172380">
          <w:marLeft w:val="0"/>
          <w:marRight w:val="0"/>
          <w:marTop w:val="0"/>
          <w:marBottom w:val="0"/>
          <w:divBdr>
            <w:top w:val="none" w:sz="0" w:space="0" w:color="auto"/>
            <w:left w:val="none" w:sz="0" w:space="0" w:color="auto"/>
            <w:bottom w:val="none" w:sz="0" w:space="0" w:color="auto"/>
            <w:right w:val="none" w:sz="0" w:space="0" w:color="auto"/>
          </w:divBdr>
        </w:div>
        <w:div w:id="1369065213">
          <w:marLeft w:val="0"/>
          <w:marRight w:val="0"/>
          <w:marTop w:val="0"/>
          <w:marBottom w:val="0"/>
          <w:divBdr>
            <w:top w:val="none" w:sz="0" w:space="0" w:color="auto"/>
            <w:left w:val="none" w:sz="0" w:space="0" w:color="auto"/>
            <w:bottom w:val="none" w:sz="0" w:space="0" w:color="auto"/>
            <w:right w:val="none" w:sz="0" w:space="0" w:color="auto"/>
          </w:divBdr>
        </w:div>
        <w:div w:id="1549410774">
          <w:marLeft w:val="0"/>
          <w:marRight w:val="0"/>
          <w:marTop w:val="0"/>
          <w:marBottom w:val="0"/>
          <w:divBdr>
            <w:top w:val="none" w:sz="0" w:space="0" w:color="auto"/>
            <w:left w:val="none" w:sz="0" w:space="0" w:color="auto"/>
            <w:bottom w:val="none" w:sz="0" w:space="0" w:color="auto"/>
            <w:right w:val="none" w:sz="0" w:space="0" w:color="auto"/>
          </w:divBdr>
        </w:div>
        <w:div w:id="1704869343">
          <w:marLeft w:val="0"/>
          <w:marRight w:val="0"/>
          <w:marTop w:val="0"/>
          <w:marBottom w:val="0"/>
          <w:divBdr>
            <w:top w:val="none" w:sz="0" w:space="0" w:color="auto"/>
            <w:left w:val="none" w:sz="0" w:space="0" w:color="auto"/>
            <w:bottom w:val="none" w:sz="0" w:space="0" w:color="auto"/>
            <w:right w:val="none" w:sz="0" w:space="0" w:color="auto"/>
          </w:divBdr>
        </w:div>
      </w:divsChild>
    </w:div>
    <w:div w:id="761803313">
      <w:bodyDiv w:val="1"/>
      <w:marLeft w:val="0"/>
      <w:marRight w:val="0"/>
      <w:marTop w:val="0"/>
      <w:marBottom w:val="0"/>
      <w:divBdr>
        <w:top w:val="none" w:sz="0" w:space="0" w:color="auto"/>
        <w:left w:val="none" w:sz="0" w:space="0" w:color="auto"/>
        <w:bottom w:val="none" w:sz="0" w:space="0" w:color="auto"/>
        <w:right w:val="none" w:sz="0" w:space="0" w:color="auto"/>
      </w:divBdr>
    </w:div>
    <w:div w:id="774328696">
      <w:bodyDiv w:val="1"/>
      <w:marLeft w:val="0"/>
      <w:marRight w:val="0"/>
      <w:marTop w:val="0"/>
      <w:marBottom w:val="0"/>
      <w:divBdr>
        <w:top w:val="none" w:sz="0" w:space="0" w:color="auto"/>
        <w:left w:val="none" w:sz="0" w:space="0" w:color="auto"/>
        <w:bottom w:val="none" w:sz="0" w:space="0" w:color="auto"/>
        <w:right w:val="none" w:sz="0" w:space="0" w:color="auto"/>
      </w:divBdr>
      <w:divsChild>
        <w:div w:id="141361279">
          <w:marLeft w:val="0"/>
          <w:marRight w:val="0"/>
          <w:marTop w:val="0"/>
          <w:marBottom w:val="0"/>
          <w:divBdr>
            <w:top w:val="none" w:sz="0" w:space="0" w:color="auto"/>
            <w:left w:val="none" w:sz="0" w:space="0" w:color="auto"/>
            <w:bottom w:val="none" w:sz="0" w:space="0" w:color="auto"/>
            <w:right w:val="none" w:sz="0" w:space="0" w:color="auto"/>
          </w:divBdr>
        </w:div>
        <w:div w:id="305353441">
          <w:marLeft w:val="0"/>
          <w:marRight w:val="0"/>
          <w:marTop w:val="0"/>
          <w:marBottom w:val="0"/>
          <w:divBdr>
            <w:top w:val="none" w:sz="0" w:space="0" w:color="auto"/>
            <w:left w:val="none" w:sz="0" w:space="0" w:color="auto"/>
            <w:bottom w:val="none" w:sz="0" w:space="0" w:color="auto"/>
            <w:right w:val="none" w:sz="0" w:space="0" w:color="auto"/>
          </w:divBdr>
        </w:div>
        <w:div w:id="502211510">
          <w:marLeft w:val="0"/>
          <w:marRight w:val="0"/>
          <w:marTop w:val="0"/>
          <w:marBottom w:val="0"/>
          <w:divBdr>
            <w:top w:val="none" w:sz="0" w:space="0" w:color="auto"/>
            <w:left w:val="none" w:sz="0" w:space="0" w:color="auto"/>
            <w:bottom w:val="none" w:sz="0" w:space="0" w:color="auto"/>
            <w:right w:val="none" w:sz="0" w:space="0" w:color="auto"/>
          </w:divBdr>
        </w:div>
        <w:div w:id="528181824">
          <w:marLeft w:val="0"/>
          <w:marRight w:val="0"/>
          <w:marTop w:val="0"/>
          <w:marBottom w:val="0"/>
          <w:divBdr>
            <w:top w:val="none" w:sz="0" w:space="0" w:color="auto"/>
            <w:left w:val="none" w:sz="0" w:space="0" w:color="auto"/>
            <w:bottom w:val="none" w:sz="0" w:space="0" w:color="auto"/>
            <w:right w:val="none" w:sz="0" w:space="0" w:color="auto"/>
          </w:divBdr>
        </w:div>
        <w:div w:id="829564131">
          <w:marLeft w:val="0"/>
          <w:marRight w:val="0"/>
          <w:marTop w:val="0"/>
          <w:marBottom w:val="0"/>
          <w:divBdr>
            <w:top w:val="none" w:sz="0" w:space="0" w:color="auto"/>
            <w:left w:val="none" w:sz="0" w:space="0" w:color="auto"/>
            <w:bottom w:val="none" w:sz="0" w:space="0" w:color="auto"/>
            <w:right w:val="none" w:sz="0" w:space="0" w:color="auto"/>
          </w:divBdr>
        </w:div>
        <w:div w:id="1120999463">
          <w:marLeft w:val="0"/>
          <w:marRight w:val="0"/>
          <w:marTop w:val="0"/>
          <w:marBottom w:val="0"/>
          <w:divBdr>
            <w:top w:val="none" w:sz="0" w:space="0" w:color="auto"/>
            <w:left w:val="none" w:sz="0" w:space="0" w:color="auto"/>
            <w:bottom w:val="none" w:sz="0" w:space="0" w:color="auto"/>
            <w:right w:val="none" w:sz="0" w:space="0" w:color="auto"/>
          </w:divBdr>
        </w:div>
        <w:div w:id="1224870879">
          <w:marLeft w:val="0"/>
          <w:marRight w:val="0"/>
          <w:marTop w:val="0"/>
          <w:marBottom w:val="0"/>
          <w:divBdr>
            <w:top w:val="none" w:sz="0" w:space="0" w:color="auto"/>
            <w:left w:val="none" w:sz="0" w:space="0" w:color="auto"/>
            <w:bottom w:val="none" w:sz="0" w:space="0" w:color="auto"/>
            <w:right w:val="none" w:sz="0" w:space="0" w:color="auto"/>
          </w:divBdr>
        </w:div>
      </w:divsChild>
    </w:div>
    <w:div w:id="806167274">
      <w:bodyDiv w:val="1"/>
      <w:marLeft w:val="0"/>
      <w:marRight w:val="0"/>
      <w:marTop w:val="0"/>
      <w:marBottom w:val="0"/>
      <w:divBdr>
        <w:top w:val="none" w:sz="0" w:space="0" w:color="auto"/>
        <w:left w:val="none" w:sz="0" w:space="0" w:color="auto"/>
        <w:bottom w:val="none" w:sz="0" w:space="0" w:color="auto"/>
        <w:right w:val="none" w:sz="0" w:space="0" w:color="auto"/>
      </w:divBdr>
    </w:div>
    <w:div w:id="901670302">
      <w:bodyDiv w:val="1"/>
      <w:marLeft w:val="0"/>
      <w:marRight w:val="0"/>
      <w:marTop w:val="0"/>
      <w:marBottom w:val="0"/>
      <w:divBdr>
        <w:top w:val="none" w:sz="0" w:space="0" w:color="auto"/>
        <w:left w:val="none" w:sz="0" w:space="0" w:color="auto"/>
        <w:bottom w:val="none" w:sz="0" w:space="0" w:color="auto"/>
        <w:right w:val="none" w:sz="0" w:space="0" w:color="auto"/>
      </w:divBdr>
    </w:div>
    <w:div w:id="988167432">
      <w:bodyDiv w:val="1"/>
      <w:marLeft w:val="0"/>
      <w:marRight w:val="0"/>
      <w:marTop w:val="0"/>
      <w:marBottom w:val="0"/>
      <w:divBdr>
        <w:top w:val="none" w:sz="0" w:space="0" w:color="auto"/>
        <w:left w:val="none" w:sz="0" w:space="0" w:color="auto"/>
        <w:bottom w:val="none" w:sz="0" w:space="0" w:color="auto"/>
        <w:right w:val="none" w:sz="0" w:space="0" w:color="auto"/>
      </w:divBdr>
    </w:div>
    <w:div w:id="1091512037">
      <w:bodyDiv w:val="1"/>
      <w:marLeft w:val="0"/>
      <w:marRight w:val="0"/>
      <w:marTop w:val="0"/>
      <w:marBottom w:val="0"/>
      <w:divBdr>
        <w:top w:val="none" w:sz="0" w:space="0" w:color="auto"/>
        <w:left w:val="none" w:sz="0" w:space="0" w:color="auto"/>
        <w:bottom w:val="none" w:sz="0" w:space="0" w:color="auto"/>
        <w:right w:val="none" w:sz="0" w:space="0" w:color="auto"/>
      </w:divBdr>
    </w:div>
    <w:div w:id="1096753960">
      <w:bodyDiv w:val="1"/>
      <w:marLeft w:val="0"/>
      <w:marRight w:val="0"/>
      <w:marTop w:val="0"/>
      <w:marBottom w:val="0"/>
      <w:divBdr>
        <w:top w:val="none" w:sz="0" w:space="0" w:color="auto"/>
        <w:left w:val="none" w:sz="0" w:space="0" w:color="auto"/>
        <w:bottom w:val="none" w:sz="0" w:space="0" w:color="auto"/>
        <w:right w:val="none" w:sz="0" w:space="0" w:color="auto"/>
      </w:divBdr>
    </w:div>
    <w:div w:id="1266428694">
      <w:bodyDiv w:val="1"/>
      <w:marLeft w:val="0"/>
      <w:marRight w:val="0"/>
      <w:marTop w:val="0"/>
      <w:marBottom w:val="0"/>
      <w:divBdr>
        <w:top w:val="none" w:sz="0" w:space="0" w:color="auto"/>
        <w:left w:val="none" w:sz="0" w:space="0" w:color="auto"/>
        <w:bottom w:val="none" w:sz="0" w:space="0" w:color="auto"/>
        <w:right w:val="none" w:sz="0" w:space="0" w:color="auto"/>
      </w:divBdr>
    </w:div>
    <w:div w:id="1431388645">
      <w:bodyDiv w:val="1"/>
      <w:marLeft w:val="0"/>
      <w:marRight w:val="0"/>
      <w:marTop w:val="0"/>
      <w:marBottom w:val="0"/>
      <w:divBdr>
        <w:top w:val="none" w:sz="0" w:space="0" w:color="auto"/>
        <w:left w:val="none" w:sz="0" w:space="0" w:color="auto"/>
        <w:bottom w:val="none" w:sz="0" w:space="0" w:color="auto"/>
        <w:right w:val="none" w:sz="0" w:space="0" w:color="auto"/>
      </w:divBdr>
    </w:div>
    <w:div w:id="1556770078">
      <w:bodyDiv w:val="1"/>
      <w:marLeft w:val="0"/>
      <w:marRight w:val="0"/>
      <w:marTop w:val="0"/>
      <w:marBottom w:val="0"/>
      <w:divBdr>
        <w:top w:val="none" w:sz="0" w:space="0" w:color="auto"/>
        <w:left w:val="none" w:sz="0" w:space="0" w:color="auto"/>
        <w:bottom w:val="none" w:sz="0" w:space="0" w:color="auto"/>
        <w:right w:val="none" w:sz="0" w:space="0" w:color="auto"/>
      </w:divBdr>
    </w:div>
    <w:div w:id="1581787893">
      <w:bodyDiv w:val="1"/>
      <w:marLeft w:val="0"/>
      <w:marRight w:val="0"/>
      <w:marTop w:val="0"/>
      <w:marBottom w:val="0"/>
      <w:divBdr>
        <w:top w:val="none" w:sz="0" w:space="0" w:color="auto"/>
        <w:left w:val="none" w:sz="0" w:space="0" w:color="auto"/>
        <w:bottom w:val="none" w:sz="0" w:space="0" w:color="auto"/>
        <w:right w:val="none" w:sz="0" w:space="0" w:color="auto"/>
      </w:divBdr>
    </w:div>
    <w:div w:id="1611428361">
      <w:bodyDiv w:val="1"/>
      <w:marLeft w:val="0"/>
      <w:marRight w:val="0"/>
      <w:marTop w:val="0"/>
      <w:marBottom w:val="0"/>
      <w:divBdr>
        <w:top w:val="none" w:sz="0" w:space="0" w:color="auto"/>
        <w:left w:val="none" w:sz="0" w:space="0" w:color="auto"/>
        <w:bottom w:val="none" w:sz="0" w:space="0" w:color="auto"/>
        <w:right w:val="none" w:sz="0" w:space="0" w:color="auto"/>
      </w:divBdr>
    </w:div>
    <w:div w:id="1641375353">
      <w:bodyDiv w:val="1"/>
      <w:marLeft w:val="0"/>
      <w:marRight w:val="0"/>
      <w:marTop w:val="0"/>
      <w:marBottom w:val="0"/>
      <w:divBdr>
        <w:top w:val="none" w:sz="0" w:space="0" w:color="auto"/>
        <w:left w:val="none" w:sz="0" w:space="0" w:color="auto"/>
        <w:bottom w:val="none" w:sz="0" w:space="0" w:color="auto"/>
        <w:right w:val="none" w:sz="0" w:space="0" w:color="auto"/>
      </w:divBdr>
    </w:div>
    <w:div w:id="1711300433">
      <w:bodyDiv w:val="1"/>
      <w:marLeft w:val="0"/>
      <w:marRight w:val="0"/>
      <w:marTop w:val="0"/>
      <w:marBottom w:val="0"/>
      <w:divBdr>
        <w:top w:val="none" w:sz="0" w:space="0" w:color="auto"/>
        <w:left w:val="none" w:sz="0" w:space="0" w:color="auto"/>
        <w:bottom w:val="none" w:sz="0" w:space="0" w:color="auto"/>
        <w:right w:val="none" w:sz="0" w:space="0" w:color="auto"/>
      </w:divBdr>
    </w:div>
    <w:div w:id="2002849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uncionpublica.gov.co/eva/gestornormativo/norma.php?i=127362"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uncionpublica.gov.co/eva/gestornormativo/norma.php?i=12736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uncionpublica.gov.co/eva/gestornormativo/norma.php?i=127362"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funcionpublica.gov.co/eva/gestornormativo/norma.php?i=127362"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ecgeneral@consejoestado.ramajudicial.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BAC3B08B335ED498DBC3A81F790D61E" ma:contentTypeVersion="8" ma:contentTypeDescription="Crear nuevo documento." ma:contentTypeScope="" ma:versionID="5d0423c6b810bb92c51020f69ccbcfa5">
  <xsd:schema xmlns:xsd="http://www.w3.org/2001/XMLSchema" xmlns:xs="http://www.w3.org/2001/XMLSchema" xmlns:p="http://schemas.microsoft.com/office/2006/metadata/properties" xmlns:ns2="6432c93c-cca0-436d-b675-114de3c31e32" xmlns:ns3="d58b82e7-077a-464a-9dea-30ae6042360a" targetNamespace="http://schemas.microsoft.com/office/2006/metadata/properties" ma:root="true" ma:fieldsID="0e0dc2876fba07014eb63d6e4db5d0ec" ns2:_="" ns3:_="">
    <xsd:import namespace="6432c93c-cca0-436d-b675-114de3c31e32"/>
    <xsd:import namespace="d58b82e7-077a-464a-9dea-30ae6042360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c93c-cca0-436d-b675-114de3c31e32"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8b82e7-077a-464a-9dea-30ae6042360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503E3-4F7C-4704-B867-DFC65C9FF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c93c-cca0-436d-b675-114de3c31e32"/>
    <ds:schemaRef ds:uri="d58b82e7-077a-464a-9dea-30ae604236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139687-5F4B-46CD-B91A-439C6471C8CE}">
  <ds:schemaRefs>
    <ds:schemaRef ds:uri="http://schemas.microsoft.com/sharepoint/v3/contenttype/forms"/>
  </ds:schemaRefs>
</ds:datastoreItem>
</file>

<file path=customXml/itemProps3.xml><?xml version="1.0" encoding="utf-8"?>
<ds:datastoreItem xmlns:ds="http://schemas.openxmlformats.org/officeDocument/2006/customXml" ds:itemID="{7EA5BA8B-6C01-4BB3-9674-1FBEC487C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2177</Words>
  <Characters>11977</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NicoleAvendaño</dc:creator>
  <cp:keywords/>
  <cp:lastModifiedBy>Windows User</cp:lastModifiedBy>
  <cp:revision>3</cp:revision>
  <cp:lastPrinted>2019-03-27T23:15:00Z</cp:lastPrinted>
  <dcterms:created xsi:type="dcterms:W3CDTF">2020-10-19T16:44:00Z</dcterms:created>
  <dcterms:modified xsi:type="dcterms:W3CDTF">2020-10-19T16:44:00Z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0x010100CBAC3B08B335ED498DBC3A81F790D61E</vt:lpwstr>
  </property>
</Properties>
</file>