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59E679" w14:textId="33BA49DF" w:rsidR="008C26F9" w:rsidRPr="00A3111F" w:rsidRDefault="008C26F9" w:rsidP="009E2306">
      <w:pPr>
        <w:spacing w:line="276" w:lineRule="auto"/>
        <w:contextualSpacing/>
        <w:jc w:val="center"/>
        <w:rPr>
          <w:rFonts w:ascii="Arial" w:hAnsi="Arial" w:cs="Arial"/>
          <w:b/>
          <w:sz w:val="24"/>
          <w:szCs w:val="24"/>
        </w:rPr>
      </w:pPr>
      <w:r w:rsidRPr="00A3111F">
        <w:rPr>
          <w:rFonts w:ascii="Arial" w:hAnsi="Arial" w:cs="Arial"/>
          <w:b/>
          <w:sz w:val="24"/>
          <w:szCs w:val="24"/>
        </w:rPr>
        <w:t>CONSEJO DE ESTADO</w:t>
      </w:r>
    </w:p>
    <w:p w14:paraId="25EB7DF6" w14:textId="77777777" w:rsidR="008C26F9" w:rsidRPr="00A3111F" w:rsidRDefault="004C01B0" w:rsidP="009E2306">
      <w:pPr>
        <w:spacing w:line="276" w:lineRule="auto"/>
        <w:contextualSpacing/>
        <w:jc w:val="center"/>
        <w:rPr>
          <w:rFonts w:ascii="Arial" w:hAnsi="Arial" w:cs="Arial"/>
          <w:b/>
          <w:sz w:val="24"/>
          <w:szCs w:val="24"/>
        </w:rPr>
      </w:pPr>
      <w:r w:rsidRPr="00A3111F">
        <w:rPr>
          <w:rFonts w:ascii="Arial" w:hAnsi="Arial" w:cs="Arial"/>
          <w:b/>
          <w:sz w:val="24"/>
          <w:szCs w:val="24"/>
        </w:rPr>
        <w:t xml:space="preserve">SALA PLENA </w:t>
      </w:r>
      <w:r w:rsidR="008C26F9" w:rsidRPr="00A3111F">
        <w:rPr>
          <w:rFonts w:ascii="Arial" w:hAnsi="Arial" w:cs="Arial"/>
          <w:b/>
          <w:sz w:val="24"/>
          <w:szCs w:val="24"/>
        </w:rPr>
        <w:t>DE LO CONTENCIOSO ADMINISTRATIVO</w:t>
      </w:r>
    </w:p>
    <w:p w14:paraId="39921F2C" w14:textId="77777777" w:rsidR="00556AC7" w:rsidRPr="00A3111F" w:rsidRDefault="00556AC7" w:rsidP="005E7C10">
      <w:pPr>
        <w:widowControl w:val="0"/>
        <w:contextualSpacing/>
        <w:rPr>
          <w:rFonts w:ascii="Arial" w:hAnsi="Arial" w:cs="Arial"/>
          <w:b/>
        </w:rPr>
      </w:pPr>
    </w:p>
    <w:p w14:paraId="3178CC8C" w14:textId="77777777" w:rsidR="008C26F9" w:rsidRPr="00A3111F" w:rsidRDefault="008C26F9" w:rsidP="005E7C10">
      <w:pPr>
        <w:widowControl w:val="0"/>
        <w:contextualSpacing/>
        <w:jc w:val="center"/>
        <w:rPr>
          <w:rFonts w:ascii="Arial" w:hAnsi="Arial" w:cs="Arial"/>
          <w:b/>
          <w:sz w:val="24"/>
          <w:szCs w:val="24"/>
        </w:rPr>
      </w:pPr>
      <w:r w:rsidRPr="00A3111F">
        <w:rPr>
          <w:rFonts w:ascii="Arial" w:hAnsi="Arial" w:cs="Arial"/>
          <w:b/>
          <w:sz w:val="24"/>
          <w:szCs w:val="24"/>
        </w:rPr>
        <w:t xml:space="preserve">CONSEJERO PONENTE: HERNANDO SÁNCHEZ </w:t>
      </w:r>
      <w:proofErr w:type="spellStart"/>
      <w:r w:rsidRPr="00A3111F">
        <w:rPr>
          <w:rFonts w:ascii="Arial" w:hAnsi="Arial" w:cs="Arial"/>
          <w:b/>
          <w:sz w:val="24"/>
          <w:szCs w:val="24"/>
        </w:rPr>
        <w:t>SÁNCHEZ</w:t>
      </w:r>
      <w:proofErr w:type="spellEnd"/>
    </w:p>
    <w:p w14:paraId="024BF5F3" w14:textId="77777777" w:rsidR="008C26F9" w:rsidRPr="00A3111F" w:rsidRDefault="008C26F9" w:rsidP="007F6D77">
      <w:pPr>
        <w:contextualSpacing/>
        <w:jc w:val="both"/>
        <w:rPr>
          <w:rFonts w:ascii="Arial" w:hAnsi="Arial" w:cs="Arial"/>
          <w:b/>
          <w:sz w:val="24"/>
          <w:szCs w:val="24"/>
        </w:rPr>
      </w:pPr>
    </w:p>
    <w:p w14:paraId="37270BA6" w14:textId="6B17D218" w:rsidR="008C26F9" w:rsidRPr="00A3111F" w:rsidRDefault="008C26F9" w:rsidP="6BC15BDF">
      <w:pPr>
        <w:contextualSpacing/>
        <w:jc w:val="both"/>
        <w:rPr>
          <w:rFonts w:ascii="Arial" w:hAnsi="Arial" w:cs="Arial"/>
          <w:b/>
          <w:bCs/>
          <w:sz w:val="24"/>
          <w:szCs w:val="24"/>
        </w:rPr>
      </w:pPr>
      <w:r w:rsidRPr="00A3111F">
        <w:rPr>
          <w:rFonts w:ascii="Arial" w:hAnsi="Arial" w:cs="Arial"/>
          <w:b/>
          <w:bCs/>
          <w:sz w:val="24"/>
          <w:szCs w:val="24"/>
        </w:rPr>
        <w:t>Bogotá, D.C.,</w:t>
      </w:r>
      <w:r w:rsidR="00F518A3" w:rsidRPr="00A3111F">
        <w:rPr>
          <w:rFonts w:ascii="Arial" w:hAnsi="Arial" w:cs="Arial"/>
          <w:b/>
          <w:bCs/>
          <w:sz w:val="24"/>
          <w:szCs w:val="24"/>
        </w:rPr>
        <w:t xml:space="preserve"> </w:t>
      </w:r>
      <w:r w:rsidR="40A4B4B3" w:rsidRPr="00A3111F">
        <w:rPr>
          <w:rFonts w:ascii="Arial" w:hAnsi="Arial" w:cs="Arial"/>
          <w:b/>
          <w:bCs/>
          <w:sz w:val="24"/>
          <w:szCs w:val="24"/>
        </w:rPr>
        <w:t xml:space="preserve">veintiocho </w:t>
      </w:r>
      <w:r w:rsidR="0004122D" w:rsidRPr="00A3111F">
        <w:rPr>
          <w:rFonts w:ascii="Arial" w:hAnsi="Arial" w:cs="Arial"/>
          <w:b/>
          <w:bCs/>
          <w:sz w:val="24"/>
          <w:szCs w:val="24"/>
        </w:rPr>
        <w:t>(</w:t>
      </w:r>
      <w:r w:rsidR="3C0067E8" w:rsidRPr="00A3111F">
        <w:rPr>
          <w:rFonts w:ascii="Arial" w:hAnsi="Arial" w:cs="Arial"/>
          <w:b/>
          <w:bCs/>
          <w:sz w:val="24"/>
          <w:szCs w:val="24"/>
        </w:rPr>
        <w:t>28</w:t>
      </w:r>
      <w:r w:rsidR="0004122D" w:rsidRPr="00A3111F">
        <w:rPr>
          <w:rFonts w:ascii="Arial" w:hAnsi="Arial" w:cs="Arial"/>
          <w:b/>
          <w:bCs/>
          <w:sz w:val="24"/>
          <w:szCs w:val="24"/>
        </w:rPr>
        <w:t xml:space="preserve">) de </w:t>
      </w:r>
      <w:r w:rsidR="00614C9B" w:rsidRPr="00A3111F">
        <w:rPr>
          <w:rFonts w:ascii="Arial" w:hAnsi="Arial" w:cs="Arial"/>
          <w:b/>
          <w:bCs/>
          <w:sz w:val="24"/>
          <w:szCs w:val="24"/>
        </w:rPr>
        <w:t xml:space="preserve">agosto </w:t>
      </w:r>
      <w:r w:rsidR="0004122D" w:rsidRPr="00A3111F">
        <w:rPr>
          <w:rFonts w:ascii="Arial" w:hAnsi="Arial" w:cs="Arial"/>
          <w:b/>
          <w:bCs/>
          <w:sz w:val="24"/>
          <w:szCs w:val="24"/>
        </w:rPr>
        <w:t>de dos mil veinte (2020)</w:t>
      </w:r>
    </w:p>
    <w:p w14:paraId="6FF6A4C3" w14:textId="77777777" w:rsidR="008C26F9" w:rsidRPr="00A3111F" w:rsidRDefault="008C26F9" w:rsidP="007F6D77">
      <w:pPr>
        <w:contextualSpacing/>
        <w:jc w:val="both"/>
        <w:rPr>
          <w:rFonts w:ascii="Arial" w:hAnsi="Arial" w:cs="Arial"/>
          <w:b/>
          <w:sz w:val="24"/>
          <w:szCs w:val="24"/>
        </w:rPr>
      </w:pPr>
    </w:p>
    <w:p w14:paraId="641BCC4A" w14:textId="77777777" w:rsidR="008C26F9" w:rsidRPr="00A3111F" w:rsidRDefault="008C26F9" w:rsidP="007F6D77">
      <w:pPr>
        <w:tabs>
          <w:tab w:val="left" w:pos="2813"/>
          <w:tab w:val="left" w:pos="5080"/>
        </w:tabs>
        <w:suppressAutoHyphens/>
        <w:contextualSpacing/>
        <w:jc w:val="both"/>
        <w:rPr>
          <w:rFonts w:ascii="Arial" w:hAnsi="Arial" w:cs="Arial"/>
          <w:sz w:val="24"/>
          <w:szCs w:val="23"/>
        </w:rPr>
      </w:pPr>
      <w:r w:rsidRPr="00A3111F">
        <w:rPr>
          <w:rFonts w:ascii="Arial" w:hAnsi="Arial" w:cs="Arial"/>
          <w:b/>
          <w:sz w:val="24"/>
          <w:szCs w:val="24"/>
        </w:rPr>
        <w:t xml:space="preserve">Referencia: </w:t>
      </w:r>
      <w:r w:rsidR="00330527" w:rsidRPr="00A3111F">
        <w:rPr>
          <w:rFonts w:ascii="Arial" w:hAnsi="Arial" w:cs="Arial"/>
          <w:sz w:val="24"/>
          <w:szCs w:val="24"/>
        </w:rPr>
        <w:t>Medio de control inmediato de legalidad</w:t>
      </w:r>
    </w:p>
    <w:p w14:paraId="1979320A" w14:textId="282ABF1B" w:rsidR="008C26F9" w:rsidRPr="00A3111F" w:rsidRDefault="008C26F9" w:rsidP="007F6D77">
      <w:pPr>
        <w:tabs>
          <w:tab w:val="left" w:pos="2813"/>
          <w:tab w:val="left" w:pos="5080"/>
        </w:tabs>
        <w:suppressAutoHyphens/>
        <w:contextualSpacing/>
        <w:jc w:val="both"/>
        <w:rPr>
          <w:rFonts w:ascii="Arial" w:hAnsi="Arial" w:cs="Arial"/>
          <w:sz w:val="24"/>
          <w:szCs w:val="24"/>
        </w:rPr>
      </w:pPr>
      <w:r w:rsidRPr="00A3111F">
        <w:rPr>
          <w:rFonts w:ascii="Arial" w:hAnsi="Arial" w:cs="Arial"/>
          <w:b/>
          <w:sz w:val="24"/>
          <w:szCs w:val="24"/>
        </w:rPr>
        <w:t xml:space="preserve">Número único de radicación: </w:t>
      </w:r>
      <w:r w:rsidR="00C0154B" w:rsidRPr="00A3111F">
        <w:rPr>
          <w:rFonts w:ascii="Arial" w:hAnsi="Arial" w:cs="Arial"/>
          <w:sz w:val="24"/>
          <w:szCs w:val="24"/>
        </w:rPr>
        <w:t>1100103</w:t>
      </w:r>
      <w:r w:rsidR="00330527" w:rsidRPr="00A3111F">
        <w:rPr>
          <w:rFonts w:ascii="Arial" w:hAnsi="Arial" w:cs="Arial"/>
          <w:sz w:val="24"/>
          <w:szCs w:val="24"/>
        </w:rPr>
        <w:t>15000</w:t>
      </w:r>
      <w:r w:rsidRPr="00A3111F">
        <w:rPr>
          <w:rFonts w:ascii="Arial" w:hAnsi="Arial" w:cs="Arial"/>
          <w:sz w:val="24"/>
          <w:szCs w:val="24"/>
        </w:rPr>
        <w:t>20</w:t>
      </w:r>
      <w:r w:rsidR="00330527" w:rsidRPr="00A3111F">
        <w:rPr>
          <w:rFonts w:ascii="Arial" w:hAnsi="Arial" w:cs="Arial"/>
          <w:sz w:val="24"/>
          <w:szCs w:val="24"/>
        </w:rPr>
        <w:t>20</w:t>
      </w:r>
      <w:r w:rsidRPr="00A3111F">
        <w:rPr>
          <w:rFonts w:ascii="Arial" w:hAnsi="Arial" w:cs="Arial"/>
          <w:sz w:val="24"/>
          <w:szCs w:val="24"/>
        </w:rPr>
        <w:t>00</w:t>
      </w:r>
      <w:r w:rsidR="00330527" w:rsidRPr="00A3111F">
        <w:rPr>
          <w:rFonts w:ascii="Arial" w:hAnsi="Arial" w:cs="Arial"/>
          <w:sz w:val="24"/>
          <w:szCs w:val="24"/>
        </w:rPr>
        <w:t>9</w:t>
      </w:r>
      <w:r w:rsidR="00614C9B" w:rsidRPr="00A3111F">
        <w:rPr>
          <w:rFonts w:ascii="Arial" w:hAnsi="Arial" w:cs="Arial"/>
          <w:sz w:val="24"/>
          <w:szCs w:val="24"/>
        </w:rPr>
        <w:t>46</w:t>
      </w:r>
      <w:r w:rsidRPr="00A3111F">
        <w:rPr>
          <w:rFonts w:ascii="Arial" w:hAnsi="Arial" w:cs="Arial"/>
          <w:sz w:val="24"/>
          <w:szCs w:val="24"/>
        </w:rPr>
        <w:t>00</w:t>
      </w:r>
    </w:p>
    <w:p w14:paraId="59816679" w14:textId="674BB560" w:rsidR="008C26F9" w:rsidRPr="00A3111F" w:rsidRDefault="00330527" w:rsidP="181E2151">
      <w:pPr>
        <w:contextualSpacing/>
        <w:jc w:val="both"/>
        <w:rPr>
          <w:rFonts w:ascii="Arial" w:hAnsi="Arial" w:cs="Arial"/>
          <w:i/>
          <w:iCs/>
          <w:sz w:val="24"/>
          <w:szCs w:val="24"/>
        </w:rPr>
      </w:pPr>
      <w:r w:rsidRPr="00A3111F">
        <w:rPr>
          <w:rFonts w:ascii="Arial" w:hAnsi="Arial" w:cs="Arial"/>
          <w:b/>
          <w:bCs/>
          <w:sz w:val="24"/>
          <w:szCs w:val="24"/>
        </w:rPr>
        <w:t xml:space="preserve">Acto administrativo objeto de control: </w:t>
      </w:r>
      <w:r w:rsidR="00614C9B" w:rsidRPr="00A3111F">
        <w:rPr>
          <w:rFonts w:ascii="Arial" w:hAnsi="Arial" w:cs="Arial"/>
          <w:sz w:val="24"/>
          <w:szCs w:val="24"/>
        </w:rPr>
        <w:t>Resolución núm. CRA 911 de 17 de marzo de 2020</w:t>
      </w:r>
      <w:r w:rsidR="00D561CB" w:rsidRPr="00A3111F">
        <w:rPr>
          <w:rFonts w:ascii="Arial" w:hAnsi="Arial" w:cs="Arial"/>
          <w:sz w:val="24"/>
          <w:szCs w:val="24"/>
        </w:rPr>
        <w:t xml:space="preserve"> expedida por </w:t>
      </w:r>
      <w:r w:rsidR="451577C0" w:rsidRPr="00A3111F">
        <w:rPr>
          <w:rFonts w:ascii="Arial" w:hAnsi="Arial" w:cs="Arial"/>
          <w:sz w:val="24"/>
          <w:szCs w:val="24"/>
        </w:rPr>
        <w:t xml:space="preserve">el </w:t>
      </w:r>
      <w:proofErr w:type="gramStart"/>
      <w:r w:rsidR="00614C9B" w:rsidRPr="00A3111F">
        <w:rPr>
          <w:rFonts w:ascii="Arial" w:hAnsi="Arial" w:cs="Arial"/>
          <w:sz w:val="24"/>
          <w:szCs w:val="24"/>
        </w:rPr>
        <w:t>Presidente</w:t>
      </w:r>
      <w:proofErr w:type="gramEnd"/>
      <w:r w:rsidR="00614C9B" w:rsidRPr="00A3111F">
        <w:rPr>
          <w:rFonts w:ascii="Arial" w:hAnsi="Arial" w:cs="Arial"/>
          <w:sz w:val="24"/>
          <w:szCs w:val="24"/>
        </w:rPr>
        <w:t xml:space="preserve"> y el Director Ejecutivo de la Comisión de Regulación de Agua Potable y Saneamiento Básico</w:t>
      </w:r>
    </w:p>
    <w:p w14:paraId="54451CAD" w14:textId="77777777" w:rsidR="0004122D" w:rsidRPr="00A3111F" w:rsidRDefault="0004122D" w:rsidP="007F6D77">
      <w:pPr>
        <w:contextualSpacing/>
        <w:jc w:val="both"/>
        <w:rPr>
          <w:rFonts w:ascii="Arial" w:hAnsi="Arial" w:cs="Arial"/>
          <w:i/>
          <w:iCs/>
          <w:sz w:val="24"/>
          <w:szCs w:val="24"/>
        </w:rPr>
      </w:pPr>
    </w:p>
    <w:p w14:paraId="7A6A0830" w14:textId="58D38DF7" w:rsidR="008C26F9" w:rsidRPr="00A3111F" w:rsidRDefault="008C26F9" w:rsidP="007F6D77">
      <w:pPr>
        <w:contextualSpacing/>
        <w:jc w:val="both"/>
        <w:rPr>
          <w:rFonts w:ascii="Arial" w:hAnsi="Arial" w:cs="Arial"/>
          <w:sz w:val="24"/>
          <w:szCs w:val="24"/>
        </w:rPr>
      </w:pPr>
      <w:r w:rsidRPr="00A3111F">
        <w:rPr>
          <w:rFonts w:ascii="Arial" w:hAnsi="Arial" w:cs="Arial"/>
          <w:b/>
          <w:sz w:val="24"/>
          <w:szCs w:val="24"/>
        </w:rPr>
        <w:t xml:space="preserve">Asunto: </w:t>
      </w:r>
      <w:r w:rsidRPr="00A3111F">
        <w:rPr>
          <w:rFonts w:ascii="Arial" w:hAnsi="Arial" w:cs="Arial"/>
          <w:sz w:val="24"/>
          <w:szCs w:val="24"/>
        </w:rPr>
        <w:t xml:space="preserve">Resuelve </w:t>
      </w:r>
      <w:r w:rsidR="00A83A46" w:rsidRPr="00A3111F">
        <w:rPr>
          <w:rFonts w:ascii="Arial" w:hAnsi="Arial" w:cs="Arial"/>
          <w:sz w:val="24"/>
          <w:szCs w:val="24"/>
        </w:rPr>
        <w:t xml:space="preserve">sobre </w:t>
      </w:r>
      <w:r w:rsidR="003D56D5" w:rsidRPr="00A3111F">
        <w:rPr>
          <w:rFonts w:ascii="Arial" w:hAnsi="Arial" w:cs="Arial"/>
          <w:sz w:val="24"/>
          <w:szCs w:val="24"/>
        </w:rPr>
        <w:t xml:space="preserve">una </w:t>
      </w:r>
      <w:r w:rsidR="00F423E9" w:rsidRPr="00A3111F">
        <w:rPr>
          <w:rFonts w:ascii="Arial" w:hAnsi="Arial" w:cs="Arial"/>
          <w:sz w:val="24"/>
          <w:szCs w:val="24"/>
        </w:rPr>
        <w:t>acumulación de</w:t>
      </w:r>
      <w:r w:rsidR="006E5341" w:rsidRPr="00A3111F">
        <w:rPr>
          <w:rFonts w:ascii="Arial" w:hAnsi="Arial" w:cs="Arial"/>
          <w:sz w:val="24"/>
          <w:szCs w:val="24"/>
        </w:rPr>
        <w:t xml:space="preserve"> </w:t>
      </w:r>
      <w:r w:rsidR="00F423E9" w:rsidRPr="00A3111F">
        <w:rPr>
          <w:rFonts w:ascii="Arial" w:hAnsi="Arial" w:cs="Arial"/>
          <w:sz w:val="24"/>
          <w:szCs w:val="24"/>
        </w:rPr>
        <w:t>proceso</w:t>
      </w:r>
      <w:r w:rsidR="006E5341" w:rsidRPr="00A3111F">
        <w:rPr>
          <w:rFonts w:ascii="Arial" w:hAnsi="Arial" w:cs="Arial"/>
          <w:sz w:val="24"/>
          <w:szCs w:val="24"/>
        </w:rPr>
        <w:t>s</w:t>
      </w:r>
      <w:r w:rsidR="00476772" w:rsidRPr="00A3111F">
        <w:rPr>
          <w:rFonts w:ascii="Arial" w:hAnsi="Arial" w:cs="Arial"/>
          <w:sz w:val="24"/>
          <w:szCs w:val="24"/>
        </w:rPr>
        <w:t xml:space="preserve"> y lo que en derecho corresponda</w:t>
      </w:r>
    </w:p>
    <w:p w14:paraId="50C9167E" w14:textId="77777777" w:rsidR="008C26F9" w:rsidRPr="00A3111F" w:rsidRDefault="008C26F9" w:rsidP="007F6D77">
      <w:pPr>
        <w:tabs>
          <w:tab w:val="left" w:pos="2813"/>
          <w:tab w:val="center" w:pos="4278"/>
        </w:tabs>
        <w:suppressAutoHyphens/>
        <w:contextualSpacing/>
        <w:jc w:val="both"/>
        <w:rPr>
          <w:rFonts w:ascii="Arial" w:hAnsi="Arial" w:cs="Arial"/>
          <w:b/>
          <w:sz w:val="28"/>
          <w:szCs w:val="28"/>
        </w:rPr>
      </w:pPr>
    </w:p>
    <w:p w14:paraId="4D70BFC2" w14:textId="77777777" w:rsidR="008C26F9" w:rsidRPr="00A3111F" w:rsidRDefault="008C26F9" w:rsidP="007F6D77">
      <w:pPr>
        <w:pBdr>
          <w:bottom w:val="single" w:sz="12" w:space="0" w:color="auto"/>
        </w:pBdr>
        <w:ind w:left="2832" w:hanging="2832"/>
        <w:contextualSpacing/>
        <w:rPr>
          <w:rFonts w:ascii="Arial" w:hAnsi="Arial" w:cs="Arial"/>
          <w:b/>
          <w:sz w:val="24"/>
          <w:szCs w:val="24"/>
        </w:rPr>
      </w:pPr>
      <w:r w:rsidRPr="00A3111F">
        <w:rPr>
          <w:rFonts w:ascii="Arial" w:hAnsi="Arial" w:cs="Arial"/>
          <w:b/>
          <w:sz w:val="24"/>
          <w:szCs w:val="24"/>
        </w:rPr>
        <w:t>AUTO INTERLOCUTORIO</w:t>
      </w:r>
    </w:p>
    <w:p w14:paraId="79794319" w14:textId="77777777" w:rsidR="00005967" w:rsidRPr="00A3111F" w:rsidRDefault="00005967" w:rsidP="007F6D77">
      <w:pPr>
        <w:tabs>
          <w:tab w:val="left" w:pos="2813"/>
          <w:tab w:val="left" w:pos="5080"/>
        </w:tabs>
        <w:suppressAutoHyphens/>
        <w:contextualSpacing/>
        <w:jc w:val="both"/>
        <w:rPr>
          <w:rFonts w:ascii="Arial" w:hAnsi="Arial" w:cs="Arial"/>
          <w:sz w:val="28"/>
          <w:szCs w:val="28"/>
        </w:rPr>
      </w:pPr>
    </w:p>
    <w:p w14:paraId="3C101D2E" w14:textId="72860719" w:rsidR="00BA1CA0" w:rsidRPr="00A3111F" w:rsidRDefault="008C26F9" w:rsidP="007F6D77">
      <w:pPr>
        <w:contextualSpacing/>
        <w:jc w:val="both"/>
        <w:rPr>
          <w:rFonts w:ascii="Arial" w:hAnsi="Arial" w:cs="Arial"/>
          <w:sz w:val="24"/>
          <w:szCs w:val="24"/>
        </w:rPr>
      </w:pPr>
      <w:r w:rsidRPr="00A3111F">
        <w:rPr>
          <w:rFonts w:ascii="Arial" w:hAnsi="Arial" w:cs="Arial"/>
          <w:sz w:val="24"/>
          <w:szCs w:val="24"/>
        </w:rPr>
        <w:t xml:space="preserve">Este Despacho procede </w:t>
      </w:r>
      <w:r w:rsidR="008D19D1" w:rsidRPr="00A3111F">
        <w:rPr>
          <w:rFonts w:ascii="Arial" w:hAnsi="Arial" w:cs="Arial"/>
          <w:sz w:val="24"/>
          <w:szCs w:val="24"/>
        </w:rPr>
        <w:t>a resolver sobre la acumulación de</w:t>
      </w:r>
      <w:r w:rsidR="005E7C10" w:rsidRPr="00A3111F">
        <w:rPr>
          <w:rFonts w:ascii="Arial" w:hAnsi="Arial" w:cs="Arial"/>
          <w:sz w:val="24"/>
          <w:szCs w:val="24"/>
        </w:rPr>
        <w:t>l</w:t>
      </w:r>
      <w:r w:rsidR="008D19D1" w:rsidRPr="00A3111F">
        <w:rPr>
          <w:rFonts w:ascii="Arial" w:hAnsi="Arial" w:cs="Arial"/>
          <w:sz w:val="24"/>
          <w:szCs w:val="24"/>
        </w:rPr>
        <w:t xml:space="preserve"> proceso identificado con </w:t>
      </w:r>
      <w:r w:rsidR="005E7C10" w:rsidRPr="00A3111F">
        <w:rPr>
          <w:rFonts w:ascii="Arial" w:hAnsi="Arial" w:cs="Arial"/>
          <w:sz w:val="24"/>
          <w:szCs w:val="24"/>
        </w:rPr>
        <w:t>el</w:t>
      </w:r>
      <w:r w:rsidR="008D19D1" w:rsidRPr="00A3111F">
        <w:rPr>
          <w:rFonts w:ascii="Arial" w:hAnsi="Arial" w:cs="Arial"/>
          <w:sz w:val="24"/>
          <w:szCs w:val="24"/>
        </w:rPr>
        <w:t xml:space="preserve"> número único de radicación</w:t>
      </w:r>
      <w:r w:rsidR="0055234E" w:rsidRPr="00A3111F">
        <w:rPr>
          <w:rFonts w:ascii="Arial" w:hAnsi="Arial" w:cs="Arial"/>
          <w:sz w:val="24"/>
          <w:szCs w:val="24"/>
        </w:rPr>
        <w:t xml:space="preserve"> </w:t>
      </w:r>
      <w:r w:rsidR="00614C9B" w:rsidRPr="00A3111F">
        <w:rPr>
          <w:rFonts w:ascii="Arial" w:eastAsia="Arial" w:hAnsi="Arial" w:cs="Arial"/>
          <w:sz w:val="24"/>
          <w:szCs w:val="24"/>
        </w:rPr>
        <w:t>11001031500020200284900</w:t>
      </w:r>
      <w:r w:rsidR="0055234E" w:rsidRPr="00A3111F">
        <w:rPr>
          <w:rFonts w:ascii="Arial" w:eastAsia="Arial" w:hAnsi="Arial" w:cs="Arial"/>
          <w:sz w:val="24"/>
          <w:szCs w:val="24"/>
        </w:rPr>
        <w:t xml:space="preserve"> </w:t>
      </w:r>
      <w:r w:rsidR="008D19D1" w:rsidRPr="00A3111F">
        <w:rPr>
          <w:rFonts w:ascii="Arial" w:hAnsi="Arial" w:cs="Arial"/>
          <w:sz w:val="24"/>
          <w:szCs w:val="24"/>
        </w:rPr>
        <w:t xml:space="preserve">al proceso </w:t>
      </w:r>
      <w:r w:rsidR="003D56D5" w:rsidRPr="00A3111F">
        <w:rPr>
          <w:rFonts w:ascii="Arial" w:hAnsi="Arial" w:cs="Arial"/>
          <w:sz w:val="24"/>
          <w:szCs w:val="24"/>
        </w:rPr>
        <w:t xml:space="preserve">de la referencia y </w:t>
      </w:r>
      <w:r w:rsidR="00476772" w:rsidRPr="00A3111F">
        <w:rPr>
          <w:rFonts w:ascii="Arial" w:hAnsi="Arial" w:cs="Arial"/>
          <w:sz w:val="24"/>
          <w:szCs w:val="24"/>
        </w:rPr>
        <w:t>lo que en derecho corresponda</w:t>
      </w:r>
      <w:r w:rsidR="009E708E" w:rsidRPr="00A3111F">
        <w:rPr>
          <w:rFonts w:ascii="Arial" w:hAnsi="Arial" w:cs="Arial"/>
          <w:sz w:val="24"/>
          <w:szCs w:val="24"/>
        </w:rPr>
        <w:t>.</w:t>
      </w:r>
    </w:p>
    <w:p w14:paraId="513C345E" w14:textId="77777777" w:rsidR="00E5750B" w:rsidRPr="00A3111F" w:rsidRDefault="00E5750B" w:rsidP="007F6D77">
      <w:pPr>
        <w:contextualSpacing/>
        <w:jc w:val="both"/>
        <w:rPr>
          <w:rFonts w:ascii="Arial" w:hAnsi="Arial" w:cs="Arial"/>
          <w:sz w:val="24"/>
          <w:szCs w:val="24"/>
        </w:rPr>
      </w:pPr>
    </w:p>
    <w:p w14:paraId="5A82E960" w14:textId="25DDA03E" w:rsidR="005E7C10" w:rsidRPr="00A3111F" w:rsidRDefault="00E5750B" w:rsidP="007F6D77">
      <w:pPr>
        <w:contextualSpacing/>
        <w:jc w:val="both"/>
        <w:rPr>
          <w:rFonts w:ascii="Arial" w:hAnsi="Arial" w:cs="Arial"/>
          <w:sz w:val="24"/>
          <w:szCs w:val="24"/>
          <w:lang w:eastAsia="es-ES_tradnl"/>
        </w:rPr>
      </w:pPr>
      <w:r w:rsidRPr="00A3111F">
        <w:rPr>
          <w:rFonts w:ascii="Arial" w:hAnsi="Arial" w:cs="Arial"/>
          <w:sz w:val="24"/>
          <w:szCs w:val="24"/>
          <w:lang w:eastAsia="es-ES_tradnl"/>
        </w:rPr>
        <w:t xml:space="preserve">La presente providencia tiene las siguientes partes: i) Antecedentes; </w:t>
      </w:r>
      <w:proofErr w:type="spellStart"/>
      <w:r w:rsidRPr="00A3111F">
        <w:rPr>
          <w:rFonts w:ascii="Arial" w:hAnsi="Arial" w:cs="Arial"/>
          <w:sz w:val="24"/>
          <w:szCs w:val="24"/>
          <w:lang w:eastAsia="es-ES_tradnl"/>
        </w:rPr>
        <w:t>ii</w:t>
      </w:r>
      <w:proofErr w:type="spellEnd"/>
      <w:r w:rsidRPr="00A3111F">
        <w:rPr>
          <w:rFonts w:ascii="Arial" w:hAnsi="Arial" w:cs="Arial"/>
          <w:sz w:val="24"/>
          <w:szCs w:val="24"/>
          <w:lang w:eastAsia="es-ES_tradnl"/>
        </w:rPr>
        <w:t>) Consideraciones; y iii) Resuelve; las cuales se desarrollan a continuación.</w:t>
      </w:r>
    </w:p>
    <w:p w14:paraId="5C882D19" w14:textId="77777777" w:rsidR="005E7C10" w:rsidRPr="00A3111F" w:rsidRDefault="005E7C10" w:rsidP="007F6D77">
      <w:pPr>
        <w:contextualSpacing/>
        <w:jc w:val="both"/>
        <w:rPr>
          <w:rFonts w:ascii="Arial" w:hAnsi="Arial" w:cs="Arial"/>
          <w:sz w:val="24"/>
          <w:szCs w:val="24"/>
          <w:lang w:eastAsia="es-ES_tradnl"/>
        </w:rPr>
      </w:pPr>
    </w:p>
    <w:p w14:paraId="3DEDBDCC" w14:textId="265FED4F" w:rsidR="008D19D1" w:rsidRPr="00A3111F" w:rsidRDefault="008C26F9" w:rsidP="007F6D77">
      <w:pPr>
        <w:pStyle w:val="Prrafodelista"/>
        <w:numPr>
          <w:ilvl w:val="0"/>
          <w:numId w:val="18"/>
        </w:numPr>
        <w:spacing w:after="0" w:line="360" w:lineRule="auto"/>
        <w:ind w:left="0" w:firstLine="0"/>
        <w:jc w:val="center"/>
        <w:rPr>
          <w:rFonts w:ascii="Arial" w:hAnsi="Arial" w:cs="Arial"/>
          <w:b/>
          <w:sz w:val="24"/>
          <w:szCs w:val="24"/>
        </w:rPr>
      </w:pPr>
      <w:r w:rsidRPr="00A3111F">
        <w:rPr>
          <w:rFonts w:ascii="Arial" w:hAnsi="Arial" w:cs="Arial"/>
          <w:b/>
          <w:sz w:val="24"/>
          <w:szCs w:val="24"/>
        </w:rPr>
        <w:t>ANTECEDENTES</w:t>
      </w:r>
    </w:p>
    <w:p w14:paraId="0A911ADC" w14:textId="77777777" w:rsidR="008D19D1" w:rsidRPr="00A3111F" w:rsidRDefault="008D19D1" w:rsidP="007F6D77">
      <w:pPr>
        <w:pStyle w:val="Sinespaciado"/>
        <w:contextualSpacing/>
        <w:jc w:val="center"/>
        <w:rPr>
          <w:rFonts w:ascii="Arial" w:hAnsi="Arial" w:cs="Arial"/>
          <w:b/>
          <w:sz w:val="24"/>
          <w:szCs w:val="24"/>
          <w:lang w:val="es-CO"/>
        </w:rPr>
      </w:pPr>
    </w:p>
    <w:p w14:paraId="7BC017A0" w14:textId="77777777" w:rsidR="008D19D1" w:rsidRPr="00A3111F" w:rsidRDefault="008D19D1" w:rsidP="007F6D77">
      <w:pPr>
        <w:numPr>
          <w:ilvl w:val="0"/>
          <w:numId w:val="3"/>
        </w:numPr>
        <w:tabs>
          <w:tab w:val="left" w:pos="426"/>
          <w:tab w:val="left" w:pos="5080"/>
        </w:tabs>
        <w:suppressAutoHyphens/>
        <w:ind w:left="0" w:firstLine="0"/>
        <w:contextualSpacing/>
        <w:jc w:val="both"/>
        <w:rPr>
          <w:rFonts w:ascii="Arial" w:hAnsi="Arial" w:cs="Arial"/>
        </w:rPr>
      </w:pPr>
      <w:r w:rsidRPr="00A3111F">
        <w:rPr>
          <w:rFonts w:ascii="Arial" w:hAnsi="Arial" w:cs="Arial"/>
          <w:sz w:val="24"/>
          <w:szCs w:val="24"/>
        </w:rPr>
        <w:t>La Organización Mundial de la Salud</w:t>
      </w:r>
      <w:r w:rsidRPr="00A3111F">
        <w:rPr>
          <w:rStyle w:val="Refdenotaalpie"/>
          <w:rFonts w:ascii="Arial" w:hAnsi="Arial" w:cs="Arial"/>
          <w:sz w:val="24"/>
          <w:szCs w:val="24"/>
        </w:rPr>
        <w:footnoteReference w:id="1"/>
      </w:r>
      <w:r w:rsidRPr="00A3111F">
        <w:rPr>
          <w:rFonts w:ascii="Arial" w:hAnsi="Arial" w:cs="Arial"/>
          <w:sz w:val="24"/>
          <w:szCs w:val="24"/>
        </w:rPr>
        <w:t>, el 11 de marzo de 2020, declaró que el actual brote de enfermedad por coronavirus COVID-19 es una pandemia, esencialmente por la velocidad de su propagación y la escala de transmisión.</w:t>
      </w:r>
    </w:p>
    <w:p w14:paraId="4E48C35E" w14:textId="3937B860" w:rsidR="181E2151" w:rsidRPr="00A3111F" w:rsidRDefault="181E2151" w:rsidP="181E2151">
      <w:pPr>
        <w:jc w:val="both"/>
        <w:rPr>
          <w:rFonts w:ascii="Arial" w:hAnsi="Arial" w:cs="Arial"/>
          <w:b/>
          <w:bCs/>
          <w:i/>
          <w:iCs/>
          <w:sz w:val="24"/>
          <w:szCs w:val="24"/>
        </w:rPr>
      </w:pPr>
    </w:p>
    <w:p w14:paraId="174C1675" w14:textId="32BF08F4" w:rsidR="008D19D1" w:rsidRPr="00A3111F" w:rsidRDefault="008D19D1" w:rsidP="00614C9B">
      <w:pPr>
        <w:tabs>
          <w:tab w:val="left" w:pos="426"/>
          <w:tab w:val="left" w:pos="5080"/>
        </w:tabs>
        <w:suppressAutoHyphens/>
        <w:contextualSpacing/>
        <w:jc w:val="both"/>
        <w:rPr>
          <w:rFonts w:ascii="Arial" w:hAnsi="Arial" w:cs="Arial"/>
          <w:b/>
          <w:bCs/>
          <w:i/>
          <w:iCs/>
          <w:sz w:val="24"/>
          <w:szCs w:val="24"/>
        </w:rPr>
      </w:pPr>
      <w:r w:rsidRPr="00A3111F">
        <w:rPr>
          <w:rFonts w:ascii="Arial" w:hAnsi="Arial" w:cs="Arial"/>
          <w:b/>
          <w:bCs/>
          <w:i/>
          <w:iCs/>
          <w:sz w:val="24"/>
          <w:szCs w:val="24"/>
        </w:rPr>
        <w:t xml:space="preserve">Decreto </w:t>
      </w:r>
      <w:r w:rsidR="00614C9B" w:rsidRPr="00A3111F">
        <w:rPr>
          <w:rFonts w:ascii="Arial" w:hAnsi="Arial" w:cs="Arial"/>
          <w:b/>
          <w:bCs/>
          <w:i/>
          <w:iCs/>
          <w:sz w:val="24"/>
          <w:szCs w:val="24"/>
        </w:rPr>
        <w:t xml:space="preserve">núm. </w:t>
      </w:r>
      <w:r w:rsidRPr="00A3111F">
        <w:rPr>
          <w:rFonts w:ascii="Arial" w:hAnsi="Arial" w:cs="Arial"/>
          <w:b/>
          <w:bCs/>
          <w:i/>
          <w:iCs/>
          <w:sz w:val="24"/>
          <w:szCs w:val="24"/>
        </w:rPr>
        <w:t>417 de 17 de marzo de 2020</w:t>
      </w:r>
    </w:p>
    <w:p w14:paraId="5D063ED9" w14:textId="77777777" w:rsidR="008D19D1" w:rsidRPr="00A3111F" w:rsidRDefault="008D19D1" w:rsidP="00614C9B">
      <w:pPr>
        <w:tabs>
          <w:tab w:val="left" w:pos="426"/>
          <w:tab w:val="left" w:pos="5080"/>
        </w:tabs>
        <w:suppressAutoHyphens/>
        <w:contextualSpacing/>
        <w:jc w:val="both"/>
        <w:rPr>
          <w:rFonts w:ascii="Arial" w:hAnsi="Arial" w:cs="Arial"/>
          <w:sz w:val="24"/>
          <w:szCs w:val="24"/>
        </w:rPr>
      </w:pPr>
    </w:p>
    <w:p w14:paraId="7222F8C3" w14:textId="1478C0C5" w:rsidR="007F6D77" w:rsidRPr="00A3111F" w:rsidRDefault="007F6D77" w:rsidP="00614C9B">
      <w:pPr>
        <w:numPr>
          <w:ilvl w:val="0"/>
          <w:numId w:val="3"/>
        </w:numPr>
        <w:tabs>
          <w:tab w:val="left" w:pos="426"/>
          <w:tab w:val="left" w:pos="5080"/>
        </w:tabs>
        <w:suppressAutoHyphens/>
        <w:ind w:left="0" w:firstLine="0"/>
        <w:contextualSpacing/>
        <w:jc w:val="both"/>
        <w:rPr>
          <w:rFonts w:ascii="Arial" w:eastAsiaTheme="minorEastAsia" w:hAnsi="Arial" w:cs="Arial"/>
          <w:sz w:val="24"/>
          <w:szCs w:val="24"/>
        </w:rPr>
      </w:pPr>
      <w:r w:rsidRPr="00A3111F">
        <w:rPr>
          <w:rFonts w:ascii="Arial" w:eastAsia="Arial" w:hAnsi="Arial" w:cs="Arial"/>
          <w:sz w:val="24"/>
          <w:szCs w:val="24"/>
        </w:rPr>
        <w:t xml:space="preserve">El </w:t>
      </w:r>
      <w:proofErr w:type="gramStart"/>
      <w:r w:rsidRPr="00A3111F">
        <w:rPr>
          <w:rFonts w:ascii="Arial" w:eastAsia="Arial" w:hAnsi="Arial" w:cs="Arial"/>
          <w:sz w:val="24"/>
          <w:szCs w:val="24"/>
        </w:rPr>
        <w:t>Presidente</w:t>
      </w:r>
      <w:proofErr w:type="gramEnd"/>
      <w:r w:rsidRPr="00A3111F">
        <w:rPr>
          <w:rFonts w:ascii="Arial" w:eastAsia="Arial" w:hAnsi="Arial" w:cs="Arial"/>
          <w:sz w:val="24"/>
          <w:szCs w:val="24"/>
        </w:rPr>
        <w:t xml:space="preserve"> de la República, con la firma de todos los ministros, expidió el Decreto </w:t>
      </w:r>
      <w:r w:rsidR="00614C9B" w:rsidRPr="00A3111F">
        <w:rPr>
          <w:rFonts w:ascii="Arial" w:eastAsia="Arial" w:hAnsi="Arial" w:cs="Arial"/>
          <w:sz w:val="24"/>
          <w:szCs w:val="24"/>
        </w:rPr>
        <w:t xml:space="preserve">núm. </w:t>
      </w:r>
      <w:r w:rsidRPr="00A3111F">
        <w:rPr>
          <w:rFonts w:ascii="Arial" w:eastAsia="Arial" w:hAnsi="Arial" w:cs="Arial"/>
          <w:sz w:val="24"/>
          <w:szCs w:val="24"/>
        </w:rPr>
        <w:t>417 de 17 de marzo de 2020</w:t>
      </w:r>
      <w:r w:rsidRPr="00A3111F">
        <w:rPr>
          <w:rFonts w:ascii="Arial" w:eastAsia="Arial" w:hAnsi="Arial" w:cs="Arial"/>
          <w:i/>
          <w:iCs/>
          <w:sz w:val="24"/>
          <w:szCs w:val="24"/>
        </w:rPr>
        <w:t>, “[…] [p]</w:t>
      </w:r>
      <w:proofErr w:type="spellStart"/>
      <w:r w:rsidRPr="00A3111F">
        <w:rPr>
          <w:rFonts w:ascii="Arial" w:eastAsia="Arial" w:hAnsi="Arial" w:cs="Arial"/>
          <w:i/>
          <w:iCs/>
          <w:sz w:val="24"/>
          <w:szCs w:val="24"/>
        </w:rPr>
        <w:t>or</w:t>
      </w:r>
      <w:proofErr w:type="spellEnd"/>
      <w:r w:rsidRPr="00A3111F">
        <w:rPr>
          <w:rFonts w:ascii="Arial" w:eastAsia="Arial" w:hAnsi="Arial" w:cs="Arial"/>
          <w:i/>
          <w:iCs/>
          <w:sz w:val="24"/>
          <w:szCs w:val="24"/>
        </w:rPr>
        <w:t xml:space="preserve"> el cual se declara un Estado de Emergencia Económica, Social y Ecológica en todo el territorio Nacional […]”.</w:t>
      </w:r>
    </w:p>
    <w:p w14:paraId="3BF3AD80" w14:textId="77777777" w:rsidR="005E7C10" w:rsidRPr="00A3111F" w:rsidRDefault="005E7C10" w:rsidP="00614C9B">
      <w:pPr>
        <w:contextualSpacing/>
        <w:jc w:val="both"/>
        <w:rPr>
          <w:rFonts w:ascii="Arial" w:hAnsi="Arial" w:cs="Arial"/>
          <w:b/>
          <w:bCs/>
          <w:sz w:val="24"/>
          <w:szCs w:val="24"/>
        </w:rPr>
      </w:pPr>
    </w:p>
    <w:p w14:paraId="2988261F" w14:textId="205F3031" w:rsidR="003D56D5" w:rsidRPr="00A3111F" w:rsidRDefault="00614C9B" w:rsidP="00614C9B">
      <w:pPr>
        <w:pStyle w:val="Sinespaciado"/>
        <w:contextualSpacing/>
        <w:rPr>
          <w:rFonts w:ascii="Arial" w:hAnsi="Arial" w:cs="Arial"/>
          <w:b/>
          <w:i/>
          <w:iCs/>
          <w:sz w:val="24"/>
          <w:szCs w:val="24"/>
          <w:lang w:val="es-CO"/>
        </w:rPr>
      </w:pPr>
      <w:r w:rsidRPr="00A3111F">
        <w:rPr>
          <w:rFonts w:ascii="Arial" w:hAnsi="Arial" w:cs="Arial"/>
          <w:b/>
          <w:i/>
          <w:iCs/>
          <w:sz w:val="24"/>
          <w:szCs w:val="24"/>
          <w:lang w:val="es-CO"/>
        </w:rPr>
        <w:t>Resolución núm. CRA 911 de 17 de marzo de 2020</w:t>
      </w:r>
    </w:p>
    <w:p w14:paraId="0D7553A9" w14:textId="77777777" w:rsidR="001A312E" w:rsidRPr="00A3111F" w:rsidRDefault="001A312E" w:rsidP="00614C9B">
      <w:pPr>
        <w:pStyle w:val="Sinespaciado"/>
        <w:contextualSpacing/>
        <w:rPr>
          <w:rFonts w:ascii="Arial" w:hAnsi="Arial" w:cs="Arial"/>
          <w:b/>
          <w:sz w:val="24"/>
          <w:szCs w:val="24"/>
          <w:lang w:val="es-CO"/>
        </w:rPr>
      </w:pPr>
    </w:p>
    <w:p w14:paraId="6917282C" w14:textId="7B2FD21F" w:rsidR="001A312E" w:rsidRPr="00A3111F" w:rsidRDefault="6F76A484" w:rsidP="00614C9B">
      <w:pPr>
        <w:numPr>
          <w:ilvl w:val="0"/>
          <w:numId w:val="3"/>
        </w:numPr>
        <w:tabs>
          <w:tab w:val="left" w:pos="426"/>
          <w:tab w:val="left" w:pos="5080"/>
        </w:tabs>
        <w:suppressAutoHyphens/>
        <w:ind w:left="0" w:firstLine="0"/>
        <w:contextualSpacing/>
        <w:jc w:val="both"/>
        <w:rPr>
          <w:rFonts w:ascii="Arial" w:hAnsi="Arial" w:cs="Arial"/>
          <w:sz w:val="24"/>
          <w:szCs w:val="24"/>
        </w:rPr>
      </w:pPr>
      <w:r w:rsidRPr="00A3111F">
        <w:rPr>
          <w:rFonts w:ascii="Arial" w:hAnsi="Arial" w:cs="Arial"/>
          <w:sz w:val="24"/>
          <w:szCs w:val="24"/>
        </w:rPr>
        <w:t xml:space="preserve">El </w:t>
      </w:r>
      <w:proofErr w:type="gramStart"/>
      <w:r w:rsidR="00614C9B" w:rsidRPr="00A3111F">
        <w:rPr>
          <w:rFonts w:ascii="Arial" w:hAnsi="Arial" w:cs="Arial"/>
          <w:sz w:val="24"/>
          <w:szCs w:val="24"/>
        </w:rPr>
        <w:t>Presidente</w:t>
      </w:r>
      <w:proofErr w:type="gramEnd"/>
      <w:r w:rsidR="00614C9B" w:rsidRPr="00A3111F">
        <w:rPr>
          <w:rFonts w:ascii="Arial" w:hAnsi="Arial" w:cs="Arial"/>
          <w:sz w:val="24"/>
          <w:szCs w:val="24"/>
        </w:rPr>
        <w:t xml:space="preserve"> y el Director Ejecutivo de la Comisión de Regulación de Agua Potable y Saneamiento Básico</w:t>
      </w:r>
      <w:r w:rsidR="001A312E" w:rsidRPr="00A3111F">
        <w:rPr>
          <w:rFonts w:ascii="Arial" w:hAnsi="Arial" w:cs="Arial"/>
          <w:sz w:val="24"/>
          <w:szCs w:val="24"/>
        </w:rPr>
        <w:t xml:space="preserve"> expidieron la Resolución </w:t>
      </w:r>
      <w:r w:rsidR="00614C9B" w:rsidRPr="00A3111F">
        <w:rPr>
          <w:rFonts w:ascii="Arial" w:hAnsi="Arial" w:cs="Arial"/>
          <w:sz w:val="24"/>
          <w:szCs w:val="24"/>
        </w:rPr>
        <w:t>núm. CRA 911 de 17 de marzo de 2020</w:t>
      </w:r>
      <w:r w:rsidR="001A312E" w:rsidRPr="00A3111F">
        <w:rPr>
          <w:rFonts w:ascii="Arial" w:hAnsi="Arial" w:cs="Arial"/>
          <w:sz w:val="24"/>
          <w:szCs w:val="24"/>
        </w:rPr>
        <w:t xml:space="preserve">, </w:t>
      </w:r>
      <w:r w:rsidR="001A312E" w:rsidRPr="00A3111F">
        <w:rPr>
          <w:rFonts w:ascii="Arial" w:hAnsi="Arial" w:cs="Arial"/>
          <w:i/>
          <w:iCs/>
          <w:sz w:val="24"/>
          <w:szCs w:val="24"/>
        </w:rPr>
        <w:t xml:space="preserve">“[…] </w:t>
      </w:r>
      <w:r w:rsidR="00614C9B" w:rsidRPr="00A3111F">
        <w:rPr>
          <w:rFonts w:ascii="Arial" w:hAnsi="Arial" w:cs="Arial"/>
          <w:i/>
          <w:iCs/>
          <w:sz w:val="24"/>
          <w:szCs w:val="24"/>
        </w:rPr>
        <w:t xml:space="preserve">Por la cual se establecen medidas regulatorias transitorias en el sector de agua potable y saneamiento básico, derivadas de la emergencia declarada por el Gobierno Nacional a causa del COVID-19 </w:t>
      </w:r>
      <w:r w:rsidR="001A312E" w:rsidRPr="00A3111F">
        <w:rPr>
          <w:rFonts w:ascii="Arial" w:hAnsi="Arial" w:cs="Arial"/>
          <w:i/>
          <w:iCs/>
          <w:sz w:val="24"/>
          <w:szCs w:val="24"/>
        </w:rPr>
        <w:t>[…]”.</w:t>
      </w:r>
    </w:p>
    <w:p w14:paraId="386D1F83" w14:textId="77777777" w:rsidR="001A312E" w:rsidRPr="00A3111F" w:rsidRDefault="001A312E" w:rsidP="00614C9B">
      <w:pPr>
        <w:tabs>
          <w:tab w:val="left" w:pos="426"/>
          <w:tab w:val="left" w:pos="5080"/>
        </w:tabs>
        <w:suppressAutoHyphens/>
        <w:contextualSpacing/>
        <w:jc w:val="both"/>
        <w:rPr>
          <w:rFonts w:ascii="Arial" w:hAnsi="Arial" w:cs="Arial"/>
          <w:sz w:val="24"/>
          <w:szCs w:val="24"/>
        </w:rPr>
      </w:pPr>
    </w:p>
    <w:p w14:paraId="114F2CA6" w14:textId="5D083176" w:rsidR="003D56D5" w:rsidRPr="00A3111F" w:rsidRDefault="003D56D5" w:rsidP="00614C9B">
      <w:pPr>
        <w:numPr>
          <w:ilvl w:val="0"/>
          <w:numId w:val="3"/>
        </w:numPr>
        <w:tabs>
          <w:tab w:val="left" w:pos="426"/>
          <w:tab w:val="left" w:pos="5080"/>
        </w:tabs>
        <w:suppressAutoHyphens/>
        <w:ind w:left="0" w:firstLine="0"/>
        <w:contextualSpacing/>
        <w:jc w:val="both"/>
        <w:rPr>
          <w:rFonts w:ascii="Arial" w:hAnsi="Arial" w:cs="Arial"/>
          <w:b/>
          <w:bCs/>
          <w:i/>
          <w:iCs/>
          <w:sz w:val="24"/>
          <w:szCs w:val="24"/>
        </w:rPr>
      </w:pPr>
      <w:r w:rsidRPr="00A3111F">
        <w:rPr>
          <w:rFonts w:ascii="Arial" w:hAnsi="Arial" w:cs="Arial"/>
          <w:sz w:val="24"/>
          <w:szCs w:val="24"/>
        </w:rPr>
        <w:t>El conocimiento del control inmediato de legalidad de que trata el artículo 136 de la Ley 1437 de 18 de enero de 2011</w:t>
      </w:r>
      <w:r w:rsidRPr="00A3111F">
        <w:rPr>
          <w:rFonts w:ascii="Arial" w:hAnsi="Arial" w:cs="Arial"/>
          <w:sz w:val="24"/>
          <w:szCs w:val="24"/>
          <w:vertAlign w:val="superscript"/>
        </w:rPr>
        <w:footnoteReference w:id="2"/>
      </w:r>
      <w:r w:rsidRPr="00A3111F">
        <w:rPr>
          <w:rFonts w:ascii="Arial" w:hAnsi="Arial" w:cs="Arial"/>
          <w:sz w:val="24"/>
          <w:szCs w:val="24"/>
        </w:rPr>
        <w:t xml:space="preserve"> respecto de la Resolución indicada </w:t>
      </w:r>
      <w:r w:rsidRPr="00A3111F">
        <w:rPr>
          <w:rFonts w:ascii="Arial" w:hAnsi="Arial" w:cs="Arial"/>
          <w:i/>
          <w:iCs/>
          <w:sz w:val="24"/>
          <w:szCs w:val="24"/>
        </w:rPr>
        <w:t>supra</w:t>
      </w:r>
      <w:r w:rsidRPr="00A3111F">
        <w:rPr>
          <w:rFonts w:ascii="Arial" w:hAnsi="Arial" w:cs="Arial"/>
          <w:sz w:val="24"/>
          <w:szCs w:val="24"/>
        </w:rPr>
        <w:t xml:space="preserve">, le correspondió por reparto a este Despacho que, mediante auto de </w:t>
      </w:r>
      <w:r w:rsidR="00614C9B" w:rsidRPr="00A3111F">
        <w:rPr>
          <w:rFonts w:ascii="Arial" w:hAnsi="Arial" w:cs="Arial"/>
          <w:sz w:val="24"/>
          <w:szCs w:val="24"/>
        </w:rPr>
        <w:t>3</w:t>
      </w:r>
      <w:r w:rsidRPr="00A3111F">
        <w:rPr>
          <w:rFonts w:ascii="Arial" w:hAnsi="Arial" w:cs="Arial"/>
          <w:sz w:val="24"/>
          <w:szCs w:val="24"/>
        </w:rPr>
        <w:t xml:space="preserve"> de abril de 2020, resolvió avocar conocimiento, dentro del proceso de la referencia.</w:t>
      </w:r>
    </w:p>
    <w:p w14:paraId="7C989EC8" w14:textId="60A56DD5" w:rsidR="007F6D77" w:rsidRPr="00A3111F" w:rsidRDefault="007F6D77" w:rsidP="00614C9B">
      <w:pPr>
        <w:contextualSpacing/>
        <w:jc w:val="both"/>
        <w:rPr>
          <w:rFonts w:ascii="Arial" w:hAnsi="Arial" w:cs="Arial"/>
          <w:b/>
          <w:bCs/>
          <w:i/>
          <w:iCs/>
          <w:sz w:val="24"/>
          <w:szCs w:val="24"/>
        </w:rPr>
      </w:pPr>
    </w:p>
    <w:p w14:paraId="388A3358" w14:textId="1A6985ED" w:rsidR="00614C9B" w:rsidRPr="00A3111F" w:rsidRDefault="00614C9B" w:rsidP="00614C9B">
      <w:pPr>
        <w:tabs>
          <w:tab w:val="left" w:pos="426"/>
          <w:tab w:val="left" w:pos="5080"/>
        </w:tabs>
        <w:suppressAutoHyphens/>
        <w:contextualSpacing/>
        <w:jc w:val="both"/>
        <w:rPr>
          <w:rFonts w:ascii="Arial" w:hAnsi="Arial" w:cs="Arial"/>
          <w:b/>
          <w:bCs/>
          <w:i/>
          <w:iCs/>
          <w:sz w:val="24"/>
          <w:szCs w:val="24"/>
        </w:rPr>
      </w:pPr>
      <w:r w:rsidRPr="00A3111F">
        <w:rPr>
          <w:rFonts w:ascii="Arial" w:hAnsi="Arial" w:cs="Arial"/>
          <w:b/>
          <w:bCs/>
          <w:i/>
          <w:iCs/>
          <w:sz w:val="24"/>
          <w:szCs w:val="24"/>
        </w:rPr>
        <w:t>Decreto Legislativo núm. 580 de 15 de abril de 2020</w:t>
      </w:r>
    </w:p>
    <w:p w14:paraId="28E07FBA" w14:textId="77777777" w:rsidR="00614C9B" w:rsidRPr="00A3111F" w:rsidRDefault="00614C9B" w:rsidP="00614C9B">
      <w:pPr>
        <w:tabs>
          <w:tab w:val="left" w:pos="426"/>
          <w:tab w:val="left" w:pos="5080"/>
        </w:tabs>
        <w:suppressAutoHyphens/>
        <w:contextualSpacing/>
        <w:jc w:val="both"/>
        <w:rPr>
          <w:rFonts w:ascii="Arial" w:hAnsi="Arial" w:cs="Arial"/>
          <w:sz w:val="24"/>
          <w:szCs w:val="24"/>
        </w:rPr>
      </w:pPr>
    </w:p>
    <w:p w14:paraId="4790C45B" w14:textId="0BB5F2A4" w:rsidR="00614C9B" w:rsidRPr="00A3111F" w:rsidRDefault="00614C9B" w:rsidP="00614C9B">
      <w:pPr>
        <w:numPr>
          <w:ilvl w:val="0"/>
          <w:numId w:val="3"/>
        </w:numPr>
        <w:tabs>
          <w:tab w:val="left" w:pos="426"/>
          <w:tab w:val="left" w:pos="5080"/>
        </w:tabs>
        <w:suppressAutoHyphens/>
        <w:ind w:left="0" w:firstLine="0"/>
        <w:contextualSpacing/>
        <w:jc w:val="both"/>
        <w:rPr>
          <w:rFonts w:ascii="Arial" w:eastAsiaTheme="minorEastAsia" w:hAnsi="Arial" w:cs="Arial"/>
          <w:sz w:val="24"/>
          <w:szCs w:val="24"/>
        </w:rPr>
      </w:pPr>
      <w:r w:rsidRPr="00A3111F">
        <w:rPr>
          <w:rFonts w:ascii="Arial" w:eastAsia="Arial" w:hAnsi="Arial" w:cs="Arial"/>
          <w:sz w:val="24"/>
          <w:szCs w:val="24"/>
        </w:rPr>
        <w:t xml:space="preserve">El </w:t>
      </w:r>
      <w:proofErr w:type="gramStart"/>
      <w:r w:rsidRPr="00A3111F">
        <w:rPr>
          <w:rFonts w:ascii="Arial" w:eastAsia="Arial" w:hAnsi="Arial" w:cs="Arial"/>
          <w:sz w:val="24"/>
          <w:szCs w:val="24"/>
        </w:rPr>
        <w:t>Presidente</w:t>
      </w:r>
      <w:proofErr w:type="gramEnd"/>
      <w:r w:rsidRPr="00A3111F">
        <w:rPr>
          <w:rFonts w:ascii="Arial" w:eastAsia="Arial" w:hAnsi="Arial" w:cs="Arial"/>
          <w:sz w:val="24"/>
          <w:szCs w:val="24"/>
        </w:rPr>
        <w:t xml:space="preserve"> de la República, con la firma de todos los ministros, expidió el Decreto Legislativo núm. 580 de 15 de abril de 2020</w:t>
      </w:r>
      <w:r w:rsidRPr="00A3111F">
        <w:rPr>
          <w:rFonts w:ascii="Arial" w:eastAsia="Arial" w:hAnsi="Arial" w:cs="Arial"/>
          <w:i/>
          <w:iCs/>
          <w:sz w:val="24"/>
          <w:szCs w:val="24"/>
        </w:rPr>
        <w:t>, “[…] [p]</w:t>
      </w:r>
      <w:proofErr w:type="spellStart"/>
      <w:r w:rsidRPr="00A3111F">
        <w:rPr>
          <w:rFonts w:ascii="Arial" w:eastAsia="Arial" w:hAnsi="Arial" w:cs="Arial"/>
          <w:i/>
          <w:iCs/>
          <w:sz w:val="24"/>
          <w:szCs w:val="24"/>
        </w:rPr>
        <w:t>or</w:t>
      </w:r>
      <w:proofErr w:type="spellEnd"/>
      <w:r w:rsidRPr="00A3111F">
        <w:rPr>
          <w:rFonts w:ascii="Arial" w:eastAsia="Arial" w:hAnsi="Arial" w:cs="Arial"/>
          <w:i/>
          <w:iCs/>
          <w:sz w:val="24"/>
          <w:szCs w:val="24"/>
        </w:rPr>
        <w:t xml:space="preserve"> el cual se dictan medidas en materia de los servicios públicos de acueducto, alcantarillado y aseo, en el marco del Estado de Emergencia Económica, Social y Ecológica […]”.</w:t>
      </w:r>
    </w:p>
    <w:p w14:paraId="70F3156F" w14:textId="77777777" w:rsidR="00614C9B" w:rsidRPr="00A3111F" w:rsidRDefault="00614C9B" w:rsidP="00614C9B">
      <w:pPr>
        <w:contextualSpacing/>
        <w:jc w:val="both"/>
        <w:rPr>
          <w:rFonts w:ascii="Arial" w:hAnsi="Arial" w:cs="Arial"/>
          <w:b/>
          <w:bCs/>
          <w:i/>
          <w:iCs/>
          <w:sz w:val="24"/>
          <w:szCs w:val="24"/>
        </w:rPr>
      </w:pPr>
    </w:p>
    <w:p w14:paraId="4CFD0FDB" w14:textId="77777777" w:rsidR="00614C9B" w:rsidRPr="00A3111F" w:rsidRDefault="00614C9B" w:rsidP="00614C9B">
      <w:pPr>
        <w:jc w:val="both"/>
        <w:rPr>
          <w:rFonts w:ascii="Arial" w:eastAsia="Arial" w:hAnsi="Arial" w:cs="Arial"/>
          <w:b/>
          <w:bCs/>
          <w:i/>
          <w:iCs/>
          <w:sz w:val="24"/>
          <w:szCs w:val="24"/>
        </w:rPr>
      </w:pPr>
      <w:r w:rsidRPr="00A3111F">
        <w:rPr>
          <w:rFonts w:ascii="Arial" w:eastAsia="Arial" w:hAnsi="Arial" w:cs="Arial"/>
          <w:b/>
          <w:bCs/>
          <w:i/>
          <w:iCs/>
          <w:sz w:val="24"/>
          <w:szCs w:val="24"/>
        </w:rPr>
        <w:t>Decreto núm. 637 de 6 de mayo de 2020</w:t>
      </w:r>
    </w:p>
    <w:p w14:paraId="23562046" w14:textId="77777777" w:rsidR="00614C9B" w:rsidRPr="00A3111F" w:rsidRDefault="00614C9B" w:rsidP="00614C9B">
      <w:pPr>
        <w:tabs>
          <w:tab w:val="left" w:pos="426"/>
          <w:tab w:val="left" w:pos="5080"/>
        </w:tabs>
        <w:suppressAutoHyphens/>
        <w:jc w:val="both"/>
        <w:rPr>
          <w:rFonts w:ascii="Arial" w:eastAsiaTheme="minorEastAsia" w:hAnsi="Arial" w:cs="Arial"/>
          <w:sz w:val="24"/>
          <w:szCs w:val="24"/>
        </w:rPr>
      </w:pPr>
    </w:p>
    <w:p w14:paraId="3A20DD7E" w14:textId="77777777" w:rsidR="00614C9B" w:rsidRPr="00A3111F" w:rsidRDefault="00614C9B" w:rsidP="00614C9B">
      <w:pPr>
        <w:numPr>
          <w:ilvl w:val="0"/>
          <w:numId w:val="3"/>
        </w:numPr>
        <w:tabs>
          <w:tab w:val="left" w:pos="426"/>
          <w:tab w:val="left" w:pos="5080"/>
        </w:tabs>
        <w:suppressAutoHyphens/>
        <w:ind w:left="0" w:firstLine="0"/>
        <w:contextualSpacing/>
        <w:jc w:val="both"/>
        <w:rPr>
          <w:rFonts w:ascii="Arial" w:hAnsi="Arial" w:cs="Arial"/>
          <w:sz w:val="24"/>
          <w:szCs w:val="24"/>
        </w:rPr>
      </w:pPr>
      <w:r w:rsidRPr="00A3111F">
        <w:rPr>
          <w:rFonts w:ascii="Arial" w:hAnsi="Arial" w:cs="Arial"/>
          <w:sz w:val="24"/>
          <w:szCs w:val="24"/>
        </w:rPr>
        <w:t>El</w:t>
      </w:r>
      <w:r w:rsidRPr="00A3111F">
        <w:rPr>
          <w:rFonts w:ascii="Arial" w:eastAsia="Arial" w:hAnsi="Arial" w:cs="Arial"/>
          <w:sz w:val="24"/>
          <w:szCs w:val="24"/>
        </w:rPr>
        <w:t xml:space="preserve"> </w:t>
      </w:r>
      <w:proofErr w:type="gramStart"/>
      <w:r w:rsidRPr="00A3111F">
        <w:rPr>
          <w:rFonts w:ascii="Arial" w:eastAsia="Arial" w:hAnsi="Arial" w:cs="Arial"/>
          <w:sz w:val="24"/>
          <w:szCs w:val="24"/>
        </w:rPr>
        <w:t>Presidente</w:t>
      </w:r>
      <w:proofErr w:type="gramEnd"/>
      <w:r w:rsidRPr="00A3111F">
        <w:rPr>
          <w:rFonts w:ascii="Arial" w:eastAsia="Arial" w:hAnsi="Arial" w:cs="Arial"/>
          <w:sz w:val="24"/>
          <w:szCs w:val="24"/>
        </w:rPr>
        <w:t xml:space="preserve"> de la República, con la firma de todos los ministros, expidió el Decreto núm. 637 de 6 de mayo de 2020,</w:t>
      </w:r>
      <w:r w:rsidRPr="00A3111F">
        <w:rPr>
          <w:rFonts w:ascii="Arial" w:eastAsia="Arial" w:hAnsi="Arial" w:cs="Arial"/>
          <w:i/>
          <w:iCs/>
          <w:sz w:val="24"/>
          <w:szCs w:val="24"/>
        </w:rPr>
        <w:t xml:space="preserve"> “[…] [p]</w:t>
      </w:r>
      <w:proofErr w:type="spellStart"/>
      <w:r w:rsidRPr="00A3111F">
        <w:rPr>
          <w:rFonts w:ascii="Arial" w:eastAsia="Arial" w:hAnsi="Arial" w:cs="Arial"/>
          <w:i/>
          <w:iCs/>
          <w:sz w:val="24"/>
          <w:szCs w:val="24"/>
        </w:rPr>
        <w:t>or</w:t>
      </w:r>
      <w:proofErr w:type="spellEnd"/>
      <w:r w:rsidRPr="00A3111F">
        <w:rPr>
          <w:rFonts w:ascii="Arial" w:eastAsia="Arial" w:hAnsi="Arial" w:cs="Arial"/>
          <w:i/>
          <w:iCs/>
          <w:sz w:val="24"/>
          <w:szCs w:val="24"/>
        </w:rPr>
        <w:t xml:space="preserve"> el cual se declara un Estado de Emergencia Económica, Social y Ecológica en todo el territorio Nacional […]”.</w:t>
      </w:r>
    </w:p>
    <w:p w14:paraId="60D598C4" w14:textId="0DE4D60D" w:rsidR="00614C9B" w:rsidRPr="00A3111F" w:rsidRDefault="00614C9B" w:rsidP="00614C9B">
      <w:pPr>
        <w:contextualSpacing/>
        <w:jc w:val="both"/>
        <w:rPr>
          <w:rFonts w:ascii="Arial" w:hAnsi="Arial" w:cs="Arial"/>
          <w:b/>
          <w:bCs/>
          <w:i/>
          <w:iCs/>
          <w:sz w:val="24"/>
          <w:szCs w:val="24"/>
        </w:rPr>
      </w:pPr>
    </w:p>
    <w:p w14:paraId="1EF466AC" w14:textId="77777777" w:rsidR="00614C9B" w:rsidRPr="00A3111F" w:rsidRDefault="00614C9B" w:rsidP="00614C9B">
      <w:pPr>
        <w:contextualSpacing/>
        <w:jc w:val="both"/>
        <w:rPr>
          <w:rFonts w:ascii="Arial" w:hAnsi="Arial" w:cs="Arial"/>
          <w:b/>
          <w:bCs/>
          <w:i/>
          <w:iCs/>
          <w:sz w:val="24"/>
          <w:szCs w:val="24"/>
        </w:rPr>
      </w:pPr>
    </w:p>
    <w:p w14:paraId="3E09A3C1" w14:textId="762E1481" w:rsidR="008D19D1" w:rsidRPr="00A3111F" w:rsidRDefault="00614C9B" w:rsidP="00614C9B">
      <w:pPr>
        <w:contextualSpacing/>
        <w:jc w:val="both"/>
        <w:rPr>
          <w:rFonts w:ascii="Arial" w:hAnsi="Arial" w:cs="Arial"/>
          <w:b/>
          <w:bCs/>
          <w:i/>
          <w:iCs/>
          <w:sz w:val="24"/>
          <w:szCs w:val="24"/>
        </w:rPr>
      </w:pPr>
      <w:r w:rsidRPr="00A3111F">
        <w:rPr>
          <w:rFonts w:ascii="Arial" w:hAnsi="Arial" w:cs="Arial"/>
          <w:b/>
          <w:bCs/>
          <w:i/>
          <w:iCs/>
          <w:sz w:val="24"/>
          <w:szCs w:val="24"/>
        </w:rPr>
        <w:t>Resolución núm. CRA 921 de 16 de junio de 2020</w:t>
      </w:r>
    </w:p>
    <w:p w14:paraId="6CB1E47A" w14:textId="77777777" w:rsidR="00BA6119" w:rsidRPr="00A3111F" w:rsidRDefault="00BA6119" w:rsidP="00614C9B">
      <w:pPr>
        <w:pStyle w:val="Sinespaciado"/>
        <w:contextualSpacing/>
        <w:rPr>
          <w:rFonts w:ascii="Arial" w:hAnsi="Arial" w:cs="Arial"/>
          <w:b/>
          <w:sz w:val="24"/>
          <w:szCs w:val="24"/>
          <w:lang w:val="es-CO"/>
        </w:rPr>
      </w:pPr>
    </w:p>
    <w:p w14:paraId="30766334" w14:textId="76F944BB" w:rsidR="00BA6119" w:rsidRPr="00A3111F" w:rsidRDefault="1102B33F" w:rsidP="181E2151">
      <w:pPr>
        <w:numPr>
          <w:ilvl w:val="0"/>
          <w:numId w:val="3"/>
        </w:numPr>
        <w:tabs>
          <w:tab w:val="left" w:pos="426"/>
          <w:tab w:val="left" w:pos="5080"/>
        </w:tabs>
        <w:suppressAutoHyphens/>
        <w:ind w:left="0" w:firstLine="0"/>
        <w:contextualSpacing/>
        <w:jc w:val="both"/>
        <w:rPr>
          <w:rFonts w:ascii="Arial" w:hAnsi="Arial" w:cs="Arial"/>
          <w:i/>
          <w:iCs/>
          <w:sz w:val="24"/>
          <w:szCs w:val="24"/>
        </w:rPr>
      </w:pPr>
      <w:r w:rsidRPr="00A3111F">
        <w:rPr>
          <w:rFonts w:ascii="Arial" w:hAnsi="Arial" w:cs="Arial"/>
          <w:sz w:val="24"/>
          <w:szCs w:val="24"/>
        </w:rPr>
        <w:t xml:space="preserve">El </w:t>
      </w:r>
      <w:proofErr w:type="gramStart"/>
      <w:r w:rsidR="00614C9B" w:rsidRPr="00A3111F">
        <w:rPr>
          <w:rFonts w:ascii="Arial" w:hAnsi="Arial" w:cs="Arial"/>
          <w:sz w:val="24"/>
          <w:szCs w:val="24"/>
        </w:rPr>
        <w:t>Presidente</w:t>
      </w:r>
      <w:proofErr w:type="gramEnd"/>
      <w:r w:rsidR="00614C9B" w:rsidRPr="00A3111F">
        <w:rPr>
          <w:rFonts w:ascii="Arial" w:hAnsi="Arial" w:cs="Arial"/>
          <w:sz w:val="24"/>
          <w:szCs w:val="24"/>
        </w:rPr>
        <w:t xml:space="preserve"> y el Director Ejecutivo de la Comisión de Regulación de Agua Potable y Saneamiento Básico</w:t>
      </w:r>
      <w:r w:rsidR="00BA6119" w:rsidRPr="00A3111F">
        <w:rPr>
          <w:rFonts w:ascii="Arial" w:hAnsi="Arial" w:cs="Arial"/>
          <w:sz w:val="24"/>
          <w:szCs w:val="24"/>
        </w:rPr>
        <w:t xml:space="preserve"> expidi</w:t>
      </w:r>
      <w:r w:rsidR="008F3FAE" w:rsidRPr="00A3111F">
        <w:rPr>
          <w:rFonts w:ascii="Arial" w:hAnsi="Arial" w:cs="Arial"/>
          <w:sz w:val="24"/>
          <w:szCs w:val="24"/>
        </w:rPr>
        <w:t>eron</w:t>
      </w:r>
      <w:r w:rsidR="00BA6119" w:rsidRPr="00A3111F">
        <w:rPr>
          <w:rFonts w:ascii="Arial" w:hAnsi="Arial" w:cs="Arial"/>
          <w:sz w:val="24"/>
          <w:szCs w:val="24"/>
        </w:rPr>
        <w:t xml:space="preserve"> la Resolución </w:t>
      </w:r>
      <w:r w:rsidR="00614C9B" w:rsidRPr="00A3111F">
        <w:rPr>
          <w:rFonts w:ascii="Arial" w:hAnsi="Arial" w:cs="Arial"/>
          <w:sz w:val="24"/>
          <w:szCs w:val="24"/>
        </w:rPr>
        <w:t>núm. CRA 921 de 16 de junio de</w:t>
      </w:r>
      <w:r w:rsidR="00BA6119" w:rsidRPr="00A3111F">
        <w:rPr>
          <w:rFonts w:ascii="Arial" w:hAnsi="Arial" w:cs="Arial"/>
          <w:sz w:val="24"/>
          <w:szCs w:val="24"/>
        </w:rPr>
        <w:t xml:space="preserve"> 2020, </w:t>
      </w:r>
      <w:r w:rsidR="00BA6119" w:rsidRPr="00A3111F">
        <w:rPr>
          <w:rFonts w:ascii="Arial" w:hAnsi="Arial" w:cs="Arial"/>
          <w:i/>
          <w:iCs/>
          <w:sz w:val="24"/>
          <w:szCs w:val="24"/>
        </w:rPr>
        <w:t xml:space="preserve">“[…] </w:t>
      </w:r>
      <w:r w:rsidR="00614C9B" w:rsidRPr="00A3111F">
        <w:rPr>
          <w:rFonts w:ascii="Arial" w:hAnsi="Arial" w:cs="Arial"/>
          <w:b/>
          <w:bCs/>
          <w:i/>
          <w:iCs/>
          <w:sz w:val="24"/>
          <w:szCs w:val="24"/>
        </w:rPr>
        <w:t>[p]</w:t>
      </w:r>
      <w:proofErr w:type="spellStart"/>
      <w:r w:rsidR="00614C9B" w:rsidRPr="00A3111F">
        <w:rPr>
          <w:rFonts w:ascii="Arial" w:hAnsi="Arial" w:cs="Arial"/>
          <w:b/>
          <w:bCs/>
          <w:i/>
          <w:iCs/>
          <w:sz w:val="24"/>
          <w:szCs w:val="24"/>
        </w:rPr>
        <w:t>or</w:t>
      </w:r>
      <w:proofErr w:type="spellEnd"/>
      <w:r w:rsidR="00614C9B" w:rsidRPr="00A3111F">
        <w:rPr>
          <w:rFonts w:ascii="Arial" w:hAnsi="Arial" w:cs="Arial"/>
          <w:b/>
          <w:bCs/>
          <w:i/>
          <w:iCs/>
          <w:sz w:val="24"/>
          <w:szCs w:val="24"/>
        </w:rPr>
        <w:t xml:space="preserve"> la cual se deroga el artículo 7 y se modifican los artículos 8 y 9 de la Resolución CRA 911 de 2020</w:t>
      </w:r>
      <w:r w:rsidR="00614C9B" w:rsidRPr="00A3111F">
        <w:rPr>
          <w:rFonts w:ascii="Arial" w:hAnsi="Arial" w:cs="Arial"/>
          <w:i/>
          <w:iCs/>
          <w:sz w:val="24"/>
          <w:szCs w:val="24"/>
        </w:rPr>
        <w:t xml:space="preserve"> </w:t>
      </w:r>
      <w:r w:rsidR="00BA6119" w:rsidRPr="00A3111F">
        <w:rPr>
          <w:rFonts w:ascii="Arial" w:hAnsi="Arial" w:cs="Arial"/>
          <w:i/>
          <w:iCs/>
          <w:sz w:val="24"/>
          <w:szCs w:val="24"/>
        </w:rPr>
        <w:t>[…]”</w:t>
      </w:r>
      <w:r w:rsidR="003D56D5" w:rsidRPr="00A3111F">
        <w:rPr>
          <w:rFonts w:ascii="Arial" w:hAnsi="Arial" w:cs="Arial"/>
          <w:i/>
          <w:iCs/>
          <w:sz w:val="24"/>
          <w:szCs w:val="24"/>
        </w:rPr>
        <w:t xml:space="preserve"> </w:t>
      </w:r>
      <w:r w:rsidR="003D56D5" w:rsidRPr="00A3111F">
        <w:rPr>
          <w:rFonts w:ascii="Arial" w:hAnsi="Arial" w:cs="Arial"/>
          <w:sz w:val="24"/>
          <w:szCs w:val="24"/>
        </w:rPr>
        <w:t>(Destacado fuera de texto)</w:t>
      </w:r>
      <w:r w:rsidR="00BA6119" w:rsidRPr="00A3111F">
        <w:rPr>
          <w:rFonts w:ascii="Arial" w:hAnsi="Arial" w:cs="Arial"/>
          <w:i/>
          <w:iCs/>
          <w:sz w:val="24"/>
          <w:szCs w:val="24"/>
        </w:rPr>
        <w:t>.</w:t>
      </w:r>
    </w:p>
    <w:p w14:paraId="53CE9DCF" w14:textId="77777777" w:rsidR="00BA6119" w:rsidRPr="00A3111F" w:rsidRDefault="00BA6119" w:rsidP="00614C9B">
      <w:pPr>
        <w:tabs>
          <w:tab w:val="left" w:pos="426"/>
          <w:tab w:val="left" w:pos="5080"/>
        </w:tabs>
        <w:suppressAutoHyphens/>
        <w:contextualSpacing/>
        <w:jc w:val="both"/>
        <w:rPr>
          <w:rFonts w:ascii="Arial" w:hAnsi="Arial" w:cs="Arial"/>
          <w:i/>
          <w:iCs/>
          <w:sz w:val="24"/>
          <w:szCs w:val="24"/>
        </w:rPr>
      </w:pPr>
    </w:p>
    <w:p w14:paraId="4C61DF01" w14:textId="58E9BC5B" w:rsidR="00BA6119" w:rsidRPr="00A3111F" w:rsidRDefault="003D56D5" w:rsidP="00614C9B">
      <w:pPr>
        <w:numPr>
          <w:ilvl w:val="0"/>
          <w:numId w:val="3"/>
        </w:numPr>
        <w:tabs>
          <w:tab w:val="left" w:pos="426"/>
          <w:tab w:val="left" w:pos="5080"/>
        </w:tabs>
        <w:suppressAutoHyphens/>
        <w:ind w:left="0" w:firstLine="0"/>
        <w:contextualSpacing/>
        <w:jc w:val="both"/>
        <w:rPr>
          <w:rFonts w:ascii="Arial" w:hAnsi="Arial" w:cs="Arial"/>
          <w:i/>
          <w:iCs/>
          <w:sz w:val="24"/>
          <w:szCs w:val="24"/>
        </w:rPr>
      </w:pPr>
      <w:r w:rsidRPr="00A3111F">
        <w:rPr>
          <w:rFonts w:ascii="Arial" w:hAnsi="Arial" w:cs="Arial"/>
          <w:sz w:val="24"/>
          <w:szCs w:val="24"/>
        </w:rPr>
        <w:t xml:space="preserve">El conocimiento del control inmediato de legalidad de que trata el artículo 136 de la Ley 1437 respecto de la Resolución indicada </w:t>
      </w:r>
      <w:r w:rsidRPr="00A3111F">
        <w:rPr>
          <w:rFonts w:ascii="Arial" w:hAnsi="Arial" w:cs="Arial"/>
          <w:i/>
          <w:iCs/>
          <w:sz w:val="24"/>
          <w:szCs w:val="24"/>
        </w:rPr>
        <w:t xml:space="preserve">supra, </w:t>
      </w:r>
      <w:r w:rsidRPr="00A3111F">
        <w:rPr>
          <w:rFonts w:ascii="Arial" w:hAnsi="Arial" w:cs="Arial"/>
          <w:sz w:val="24"/>
          <w:szCs w:val="24"/>
        </w:rPr>
        <w:t xml:space="preserve">le correspondió por reparto al Despacho del Consejero de Estado, Doctor </w:t>
      </w:r>
      <w:r w:rsidR="00614C9B" w:rsidRPr="00A3111F">
        <w:rPr>
          <w:rFonts w:ascii="Arial" w:hAnsi="Arial" w:cs="Arial"/>
          <w:sz w:val="24"/>
          <w:szCs w:val="24"/>
        </w:rPr>
        <w:t>Luis Alberto Álvarez Parra</w:t>
      </w:r>
      <w:r w:rsidRPr="00A3111F">
        <w:rPr>
          <w:rFonts w:ascii="Arial" w:hAnsi="Arial" w:cs="Arial"/>
          <w:sz w:val="24"/>
          <w:szCs w:val="24"/>
        </w:rPr>
        <w:t>, quien, mediante</w:t>
      </w:r>
      <w:r w:rsidR="006F2FC7" w:rsidRPr="00A3111F">
        <w:rPr>
          <w:rFonts w:ascii="Arial" w:hAnsi="Arial" w:cs="Arial"/>
          <w:sz w:val="24"/>
          <w:szCs w:val="24"/>
        </w:rPr>
        <w:t xml:space="preserve"> </w:t>
      </w:r>
      <w:r w:rsidRPr="00A3111F">
        <w:rPr>
          <w:rFonts w:ascii="Arial" w:hAnsi="Arial" w:cs="Arial"/>
          <w:sz w:val="24"/>
          <w:szCs w:val="24"/>
        </w:rPr>
        <w:t xml:space="preserve">auto </w:t>
      </w:r>
      <w:r w:rsidR="006F2FC7" w:rsidRPr="00A3111F">
        <w:rPr>
          <w:rFonts w:ascii="Arial" w:hAnsi="Arial" w:cs="Arial"/>
          <w:sz w:val="24"/>
          <w:szCs w:val="24"/>
        </w:rPr>
        <w:t xml:space="preserve">de </w:t>
      </w:r>
      <w:r w:rsidR="00614C9B" w:rsidRPr="00A3111F">
        <w:rPr>
          <w:rFonts w:ascii="Arial" w:hAnsi="Arial" w:cs="Arial"/>
          <w:sz w:val="24"/>
          <w:szCs w:val="24"/>
        </w:rPr>
        <w:t>6 de julio</w:t>
      </w:r>
      <w:r w:rsidR="00BA6119" w:rsidRPr="00A3111F">
        <w:rPr>
          <w:rFonts w:ascii="Arial" w:hAnsi="Arial" w:cs="Arial"/>
          <w:sz w:val="24"/>
          <w:szCs w:val="24"/>
        </w:rPr>
        <w:t xml:space="preserve"> de 2020,</w:t>
      </w:r>
      <w:r w:rsidR="006F2FC7" w:rsidRPr="00A3111F">
        <w:rPr>
          <w:rFonts w:ascii="Arial" w:hAnsi="Arial" w:cs="Arial"/>
          <w:sz w:val="24"/>
          <w:szCs w:val="24"/>
        </w:rPr>
        <w:t xml:space="preserve"> dispuso</w:t>
      </w:r>
      <w:r w:rsidR="004C0490" w:rsidRPr="00A3111F">
        <w:rPr>
          <w:rFonts w:ascii="Arial" w:hAnsi="Arial" w:cs="Arial"/>
          <w:sz w:val="24"/>
          <w:szCs w:val="24"/>
        </w:rPr>
        <w:t xml:space="preserve"> </w:t>
      </w:r>
      <w:r w:rsidR="00614C9B" w:rsidRPr="00A3111F">
        <w:rPr>
          <w:rFonts w:ascii="Arial" w:hAnsi="Arial" w:cs="Arial"/>
          <w:i/>
          <w:iCs/>
          <w:sz w:val="24"/>
          <w:szCs w:val="24"/>
        </w:rPr>
        <w:t xml:space="preserve">“[…] REMITIR el presente medio de control inmediato de legalidad, con radicación No. 1001-03-15-000- 2020-02849-00, al Despacho del honorable Magistrado Dr. Hernando Sánchez </w:t>
      </w:r>
      <w:proofErr w:type="spellStart"/>
      <w:r w:rsidR="00614C9B" w:rsidRPr="00A3111F">
        <w:rPr>
          <w:rFonts w:ascii="Arial" w:hAnsi="Arial" w:cs="Arial"/>
          <w:i/>
          <w:iCs/>
          <w:sz w:val="24"/>
          <w:szCs w:val="24"/>
        </w:rPr>
        <w:t>Sánchez</w:t>
      </w:r>
      <w:proofErr w:type="spellEnd"/>
      <w:r w:rsidR="00614C9B" w:rsidRPr="00A3111F">
        <w:rPr>
          <w:rFonts w:ascii="Arial" w:hAnsi="Arial" w:cs="Arial"/>
          <w:i/>
          <w:iCs/>
          <w:sz w:val="24"/>
          <w:szCs w:val="24"/>
        </w:rPr>
        <w:t xml:space="preserve">, para efectos de decidir sobre su posible acumulación al proceso identificado con el número 11001-03-15-000-2020-00946-00 </w:t>
      </w:r>
      <w:r w:rsidR="006F2FC7" w:rsidRPr="00A3111F">
        <w:rPr>
          <w:rFonts w:ascii="Arial" w:hAnsi="Arial" w:cs="Arial"/>
          <w:i/>
          <w:iCs/>
          <w:sz w:val="24"/>
          <w:szCs w:val="24"/>
        </w:rPr>
        <w:t>[…]”.</w:t>
      </w:r>
    </w:p>
    <w:p w14:paraId="626DDBF4" w14:textId="77777777" w:rsidR="00556AC7" w:rsidRPr="00A3111F" w:rsidRDefault="00556AC7" w:rsidP="00614C9B">
      <w:pPr>
        <w:tabs>
          <w:tab w:val="left" w:pos="426"/>
          <w:tab w:val="left" w:pos="5080"/>
        </w:tabs>
        <w:suppressAutoHyphens/>
        <w:contextualSpacing/>
        <w:jc w:val="both"/>
        <w:rPr>
          <w:rFonts w:ascii="Arial" w:hAnsi="Arial" w:cs="Arial"/>
          <w:sz w:val="24"/>
          <w:szCs w:val="24"/>
        </w:rPr>
      </w:pPr>
    </w:p>
    <w:p w14:paraId="48C2C53A" w14:textId="77777777" w:rsidR="008C26F9" w:rsidRPr="00A3111F" w:rsidRDefault="008C26F9" w:rsidP="00614C9B">
      <w:pPr>
        <w:ind w:left="360"/>
        <w:contextualSpacing/>
        <w:jc w:val="center"/>
        <w:rPr>
          <w:rFonts w:ascii="Arial" w:hAnsi="Arial" w:cs="Arial"/>
          <w:b/>
          <w:sz w:val="24"/>
          <w:szCs w:val="24"/>
        </w:rPr>
      </w:pPr>
      <w:r w:rsidRPr="00A3111F">
        <w:rPr>
          <w:rFonts w:ascii="Arial" w:hAnsi="Arial" w:cs="Arial"/>
          <w:b/>
          <w:sz w:val="24"/>
          <w:szCs w:val="24"/>
        </w:rPr>
        <w:t>II. CONSIDERACIONES</w:t>
      </w:r>
    </w:p>
    <w:p w14:paraId="73152DF7" w14:textId="77777777" w:rsidR="008C26F9" w:rsidRPr="00A3111F" w:rsidRDefault="008C26F9" w:rsidP="00614C9B">
      <w:pPr>
        <w:contextualSpacing/>
        <w:jc w:val="both"/>
        <w:rPr>
          <w:rFonts w:ascii="Arial" w:hAnsi="Arial" w:cs="Arial"/>
          <w:bCs/>
          <w:sz w:val="24"/>
          <w:szCs w:val="24"/>
        </w:rPr>
      </w:pPr>
    </w:p>
    <w:p w14:paraId="0E914C27" w14:textId="6237809A" w:rsidR="00662326" w:rsidRPr="00A3111F" w:rsidRDefault="006C0CF3" w:rsidP="00614C9B">
      <w:pPr>
        <w:pStyle w:val="Prrafodelista"/>
        <w:numPr>
          <w:ilvl w:val="0"/>
          <w:numId w:val="3"/>
        </w:numPr>
        <w:tabs>
          <w:tab w:val="left" w:pos="426"/>
        </w:tabs>
        <w:spacing w:after="0" w:line="360" w:lineRule="auto"/>
        <w:ind w:left="0" w:firstLine="0"/>
        <w:jc w:val="both"/>
        <w:rPr>
          <w:rFonts w:ascii="Arial" w:hAnsi="Arial" w:cs="Arial"/>
          <w:bCs/>
          <w:sz w:val="24"/>
          <w:szCs w:val="24"/>
        </w:rPr>
      </w:pPr>
      <w:r w:rsidRPr="00A3111F">
        <w:rPr>
          <w:rFonts w:ascii="Arial" w:hAnsi="Arial" w:cs="Arial"/>
          <w:bCs/>
          <w:sz w:val="24"/>
          <w:szCs w:val="24"/>
        </w:rPr>
        <w:t xml:space="preserve">El Despacho abordará el estudio de las consideraciones en las siguientes partes: i) </w:t>
      </w:r>
      <w:r w:rsidR="004C01B0" w:rsidRPr="00A3111F">
        <w:rPr>
          <w:rFonts w:ascii="Arial" w:hAnsi="Arial" w:cs="Arial"/>
          <w:bCs/>
          <w:sz w:val="24"/>
          <w:szCs w:val="24"/>
        </w:rPr>
        <w:t xml:space="preserve">competencia; </w:t>
      </w:r>
      <w:proofErr w:type="spellStart"/>
      <w:r w:rsidR="004C01B0" w:rsidRPr="00A3111F">
        <w:rPr>
          <w:rFonts w:ascii="Arial" w:hAnsi="Arial" w:cs="Arial"/>
          <w:bCs/>
          <w:sz w:val="24"/>
          <w:szCs w:val="24"/>
        </w:rPr>
        <w:t>ii</w:t>
      </w:r>
      <w:proofErr w:type="spellEnd"/>
      <w:r w:rsidR="004C01B0" w:rsidRPr="00A3111F">
        <w:rPr>
          <w:rFonts w:ascii="Arial" w:hAnsi="Arial" w:cs="Arial"/>
          <w:bCs/>
          <w:sz w:val="24"/>
          <w:szCs w:val="24"/>
        </w:rPr>
        <w:t xml:space="preserve">) </w:t>
      </w:r>
      <w:r w:rsidRPr="00A3111F">
        <w:rPr>
          <w:rFonts w:ascii="Arial" w:hAnsi="Arial" w:cs="Arial"/>
          <w:bCs/>
          <w:sz w:val="24"/>
          <w:szCs w:val="24"/>
        </w:rPr>
        <w:t xml:space="preserve">marco normativo </w:t>
      </w:r>
      <w:r w:rsidR="0004122D" w:rsidRPr="00A3111F">
        <w:rPr>
          <w:rFonts w:ascii="Arial" w:hAnsi="Arial" w:cs="Arial"/>
          <w:bCs/>
          <w:sz w:val="24"/>
          <w:szCs w:val="24"/>
        </w:rPr>
        <w:t xml:space="preserve">y características </w:t>
      </w:r>
      <w:r w:rsidRPr="00A3111F">
        <w:rPr>
          <w:rFonts w:ascii="Arial" w:hAnsi="Arial" w:cs="Arial"/>
          <w:bCs/>
          <w:sz w:val="24"/>
          <w:szCs w:val="24"/>
        </w:rPr>
        <w:t>del medio de control inmediato de legalidad; ii</w:t>
      </w:r>
      <w:r w:rsidR="004C01B0" w:rsidRPr="00A3111F">
        <w:rPr>
          <w:rFonts w:ascii="Arial" w:hAnsi="Arial" w:cs="Arial"/>
          <w:bCs/>
          <w:sz w:val="24"/>
          <w:szCs w:val="24"/>
        </w:rPr>
        <w:t>i</w:t>
      </w:r>
      <w:r w:rsidRPr="00A3111F">
        <w:rPr>
          <w:rFonts w:ascii="Arial" w:hAnsi="Arial" w:cs="Arial"/>
          <w:bCs/>
          <w:sz w:val="24"/>
          <w:szCs w:val="24"/>
        </w:rPr>
        <w:t xml:space="preserve">) </w:t>
      </w:r>
      <w:r w:rsidR="00B451F8" w:rsidRPr="00A3111F">
        <w:rPr>
          <w:rFonts w:ascii="Arial" w:hAnsi="Arial" w:cs="Arial"/>
          <w:bCs/>
          <w:sz w:val="24"/>
          <w:szCs w:val="24"/>
        </w:rPr>
        <w:t xml:space="preserve">marco normativo del </w:t>
      </w:r>
      <w:r w:rsidR="00A17A36" w:rsidRPr="00A3111F">
        <w:rPr>
          <w:rFonts w:ascii="Arial" w:hAnsi="Arial" w:cs="Arial"/>
          <w:bCs/>
          <w:sz w:val="24"/>
          <w:szCs w:val="24"/>
        </w:rPr>
        <w:t>proce</w:t>
      </w:r>
      <w:r w:rsidR="00127411" w:rsidRPr="00A3111F">
        <w:rPr>
          <w:rFonts w:ascii="Arial" w:hAnsi="Arial" w:cs="Arial"/>
          <w:bCs/>
          <w:sz w:val="24"/>
          <w:szCs w:val="24"/>
        </w:rPr>
        <w:t>dimiento</w:t>
      </w:r>
      <w:r w:rsidR="00B451F8" w:rsidRPr="00A3111F">
        <w:rPr>
          <w:rFonts w:ascii="Arial" w:hAnsi="Arial" w:cs="Arial"/>
          <w:bCs/>
          <w:sz w:val="24"/>
          <w:szCs w:val="24"/>
        </w:rPr>
        <w:t xml:space="preserve"> del medio de control inmediato de legalidad</w:t>
      </w:r>
      <w:r w:rsidRPr="00A3111F">
        <w:rPr>
          <w:rFonts w:ascii="Arial" w:hAnsi="Arial" w:cs="Arial"/>
          <w:bCs/>
          <w:sz w:val="24"/>
          <w:szCs w:val="24"/>
        </w:rPr>
        <w:t>;</w:t>
      </w:r>
      <w:r w:rsidR="00B474DF" w:rsidRPr="00A3111F">
        <w:rPr>
          <w:rFonts w:ascii="Arial" w:hAnsi="Arial" w:cs="Arial"/>
          <w:bCs/>
          <w:sz w:val="24"/>
          <w:szCs w:val="24"/>
        </w:rPr>
        <w:t xml:space="preserve"> </w:t>
      </w:r>
      <w:proofErr w:type="spellStart"/>
      <w:r w:rsidR="0004122D" w:rsidRPr="00A3111F">
        <w:rPr>
          <w:rFonts w:ascii="Arial" w:hAnsi="Arial" w:cs="Arial"/>
          <w:bCs/>
          <w:sz w:val="24"/>
          <w:szCs w:val="24"/>
        </w:rPr>
        <w:t>i</w:t>
      </w:r>
      <w:r w:rsidRPr="00A3111F">
        <w:rPr>
          <w:rFonts w:ascii="Arial" w:hAnsi="Arial" w:cs="Arial"/>
          <w:bCs/>
          <w:sz w:val="24"/>
          <w:szCs w:val="24"/>
        </w:rPr>
        <w:t>v</w:t>
      </w:r>
      <w:proofErr w:type="spellEnd"/>
      <w:r w:rsidRPr="00A3111F">
        <w:rPr>
          <w:rFonts w:ascii="Arial" w:hAnsi="Arial" w:cs="Arial"/>
          <w:bCs/>
          <w:sz w:val="24"/>
          <w:szCs w:val="24"/>
        </w:rPr>
        <w:t xml:space="preserve">) </w:t>
      </w:r>
      <w:r w:rsidR="002B6366" w:rsidRPr="00A3111F">
        <w:rPr>
          <w:rFonts w:ascii="Arial" w:hAnsi="Arial" w:cs="Arial"/>
          <w:bCs/>
          <w:sz w:val="24"/>
          <w:szCs w:val="24"/>
          <w:lang w:val="es"/>
        </w:rPr>
        <w:t>u</w:t>
      </w:r>
      <w:r w:rsidR="009E708E" w:rsidRPr="00A3111F">
        <w:rPr>
          <w:rFonts w:ascii="Arial" w:hAnsi="Arial" w:cs="Arial"/>
          <w:bCs/>
          <w:sz w:val="24"/>
          <w:szCs w:val="24"/>
          <w:lang w:val="es"/>
        </w:rPr>
        <w:t>so de las tecnologías de la información y las comunicaciones</w:t>
      </w:r>
      <w:r w:rsidR="007F417D" w:rsidRPr="00A3111F">
        <w:rPr>
          <w:rFonts w:ascii="Arial" w:hAnsi="Arial" w:cs="Arial"/>
          <w:bCs/>
          <w:sz w:val="24"/>
          <w:szCs w:val="24"/>
        </w:rPr>
        <w:t xml:space="preserve">; </w:t>
      </w:r>
      <w:r w:rsidR="00814FE2" w:rsidRPr="00A3111F">
        <w:rPr>
          <w:rFonts w:ascii="Arial" w:hAnsi="Arial" w:cs="Arial"/>
          <w:bCs/>
          <w:sz w:val="24"/>
          <w:szCs w:val="24"/>
        </w:rPr>
        <w:t xml:space="preserve">y </w:t>
      </w:r>
      <w:r w:rsidR="007F417D" w:rsidRPr="00A3111F">
        <w:rPr>
          <w:rFonts w:ascii="Arial" w:hAnsi="Arial" w:cs="Arial"/>
          <w:bCs/>
          <w:sz w:val="24"/>
          <w:szCs w:val="24"/>
        </w:rPr>
        <w:t>v)</w:t>
      </w:r>
      <w:r w:rsidR="003457FA" w:rsidRPr="00A3111F">
        <w:rPr>
          <w:rFonts w:ascii="Arial" w:hAnsi="Arial" w:cs="Arial"/>
          <w:bCs/>
          <w:sz w:val="24"/>
          <w:szCs w:val="24"/>
        </w:rPr>
        <w:t xml:space="preserve"> </w:t>
      </w:r>
      <w:r w:rsidR="0004122D" w:rsidRPr="00A3111F">
        <w:rPr>
          <w:rFonts w:ascii="Arial" w:hAnsi="Arial" w:cs="Arial"/>
          <w:bCs/>
          <w:sz w:val="24"/>
          <w:szCs w:val="24"/>
        </w:rPr>
        <w:t>el análisis</w:t>
      </w:r>
      <w:r w:rsidR="003457FA" w:rsidRPr="00A3111F">
        <w:rPr>
          <w:rFonts w:ascii="Arial" w:hAnsi="Arial" w:cs="Arial"/>
          <w:bCs/>
          <w:sz w:val="24"/>
          <w:szCs w:val="24"/>
        </w:rPr>
        <w:t xml:space="preserve"> del</w:t>
      </w:r>
      <w:r w:rsidR="007F417D" w:rsidRPr="00A3111F">
        <w:rPr>
          <w:rFonts w:ascii="Arial" w:hAnsi="Arial" w:cs="Arial"/>
          <w:bCs/>
          <w:sz w:val="24"/>
          <w:szCs w:val="24"/>
        </w:rPr>
        <w:t xml:space="preserve"> </w:t>
      </w:r>
      <w:r w:rsidR="00814FE2" w:rsidRPr="00A3111F">
        <w:rPr>
          <w:rFonts w:ascii="Arial" w:hAnsi="Arial" w:cs="Arial"/>
          <w:bCs/>
          <w:sz w:val="24"/>
          <w:szCs w:val="24"/>
        </w:rPr>
        <w:t>caso concreto</w:t>
      </w:r>
      <w:r w:rsidR="007F417D" w:rsidRPr="00A3111F">
        <w:rPr>
          <w:rFonts w:ascii="Arial" w:hAnsi="Arial" w:cs="Arial"/>
          <w:bCs/>
          <w:sz w:val="24"/>
          <w:szCs w:val="24"/>
        </w:rPr>
        <w:t>.</w:t>
      </w:r>
    </w:p>
    <w:p w14:paraId="5D6BF5B5" w14:textId="77777777" w:rsidR="00614C9B" w:rsidRPr="00A3111F" w:rsidRDefault="00614C9B">
      <w:pPr>
        <w:rPr>
          <w:rFonts w:ascii="Arial" w:eastAsia="Times New Roman" w:hAnsi="Arial" w:cs="Arial"/>
          <w:b/>
          <w:bCs/>
          <w:sz w:val="24"/>
          <w:szCs w:val="24"/>
          <w:lang w:eastAsia="es-ES"/>
        </w:rPr>
      </w:pPr>
      <w:r w:rsidRPr="00A3111F">
        <w:rPr>
          <w:rFonts w:ascii="Arial" w:eastAsia="Times New Roman" w:hAnsi="Arial" w:cs="Arial"/>
          <w:b/>
          <w:bCs/>
          <w:sz w:val="24"/>
          <w:szCs w:val="24"/>
          <w:lang w:eastAsia="es-ES"/>
        </w:rPr>
        <w:br w:type="page"/>
      </w:r>
    </w:p>
    <w:p w14:paraId="750BAA00" w14:textId="11BE157F" w:rsidR="00614C9B" w:rsidRPr="00A3111F" w:rsidRDefault="00EB561A" w:rsidP="00614C9B">
      <w:pPr>
        <w:overflowPunct w:val="0"/>
        <w:autoSpaceDE w:val="0"/>
        <w:autoSpaceDN w:val="0"/>
        <w:adjustRightInd w:val="0"/>
        <w:contextualSpacing/>
        <w:jc w:val="both"/>
        <w:textAlignment w:val="baseline"/>
        <w:rPr>
          <w:rFonts w:ascii="Arial" w:eastAsia="Times New Roman" w:hAnsi="Arial" w:cs="Arial"/>
          <w:b/>
          <w:bCs/>
          <w:sz w:val="24"/>
          <w:szCs w:val="24"/>
          <w:lang w:eastAsia="es-ES"/>
        </w:rPr>
      </w:pPr>
      <w:r w:rsidRPr="00A3111F">
        <w:rPr>
          <w:rFonts w:ascii="Arial" w:eastAsia="Times New Roman" w:hAnsi="Arial" w:cs="Arial"/>
          <w:b/>
          <w:bCs/>
          <w:sz w:val="24"/>
          <w:szCs w:val="24"/>
          <w:lang w:eastAsia="es-ES"/>
        </w:rPr>
        <w:lastRenderedPageBreak/>
        <w:t>Competencia</w:t>
      </w:r>
    </w:p>
    <w:p w14:paraId="444B5C76" w14:textId="77777777" w:rsidR="00614C9B" w:rsidRPr="00A3111F" w:rsidRDefault="00614C9B" w:rsidP="00614C9B">
      <w:pPr>
        <w:overflowPunct w:val="0"/>
        <w:autoSpaceDE w:val="0"/>
        <w:autoSpaceDN w:val="0"/>
        <w:adjustRightInd w:val="0"/>
        <w:contextualSpacing/>
        <w:jc w:val="both"/>
        <w:textAlignment w:val="baseline"/>
        <w:rPr>
          <w:rFonts w:ascii="Arial" w:eastAsia="Times New Roman" w:hAnsi="Arial" w:cs="Arial"/>
          <w:b/>
          <w:bCs/>
          <w:sz w:val="24"/>
          <w:szCs w:val="24"/>
          <w:lang w:eastAsia="es-ES"/>
        </w:rPr>
      </w:pPr>
    </w:p>
    <w:p w14:paraId="1B4A2FE4" w14:textId="3603C862" w:rsidR="0004122D" w:rsidRPr="00A3111F" w:rsidRDefault="0004122D" w:rsidP="009E2306">
      <w:pPr>
        <w:numPr>
          <w:ilvl w:val="0"/>
          <w:numId w:val="3"/>
        </w:numPr>
        <w:tabs>
          <w:tab w:val="left" w:pos="426"/>
        </w:tabs>
        <w:ind w:left="0" w:firstLine="0"/>
        <w:contextualSpacing/>
        <w:jc w:val="both"/>
        <w:rPr>
          <w:rFonts w:ascii="Arial" w:hAnsi="Arial" w:cs="Arial"/>
          <w:sz w:val="24"/>
          <w:szCs w:val="24"/>
        </w:rPr>
      </w:pPr>
      <w:r w:rsidRPr="00A3111F">
        <w:rPr>
          <w:rFonts w:ascii="Arial" w:hAnsi="Arial" w:cs="Arial"/>
          <w:sz w:val="24"/>
          <w:szCs w:val="24"/>
        </w:rPr>
        <w:t>Vistos los artículos 215</w:t>
      </w:r>
      <w:r w:rsidRPr="00A3111F">
        <w:rPr>
          <w:rStyle w:val="Refdenotaalpie"/>
          <w:rFonts w:ascii="Arial" w:hAnsi="Arial" w:cs="Arial"/>
          <w:sz w:val="24"/>
          <w:szCs w:val="24"/>
        </w:rPr>
        <w:footnoteReference w:id="3"/>
      </w:r>
      <w:r w:rsidRPr="00A3111F">
        <w:rPr>
          <w:rFonts w:ascii="Arial" w:hAnsi="Arial" w:cs="Arial"/>
          <w:sz w:val="24"/>
          <w:szCs w:val="24"/>
        </w:rPr>
        <w:t xml:space="preserve"> y 237</w:t>
      </w:r>
      <w:r w:rsidRPr="00A3111F">
        <w:rPr>
          <w:rStyle w:val="Refdenotaalpie"/>
          <w:rFonts w:ascii="Arial" w:hAnsi="Arial" w:cs="Arial"/>
          <w:sz w:val="24"/>
          <w:szCs w:val="24"/>
        </w:rPr>
        <w:footnoteReference w:id="4"/>
      </w:r>
      <w:r w:rsidRPr="00A3111F">
        <w:rPr>
          <w:rFonts w:ascii="Arial" w:hAnsi="Arial" w:cs="Arial"/>
          <w:sz w:val="24"/>
          <w:szCs w:val="24"/>
        </w:rPr>
        <w:t xml:space="preserve"> de la Constitución Política; el artículo 20 de la Ley 137 de 2 de junio de 1994</w:t>
      </w:r>
      <w:r w:rsidRPr="00A3111F">
        <w:rPr>
          <w:rStyle w:val="Refdenotaalpie"/>
          <w:rFonts w:ascii="Arial" w:hAnsi="Arial" w:cs="Arial"/>
          <w:sz w:val="24"/>
          <w:szCs w:val="24"/>
        </w:rPr>
        <w:footnoteReference w:id="5"/>
      </w:r>
      <w:r w:rsidRPr="00A3111F">
        <w:rPr>
          <w:rFonts w:ascii="Arial" w:hAnsi="Arial" w:cs="Arial"/>
          <w:sz w:val="24"/>
          <w:szCs w:val="24"/>
        </w:rPr>
        <w:t>; el numeral 2 del artículo 37</w:t>
      </w:r>
      <w:r w:rsidRPr="00A3111F">
        <w:rPr>
          <w:rStyle w:val="Refdenotaalpie"/>
          <w:rFonts w:ascii="Arial" w:hAnsi="Arial" w:cs="Arial"/>
          <w:sz w:val="24"/>
          <w:szCs w:val="24"/>
        </w:rPr>
        <w:footnoteReference w:id="6"/>
      </w:r>
      <w:r w:rsidRPr="00A3111F">
        <w:rPr>
          <w:rFonts w:ascii="Arial" w:hAnsi="Arial" w:cs="Arial"/>
          <w:sz w:val="24"/>
          <w:szCs w:val="24"/>
        </w:rPr>
        <w:t xml:space="preserve"> de la Ley 270 de 7 de marzo de 1996</w:t>
      </w:r>
      <w:r w:rsidRPr="00A3111F">
        <w:rPr>
          <w:rStyle w:val="Refdenotaalpie"/>
          <w:rFonts w:ascii="Arial" w:hAnsi="Arial" w:cs="Arial"/>
          <w:sz w:val="24"/>
          <w:szCs w:val="24"/>
        </w:rPr>
        <w:footnoteReference w:id="7"/>
      </w:r>
      <w:r w:rsidRPr="00A3111F">
        <w:rPr>
          <w:rFonts w:ascii="Arial" w:hAnsi="Arial" w:cs="Arial"/>
          <w:sz w:val="24"/>
          <w:szCs w:val="24"/>
        </w:rPr>
        <w:t>; los artículos 111</w:t>
      </w:r>
      <w:r w:rsidRPr="00A3111F">
        <w:rPr>
          <w:rStyle w:val="Refdenotaalpie"/>
          <w:rFonts w:ascii="Arial" w:hAnsi="Arial" w:cs="Arial"/>
          <w:sz w:val="24"/>
          <w:szCs w:val="24"/>
        </w:rPr>
        <w:footnoteReference w:id="8"/>
      </w:r>
      <w:r w:rsidRPr="00A3111F">
        <w:rPr>
          <w:rFonts w:ascii="Arial" w:hAnsi="Arial" w:cs="Arial"/>
          <w:sz w:val="24"/>
          <w:szCs w:val="24"/>
        </w:rPr>
        <w:t>, 136 y 185 de la Ley 1437; y los artículos 12</w:t>
      </w:r>
      <w:r w:rsidRPr="00A3111F">
        <w:rPr>
          <w:rStyle w:val="Refdenotaalpie"/>
          <w:rFonts w:ascii="Arial" w:hAnsi="Arial" w:cs="Arial"/>
          <w:sz w:val="24"/>
          <w:szCs w:val="24"/>
        </w:rPr>
        <w:footnoteReference w:id="9"/>
      </w:r>
      <w:r w:rsidRPr="00A3111F">
        <w:rPr>
          <w:rFonts w:ascii="Arial" w:hAnsi="Arial" w:cs="Arial"/>
          <w:sz w:val="24"/>
          <w:szCs w:val="24"/>
        </w:rPr>
        <w:t xml:space="preserve"> y 23 y 29 del Acuerdo núm. 080 de 12 de marzo de 2019</w:t>
      </w:r>
      <w:r w:rsidRPr="00A3111F">
        <w:rPr>
          <w:rStyle w:val="Refdenotaalpie"/>
          <w:rFonts w:ascii="Arial" w:hAnsi="Arial" w:cs="Arial"/>
          <w:sz w:val="24"/>
          <w:szCs w:val="24"/>
        </w:rPr>
        <w:footnoteReference w:id="10"/>
      </w:r>
      <w:r w:rsidRPr="00A3111F">
        <w:rPr>
          <w:rFonts w:ascii="Arial" w:hAnsi="Arial" w:cs="Arial"/>
          <w:sz w:val="24"/>
          <w:szCs w:val="24"/>
        </w:rPr>
        <w:t>: el Consejo de Estado es competente para conocer del control inmediato de legalidad de las medidas de carácter general que sean dictadas por autoridades del orden nacional en ejercicio de la función administrativa y como desarrollo de los decretos legislativos durante los estados de excepción.</w:t>
      </w:r>
    </w:p>
    <w:p w14:paraId="0FE15C11" w14:textId="58B0D01E" w:rsidR="00EB561A" w:rsidRPr="00A3111F" w:rsidRDefault="0004122D" w:rsidP="009E2306">
      <w:pPr>
        <w:tabs>
          <w:tab w:val="left" w:pos="426"/>
          <w:tab w:val="left" w:pos="4119"/>
        </w:tabs>
        <w:contextualSpacing/>
        <w:jc w:val="both"/>
        <w:rPr>
          <w:rFonts w:ascii="Arial" w:hAnsi="Arial" w:cs="Arial"/>
          <w:sz w:val="24"/>
          <w:szCs w:val="24"/>
        </w:rPr>
      </w:pPr>
      <w:r w:rsidRPr="00A3111F">
        <w:rPr>
          <w:rFonts w:ascii="Arial" w:hAnsi="Arial" w:cs="Arial"/>
          <w:sz w:val="24"/>
          <w:szCs w:val="24"/>
        </w:rPr>
        <w:tab/>
      </w:r>
    </w:p>
    <w:p w14:paraId="355AF41C" w14:textId="77777777" w:rsidR="0004122D" w:rsidRPr="00A3111F" w:rsidRDefault="0004122D" w:rsidP="009E2306">
      <w:pPr>
        <w:contextualSpacing/>
        <w:jc w:val="both"/>
        <w:rPr>
          <w:rFonts w:ascii="Arial" w:hAnsi="Arial" w:cs="Arial"/>
          <w:b/>
          <w:sz w:val="24"/>
          <w:szCs w:val="24"/>
        </w:rPr>
      </w:pPr>
      <w:r w:rsidRPr="00A3111F">
        <w:rPr>
          <w:rFonts w:ascii="Arial" w:hAnsi="Arial" w:cs="Arial"/>
          <w:b/>
          <w:sz w:val="24"/>
          <w:szCs w:val="24"/>
        </w:rPr>
        <w:t>Marco normativo y características del medio de control inmediato de legalidad</w:t>
      </w:r>
    </w:p>
    <w:p w14:paraId="7D53A25F" w14:textId="77777777" w:rsidR="0004122D" w:rsidRPr="00A3111F" w:rsidRDefault="0004122D" w:rsidP="009E2306">
      <w:pPr>
        <w:contextualSpacing/>
        <w:jc w:val="both"/>
        <w:rPr>
          <w:rFonts w:ascii="Arial" w:hAnsi="Arial" w:cs="Arial"/>
          <w:b/>
          <w:sz w:val="26"/>
          <w:szCs w:val="26"/>
        </w:rPr>
      </w:pPr>
    </w:p>
    <w:p w14:paraId="0C890C4D" w14:textId="77777777" w:rsidR="0004122D" w:rsidRPr="00A3111F" w:rsidRDefault="0004122D" w:rsidP="009E2306">
      <w:pPr>
        <w:numPr>
          <w:ilvl w:val="0"/>
          <w:numId w:val="3"/>
        </w:numPr>
        <w:tabs>
          <w:tab w:val="left" w:pos="426"/>
        </w:tabs>
        <w:autoSpaceDN w:val="0"/>
        <w:ind w:left="0" w:firstLine="0"/>
        <w:contextualSpacing/>
        <w:jc w:val="both"/>
        <w:rPr>
          <w:rFonts w:ascii="Arial" w:hAnsi="Arial" w:cs="Arial"/>
          <w:sz w:val="24"/>
          <w:szCs w:val="24"/>
        </w:rPr>
      </w:pPr>
      <w:r w:rsidRPr="00A3111F">
        <w:rPr>
          <w:rFonts w:ascii="Arial" w:hAnsi="Arial" w:cs="Arial"/>
          <w:sz w:val="24"/>
          <w:szCs w:val="24"/>
        </w:rPr>
        <w:t>Visto el artículo 20 de la Ley 137, sobre el control de legalidad, que establece:</w:t>
      </w:r>
    </w:p>
    <w:p w14:paraId="00A9AE22" w14:textId="77777777" w:rsidR="0004122D" w:rsidRPr="00A3111F" w:rsidRDefault="0004122D" w:rsidP="009E2306">
      <w:pPr>
        <w:contextualSpacing/>
        <w:jc w:val="both"/>
        <w:rPr>
          <w:rFonts w:ascii="Arial" w:hAnsi="Arial" w:cs="Arial"/>
          <w:sz w:val="24"/>
          <w:szCs w:val="24"/>
          <w:lang w:val="es-ES"/>
        </w:rPr>
      </w:pPr>
    </w:p>
    <w:p w14:paraId="0889FEC2" w14:textId="77777777" w:rsidR="0004122D" w:rsidRPr="00A3111F" w:rsidRDefault="0004122D" w:rsidP="009E2306">
      <w:pPr>
        <w:spacing w:line="240" w:lineRule="auto"/>
        <w:ind w:left="567" w:right="789"/>
        <w:contextualSpacing/>
        <w:jc w:val="both"/>
        <w:rPr>
          <w:rFonts w:ascii="Arial" w:hAnsi="Arial" w:cs="Arial"/>
          <w:i/>
          <w:lang w:val="es-ES"/>
        </w:rPr>
      </w:pPr>
      <w:bookmarkStart w:id="0" w:name="BM20"/>
      <w:r w:rsidRPr="00A3111F">
        <w:rPr>
          <w:rFonts w:ascii="Arial" w:hAnsi="Arial" w:cs="Arial"/>
          <w:bCs/>
          <w:i/>
          <w:iCs/>
        </w:rPr>
        <w:t xml:space="preserve">“[…] </w:t>
      </w:r>
      <w:r w:rsidRPr="00A3111F">
        <w:rPr>
          <w:rFonts w:ascii="Arial" w:hAnsi="Arial" w:cs="Arial"/>
          <w:b/>
          <w:i/>
          <w:lang w:val="es-ES"/>
        </w:rPr>
        <w:t>Artículo 20. Control de legalidad</w:t>
      </w:r>
      <w:r w:rsidRPr="00A3111F">
        <w:rPr>
          <w:rFonts w:ascii="Arial" w:hAnsi="Arial" w:cs="Arial"/>
          <w:i/>
          <w:lang w:val="es-ES"/>
        </w:rPr>
        <w:t>.</w:t>
      </w:r>
      <w:bookmarkEnd w:id="0"/>
      <w:r w:rsidRPr="00A3111F">
        <w:rPr>
          <w:rFonts w:ascii="Arial" w:hAnsi="Arial" w:cs="Arial"/>
          <w:i/>
          <w:lang w:val="es-ES"/>
        </w:rPr>
        <w:t xml:space="preserve"> Las medidas de carácter general que sean dictadas en ejercicio de la función administrativa y como desarrollo de los decretos legislativos durante los Estados de Excepción, tendrán un </w:t>
      </w:r>
      <w:r w:rsidRPr="00A3111F">
        <w:rPr>
          <w:rFonts w:ascii="Arial" w:hAnsi="Arial" w:cs="Arial"/>
          <w:i/>
          <w:lang w:val="es-ES"/>
        </w:rPr>
        <w:lastRenderedPageBreak/>
        <w:t xml:space="preserve">control inmediato de legalidad, ejercido por la autoridad de lo contencioso administrativo en el lugar donde se expidan si se tratare de entidades territoriales o del Consejo de Estado si emanaren de autoridades nacionales. </w:t>
      </w:r>
    </w:p>
    <w:p w14:paraId="30FF18FE" w14:textId="77777777" w:rsidR="0004122D" w:rsidRPr="00A3111F" w:rsidRDefault="0004122D" w:rsidP="009E2306">
      <w:pPr>
        <w:spacing w:line="240" w:lineRule="auto"/>
        <w:ind w:left="567" w:right="789"/>
        <w:contextualSpacing/>
        <w:rPr>
          <w:rFonts w:ascii="Arial" w:hAnsi="Arial" w:cs="Arial"/>
          <w:i/>
          <w:lang w:val="es-ES"/>
        </w:rPr>
      </w:pPr>
      <w:r w:rsidRPr="00A3111F">
        <w:rPr>
          <w:rFonts w:ascii="Arial" w:hAnsi="Arial" w:cs="Arial"/>
          <w:i/>
          <w:lang w:val="es-ES"/>
        </w:rPr>
        <w:t xml:space="preserve"> </w:t>
      </w:r>
    </w:p>
    <w:p w14:paraId="456E9650" w14:textId="77777777" w:rsidR="0004122D" w:rsidRPr="00A3111F" w:rsidRDefault="0004122D" w:rsidP="009E2306">
      <w:pPr>
        <w:numPr>
          <w:ilvl w:val="12"/>
          <w:numId w:val="0"/>
        </w:numPr>
        <w:spacing w:line="240" w:lineRule="auto"/>
        <w:ind w:left="567" w:right="789"/>
        <w:contextualSpacing/>
        <w:jc w:val="both"/>
        <w:rPr>
          <w:rFonts w:ascii="Arial" w:hAnsi="Arial" w:cs="Arial"/>
          <w:bCs/>
          <w:i/>
          <w:iCs/>
        </w:rPr>
      </w:pPr>
      <w:r w:rsidRPr="00A3111F">
        <w:rPr>
          <w:rFonts w:ascii="Arial" w:hAnsi="Arial" w:cs="Arial"/>
          <w:i/>
          <w:lang w:val="es-ES"/>
        </w:rPr>
        <w:t>Las autoridades competentes que los expidan enviarán los actos administrativos a la jurisdicción contencioso-administrativa indicada, dentro de las cuarenta y ocho (48) horas siguientes a su expedición […]”.</w:t>
      </w:r>
    </w:p>
    <w:p w14:paraId="3E894894" w14:textId="77777777" w:rsidR="0004122D" w:rsidRPr="00A3111F" w:rsidRDefault="0004122D" w:rsidP="009E2306">
      <w:pPr>
        <w:contextualSpacing/>
        <w:jc w:val="both"/>
        <w:rPr>
          <w:rFonts w:ascii="Arial" w:hAnsi="Arial" w:cs="Arial"/>
          <w:bCs/>
          <w:iCs/>
          <w:sz w:val="28"/>
          <w:szCs w:val="28"/>
        </w:rPr>
      </w:pPr>
    </w:p>
    <w:p w14:paraId="33B218E7" w14:textId="77777777" w:rsidR="0004122D" w:rsidRPr="00A3111F" w:rsidRDefault="0004122D" w:rsidP="009E2306">
      <w:pPr>
        <w:numPr>
          <w:ilvl w:val="0"/>
          <w:numId w:val="3"/>
        </w:numPr>
        <w:tabs>
          <w:tab w:val="left" w:pos="426"/>
        </w:tabs>
        <w:autoSpaceDN w:val="0"/>
        <w:ind w:left="0" w:firstLine="0"/>
        <w:contextualSpacing/>
        <w:jc w:val="both"/>
        <w:rPr>
          <w:rFonts w:ascii="Arial" w:hAnsi="Arial" w:cs="Arial"/>
          <w:b/>
          <w:bCs/>
          <w:sz w:val="24"/>
          <w:szCs w:val="24"/>
        </w:rPr>
      </w:pPr>
      <w:r w:rsidRPr="00A3111F">
        <w:rPr>
          <w:rFonts w:ascii="Arial" w:hAnsi="Arial" w:cs="Arial"/>
          <w:sz w:val="24"/>
          <w:szCs w:val="24"/>
        </w:rPr>
        <w:t>Visto el artículo 136 de la Ley 1437, sobre el medio de control inmediato de legalidad, el cual dispone:</w:t>
      </w:r>
    </w:p>
    <w:p w14:paraId="5272262A" w14:textId="77777777" w:rsidR="0004122D" w:rsidRPr="00A3111F" w:rsidRDefault="0004122D" w:rsidP="009E2306">
      <w:pPr>
        <w:tabs>
          <w:tab w:val="left" w:pos="426"/>
        </w:tabs>
        <w:autoSpaceDN w:val="0"/>
        <w:contextualSpacing/>
        <w:jc w:val="both"/>
        <w:rPr>
          <w:rFonts w:ascii="Arial" w:hAnsi="Arial" w:cs="Arial"/>
          <w:b/>
          <w:bCs/>
          <w:sz w:val="24"/>
          <w:szCs w:val="24"/>
        </w:rPr>
      </w:pPr>
    </w:p>
    <w:p w14:paraId="002F07B5" w14:textId="77777777" w:rsidR="0004122D" w:rsidRPr="00A3111F" w:rsidRDefault="0004122D" w:rsidP="009E2306">
      <w:pPr>
        <w:spacing w:line="240" w:lineRule="auto"/>
        <w:ind w:left="567" w:right="647"/>
        <w:contextualSpacing/>
        <w:jc w:val="both"/>
        <w:rPr>
          <w:rFonts w:ascii="Arial" w:hAnsi="Arial" w:cs="Arial"/>
          <w:i/>
          <w:lang w:val="es-ES"/>
        </w:rPr>
      </w:pPr>
      <w:r w:rsidRPr="00A3111F">
        <w:rPr>
          <w:rFonts w:ascii="Arial" w:hAnsi="Arial" w:cs="Arial"/>
          <w:i/>
          <w:lang w:val="es-ES"/>
        </w:rPr>
        <w:t xml:space="preserve">“[…] </w:t>
      </w:r>
      <w:r w:rsidRPr="00A3111F">
        <w:rPr>
          <w:rFonts w:ascii="Arial" w:hAnsi="Arial" w:cs="Arial"/>
          <w:b/>
          <w:bCs/>
          <w:i/>
          <w:lang w:val="es-ES"/>
        </w:rPr>
        <w:t>Artículo 136.</w:t>
      </w:r>
      <w:r w:rsidRPr="00A3111F">
        <w:rPr>
          <w:rFonts w:ascii="Arial" w:hAnsi="Arial" w:cs="Arial"/>
          <w:i/>
          <w:lang w:val="es-ES"/>
        </w:rPr>
        <w:t xml:space="preserve"> </w:t>
      </w:r>
      <w:r w:rsidRPr="00A3111F">
        <w:rPr>
          <w:rFonts w:ascii="Arial" w:hAnsi="Arial" w:cs="Arial"/>
          <w:b/>
          <w:bCs/>
          <w:i/>
          <w:lang w:val="es-ES"/>
        </w:rPr>
        <w:t>Control Inmediato de Legalidad:</w:t>
      </w:r>
      <w:r w:rsidRPr="00A3111F">
        <w:rPr>
          <w:rFonts w:ascii="Arial" w:hAnsi="Arial" w:cs="Arial"/>
          <w:i/>
          <w:lang w:val="es-ES"/>
        </w:rPr>
        <w:t xml:space="preserve">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w:t>
      </w:r>
    </w:p>
    <w:p w14:paraId="27475431" w14:textId="77777777" w:rsidR="0004122D" w:rsidRPr="00A3111F" w:rsidRDefault="0004122D" w:rsidP="009E2306">
      <w:pPr>
        <w:spacing w:line="240" w:lineRule="auto"/>
        <w:ind w:left="567" w:right="647"/>
        <w:contextualSpacing/>
        <w:jc w:val="both"/>
        <w:rPr>
          <w:rFonts w:ascii="Arial" w:hAnsi="Arial" w:cs="Arial"/>
          <w:i/>
          <w:lang w:val="es-ES"/>
        </w:rPr>
      </w:pPr>
    </w:p>
    <w:p w14:paraId="7675A06F" w14:textId="77777777" w:rsidR="0004122D" w:rsidRPr="00A3111F" w:rsidRDefault="0004122D" w:rsidP="009E2306">
      <w:pPr>
        <w:spacing w:line="240" w:lineRule="auto"/>
        <w:ind w:left="567" w:right="647"/>
        <w:contextualSpacing/>
        <w:jc w:val="both"/>
        <w:rPr>
          <w:rFonts w:ascii="Arial" w:hAnsi="Arial" w:cs="Arial"/>
          <w:i/>
          <w:lang w:val="es-ES"/>
        </w:rPr>
      </w:pPr>
      <w:r w:rsidRPr="00A3111F">
        <w:rPr>
          <w:rFonts w:ascii="Arial" w:hAnsi="Arial" w:cs="Arial"/>
          <w:i/>
          <w:lang w:val="es-ES"/>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 […]”.</w:t>
      </w:r>
    </w:p>
    <w:p w14:paraId="1998B93D" w14:textId="77777777" w:rsidR="0004122D" w:rsidRPr="00A3111F" w:rsidRDefault="0004122D" w:rsidP="009E2306">
      <w:pPr>
        <w:tabs>
          <w:tab w:val="left" w:pos="426"/>
        </w:tabs>
        <w:autoSpaceDN w:val="0"/>
        <w:contextualSpacing/>
        <w:jc w:val="both"/>
        <w:rPr>
          <w:rFonts w:ascii="Arial" w:hAnsi="Arial" w:cs="Arial"/>
          <w:b/>
          <w:bCs/>
          <w:sz w:val="24"/>
          <w:szCs w:val="24"/>
        </w:rPr>
      </w:pPr>
    </w:p>
    <w:p w14:paraId="130716D4" w14:textId="77777777" w:rsidR="0004122D" w:rsidRPr="00A3111F" w:rsidRDefault="0004122D" w:rsidP="009E2306">
      <w:pPr>
        <w:numPr>
          <w:ilvl w:val="0"/>
          <w:numId w:val="3"/>
        </w:numPr>
        <w:tabs>
          <w:tab w:val="left" w:pos="426"/>
        </w:tabs>
        <w:autoSpaceDN w:val="0"/>
        <w:ind w:left="0" w:firstLine="0"/>
        <w:contextualSpacing/>
        <w:jc w:val="both"/>
        <w:rPr>
          <w:rFonts w:ascii="Arial" w:hAnsi="Arial" w:cs="Arial"/>
          <w:b/>
          <w:bCs/>
          <w:sz w:val="24"/>
          <w:szCs w:val="24"/>
        </w:rPr>
      </w:pPr>
      <w:r w:rsidRPr="00A3111F">
        <w:rPr>
          <w:rFonts w:ascii="Arial" w:hAnsi="Arial" w:cs="Arial"/>
          <w:sz w:val="24"/>
          <w:szCs w:val="24"/>
        </w:rPr>
        <w:t>De conformidad con las normas citadas</w:t>
      </w:r>
      <w:r w:rsidRPr="00A3111F">
        <w:rPr>
          <w:rFonts w:ascii="Arial" w:hAnsi="Arial" w:cs="Arial"/>
          <w:iCs/>
          <w:sz w:val="24"/>
          <w:szCs w:val="24"/>
        </w:rPr>
        <w:t xml:space="preserve"> </w:t>
      </w:r>
      <w:r w:rsidRPr="00A3111F">
        <w:rPr>
          <w:rFonts w:ascii="Arial" w:hAnsi="Arial" w:cs="Arial"/>
          <w:i/>
          <w:iCs/>
          <w:sz w:val="24"/>
          <w:szCs w:val="24"/>
        </w:rPr>
        <w:t xml:space="preserve">supra, </w:t>
      </w:r>
      <w:r w:rsidRPr="00A3111F">
        <w:rPr>
          <w:rFonts w:ascii="Arial" w:hAnsi="Arial" w:cs="Arial"/>
          <w:iCs/>
          <w:sz w:val="24"/>
          <w:szCs w:val="24"/>
        </w:rPr>
        <w:t xml:space="preserve">este Despacho considera que </w:t>
      </w:r>
      <w:r w:rsidRPr="00A3111F">
        <w:rPr>
          <w:rFonts w:ascii="Arial" w:hAnsi="Arial" w:cs="Arial"/>
          <w:sz w:val="24"/>
          <w:szCs w:val="24"/>
        </w:rPr>
        <w:t xml:space="preserve">la procedibilidad del medio de control inmediato de legalidad está determinada por los siguientes supuestos facticos: i) una medida de carácter general; </w:t>
      </w:r>
      <w:proofErr w:type="spellStart"/>
      <w:r w:rsidRPr="00A3111F">
        <w:rPr>
          <w:rFonts w:ascii="Arial" w:hAnsi="Arial" w:cs="Arial"/>
          <w:sz w:val="24"/>
          <w:szCs w:val="24"/>
        </w:rPr>
        <w:t>ii</w:t>
      </w:r>
      <w:proofErr w:type="spellEnd"/>
      <w:r w:rsidRPr="00A3111F">
        <w:rPr>
          <w:rFonts w:ascii="Arial" w:hAnsi="Arial" w:cs="Arial"/>
          <w:sz w:val="24"/>
          <w:szCs w:val="24"/>
        </w:rPr>
        <w:t xml:space="preserve">) dictada en ejercicio de la función administrativa; iii) en desarrollo de un decreto legislativo; y </w:t>
      </w:r>
      <w:proofErr w:type="spellStart"/>
      <w:r w:rsidRPr="00A3111F">
        <w:rPr>
          <w:rFonts w:ascii="Arial" w:hAnsi="Arial" w:cs="Arial"/>
          <w:sz w:val="24"/>
          <w:szCs w:val="24"/>
        </w:rPr>
        <w:t>iv</w:t>
      </w:r>
      <w:proofErr w:type="spellEnd"/>
      <w:r w:rsidRPr="00A3111F">
        <w:rPr>
          <w:rFonts w:ascii="Arial" w:hAnsi="Arial" w:cs="Arial"/>
          <w:sz w:val="24"/>
          <w:szCs w:val="24"/>
        </w:rPr>
        <w:t>) expedido durante cualquiera de los estados de excepción de que tratan los artículos 212, 213 y 215 de la Constitución Política.</w:t>
      </w:r>
    </w:p>
    <w:p w14:paraId="1203894D" w14:textId="77777777" w:rsidR="0004122D" w:rsidRPr="00A3111F" w:rsidRDefault="0004122D" w:rsidP="009E2306">
      <w:pPr>
        <w:tabs>
          <w:tab w:val="left" w:pos="426"/>
        </w:tabs>
        <w:autoSpaceDN w:val="0"/>
        <w:contextualSpacing/>
        <w:jc w:val="both"/>
        <w:rPr>
          <w:rFonts w:ascii="Arial" w:hAnsi="Arial" w:cs="Arial"/>
          <w:b/>
          <w:bCs/>
          <w:sz w:val="24"/>
          <w:szCs w:val="24"/>
        </w:rPr>
      </w:pPr>
    </w:p>
    <w:p w14:paraId="2CB710FC" w14:textId="77777777" w:rsidR="0004122D" w:rsidRPr="00A3111F" w:rsidRDefault="0004122D" w:rsidP="009E2306">
      <w:pPr>
        <w:numPr>
          <w:ilvl w:val="0"/>
          <w:numId w:val="3"/>
        </w:numPr>
        <w:tabs>
          <w:tab w:val="left" w:pos="426"/>
        </w:tabs>
        <w:autoSpaceDN w:val="0"/>
        <w:ind w:left="0" w:firstLine="0"/>
        <w:contextualSpacing/>
        <w:jc w:val="both"/>
        <w:rPr>
          <w:rFonts w:ascii="Arial" w:hAnsi="Arial" w:cs="Arial"/>
          <w:b/>
          <w:bCs/>
          <w:sz w:val="24"/>
          <w:szCs w:val="24"/>
        </w:rPr>
      </w:pPr>
      <w:r w:rsidRPr="00A3111F">
        <w:rPr>
          <w:rFonts w:ascii="Arial" w:hAnsi="Arial" w:cs="Arial"/>
          <w:sz w:val="24"/>
          <w:szCs w:val="24"/>
        </w:rPr>
        <w:t>La atribución para el control inmediato de legalidad corresponde a la jurisdicción de lo contencioso administrativo, dependiendo de la autoridad que expide la respectiva medida.</w:t>
      </w:r>
      <w:r w:rsidRPr="00A3111F">
        <w:rPr>
          <w:rFonts w:ascii="Arial" w:hAnsi="Arial" w:cs="Arial"/>
          <w:b/>
          <w:bCs/>
          <w:sz w:val="24"/>
          <w:szCs w:val="24"/>
        </w:rPr>
        <w:t xml:space="preserve"> </w:t>
      </w:r>
      <w:r w:rsidRPr="00A3111F">
        <w:rPr>
          <w:rFonts w:ascii="Arial" w:hAnsi="Arial" w:cs="Arial"/>
          <w:sz w:val="24"/>
          <w:szCs w:val="24"/>
        </w:rPr>
        <w:t>En este orden de ideas, los actos expedidos por autoridades del orden nacional serán conocidos por el Consejo de Estado y aquellos expedidos por autoridades territoriales departamentales y municipales, serán de competencia del tribunal administrativo correspondiente.</w:t>
      </w:r>
    </w:p>
    <w:p w14:paraId="06136E5D" w14:textId="77777777" w:rsidR="0004122D" w:rsidRPr="00A3111F" w:rsidRDefault="0004122D" w:rsidP="009E2306">
      <w:pPr>
        <w:pStyle w:val="Prrafodelista"/>
        <w:spacing w:after="0" w:line="360" w:lineRule="auto"/>
        <w:rPr>
          <w:rFonts w:ascii="Arial" w:hAnsi="Arial" w:cs="Arial"/>
          <w:b/>
          <w:bCs/>
          <w:sz w:val="24"/>
          <w:szCs w:val="24"/>
        </w:rPr>
      </w:pPr>
    </w:p>
    <w:p w14:paraId="327D9EF5" w14:textId="77777777" w:rsidR="0004122D" w:rsidRPr="00A3111F" w:rsidRDefault="0004122D" w:rsidP="009E2306">
      <w:pPr>
        <w:numPr>
          <w:ilvl w:val="0"/>
          <w:numId w:val="3"/>
        </w:numPr>
        <w:tabs>
          <w:tab w:val="left" w:pos="426"/>
        </w:tabs>
        <w:autoSpaceDN w:val="0"/>
        <w:ind w:left="0" w:firstLine="0"/>
        <w:contextualSpacing/>
        <w:jc w:val="both"/>
        <w:rPr>
          <w:rFonts w:ascii="Arial" w:hAnsi="Arial" w:cs="Arial"/>
          <w:iCs/>
          <w:sz w:val="24"/>
          <w:szCs w:val="24"/>
        </w:rPr>
      </w:pPr>
      <w:r w:rsidRPr="00A3111F">
        <w:rPr>
          <w:rFonts w:ascii="Arial" w:hAnsi="Arial" w:cs="Arial"/>
          <w:sz w:val="24"/>
          <w:szCs w:val="24"/>
        </w:rPr>
        <w:lastRenderedPageBreak/>
        <w:t>Por último, el Consejo de Estado</w:t>
      </w:r>
      <w:r w:rsidRPr="00A3111F">
        <w:rPr>
          <w:rFonts w:ascii="Arial" w:hAnsi="Arial" w:cs="Arial"/>
          <w:iCs/>
          <w:sz w:val="24"/>
          <w:szCs w:val="24"/>
          <w:vertAlign w:val="superscript"/>
          <w:lang w:val="x-none"/>
        </w:rPr>
        <w:footnoteReference w:id="11"/>
      </w:r>
      <w:r w:rsidRPr="00A3111F">
        <w:rPr>
          <w:rFonts w:ascii="Arial" w:hAnsi="Arial" w:cs="Arial"/>
          <w:sz w:val="24"/>
          <w:szCs w:val="24"/>
        </w:rPr>
        <w:t xml:space="preserve"> ha considerado que el medio de control inmediato de legalidad se caracteriza por ser: i) jurisdiccional, </w:t>
      </w:r>
      <w:proofErr w:type="spellStart"/>
      <w:r w:rsidRPr="00A3111F">
        <w:rPr>
          <w:rFonts w:ascii="Arial" w:hAnsi="Arial" w:cs="Arial"/>
          <w:sz w:val="24"/>
          <w:szCs w:val="24"/>
        </w:rPr>
        <w:t>ii</w:t>
      </w:r>
      <w:proofErr w:type="spellEnd"/>
      <w:r w:rsidRPr="00A3111F">
        <w:rPr>
          <w:rFonts w:ascii="Arial" w:hAnsi="Arial" w:cs="Arial"/>
          <w:sz w:val="24"/>
          <w:szCs w:val="24"/>
        </w:rPr>
        <w:t xml:space="preserve">) automático, iii) inmediato, </w:t>
      </w:r>
      <w:proofErr w:type="spellStart"/>
      <w:r w:rsidRPr="00A3111F">
        <w:rPr>
          <w:rFonts w:ascii="Arial" w:hAnsi="Arial" w:cs="Arial"/>
          <w:sz w:val="24"/>
          <w:szCs w:val="24"/>
        </w:rPr>
        <w:t>iv</w:t>
      </w:r>
      <w:proofErr w:type="spellEnd"/>
      <w:r w:rsidRPr="00A3111F">
        <w:rPr>
          <w:rFonts w:ascii="Arial" w:hAnsi="Arial" w:cs="Arial"/>
          <w:sz w:val="24"/>
          <w:szCs w:val="24"/>
        </w:rPr>
        <w:t xml:space="preserve">) oficioso, v) autónomo, vi) integral, </w:t>
      </w:r>
      <w:proofErr w:type="spellStart"/>
      <w:r w:rsidRPr="00A3111F">
        <w:rPr>
          <w:rFonts w:ascii="Arial" w:hAnsi="Arial" w:cs="Arial"/>
          <w:sz w:val="24"/>
          <w:szCs w:val="24"/>
        </w:rPr>
        <w:t>vii</w:t>
      </w:r>
      <w:proofErr w:type="spellEnd"/>
      <w:r w:rsidRPr="00A3111F">
        <w:rPr>
          <w:rFonts w:ascii="Arial" w:hAnsi="Arial" w:cs="Arial"/>
          <w:sz w:val="24"/>
          <w:szCs w:val="24"/>
        </w:rPr>
        <w:t xml:space="preserve">) compatible y coexistente, y </w:t>
      </w:r>
      <w:proofErr w:type="spellStart"/>
      <w:r w:rsidRPr="00A3111F">
        <w:rPr>
          <w:rFonts w:ascii="Arial" w:hAnsi="Arial" w:cs="Arial"/>
          <w:sz w:val="24"/>
          <w:szCs w:val="24"/>
        </w:rPr>
        <w:t>viii</w:t>
      </w:r>
      <w:proofErr w:type="spellEnd"/>
      <w:r w:rsidRPr="00A3111F">
        <w:rPr>
          <w:rFonts w:ascii="Arial" w:hAnsi="Arial" w:cs="Arial"/>
          <w:sz w:val="24"/>
          <w:szCs w:val="24"/>
        </w:rPr>
        <w:t>) hace tránsito a cosa juzgada relativa.</w:t>
      </w:r>
    </w:p>
    <w:p w14:paraId="1847E730" w14:textId="77777777" w:rsidR="0004122D" w:rsidRPr="00A3111F" w:rsidRDefault="0004122D" w:rsidP="009E2306">
      <w:pPr>
        <w:contextualSpacing/>
        <w:jc w:val="both"/>
        <w:rPr>
          <w:rFonts w:ascii="Arial" w:hAnsi="Arial" w:cs="Arial"/>
          <w:b/>
          <w:bCs/>
          <w:sz w:val="24"/>
          <w:szCs w:val="24"/>
        </w:rPr>
      </w:pPr>
    </w:p>
    <w:p w14:paraId="197CC92C" w14:textId="77777777" w:rsidR="0004122D" w:rsidRPr="00A3111F" w:rsidRDefault="0004122D" w:rsidP="009E2306">
      <w:pPr>
        <w:contextualSpacing/>
        <w:jc w:val="both"/>
        <w:rPr>
          <w:rFonts w:ascii="Arial" w:hAnsi="Arial" w:cs="Arial"/>
          <w:b/>
          <w:bCs/>
          <w:sz w:val="24"/>
          <w:szCs w:val="24"/>
        </w:rPr>
      </w:pPr>
      <w:r w:rsidRPr="00A3111F">
        <w:rPr>
          <w:rFonts w:ascii="Arial" w:hAnsi="Arial" w:cs="Arial"/>
          <w:b/>
          <w:bCs/>
          <w:sz w:val="24"/>
          <w:szCs w:val="24"/>
        </w:rPr>
        <w:t xml:space="preserve">Marco normativo del procedimiento del medio de control inmediato de legalidad </w:t>
      </w:r>
    </w:p>
    <w:p w14:paraId="633E6151" w14:textId="77777777" w:rsidR="0004122D" w:rsidRPr="00A3111F" w:rsidRDefault="0004122D" w:rsidP="009E2306">
      <w:pPr>
        <w:contextualSpacing/>
        <w:jc w:val="center"/>
        <w:rPr>
          <w:rFonts w:ascii="Arial" w:hAnsi="Arial" w:cs="Arial"/>
          <w:sz w:val="26"/>
          <w:szCs w:val="26"/>
        </w:rPr>
      </w:pPr>
    </w:p>
    <w:p w14:paraId="6B285370" w14:textId="77777777" w:rsidR="0004122D" w:rsidRPr="00A3111F" w:rsidRDefault="0004122D" w:rsidP="009E2306">
      <w:pPr>
        <w:numPr>
          <w:ilvl w:val="0"/>
          <w:numId w:val="3"/>
        </w:numPr>
        <w:tabs>
          <w:tab w:val="left" w:pos="426"/>
        </w:tabs>
        <w:autoSpaceDN w:val="0"/>
        <w:ind w:left="0" w:firstLine="0"/>
        <w:contextualSpacing/>
        <w:jc w:val="both"/>
        <w:rPr>
          <w:rFonts w:ascii="Arial" w:hAnsi="Arial" w:cs="Arial"/>
          <w:iCs/>
          <w:sz w:val="24"/>
          <w:szCs w:val="24"/>
        </w:rPr>
      </w:pPr>
      <w:r w:rsidRPr="00A3111F">
        <w:rPr>
          <w:rFonts w:ascii="Arial" w:hAnsi="Arial" w:cs="Arial"/>
          <w:iCs/>
          <w:sz w:val="24"/>
          <w:szCs w:val="24"/>
        </w:rPr>
        <w:t>Visto el artículo 185 de la Ley 1437, sobre el trámite del control inmediato de legalidad de actos, que establece:</w:t>
      </w:r>
    </w:p>
    <w:p w14:paraId="0515E8ED" w14:textId="77777777" w:rsidR="0004122D" w:rsidRPr="00A3111F" w:rsidRDefault="0004122D" w:rsidP="009E2306">
      <w:pPr>
        <w:tabs>
          <w:tab w:val="left" w:pos="426"/>
        </w:tabs>
        <w:autoSpaceDN w:val="0"/>
        <w:contextualSpacing/>
        <w:jc w:val="both"/>
        <w:rPr>
          <w:rFonts w:ascii="Arial" w:hAnsi="Arial" w:cs="Arial"/>
          <w:iCs/>
          <w:sz w:val="24"/>
          <w:szCs w:val="24"/>
        </w:rPr>
      </w:pPr>
    </w:p>
    <w:p w14:paraId="34957BAE" w14:textId="77777777" w:rsidR="0004122D" w:rsidRPr="00A3111F" w:rsidRDefault="0004122D" w:rsidP="009E2306">
      <w:pPr>
        <w:spacing w:line="240" w:lineRule="auto"/>
        <w:ind w:left="567" w:right="647"/>
        <w:contextualSpacing/>
        <w:jc w:val="both"/>
        <w:rPr>
          <w:rFonts w:ascii="Arial" w:hAnsi="Arial" w:cs="Arial"/>
          <w:i/>
          <w:lang w:val="es-ES"/>
        </w:rPr>
      </w:pPr>
      <w:r w:rsidRPr="00A3111F">
        <w:rPr>
          <w:rFonts w:ascii="Arial" w:hAnsi="Arial" w:cs="Arial"/>
          <w:i/>
          <w:lang w:val="es-ES"/>
        </w:rPr>
        <w:t xml:space="preserve">“[…] </w:t>
      </w:r>
      <w:r w:rsidRPr="00A3111F">
        <w:rPr>
          <w:rFonts w:ascii="Arial" w:hAnsi="Arial" w:cs="Arial"/>
          <w:b/>
          <w:bCs/>
          <w:i/>
          <w:lang w:val="es-ES"/>
        </w:rPr>
        <w:t>Artículo 185. Trámite del control inmediato de legalidad de actos</w:t>
      </w:r>
      <w:r w:rsidRPr="00A3111F">
        <w:rPr>
          <w:rFonts w:ascii="Arial" w:hAnsi="Arial" w:cs="Arial"/>
          <w:i/>
          <w:lang w:val="es-ES"/>
        </w:rPr>
        <w:t>. Recibida la copia auténtica del texto de los actos administrativos a los que se refiere el control inmediato de legalidad de que trata el artículo </w:t>
      </w:r>
      <w:hyperlink r:id="rId11" w:anchor="136" w:history="1">
        <w:r w:rsidRPr="00A3111F">
          <w:rPr>
            <w:rFonts w:ascii="Arial" w:hAnsi="Arial" w:cs="Arial"/>
            <w:i/>
            <w:lang w:val="es-ES"/>
          </w:rPr>
          <w:t>136</w:t>
        </w:r>
      </w:hyperlink>
      <w:r w:rsidRPr="00A3111F">
        <w:rPr>
          <w:rFonts w:ascii="Arial" w:hAnsi="Arial" w:cs="Arial"/>
          <w:i/>
          <w:lang w:val="es-ES"/>
        </w:rPr>
        <w:t> de este Código o aprendido de oficio el conocimiento de su legalidad en caso de inobservancia del deber de envío de los mismos, se procederá así:</w:t>
      </w:r>
    </w:p>
    <w:p w14:paraId="65B682CC" w14:textId="77777777" w:rsidR="0004122D" w:rsidRPr="00A3111F" w:rsidRDefault="0004122D" w:rsidP="009E2306">
      <w:pPr>
        <w:spacing w:line="240" w:lineRule="auto"/>
        <w:ind w:left="567" w:right="647"/>
        <w:contextualSpacing/>
        <w:jc w:val="both"/>
        <w:rPr>
          <w:rFonts w:ascii="Arial" w:hAnsi="Arial" w:cs="Arial"/>
          <w:i/>
          <w:lang w:val="es-ES"/>
        </w:rPr>
      </w:pPr>
    </w:p>
    <w:p w14:paraId="25C4BBFB" w14:textId="77777777" w:rsidR="0004122D" w:rsidRPr="00A3111F" w:rsidRDefault="0004122D" w:rsidP="009E2306">
      <w:pPr>
        <w:spacing w:line="240" w:lineRule="auto"/>
        <w:ind w:left="567" w:right="647"/>
        <w:contextualSpacing/>
        <w:jc w:val="both"/>
        <w:rPr>
          <w:rFonts w:ascii="Arial" w:hAnsi="Arial" w:cs="Arial"/>
          <w:i/>
          <w:lang w:val="es-ES"/>
        </w:rPr>
      </w:pPr>
      <w:r w:rsidRPr="00A3111F">
        <w:rPr>
          <w:rFonts w:ascii="Arial" w:hAnsi="Arial" w:cs="Arial"/>
          <w:i/>
          <w:lang w:val="es-ES"/>
        </w:rPr>
        <w:t>1. La sustanciación y ponencia corresponderá a uno de los Magistrados de la Corporación y el fallo a la Sala Plena.</w:t>
      </w:r>
    </w:p>
    <w:p w14:paraId="076C46EE" w14:textId="77777777" w:rsidR="0004122D" w:rsidRPr="00A3111F" w:rsidRDefault="0004122D" w:rsidP="009E2306">
      <w:pPr>
        <w:spacing w:line="240" w:lineRule="auto"/>
        <w:ind w:left="567" w:right="647"/>
        <w:contextualSpacing/>
        <w:jc w:val="both"/>
        <w:rPr>
          <w:rFonts w:ascii="Arial" w:hAnsi="Arial" w:cs="Arial"/>
          <w:i/>
          <w:lang w:val="es-ES"/>
        </w:rPr>
      </w:pPr>
    </w:p>
    <w:p w14:paraId="5FE9DB85" w14:textId="77777777" w:rsidR="0004122D" w:rsidRPr="00A3111F" w:rsidRDefault="0004122D" w:rsidP="009E2306">
      <w:pPr>
        <w:spacing w:line="240" w:lineRule="auto"/>
        <w:ind w:left="567" w:right="647"/>
        <w:contextualSpacing/>
        <w:jc w:val="both"/>
        <w:rPr>
          <w:rFonts w:ascii="Arial" w:hAnsi="Arial" w:cs="Arial"/>
          <w:i/>
          <w:lang w:val="es-ES"/>
        </w:rPr>
      </w:pPr>
      <w:r w:rsidRPr="00A3111F">
        <w:rPr>
          <w:rFonts w:ascii="Arial" w:hAnsi="Arial" w:cs="Arial"/>
          <w:i/>
          <w:lang w:val="es-ES"/>
        </w:rPr>
        <w:t xml:space="preserve">2. Repartido el negocio, el Magistrado Ponente ordenará que </w:t>
      </w:r>
      <w:bookmarkStart w:id="1" w:name="_Hlk36645108"/>
      <w:r w:rsidRPr="00A3111F">
        <w:rPr>
          <w:rFonts w:ascii="Arial" w:hAnsi="Arial" w:cs="Arial"/>
          <w:i/>
          <w:lang w:val="es-ES"/>
        </w:rPr>
        <w:t>se fije en la Secretaría un aviso sobre la existencia del proceso, por el término de diez (10) días, durante los cuales cualquier ciudadano podrá intervenir por escrito para defender o impugnar la legalidad del acto administrativo</w:t>
      </w:r>
      <w:bookmarkEnd w:id="1"/>
      <w:r w:rsidRPr="00A3111F">
        <w:rPr>
          <w:rFonts w:ascii="Arial" w:hAnsi="Arial" w:cs="Arial"/>
          <w:i/>
          <w:lang w:val="es-ES"/>
        </w:rPr>
        <w:t>. Adicionalmente, ordenará la publicación del aviso en el sitio web de la Jurisdicción de lo Contencioso Administrativo.</w:t>
      </w:r>
    </w:p>
    <w:p w14:paraId="29976CF6" w14:textId="77777777" w:rsidR="0004122D" w:rsidRPr="00A3111F" w:rsidRDefault="0004122D" w:rsidP="009E2306">
      <w:pPr>
        <w:spacing w:line="240" w:lineRule="auto"/>
        <w:ind w:left="567" w:right="647"/>
        <w:contextualSpacing/>
        <w:jc w:val="both"/>
        <w:rPr>
          <w:rFonts w:ascii="Arial" w:hAnsi="Arial" w:cs="Arial"/>
          <w:i/>
          <w:lang w:val="es-ES"/>
        </w:rPr>
      </w:pPr>
    </w:p>
    <w:p w14:paraId="313BE592" w14:textId="77777777" w:rsidR="0004122D" w:rsidRPr="00A3111F" w:rsidRDefault="0004122D" w:rsidP="009E2306">
      <w:pPr>
        <w:spacing w:line="240" w:lineRule="auto"/>
        <w:ind w:left="567" w:right="647"/>
        <w:contextualSpacing/>
        <w:jc w:val="both"/>
        <w:rPr>
          <w:rFonts w:ascii="Arial" w:hAnsi="Arial" w:cs="Arial"/>
          <w:i/>
          <w:lang w:val="es-ES"/>
        </w:rPr>
      </w:pPr>
      <w:r w:rsidRPr="00A3111F">
        <w:rPr>
          <w:rFonts w:ascii="Arial" w:hAnsi="Arial" w:cs="Arial"/>
          <w:i/>
          <w:lang w:val="es-ES"/>
        </w:rPr>
        <w:t>3. En el mismo auto que admite la demanda, el Magistrado Ponente podrá invitar a entidades públicas, a organizaciones privadas y a expertos en las materias relacionadas con el tema del proceso a presentar por escrito su concepto acerca de puntos relevantes para la elaboración del proyecto de fallo, dentro del plazo prudencial que se señale.</w:t>
      </w:r>
    </w:p>
    <w:p w14:paraId="61E2E176" w14:textId="77777777" w:rsidR="0004122D" w:rsidRPr="00A3111F" w:rsidRDefault="0004122D" w:rsidP="009E2306">
      <w:pPr>
        <w:spacing w:line="240" w:lineRule="auto"/>
        <w:ind w:left="567" w:right="647"/>
        <w:contextualSpacing/>
        <w:jc w:val="both"/>
        <w:rPr>
          <w:rFonts w:ascii="Arial" w:hAnsi="Arial" w:cs="Arial"/>
          <w:i/>
          <w:lang w:val="es-ES"/>
        </w:rPr>
      </w:pPr>
    </w:p>
    <w:p w14:paraId="57F05A63" w14:textId="77777777" w:rsidR="0004122D" w:rsidRPr="00A3111F" w:rsidRDefault="0004122D" w:rsidP="009E2306">
      <w:pPr>
        <w:spacing w:line="240" w:lineRule="auto"/>
        <w:ind w:left="567" w:right="647"/>
        <w:contextualSpacing/>
        <w:jc w:val="both"/>
        <w:rPr>
          <w:rFonts w:ascii="Arial" w:hAnsi="Arial" w:cs="Arial"/>
          <w:i/>
          <w:lang w:val="es-ES"/>
        </w:rPr>
      </w:pPr>
      <w:r w:rsidRPr="00A3111F">
        <w:rPr>
          <w:rFonts w:ascii="Arial" w:hAnsi="Arial" w:cs="Arial"/>
          <w:i/>
          <w:lang w:val="es-ES"/>
        </w:rPr>
        <w:t>4. Cuando para la decisión sea menester el conocimiento de los trámites que antecedieron al acto demandado o de hechos relevantes para adoptar la decisión, el Magistrado Ponente podrá decretar en el auto admisorio de la demanda las pruebas que estime conducentes, las cuales se practicarán en el término de diez (10) días.</w:t>
      </w:r>
    </w:p>
    <w:p w14:paraId="3AC85EBC" w14:textId="77777777" w:rsidR="0004122D" w:rsidRPr="00A3111F" w:rsidRDefault="0004122D" w:rsidP="009E2306">
      <w:pPr>
        <w:spacing w:line="240" w:lineRule="auto"/>
        <w:ind w:left="567" w:right="647"/>
        <w:contextualSpacing/>
        <w:jc w:val="both"/>
        <w:rPr>
          <w:rFonts w:ascii="Arial" w:hAnsi="Arial" w:cs="Arial"/>
          <w:i/>
          <w:lang w:val="es-ES"/>
        </w:rPr>
      </w:pPr>
    </w:p>
    <w:p w14:paraId="33E712D0" w14:textId="77777777" w:rsidR="0004122D" w:rsidRPr="00A3111F" w:rsidRDefault="0004122D" w:rsidP="009E2306">
      <w:pPr>
        <w:spacing w:line="240" w:lineRule="auto"/>
        <w:ind w:left="567" w:right="647"/>
        <w:contextualSpacing/>
        <w:jc w:val="both"/>
        <w:rPr>
          <w:rFonts w:ascii="Arial" w:hAnsi="Arial" w:cs="Arial"/>
          <w:i/>
          <w:lang w:val="es-ES"/>
        </w:rPr>
      </w:pPr>
      <w:r w:rsidRPr="00A3111F">
        <w:rPr>
          <w:rFonts w:ascii="Arial" w:hAnsi="Arial" w:cs="Arial"/>
          <w:i/>
          <w:lang w:val="es-ES"/>
        </w:rPr>
        <w:t>5. Expirado el término de la publicación del aviso o vencido el término probatorio cuando este fuere procedente, pasará el asunto al Ministerio Público para que dentro de los diez (10) días siguientes rinda concepto.</w:t>
      </w:r>
    </w:p>
    <w:p w14:paraId="42C97819" w14:textId="77777777" w:rsidR="0004122D" w:rsidRPr="00A3111F" w:rsidRDefault="0004122D" w:rsidP="009E2306">
      <w:pPr>
        <w:spacing w:line="240" w:lineRule="auto"/>
        <w:ind w:left="567" w:right="647"/>
        <w:contextualSpacing/>
        <w:jc w:val="both"/>
        <w:rPr>
          <w:rFonts w:ascii="Arial" w:hAnsi="Arial" w:cs="Arial"/>
          <w:i/>
          <w:lang w:val="es-ES"/>
        </w:rPr>
      </w:pPr>
    </w:p>
    <w:p w14:paraId="46113C4F" w14:textId="77777777" w:rsidR="0004122D" w:rsidRPr="00A3111F" w:rsidRDefault="0004122D" w:rsidP="009E2306">
      <w:pPr>
        <w:spacing w:line="240" w:lineRule="auto"/>
        <w:ind w:left="567" w:right="647"/>
        <w:contextualSpacing/>
        <w:jc w:val="both"/>
        <w:rPr>
          <w:rFonts w:ascii="Arial" w:hAnsi="Arial" w:cs="Arial"/>
          <w:i/>
          <w:lang w:val="es-ES"/>
        </w:rPr>
      </w:pPr>
      <w:r w:rsidRPr="00A3111F">
        <w:rPr>
          <w:rFonts w:ascii="Arial" w:hAnsi="Arial" w:cs="Arial"/>
          <w:i/>
          <w:lang w:val="es-ES"/>
        </w:rPr>
        <w:t>6. Vencido el traslado para rendir concepto por el Ministerio Público, el Magistrado o Ponente registrará el proyecto de fallo dentro de los quince (15) días siguientes a la fecha de entrada al Despacho para sentencia. La Sala Plena de la respectiva Corporación adoptará el fallo dentro de los veinte (20) días siguientes, salvo que existan otros asuntos que gocen de prelación constitucional […]”.</w:t>
      </w:r>
    </w:p>
    <w:p w14:paraId="1E438BC0" w14:textId="77777777" w:rsidR="0004122D" w:rsidRPr="00A3111F" w:rsidRDefault="0004122D" w:rsidP="009E2306">
      <w:pPr>
        <w:tabs>
          <w:tab w:val="left" w:pos="426"/>
        </w:tabs>
        <w:autoSpaceDN w:val="0"/>
        <w:contextualSpacing/>
        <w:jc w:val="both"/>
        <w:rPr>
          <w:rFonts w:ascii="Arial" w:hAnsi="Arial" w:cs="Arial"/>
          <w:iCs/>
          <w:sz w:val="24"/>
          <w:szCs w:val="24"/>
        </w:rPr>
      </w:pPr>
    </w:p>
    <w:p w14:paraId="2055118E" w14:textId="77777777" w:rsidR="0004122D" w:rsidRPr="00A3111F" w:rsidRDefault="0004122D" w:rsidP="009E2306">
      <w:pPr>
        <w:numPr>
          <w:ilvl w:val="0"/>
          <w:numId w:val="3"/>
        </w:numPr>
        <w:tabs>
          <w:tab w:val="left" w:pos="426"/>
        </w:tabs>
        <w:autoSpaceDN w:val="0"/>
        <w:ind w:left="0" w:firstLine="0"/>
        <w:contextualSpacing/>
        <w:jc w:val="both"/>
        <w:rPr>
          <w:rFonts w:ascii="Arial" w:hAnsi="Arial" w:cs="Arial"/>
          <w:iCs/>
          <w:strike/>
          <w:sz w:val="24"/>
          <w:szCs w:val="24"/>
        </w:rPr>
      </w:pPr>
      <w:r w:rsidRPr="00A3111F">
        <w:rPr>
          <w:rFonts w:ascii="Arial" w:hAnsi="Arial" w:cs="Arial"/>
          <w:iCs/>
          <w:sz w:val="24"/>
          <w:szCs w:val="24"/>
        </w:rPr>
        <w:t xml:space="preserve">De la norma citada </w:t>
      </w:r>
      <w:r w:rsidRPr="00A3111F">
        <w:rPr>
          <w:rFonts w:ascii="Arial" w:hAnsi="Arial" w:cs="Arial"/>
          <w:i/>
          <w:sz w:val="24"/>
          <w:szCs w:val="24"/>
        </w:rPr>
        <w:t xml:space="preserve">supra, </w:t>
      </w:r>
      <w:r w:rsidRPr="00A3111F">
        <w:rPr>
          <w:rFonts w:ascii="Arial" w:hAnsi="Arial" w:cs="Arial"/>
          <w:iCs/>
          <w:sz w:val="24"/>
          <w:szCs w:val="24"/>
        </w:rPr>
        <w:t xml:space="preserve">se considera lo siguiente: i) el conocimiento del asunto corresponde a la jurisdicción de lo contencioso administrativo; </w:t>
      </w:r>
      <w:proofErr w:type="spellStart"/>
      <w:r w:rsidRPr="00A3111F">
        <w:rPr>
          <w:rFonts w:ascii="Arial" w:hAnsi="Arial" w:cs="Arial"/>
          <w:iCs/>
          <w:sz w:val="24"/>
          <w:szCs w:val="24"/>
        </w:rPr>
        <w:t>ii</w:t>
      </w:r>
      <w:proofErr w:type="spellEnd"/>
      <w:r w:rsidRPr="00A3111F">
        <w:rPr>
          <w:rFonts w:ascii="Arial" w:hAnsi="Arial" w:cs="Arial"/>
          <w:iCs/>
          <w:sz w:val="24"/>
          <w:szCs w:val="24"/>
        </w:rPr>
        <w:t xml:space="preserve">) </w:t>
      </w:r>
      <w:r w:rsidRPr="00A3111F">
        <w:rPr>
          <w:rFonts w:ascii="Arial" w:hAnsi="Arial" w:cs="Arial"/>
          <w:sz w:val="24"/>
          <w:szCs w:val="24"/>
        </w:rPr>
        <w:t>l</w:t>
      </w:r>
      <w:r w:rsidRPr="00A3111F">
        <w:rPr>
          <w:rFonts w:ascii="Arial" w:hAnsi="Arial" w:cs="Arial"/>
          <w:sz w:val="24"/>
          <w:szCs w:val="24"/>
          <w:lang w:val="es-ES"/>
        </w:rPr>
        <w:t>a sustanciación y ponencia corresponderá a uno de los magistrados de la respectiva corporación y la sentencia a la sala plena; iii) repartido el proceso,</w:t>
      </w:r>
      <w:r w:rsidRPr="00A3111F">
        <w:rPr>
          <w:rFonts w:ascii="Arial" w:hAnsi="Arial" w:cs="Arial"/>
          <w:iCs/>
          <w:sz w:val="24"/>
          <w:szCs w:val="24"/>
        </w:rPr>
        <w:t xml:space="preserve"> el magistrado ponente ordenará que </w:t>
      </w:r>
      <w:r w:rsidRPr="00A3111F">
        <w:rPr>
          <w:rFonts w:ascii="Arial" w:hAnsi="Arial" w:cs="Arial"/>
          <w:sz w:val="24"/>
          <w:szCs w:val="24"/>
          <w:lang w:val="es-ES"/>
        </w:rPr>
        <w:t>se fije en la Secretaría un aviso sobre la existencia del proceso, por el término de diez (10) días, durante los cuales cualquier ciudadano podrá intervenir por escrito para defender o impugnar la legalidad del acto administrativo</w:t>
      </w:r>
      <w:r w:rsidRPr="00A3111F">
        <w:rPr>
          <w:rFonts w:ascii="Arial" w:hAnsi="Arial" w:cs="Arial"/>
          <w:sz w:val="24"/>
          <w:szCs w:val="24"/>
        </w:rPr>
        <w:t>;</w:t>
      </w:r>
      <w:r w:rsidRPr="00A3111F">
        <w:rPr>
          <w:rFonts w:ascii="Arial" w:hAnsi="Arial" w:cs="Arial"/>
          <w:iCs/>
          <w:sz w:val="24"/>
          <w:szCs w:val="24"/>
        </w:rPr>
        <w:t xml:space="preserve"> </w:t>
      </w:r>
      <w:proofErr w:type="spellStart"/>
      <w:r w:rsidRPr="00A3111F">
        <w:rPr>
          <w:rFonts w:ascii="Arial" w:hAnsi="Arial" w:cs="Arial"/>
          <w:iCs/>
          <w:sz w:val="24"/>
          <w:szCs w:val="24"/>
        </w:rPr>
        <w:t>iv</w:t>
      </w:r>
      <w:proofErr w:type="spellEnd"/>
      <w:r w:rsidRPr="00A3111F">
        <w:rPr>
          <w:rFonts w:ascii="Arial" w:hAnsi="Arial" w:cs="Arial"/>
          <w:iCs/>
          <w:sz w:val="24"/>
          <w:szCs w:val="24"/>
        </w:rPr>
        <w:t xml:space="preserve">) </w:t>
      </w:r>
      <w:r w:rsidRPr="00A3111F">
        <w:rPr>
          <w:rFonts w:ascii="Arial" w:hAnsi="Arial" w:cs="Arial"/>
          <w:sz w:val="24"/>
          <w:szCs w:val="24"/>
          <w:lang w:val="es-ES"/>
        </w:rPr>
        <w:t>adicionalmente, se ordenará la publicación del aviso en el sitio web de la jurisdicción de lo contencioso administrativo; v) se podrá invitar a entidades públicas, organizaciones privadas y expertos en las materias relacionadas con el tema del proceso para que presenten por escrito su concepto acerca de puntos relevantes</w:t>
      </w:r>
      <w:r w:rsidRPr="00A3111F">
        <w:rPr>
          <w:rFonts w:ascii="Arial" w:hAnsi="Arial" w:cs="Arial"/>
          <w:iCs/>
          <w:sz w:val="24"/>
          <w:szCs w:val="24"/>
        </w:rPr>
        <w:t xml:space="preserve">; vi) se </w:t>
      </w:r>
      <w:r w:rsidRPr="00A3111F">
        <w:rPr>
          <w:rFonts w:ascii="Arial" w:hAnsi="Arial" w:cs="Arial"/>
          <w:iCs/>
          <w:sz w:val="24"/>
          <w:szCs w:val="24"/>
          <w:lang w:val="es-ES"/>
        </w:rPr>
        <w:t>podrá decretar las pruebas que se estimen conducentes, las cuales se practicarán en el término de diez (10) día</w:t>
      </w:r>
      <w:r w:rsidRPr="00A3111F">
        <w:rPr>
          <w:rFonts w:ascii="Arial" w:hAnsi="Arial" w:cs="Arial"/>
          <w:sz w:val="24"/>
          <w:szCs w:val="24"/>
          <w:lang w:val="es-ES"/>
        </w:rPr>
        <w:t>s</w:t>
      </w:r>
      <w:r w:rsidRPr="00A3111F">
        <w:rPr>
          <w:rFonts w:ascii="Arial" w:hAnsi="Arial" w:cs="Arial"/>
          <w:iCs/>
          <w:sz w:val="24"/>
          <w:szCs w:val="24"/>
        </w:rPr>
        <w:t xml:space="preserve">; </w:t>
      </w:r>
      <w:proofErr w:type="spellStart"/>
      <w:r w:rsidRPr="00A3111F">
        <w:rPr>
          <w:rFonts w:ascii="Arial" w:hAnsi="Arial" w:cs="Arial"/>
          <w:iCs/>
          <w:sz w:val="24"/>
          <w:szCs w:val="24"/>
        </w:rPr>
        <w:t>vii</w:t>
      </w:r>
      <w:proofErr w:type="spellEnd"/>
      <w:r w:rsidRPr="00A3111F">
        <w:rPr>
          <w:rFonts w:ascii="Arial" w:hAnsi="Arial" w:cs="Arial"/>
          <w:iCs/>
          <w:sz w:val="24"/>
          <w:szCs w:val="24"/>
        </w:rPr>
        <w:t xml:space="preserve">) </w:t>
      </w:r>
      <w:r w:rsidRPr="00A3111F">
        <w:rPr>
          <w:rFonts w:ascii="Arial" w:hAnsi="Arial" w:cs="Arial"/>
          <w:sz w:val="24"/>
          <w:szCs w:val="24"/>
          <w:lang w:val="es-ES"/>
        </w:rPr>
        <w:t>expirado el término de la publicación del aviso o vencido el término probatorio, cuando este fuere procedente, pasará el asunto al Ministerio Público para que dentro de los diez (10) días siguientes rinda concepto</w:t>
      </w:r>
      <w:r w:rsidRPr="00A3111F">
        <w:rPr>
          <w:rFonts w:ascii="Arial" w:hAnsi="Arial" w:cs="Arial"/>
          <w:iCs/>
          <w:sz w:val="24"/>
          <w:szCs w:val="24"/>
        </w:rPr>
        <w:t xml:space="preserve">; </w:t>
      </w:r>
      <w:proofErr w:type="spellStart"/>
      <w:r w:rsidRPr="00A3111F">
        <w:rPr>
          <w:rFonts w:ascii="Arial" w:hAnsi="Arial" w:cs="Arial"/>
          <w:iCs/>
          <w:sz w:val="24"/>
          <w:szCs w:val="24"/>
        </w:rPr>
        <w:t>viii</w:t>
      </w:r>
      <w:proofErr w:type="spellEnd"/>
      <w:r w:rsidRPr="00A3111F">
        <w:rPr>
          <w:rFonts w:ascii="Arial" w:hAnsi="Arial" w:cs="Arial"/>
          <w:iCs/>
          <w:sz w:val="24"/>
          <w:szCs w:val="24"/>
        </w:rPr>
        <w:t xml:space="preserve">) </w:t>
      </w:r>
      <w:r w:rsidRPr="00A3111F">
        <w:rPr>
          <w:rFonts w:ascii="Arial" w:hAnsi="Arial" w:cs="Arial"/>
          <w:sz w:val="24"/>
          <w:szCs w:val="24"/>
          <w:lang w:val="es-ES"/>
        </w:rPr>
        <w:t xml:space="preserve">vencido el traslado para rendir concepto por el Ministerio Público, el magistrado ponente registrará el proyecto de sentencia, dentro de los quince (15) días siguientes a la fecha de remitido el proceso al despacho; y </w:t>
      </w:r>
      <w:proofErr w:type="spellStart"/>
      <w:r w:rsidRPr="00A3111F">
        <w:rPr>
          <w:rFonts w:ascii="Arial" w:hAnsi="Arial" w:cs="Arial"/>
          <w:sz w:val="24"/>
          <w:szCs w:val="24"/>
          <w:lang w:val="es-ES"/>
        </w:rPr>
        <w:t>ix</w:t>
      </w:r>
      <w:proofErr w:type="spellEnd"/>
      <w:r w:rsidRPr="00A3111F">
        <w:rPr>
          <w:rFonts w:ascii="Arial" w:hAnsi="Arial" w:cs="Arial"/>
          <w:sz w:val="24"/>
          <w:szCs w:val="24"/>
          <w:lang w:val="es-ES"/>
        </w:rPr>
        <w:t>) la sala plena de la respectiva corporación proferirá la sentencia dentro de los veinte (20) días siguientes, salvo que existan otros asuntos que gocen de prelación constitucional</w:t>
      </w:r>
      <w:r w:rsidRPr="00A3111F">
        <w:rPr>
          <w:rFonts w:ascii="Arial" w:hAnsi="Arial" w:cs="Arial"/>
          <w:sz w:val="24"/>
          <w:szCs w:val="24"/>
        </w:rPr>
        <w:t>.</w:t>
      </w:r>
    </w:p>
    <w:p w14:paraId="64EF361A" w14:textId="77777777" w:rsidR="001A2153" w:rsidRPr="00A3111F" w:rsidRDefault="001A2153" w:rsidP="005E7C10">
      <w:pPr>
        <w:pStyle w:val="Sinespaciado"/>
        <w:contextualSpacing/>
        <w:rPr>
          <w:rFonts w:ascii="Arial" w:eastAsia="Arial" w:hAnsi="Arial" w:cs="Arial"/>
          <w:b/>
          <w:bCs/>
          <w:sz w:val="26"/>
          <w:szCs w:val="26"/>
        </w:rPr>
      </w:pPr>
    </w:p>
    <w:p w14:paraId="47FB6F44" w14:textId="2DFFF4E5" w:rsidR="001A2153" w:rsidRPr="00A3111F" w:rsidRDefault="009E708E" w:rsidP="005E7C10">
      <w:pPr>
        <w:contextualSpacing/>
        <w:jc w:val="both"/>
      </w:pPr>
      <w:r w:rsidRPr="00A3111F">
        <w:rPr>
          <w:rFonts w:ascii="Arial" w:eastAsia="Arial" w:hAnsi="Arial" w:cs="Arial"/>
          <w:b/>
          <w:bCs/>
          <w:sz w:val="24"/>
          <w:szCs w:val="24"/>
          <w:lang w:val="es"/>
        </w:rPr>
        <w:t>E</w:t>
      </w:r>
      <w:r w:rsidR="001A2153" w:rsidRPr="00A3111F">
        <w:rPr>
          <w:rFonts w:ascii="Arial" w:eastAsia="Arial" w:hAnsi="Arial" w:cs="Arial"/>
          <w:b/>
          <w:bCs/>
          <w:sz w:val="24"/>
          <w:szCs w:val="24"/>
          <w:lang w:val="es"/>
        </w:rPr>
        <w:t>l uso de las tecnologías de la información y las comunicaciones</w:t>
      </w:r>
    </w:p>
    <w:p w14:paraId="4A9CD529" w14:textId="77777777" w:rsidR="001A2153" w:rsidRPr="00A3111F" w:rsidRDefault="001A2153" w:rsidP="005E7C10">
      <w:pPr>
        <w:contextualSpacing/>
        <w:jc w:val="center"/>
        <w:rPr>
          <w:rFonts w:ascii="Arial" w:hAnsi="Arial" w:cs="Arial"/>
          <w:sz w:val="26"/>
          <w:szCs w:val="26"/>
        </w:rPr>
      </w:pPr>
    </w:p>
    <w:p w14:paraId="5689F5F3" w14:textId="6085F97C" w:rsidR="001A2153" w:rsidRPr="00A3111F" w:rsidRDefault="001A2153" w:rsidP="005E7C10">
      <w:pPr>
        <w:numPr>
          <w:ilvl w:val="0"/>
          <w:numId w:val="3"/>
        </w:numPr>
        <w:tabs>
          <w:tab w:val="left" w:pos="426"/>
        </w:tabs>
        <w:autoSpaceDN w:val="0"/>
        <w:ind w:left="0" w:firstLine="0"/>
        <w:contextualSpacing/>
        <w:jc w:val="both"/>
        <w:rPr>
          <w:rFonts w:ascii="Arial" w:hAnsi="Arial" w:cs="Arial"/>
          <w:sz w:val="24"/>
          <w:szCs w:val="24"/>
        </w:rPr>
      </w:pPr>
      <w:r w:rsidRPr="00A3111F">
        <w:rPr>
          <w:rFonts w:ascii="Arial" w:hAnsi="Arial" w:cs="Arial"/>
          <w:sz w:val="24"/>
          <w:szCs w:val="24"/>
        </w:rPr>
        <w:t>Visto el artículo 186 de la Ley 1437 de 18 de enero de 2011</w:t>
      </w:r>
      <w:r w:rsidRPr="00A3111F">
        <w:rPr>
          <w:rFonts w:ascii="Arial" w:hAnsi="Arial" w:cs="Arial"/>
          <w:sz w:val="24"/>
          <w:szCs w:val="24"/>
          <w:vertAlign w:val="superscript"/>
        </w:rPr>
        <w:footnoteReference w:id="12"/>
      </w:r>
      <w:r w:rsidRPr="00A3111F">
        <w:rPr>
          <w:rFonts w:ascii="Arial" w:hAnsi="Arial" w:cs="Arial"/>
          <w:sz w:val="24"/>
          <w:szCs w:val="24"/>
        </w:rPr>
        <w:t xml:space="preserve">, sobre la utilización de medios electrónicos, que dispone: </w:t>
      </w:r>
      <w:r w:rsidRPr="00A3111F">
        <w:rPr>
          <w:rFonts w:ascii="Arial" w:hAnsi="Arial" w:cs="Arial"/>
          <w:i/>
          <w:sz w:val="24"/>
          <w:szCs w:val="24"/>
        </w:rPr>
        <w:t xml:space="preserve">“[…] [t]odas las actuaciones judiciales susceptibles de surtirse en forma escrita se podrán realizar a través de medios electrónicos, siempre y cuando en su envío y recepción se garantice su </w:t>
      </w:r>
      <w:r w:rsidRPr="00A3111F">
        <w:rPr>
          <w:rFonts w:ascii="Arial" w:hAnsi="Arial" w:cs="Arial"/>
          <w:i/>
          <w:sz w:val="24"/>
          <w:szCs w:val="24"/>
        </w:rPr>
        <w:lastRenderedPageBreak/>
        <w:t>autenticidad, integridad, conservación y posterior consulta, de conformidad con la ley. La autoridad judicial deberá contar con mecanismos que permitan acusar recibo de la información recibida, a través de este medio […]”</w:t>
      </w:r>
      <w:r w:rsidRPr="00A3111F">
        <w:rPr>
          <w:rFonts w:ascii="Arial" w:hAnsi="Arial" w:cs="Arial"/>
          <w:sz w:val="24"/>
          <w:szCs w:val="24"/>
        </w:rPr>
        <w:t>.</w:t>
      </w:r>
    </w:p>
    <w:p w14:paraId="0EC0FF17" w14:textId="77777777" w:rsidR="001A2153" w:rsidRPr="00A3111F" w:rsidRDefault="001A2153" w:rsidP="009E2306">
      <w:pPr>
        <w:tabs>
          <w:tab w:val="left" w:pos="426"/>
        </w:tabs>
        <w:autoSpaceDN w:val="0"/>
        <w:contextualSpacing/>
        <w:jc w:val="both"/>
        <w:rPr>
          <w:rFonts w:ascii="Arial" w:hAnsi="Arial" w:cs="Arial"/>
          <w:sz w:val="24"/>
          <w:szCs w:val="24"/>
        </w:rPr>
      </w:pPr>
    </w:p>
    <w:p w14:paraId="1B01EFA7" w14:textId="32677D7C" w:rsidR="00EB561A" w:rsidRPr="00A3111F" w:rsidRDefault="00C06B47" w:rsidP="009E2306">
      <w:pPr>
        <w:numPr>
          <w:ilvl w:val="0"/>
          <w:numId w:val="3"/>
        </w:numPr>
        <w:tabs>
          <w:tab w:val="left" w:pos="426"/>
        </w:tabs>
        <w:autoSpaceDN w:val="0"/>
        <w:ind w:left="0" w:firstLine="0"/>
        <w:contextualSpacing/>
        <w:jc w:val="both"/>
        <w:rPr>
          <w:rFonts w:ascii="Arial" w:eastAsia="Arial" w:hAnsi="Arial" w:cs="Arial"/>
          <w:b/>
          <w:bCs/>
          <w:sz w:val="24"/>
          <w:szCs w:val="24"/>
          <w:lang w:val="es"/>
        </w:rPr>
      </w:pPr>
      <w:r w:rsidRPr="00A3111F">
        <w:rPr>
          <w:rFonts w:ascii="Arial" w:hAnsi="Arial" w:cs="Arial"/>
          <w:sz w:val="24"/>
          <w:szCs w:val="24"/>
          <w:lang w:val="es-ES"/>
        </w:rPr>
        <w:t>Asimismo, v</w:t>
      </w:r>
      <w:r w:rsidR="001A2153" w:rsidRPr="00A3111F">
        <w:rPr>
          <w:rFonts w:ascii="Arial" w:hAnsi="Arial" w:cs="Arial"/>
          <w:sz w:val="24"/>
          <w:szCs w:val="24"/>
          <w:lang w:val="es-ES"/>
        </w:rPr>
        <w:t xml:space="preserve">isto el </w:t>
      </w:r>
      <w:r w:rsidR="001A2153" w:rsidRPr="00A3111F">
        <w:rPr>
          <w:rFonts w:ascii="Arial" w:hAnsi="Arial" w:cs="Arial"/>
          <w:sz w:val="24"/>
          <w:szCs w:val="24"/>
        </w:rPr>
        <w:t>Decreto Legislativo 806 de</w:t>
      </w:r>
      <w:r w:rsidR="00D12E4D" w:rsidRPr="00A3111F">
        <w:rPr>
          <w:rFonts w:ascii="Arial" w:hAnsi="Arial" w:cs="Arial"/>
          <w:sz w:val="24"/>
          <w:szCs w:val="24"/>
        </w:rPr>
        <w:t xml:space="preserve"> 4 de junio de</w:t>
      </w:r>
      <w:r w:rsidR="001A2153" w:rsidRPr="00A3111F">
        <w:rPr>
          <w:rFonts w:ascii="Arial" w:hAnsi="Arial" w:cs="Arial"/>
          <w:sz w:val="24"/>
          <w:szCs w:val="24"/>
        </w:rPr>
        <w:t xml:space="preserve"> 2020, expedido por e</w:t>
      </w:r>
      <w:r w:rsidR="001A2153" w:rsidRPr="00A3111F">
        <w:rPr>
          <w:rFonts w:ascii="Arial" w:hAnsi="Arial" w:cs="Arial"/>
          <w:sz w:val="24"/>
          <w:szCs w:val="24"/>
          <w:lang w:val="es-ES"/>
        </w:rPr>
        <w:t xml:space="preserve">l Gobierno Nacional </w:t>
      </w:r>
      <w:r w:rsidR="001A2153" w:rsidRPr="00A3111F">
        <w:rPr>
          <w:rStyle w:val="normaltextrun"/>
          <w:rFonts w:ascii="Arial" w:hAnsi="Arial" w:cs="Arial"/>
          <w:i/>
          <w:iCs/>
          <w:sz w:val="24"/>
          <w:szCs w:val="24"/>
        </w:rPr>
        <w:t>“[…] Por el cual se adoptan medidas para implementar las tecnologías de la información y las comunicaciones en las actuaciones judiciales, agilizar los procesos judiciales y flexibilizar la atención a los usuarios del servicio de justicia, en el marco del Estado de Emergencia Económica, Social y Ecológica […]”</w:t>
      </w:r>
      <w:r w:rsidR="001A2153" w:rsidRPr="00A3111F">
        <w:rPr>
          <w:rFonts w:ascii="Arial" w:hAnsi="Arial" w:cs="Arial"/>
          <w:sz w:val="24"/>
          <w:szCs w:val="24"/>
          <w:lang w:val="es-ES"/>
        </w:rPr>
        <w:t>; en especial</w:t>
      </w:r>
      <w:r w:rsidR="001A2153" w:rsidRPr="00A3111F">
        <w:rPr>
          <w:rFonts w:ascii="Arial" w:hAnsi="Arial" w:cs="Arial"/>
          <w:sz w:val="24"/>
          <w:szCs w:val="24"/>
          <w:lang w:val="es"/>
        </w:rPr>
        <w:t>, los artículos 1</w:t>
      </w:r>
      <w:r w:rsidR="002B6366" w:rsidRPr="00A3111F">
        <w:rPr>
          <w:rFonts w:ascii="Arial" w:hAnsi="Arial" w:cs="Arial"/>
          <w:sz w:val="24"/>
          <w:szCs w:val="24"/>
          <w:lang w:val="es"/>
        </w:rPr>
        <w:t>,</w:t>
      </w:r>
      <w:r w:rsidR="001A2153" w:rsidRPr="00A3111F">
        <w:rPr>
          <w:rFonts w:ascii="Arial" w:hAnsi="Arial" w:cs="Arial"/>
          <w:sz w:val="24"/>
          <w:szCs w:val="24"/>
          <w:lang w:val="es"/>
        </w:rPr>
        <w:t xml:space="preserve"> 2,</w:t>
      </w:r>
      <w:r w:rsidR="002B6366" w:rsidRPr="00A3111F">
        <w:rPr>
          <w:rFonts w:ascii="Arial" w:hAnsi="Arial" w:cs="Arial"/>
          <w:sz w:val="24"/>
          <w:szCs w:val="24"/>
          <w:lang w:val="es"/>
        </w:rPr>
        <w:t xml:space="preserve"> 3, 8 y 9</w:t>
      </w:r>
      <w:r w:rsidR="001A2153" w:rsidRPr="00A3111F">
        <w:rPr>
          <w:rFonts w:ascii="Arial" w:hAnsi="Arial" w:cs="Arial"/>
          <w:sz w:val="24"/>
          <w:szCs w:val="24"/>
          <w:lang w:val="es"/>
        </w:rPr>
        <w:t xml:space="preserve"> sobre objeto y </w:t>
      </w:r>
      <w:r w:rsidR="001A2153" w:rsidRPr="00A3111F">
        <w:rPr>
          <w:rFonts w:ascii="Arial" w:hAnsi="Arial" w:cs="Arial"/>
          <w:sz w:val="24"/>
          <w:szCs w:val="24"/>
          <w:lang w:val="es-ES"/>
        </w:rPr>
        <w:t>el uso de las tecnologías de la información y las comunicaciones</w:t>
      </w:r>
      <w:r w:rsidR="00485EA3" w:rsidRPr="00A3111F">
        <w:rPr>
          <w:rFonts w:ascii="Arial" w:hAnsi="Arial" w:cs="Arial"/>
          <w:sz w:val="24"/>
          <w:szCs w:val="24"/>
          <w:lang w:val="es-ES"/>
        </w:rPr>
        <w:t xml:space="preserve"> y</w:t>
      </w:r>
      <w:r w:rsidR="002B6366" w:rsidRPr="00A3111F">
        <w:rPr>
          <w:rFonts w:ascii="Arial" w:hAnsi="Arial" w:cs="Arial"/>
          <w:sz w:val="24"/>
          <w:szCs w:val="24"/>
          <w:lang w:val="es-ES"/>
        </w:rPr>
        <w:t xml:space="preserve"> </w:t>
      </w:r>
      <w:r w:rsidR="002B6366" w:rsidRPr="00A3111F">
        <w:rPr>
          <w:rFonts w:ascii="Arial" w:hAnsi="Arial" w:cs="Arial"/>
          <w:sz w:val="24"/>
          <w:szCs w:val="24"/>
        </w:rPr>
        <w:t>deberes de los sujetos procesales en relación con las tecnologías de la información y las comunicaciones</w:t>
      </w:r>
      <w:r w:rsidR="00485EA3" w:rsidRPr="00A3111F">
        <w:rPr>
          <w:rFonts w:ascii="Arial" w:hAnsi="Arial" w:cs="Arial"/>
          <w:sz w:val="24"/>
          <w:szCs w:val="24"/>
        </w:rPr>
        <w:t>.</w:t>
      </w:r>
    </w:p>
    <w:p w14:paraId="6172050F" w14:textId="77777777" w:rsidR="004D2E6B" w:rsidRPr="00A3111F" w:rsidRDefault="004D2E6B" w:rsidP="005E7C10">
      <w:pPr>
        <w:tabs>
          <w:tab w:val="left" w:pos="0"/>
          <w:tab w:val="left" w:pos="426"/>
        </w:tabs>
        <w:contextualSpacing/>
        <w:jc w:val="both"/>
        <w:rPr>
          <w:rFonts w:ascii="Arial" w:hAnsi="Arial" w:cs="Arial"/>
          <w:sz w:val="24"/>
          <w:szCs w:val="24"/>
        </w:rPr>
      </w:pPr>
    </w:p>
    <w:p w14:paraId="6E390110" w14:textId="77777777" w:rsidR="00FA6DBF" w:rsidRPr="00A3111F" w:rsidRDefault="003B5D51" w:rsidP="005E7C10">
      <w:pPr>
        <w:contextualSpacing/>
        <w:jc w:val="both"/>
        <w:rPr>
          <w:rFonts w:ascii="Arial" w:hAnsi="Arial" w:cs="Arial"/>
          <w:b/>
          <w:sz w:val="24"/>
          <w:szCs w:val="24"/>
        </w:rPr>
      </w:pPr>
      <w:r w:rsidRPr="00A3111F">
        <w:rPr>
          <w:rFonts w:ascii="Arial" w:hAnsi="Arial" w:cs="Arial"/>
          <w:b/>
          <w:sz w:val="24"/>
          <w:szCs w:val="24"/>
        </w:rPr>
        <w:t>Análisis</w:t>
      </w:r>
      <w:r w:rsidR="003457FA" w:rsidRPr="00A3111F">
        <w:rPr>
          <w:rFonts w:ascii="Arial" w:hAnsi="Arial" w:cs="Arial"/>
          <w:b/>
          <w:sz w:val="24"/>
          <w:szCs w:val="24"/>
        </w:rPr>
        <w:t xml:space="preserve"> del c</w:t>
      </w:r>
      <w:r w:rsidR="00894405" w:rsidRPr="00A3111F">
        <w:rPr>
          <w:rFonts w:ascii="Arial" w:hAnsi="Arial" w:cs="Arial"/>
          <w:b/>
          <w:sz w:val="24"/>
          <w:szCs w:val="24"/>
        </w:rPr>
        <w:t>aso concreto</w:t>
      </w:r>
    </w:p>
    <w:p w14:paraId="61A1F64C" w14:textId="77777777" w:rsidR="00EB561A" w:rsidRPr="00A3111F" w:rsidRDefault="00EB561A" w:rsidP="005E7C10">
      <w:pPr>
        <w:overflowPunct w:val="0"/>
        <w:autoSpaceDE w:val="0"/>
        <w:autoSpaceDN w:val="0"/>
        <w:adjustRightInd w:val="0"/>
        <w:contextualSpacing/>
        <w:jc w:val="both"/>
        <w:textAlignment w:val="baseline"/>
        <w:rPr>
          <w:rFonts w:ascii="Arial" w:eastAsia="Times New Roman" w:hAnsi="Arial" w:cs="Arial"/>
          <w:sz w:val="24"/>
          <w:szCs w:val="24"/>
          <w:lang w:eastAsia="es-ES"/>
        </w:rPr>
      </w:pPr>
    </w:p>
    <w:p w14:paraId="76EC4863" w14:textId="60F85463" w:rsidR="00EB561A" w:rsidRPr="00A3111F" w:rsidRDefault="00EB561A" w:rsidP="005E7C10">
      <w:pPr>
        <w:numPr>
          <w:ilvl w:val="0"/>
          <w:numId w:val="3"/>
        </w:numPr>
        <w:tabs>
          <w:tab w:val="left" w:pos="426"/>
        </w:tabs>
        <w:ind w:left="0" w:firstLine="0"/>
        <w:contextualSpacing/>
        <w:jc w:val="both"/>
        <w:rPr>
          <w:rFonts w:ascii="Arial" w:hAnsi="Arial" w:cs="Arial"/>
        </w:rPr>
      </w:pPr>
      <w:r w:rsidRPr="00A3111F">
        <w:rPr>
          <w:rFonts w:ascii="Arial" w:hAnsi="Arial" w:cs="Arial"/>
          <w:sz w:val="24"/>
          <w:szCs w:val="24"/>
        </w:rPr>
        <w:t xml:space="preserve">Vistos las </w:t>
      </w:r>
      <w:r w:rsidRPr="00A3111F">
        <w:rPr>
          <w:rFonts w:ascii="Arial" w:eastAsia="Arial" w:hAnsi="Arial" w:cs="Arial"/>
          <w:sz w:val="24"/>
          <w:szCs w:val="24"/>
        </w:rPr>
        <w:t>normas indicad</w:t>
      </w:r>
      <w:r w:rsidR="008C3E6A" w:rsidRPr="00A3111F">
        <w:rPr>
          <w:rFonts w:ascii="Arial" w:eastAsia="Arial" w:hAnsi="Arial" w:cs="Arial"/>
          <w:sz w:val="24"/>
          <w:szCs w:val="24"/>
        </w:rPr>
        <w:t>a</w:t>
      </w:r>
      <w:r w:rsidRPr="00A3111F">
        <w:rPr>
          <w:rFonts w:ascii="Arial" w:eastAsia="Arial" w:hAnsi="Arial" w:cs="Arial"/>
          <w:sz w:val="24"/>
          <w:szCs w:val="24"/>
        </w:rPr>
        <w:t xml:space="preserve">s en los acápites desarrollados </w:t>
      </w:r>
      <w:r w:rsidRPr="00A3111F">
        <w:rPr>
          <w:rFonts w:ascii="Arial" w:eastAsia="Arial" w:hAnsi="Arial" w:cs="Arial"/>
          <w:i/>
          <w:iCs/>
          <w:sz w:val="24"/>
          <w:szCs w:val="24"/>
        </w:rPr>
        <w:t xml:space="preserve">supra </w:t>
      </w:r>
      <w:r w:rsidRPr="00A3111F">
        <w:rPr>
          <w:rFonts w:ascii="Arial" w:eastAsia="Arial" w:hAnsi="Arial" w:cs="Arial"/>
          <w:sz w:val="24"/>
          <w:szCs w:val="24"/>
        </w:rPr>
        <w:t xml:space="preserve">de los marcos normativos y características del medio de control inmediato de legalidad y su procedimiento; y atendiendo a que </w:t>
      </w:r>
      <w:r w:rsidR="008C3E6A" w:rsidRPr="00A3111F">
        <w:rPr>
          <w:rFonts w:ascii="Arial" w:eastAsia="Arial" w:hAnsi="Arial" w:cs="Arial"/>
          <w:sz w:val="24"/>
          <w:szCs w:val="24"/>
        </w:rPr>
        <w:t>e</w:t>
      </w:r>
      <w:r w:rsidR="008E545E" w:rsidRPr="00A3111F">
        <w:rPr>
          <w:rFonts w:ascii="Arial" w:eastAsia="Arial" w:hAnsi="Arial" w:cs="Arial"/>
          <w:sz w:val="24"/>
          <w:szCs w:val="24"/>
        </w:rPr>
        <w:t>l</w:t>
      </w:r>
      <w:r w:rsidRPr="00A3111F">
        <w:rPr>
          <w:rFonts w:ascii="Arial" w:eastAsia="Arial" w:hAnsi="Arial" w:cs="Arial"/>
          <w:sz w:val="24"/>
          <w:szCs w:val="24"/>
        </w:rPr>
        <w:t xml:space="preserve"> Consejero de Estado, </w:t>
      </w:r>
      <w:r w:rsidR="008C3E6A" w:rsidRPr="00A3111F">
        <w:rPr>
          <w:rFonts w:ascii="Arial" w:eastAsia="Arial" w:hAnsi="Arial" w:cs="Arial"/>
          <w:sz w:val="24"/>
          <w:szCs w:val="24"/>
        </w:rPr>
        <w:t>D</w:t>
      </w:r>
      <w:r w:rsidRPr="00A3111F">
        <w:rPr>
          <w:rFonts w:ascii="Arial" w:eastAsia="Arial" w:hAnsi="Arial" w:cs="Arial"/>
          <w:sz w:val="24"/>
          <w:szCs w:val="24"/>
        </w:rPr>
        <w:t xml:space="preserve">octor </w:t>
      </w:r>
      <w:r w:rsidR="00614C9B" w:rsidRPr="00A3111F">
        <w:rPr>
          <w:rFonts w:ascii="Arial" w:eastAsia="Arial" w:hAnsi="Arial" w:cs="Arial"/>
          <w:sz w:val="24"/>
          <w:szCs w:val="24"/>
        </w:rPr>
        <w:t>Luis Alberto Álvarez Parra</w:t>
      </w:r>
      <w:r w:rsidR="008C3E6A" w:rsidRPr="00A3111F">
        <w:rPr>
          <w:rFonts w:ascii="Arial" w:eastAsia="Arial" w:hAnsi="Arial" w:cs="Arial"/>
          <w:sz w:val="24"/>
          <w:szCs w:val="24"/>
        </w:rPr>
        <w:t xml:space="preserve"> remitió</w:t>
      </w:r>
      <w:r w:rsidR="00B44F89" w:rsidRPr="00A3111F">
        <w:rPr>
          <w:rFonts w:ascii="Arial" w:eastAsia="Arial" w:hAnsi="Arial" w:cs="Arial"/>
          <w:sz w:val="24"/>
          <w:szCs w:val="24"/>
        </w:rPr>
        <w:t xml:space="preserve"> </w:t>
      </w:r>
      <w:r w:rsidR="00891498" w:rsidRPr="00A3111F">
        <w:rPr>
          <w:rFonts w:ascii="Arial" w:eastAsia="Arial" w:hAnsi="Arial" w:cs="Arial"/>
          <w:sz w:val="24"/>
          <w:szCs w:val="24"/>
        </w:rPr>
        <w:t>el</w:t>
      </w:r>
      <w:r w:rsidRPr="00A3111F">
        <w:rPr>
          <w:rFonts w:ascii="Arial" w:eastAsia="Arial" w:hAnsi="Arial" w:cs="Arial"/>
          <w:sz w:val="24"/>
          <w:szCs w:val="24"/>
        </w:rPr>
        <w:t xml:space="preserve"> </w:t>
      </w:r>
      <w:r w:rsidR="00B44F89" w:rsidRPr="00A3111F">
        <w:rPr>
          <w:rFonts w:ascii="Arial" w:eastAsia="Arial" w:hAnsi="Arial" w:cs="Arial"/>
          <w:sz w:val="24"/>
          <w:szCs w:val="24"/>
        </w:rPr>
        <w:t>expediente</w:t>
      </w:r>
      <w:r w:rsidRPr="00A3111F">
        <w:rPr>
          <w:rFonts w:ascii="Arial" w:eastAsia="Arial" w:hAnsi="Arial" w:cs="Arial"/>
          <w:sz w:val="24"/>
          <w:szCs w:val="24"/>
        </w:rPr>
        <w:t xml:space="preserve"> identificado con </w:t>
      </w:r>
      <w:r w:rsidR="00891498" w:rsidRPr="00A3111F">
        <w:rPr>
          <w:rFonts w:ascii="Arial" w:eastAsia="Arial" w:hAnsi="Arial" w:cs="Arial"/>
          <w:sz w:val="24"/>
          <w:szCs w:val="24"/>
        </w:rPr>
        <w:t>el</w:t>
      </w:r>
      <w:r w:rsidRPr="00A3111F">
        <w:rPr>
          <w:rFonts w:ascii="Arial" w:eastAsia="Arial" w:hAnsi="Arial" w:cs="Arial"/>
          <w:sz w:val="24"/>
          <w:szCs w:val="24"/>
        </w:rPr>
        <w:t xml:space="preserve"> número único de radicación</w:t>
      </w:r>
      <w:r w:rsidR="00D12E4D" w:rsidRPr="00A3111F">
        <w:rPr>
          <w:rFonts w:ascii="Arial" w:eastAsia="Arial" w:hAnsi="Arial" w:cs="Arial"/>
          <w:sz w:val="24"/>
          <w:szCs w:val="24"/>
        </w:rPr>
        <w:t xml:space="preserve"> </w:t>
      </w:r>
      <w:r w:rsidR="00614C9B" w:rsidRPr="00A3111F">
        <w:rPr>
          <w:rFonts w:ascii="Arial" w:eastAsia="Arial" w:hAnsi="Arial" w:cs="Arial"/>
          <w:sz w:val="24"/>
          <w:szCs w:val="24"/>
        </w:rPr>
        <w:t>11001031500020200284900</w:t>
      </w:r>
      <w:r w:rsidR="00891498" w:rsidRPr="00A3111F">
        <w:rPr>
          <w:rFonts w:ascii="Arial" w:eastAsia="Arial" w:hAnsi="Arial" w:cs="Arial"/>
          <w:sz w:val="24"/>
          <w:szCs w:val="24"/>
        </w:rPr>
        <w:t xml:space="preserve"> </w:t>
      </w:r>
      <w:r w:rsidR="00B44F89" w:rsidRPr="00A3111F">
        <w:rPr>
          <w:rFonts w:ascii="Arial" w:eastAsia="Arial" w:hAnsi="Arial" w:cs="Arial"/>
          <w:sz w:val="24"/>
          <w:szCs w:val="24"/>
        </w:rPr>
        <w:t>para que se estudie la posibilidad de acumularlo</w:t>
      </w:r>
      <w:r w:rsidRPr="00A3111F">
        <w:rPr>
          <w:rFonts w:ascii="Arial" w:eastAsia="Arial" w:hAnsi="Arial" w:cs="Arial"/>
          <w:sz w:val="24"/>
          <w:szCs w:val="24"/>
        </w:rPr>
        <w:t xml:space="preserve"> al proceso </w:t>
      </w:r>
      <w:r w:rsidR="008C3E6A" w:rsidRPr="00A3111F">
        <w:rPr>
          <w:rFonts w:ascii="Arial" w:eastAsia="Arial" w:hAnsi="Arial" w:cs="Arial"/>
          <w:sz w:val="24"/>
          <w:szCs w:val="24"/>
        </w:rPr>
        <w:t xml:space="preserve">de la referencia, este Despacho procederá a analizar si procede o no dicha acumulación y, en caso afirmativo, proveerá lo que en derecho corresponda. </w:t>
      </w:r>
    </w:p>
    <w:p w14:paraId="30BD64DE" w14:textId="54A42EFA" w:rsidR="00B44F89" w:rsidRPr="00A3111F" w:rsidRDefault="00B44F89" w:rsidP="00C64343">
      <w:pPr>
        <w:tabs>
          <w:tab w:val="left" w:pos="426"/>
        </w:tabs>
        <w:contextualSpacing/>
        <w:jc w:val="both"/>
        <w:rPr>
          <w:rFonts w:ascii="Arial" w:eastAsia="Arial" w:hAnsi="Arial" w:cs="Arial"/>
          <w:b/>
          <w:bCs/>
          <w:sz w:val="24"/>
          <w:szCs w:val="24"/>
        </w:rPr>
      </w:pPr>
    </w:p>
    <w:p w14:paraId="511ABF57" w14:textId="3056D59A" w:rsidR="00B44F89" w:rsidRPr="00A3111F" w:rsidRDefault="00D12E4D" w:rsidP="00C64343">
      <w:pPr>
        <w:tabs>
          <w:tab w:val="left" w:pos="426"/>
        </w:tabs>
        <w:contextualSpacing/>
        <w:jc w:val="both"/>
        <w:rPr>
          <w:rFonts w:ascii="Arial" w:hAnsi="Arial" w:cs="Arial"/>
          <w:b/>
          <w:bCs/>
          <w:i/>
          <w:iCs/>
          <w:sz w:val="24"/>
          <w:szCs w:val="24"/>
        </w:rPr>
      </w:pPr>
      <w:r w:rsidRPr="00A3111F">
        <w:rPr>
          <w:rFonts w:ascii="Arial" w:hAnsi="Arial" w:cs="Arial"/>
          <w:b/>
          <w:bCs/>
          <w:i/>
          <w:iCs/>
          <w:sz w:val="24"/>
          <w:szCs w:val="24"/>
        </w:rPr>
        <w:t xml:space="preserve">Respecto de la </w:t>
      </w:r>
      <w:r w:rsidR="008E545E" w:rsidRPr="00A3111F">
        <w:rPr>
          <w:rFonts w:ascii="Arial" w:hAnsi="Arial" w:cs="Arial"/>
          <w:b/>
          <w:bCs/>
          <w:i/>
          <w:iCs/>
          <w:sz w:val="24"/>
          <w:szCs w:val="24"/>
        </w:rPr>
        <w:t>acumulación</w:t>
      </w:r>
      <w:r w:rsidR="001A7A0B" w:rsidRPr="00A3111F">
        <w:rPr>
          <w:rFonts w:ascii="Arial" w:hAnsi="Arial" w:cs="Arial"/>
          <w:b/>
          <w:bCs/>
          <w:i/>
          <w:iCs/>
          <w:sz w:val="24"/>
          <w:szCs w:val="24"/>
        </w:rPr>
        <w:t xml:space="preserve"> de</w:t>
      </w:r>
      <w:r w:rsidRPr="00A3111F">
        <w:rPr>
          <w:rFonts w:ascii="Arial" w:hAnsi="Arial" w:cs="Arial"/>
          <w:b/>
          <w:bCs/>
          <w:i/>
          <w:iCs/>
          <w:sz w:val="24"/>
          <w:szCs w:val="24"/>
        </w:rPr>
        <w:t xml:space="preserve"> los</w:t>
      </w:r>
      <w:r w:rsidR="001A7A0B" w:rsidRPr="00A3111F">
        <w:rPr>
          <w:rFonts w:ascii="Arial" w:hAnsi="Arial" w:cs="Arial"/>
          <w:b/>
          <w:bCs/>
          <w:i/>
          <w:iCs/>
          <w:sz w:val="24"/>
          <w:szCs w:val="24"/>
        </w:rPr>
        <w:t xml:space="preserve"> procesos en el marco del medio de control inmediato de legalidad</w:t>
      </w:r>
    </w:p>
    <w:p w14:paraId="296EAA78" w14:textId="231326C3" w:rsidR="3674EF52" w:rsidRPr="00A3111F" w:rsidRDefault="3674EF52" w:rsidP="3674EF52">
      <w:pPr>
        <w:jc w:val="both"/>
        <w:rPr>
          <w:rFonts w:ascii="Arial" w:eastAsia="Arial" w:hAnsi="Arial" w:cs="Arial"/>
          <w:sz w:val="24"/>
          <w:szCs w:val="24"/>
        </w:rPr>
      </w:pPr>
    </w:p>
    <w:p w14:paraId="0FDF6943" w14:textId="77777777" w:rsidR="0057290A" w:rsidRPr="00A3111F" w:rsidRDefault="6089FB88" w:rsidP="0057290A">
      <w:pPr>
        <w:numPr>
          <w:ilvl w:val="0"/>
          <w:numId w:val="3"/>
        </w:numPr>
        <w:ind w:left="0" w:firstLine="0"/>
        <w:jc w:val="both"/>
        <w:rPr>
          <w:rFonts w:ascii="Arial" w:eastAsia="Arial" w:hAnsi="Arial" w:cs="Arial"/>
          <w:sz w:val="24"/>
          <w:szCs w:val="24"/>
        </w:rPr>
      </w:pPr>
      <w:r w:rsidRPr="00A3111F">
        <w:rPr>
          <w:rFonts w:ascii="Arial" w:eastAsia="Arial" w:hAnsi="Arial" w:cs="Arial"/>
          <w:sz w:val="24"/>
          <w:szCs w:val="24"/>
        </w:rPr>
        <w:t>Vistos los artículos: i) 20 de la Ley 137 y 136</w:t>
      </w:r>
      <w:r w:rsidRPr="00A3111F">
        <w:rPr>
          <w:rFonts w:ascii="Arial" w:eastAsia="Arial" w:hAnsi="Arial" w:cs="Arial"/>
          <w:sz w:val="24"/>
          <w:szCs w:val="24"/>
          <w:vertAlign w:val="superscript"/>
        </w:rPr>
        <w:footnoteReference w:id="13"/>
      </w:r>
      <w:r w:rsidRPr="00A3111F">
        <w:rPr>
          <w:rFonts w:ascii="Arial" w:eastAsia="Arial" w:hAnsi="Arial" w:cs="Arial"/>
          <w:sz w:val="24"/>
          <w:szCs w:val="24"/>
        </w:rPr>
        <w:t xml:space="preserve"> de la Ley 1437, respectivamente, sobre el control de legalidad y el medio de control inmediato de legalidad; </w:t>
      </w:r>
      <w:proofErr w:type="spellStart"/>
      <w:r w:rsidRPr="00A3111F">
        <w:rPr>
          <w:rFonts w:ascii="Arial" w:eastAsia="Arial" w:hAnsi="Arial" w:cs="Arial"/>
          <w:sz w:val="24"/>
          <w:szCs w:val="24"/>
        </w:rPr>
        <w:t>ii</w:t>
      </w:r>
      <w:proofErr w:type="spellEnd"/>
      <w:r w:rsidRPr="00A3111F">
        <w:rPr>
          <w:rFonts w:ascii="Arial" w:eastAsia="Arial" w:hAnsi="Arial" w:cs="Arial"/>
          <w:sz w:val="24"/>
          <w:szCs w:val="24"/>
        </w:rPr>
        <w:t xml:space="preserve">) 185 </w:t>
      </w:r>
      <w:r w:rsidRPr="00A3111F">
        <w:rPr>
          <w:rFonts w:ascii="Arial" w:eastAsia="Arial" w:hAnsi="Arial" w:cs="Arial"/>
          <w:i/>
          <w:iCs/>
          <w:sz w:val="24"/>
          <w:szCs w:val="24"/>
        </w:rPr>
        <w:t>ibidem</w:t>
      </w:r>
      <w:r w:rsidRPr="00A3111F">
        <w:rPr>
          <w:rFonts w:ascii="Arial" w:eastAsia="Arial" w:hAnsi="Arial" w:cs="Arial"/>
          <w:sz w:val="24"/>
          <w:szCs w:val="24"/>
        </w:rPr>
        <w:t xml:space="preserve">, sobre el trámite del medio de control inmediato de </w:t>
      </w:r>
      <w:r w:rsidRPr="00A3111F">
        <w:rPr>
          <w:rFonts w:ascii="Arial" w:eastAsia="Arial" w:hAnsi="Arial" w:cs="Arial"/>
          <w:sz w:val="24"/>
          <w:szCs w:val="24"/>
        </w:rPr>
        <w:lastRenderedPageBreak/>
        <w:t xml:space="preserve">legalidad de actos; iii) 306 </w:t>
      </w:r>
      <w:r w:rsidRPr="00A3111F">
        <w:rPr>
          <w:rFonts w:ascii="Arial" w:eastAsia="Arial" w:hAnsi="Arial" w:cs="Arial"/>
          <w:i/>
          <w:iCs/>
          <w:sz w:val="24"/>
          <w:szCs w:val="24"/>
        </w:rPr>
        <w:t>ibidem</w:t>
      </w:r>
      <w:r w:rsidRPr="00A3111F">
        <w:rPr>
          <w:rFonts w:ascii="Arial" w:eastAsia="Arial" w:hAnsi="Arial" w:cs="Arial"/>
          <w:sz w:val="24"/>
          <w:szCs w:val="24"/>
        </w:rPr>
        <w:t xml:space="preserve">, sobre aspectos no regulados; y </w:t>
      </w:r>
      <w:proofErr w:type="spellStart"/>
      <w:r w:rsidRPr="00A3111F">
        <w:rPr>
          <w:rFonts w:ascii="Arial" w:eastAsia="Arial" w:hAnsi="Arial" w:cs="Arial"/>
          <w:sz w:val="24"/>
          <w:szCs w:val="24"/>
        </w:rPr>
        <w:t>iv</w:t>
      </w:r>
      <w:proofErr w:type="spellEnd"/>
      <w:r w:rsidRPr="00A3111F">
        <w:rPr>
          <w:rFonts w:ascii="Arial" w:eastAsia="Arial" w:hAnsi="Arial" w:cs="Arial"/>
          <w:sz w:val="24"/>
          <w:szCs w:val="24"/>
        </w:rPr>
        <w:t xml:space="preserve">) 12 de la Ley 1564 </w:t>
      </w:r>
      <w:r w:rsidR="0926E79B" w:rsidRPr="00A3111F">
        <w:rPr>
          <w:rFonts w:ascii="Arial" w:hAnsi="Arial" w:cs="Arial"/>
          <w:sz w:val="24"/>
          <w:szCs w:val="24"/>
        </w:rPr>
        <w:t>de 12 de julio de 2012</w:t>
      </w:r>
      <w:r w:rsidRPr="00A3111F">
        <w:rPr>
          <w:rStyle w:val="Refdenotaalpie"/>
          <w:rFonts w:ascii="Arial" w:hAnsi="Arial" w:cs="Arial"/>
          <w:sz w:val="24"/>
          <w:szCs w:val="24"/>
        </w:rPr>
        <w:footnoteReference w:id="14"/>
      </w:r>
      <w:r w:rsidRPr="00A3111F">
        <w:rPr>
          <w:rFonts w:ascii="Arial" w:eastAsia="Arial" w:hAnsi="Arial" w:cs="Arial"/>
          <w:sz w:val="24"/>
          <w:szCs w:val="24"/>
        </w:rPr>
        <w:t>, sobre vacíos y deficiencias del Código</w:t>
      </w:r>
      <w:r w:rsidR="61BE91EB" w:rsidRPr="00A3111F">
        <w:rPr>
          <w:rFonts w:ascii="Arial" w:eastAsia="Arial" w:hAnsi="Arial" w:cs="Arial"/>
          <w:sz w:val="24"/>
          <w:szCs w:val="24"/>
        </w:rPr>
        <w:t>.</w:t>
      </w:r>
      <w:r w:rsidRPr="00A3111F">
        <w:rPr>
          <w:rFonts w:ascii="Arial" w:eastAsia="Arial" w:hAnsi="Arial" w:cs="Arial"/>
          <w:sz w:val="24"/>
          <w:szCs w:val="24"/>
        </w:rPr>
        <w:t xml:space="preserve"> </w:t>
      </w:r>
    </w:p>
    <w:p w14:paraId="110C365C" w14:textId="77777777" w:rsidR="0057290A" w:rsidRPr="00A3111F" w:rsidRDefault="0057290A" w:rsidP="0057290A">
      <w:pPr>
        <w:jc w:val="both"/>
        <w:rPr>
          <w:rFonts w:ascii="Arial" w:eastAsia="Arial" w:hAnsi="Arial" w:cs="Arial"/>
          <w:sz w:val="24"/>
          <w:szCs w:val="24"/>
        </w:rPr>
      </w:pPr>
    </w:p>
    <w:p w14:paraId="61659747" w14:textId="08D5E704" w:rsidR="00957004" w:rsidRPr="00A3111F" w:rsidRDefault="00957004" w:rsidP="00A3111F">
      <w:pPr>
        <w:numPr>
          <w:ilvl w:val="0"/>
          <w:numId w:val="3"/>
        </w:numPr>
        <w:tabs>
          <w:tab w:val="left" w:pos="426"/>
        </w:tabs>
        <w:ind w:left="0" w:firstLine="0"/>
        <w:jc w:val="both"/>
        <w:rPr>
          <w:rFonts w:ascii="Arial" w:eastAsia="Arial" w:hAnsi="Arial" w:cs="Arial"/>
          <w:sz w:val="24"/>
          <w:szCs w:val="24"/>
        </w:rPr>
      </w:pPr>
      <w:r w:rsidRPr="00A3111F">
        <w:rPr>
          <w:rFonts w:ascii="Arial" w:hAnsi="Arial" w:cs="Arial"/>
          <w:sz w:val="24"/>
          <w:szCs w:val="24"/>
        </w:rPr>
        <w:t>Considerando</w:t>
      </w:r>
      <w:r w:rsidR="49172503" w:rsidRPr="00A3111F">
        <w:rPr>
          <w:rFonts w:ascii="Arial" w:hAnsi="Arial" w:cs="Arial"/>
          <w:sz w:val="24"/>
          <w:szCs w:val="24"/>
        </w:rPr>
        <w:t xml:space="preserve"> </w:t>
      </w:r>
      <w:r w:rsidRPr="00A3111F">
        <w:rPr>
          <w:rFonts w:ascii="Arial" w:eastAsia="Arial" w:hAnsi="Arial" w:cs="Arial"/>
          <w:sz w:val="24"/>
          <w:szCs w:val="24"/>
        </w:rPr>
        <w:t>los principios de celeridad, eficiencia, economía procesal y seguridad jurídica, que rigen la administración de justicia con el fin de hacer efectivos los derechos establecidos en la Constitución Política y en la ley</w:t>
      </w:r>
      <w:r w:rsidR="3D5A76F4" w:rsidRPr="00A3111F">
        <w:rPr>
          <w:rFonts w:ascii="Arial" w:eastAsia="Arial" w:hAnsi="Arial" w:cs="Arial"/>
          <w:sz w:val="24"/>
          <w:szCs w:val="24"/>
        </w:rPr>
        <w:t>.</w:t>
      </w:r>
    </w:p>
    <w:p w14:paraId="03F9158F" w14:textId="25A6624D" w:rsidR="3674EF52" w:rsidRPr="00A3111F" w:rsidRDefault="3674EF52" w:rsidP="3674EF52">
      <w:pPr>
        <w:jc w:val="both"/>
        <w:rPr>
          <w:rFonts w:ascii="Arial" w:hAnsi="Arial" w:cs="Arial"/>
          <w:sz w:val="24"/>
          <w:szCs w:val="24"/>
          <w:highlight w:val="yellow"/>
        </w:rPr>
      </w:pPr>
    </w:p>
    <w:p w14:paraId="57617973" w14:textId="3CAD652D" w:rsidR="00DF619F" w:rsidRPr="00A3111F" w:rsidRDefault="3D5A76F4" w:rsidP="00C64343">
      <w:pPr>
        <w:numPr>
          <w:ilvl w:val="0"/>
          <w:numId w:val="3"/>
        </w:numPr>
        <w:tabs>
          <w:tab w:val="left" w:pos="426"/>
        </w:tabs>
        <w:ind w:left="0" w:firstLine="0"/>
        <w:contextualSpacing/>
        <w:jc w:val="both"/>
        <w:rPr>
          <w:rFonts w:ascii="Arial" w:hAnsi="Arial" w:cs="Arial"/>
          <w:sz w:val="24"/>
          <w:szCs w:val="24"/>
        </w:rPr>
      </w:pPr>
      <w:r w:rsidRPr="00A3111F">
        <w:rPr>
          <w:rFonts w:ascii="Arial" w:hAnsi="Arial" w:cs="Arial"/>
          <w:sz w:val="24"/>
          <w:szCs w:val="24"/>
        </w:rPr>
        <w:t>E</w:t>
      </w:r>
      <w:r w:rsidR="008C3E6A" w:rsidRPr="00A3111F">
        <w:rPr>
          <w:rFonts w:ascii="Arial" w:hAnsi="Arial" w:cs="Arial"/>
          <w:sz w:val="24"/>
          <w:szCs w:val="24"/>
        </w:rPr>
        <w:t xml:space="preserve">ste Despacho considera que </w:t>
      </w:r>
      <w:r w:rsidR="00DF619F" w:rsidRPr="00A3111F">
        <w:rPr>
          <w:rFonts w:ascii="Arial" w:hAnsi="Arial" w:cs="Arial"/>
          <w:sz w:val="24"/>
          <w:szCs w:val="24"/>
        </w:rPr>
        <w:t>es procedente la acumulación de procesos en el marco del medio de control inmediato de legalidad cuando</w:t>
      </w:r>
      <w:r w:rsidR="00CB1942" w:rsidRPr="00A3111F">
        <w:rPr>
          <w:rFonts w:ascii="Arial" w:hAnsi="Arial" w:cs="Arial"/>
          <w:sz w:val="24"/>
          <w:szCs w:val="24"/>
        </w:rPr>
        <w:t>:</w:t>
      </w:r>
      <w:r w:rsidR="005B67AA" w:rsidRPr="00A3111F">
        <w:rPr>
          <w:rFonts w:ascii="Arial" w:hAnsi="Arial" w:cs="Arial"/>
          <w:sz w:val="24"/>
          <w:szCs w:val="24"/>
        </w:rPr>
        <w:t xml:space="preserve"> i)</w:t>
      </w:r>
      <w:r w:rsidR="00DF619F" w:rsidRPr="00A3111F">
        <w:rPr>
          <w:rFonts w:ascii="Arial" w:hAnsi="Arial" w:cs="Arial"/>
          <w:sz w:val="24"/>
          <w:szCs w:val="24"/>
        </w:rPr>
        <w:t xml:space="preserve"> se acredite</w:t>
      </w:r>
      <w:r w:rsidR="00E24437" w:rsidRPr="00A3111F">
        <w:rPr>
          <w:rFonts w:ascii="Arial" w:hAnsi="Arial" w:cs="Arial"/>
          <w:sz w:val="24"/>
          <w:szCs w:val="24"/>
        </w:rPr>
        <w:t xml:space="preserve"> la existencia</w:t>
      </w:r>
      <w:r w:rsidR="008C3E6A" w:rsidRPr="00A3111F">
        <w:rPr>
          <w:rFonts w:ascii="Arial" w:hAnsi="Arial" w:cs="Arial"/>
          <w:sz w:val="24"/>
          <w:szCs w:val="24"/>
        </w:rPr>
        <w:t xml:space="preserve"> de </w:t>
      </w:r>
      <w:r w:rsidR="008C3E6A" w:rsidRPr="00A3111F">
        <w:rPr>
          <w:rStyle w:val="normaltextrun"/>
          <w:rFonts w:ascii="Arial" w:hAnsi="Arial" w:cs="Arial"/>
          <w:sz w:val="24"/>
          <w:szCs w:val="24"/>
        </w:rPr>
        <w:t xml:space="preserve">una conexidad y unidad de materia directa e </w:t>
      </w:r>
      <w:r w:rsidR="36D7C373" w:rsidRPr="00A3111F">
        <w:rPr>
          <w:rStyle w:val="normaltextrun"/>
          <w:rFonts w:ascii="Arial" w:hAnsi="Arial" w:cs="Arial"/>
          <w:sz w:val="24"/>
          <w:szCs w:val="24"/>
        </w:rPr>
        <w:t>inmediata entre</w:t>
      </w:r>
      <w:r w:rsidR="00E24437" w:rsidRPr="00A3111F">
        <w:rPr>
          <w:rFonts w:ascii="Arial" w:hAnsi="Arial" w:cs="Arial"/>
          <w:sz w:val="24"/>
          <w:szCs w:val="24"/>
        </w:rPr>
        <w:t xml:space="preserve"> los actos administrativos</w:t>
      </w:r>
      <w:r w:rsidR="00CB1942" w:rsidRPr="00A3111F">
        <w:rPr>
          <w:rFonts w:ascii="Arial" w:hAnsi="Arial" w:cs="Arial"/>
          <w:sz w:val="24"/>
          <w:szCs w:val="24"/>
        </w:rPr>
        <w:t xml:space="preserve"> y </w:t>
      </w:r>
      <w:proofErr w:type="spellStart"/>
      <w:r w:rsidR="00CB1942" w:rsidRPr="00A3111F">
        <w:rPr>
          <w:rFonts w:ascii="Arial" w:hAnsi="Arial" w:cs="Arial"/>
          <w:sz w:val="24"/>
          <w:szCs w:val="24"/>
        </w:rPr>
        <w:t>ii</w:t>
      </w:r>
      <w:proofErr w:type="spellEnd"/>
      <w:r w:rsidR="00CB1942" w:rsidRPr="00A3111F">
        <w:rPr>
          <w:rFonts w:ascii="Arial" w:hAnsi="Arial" w:cs="Arial"/>
          <w:sz w:val="24"/>
          <w:szCs w:val="24"/>
        </w:rPr>
        <w:t>) los actos administrativos sean susceptibles de control inmediato de legalidad por la misma autoridad judicial.</w:t>
      </w:r>
    </w:p>
    <w:p w14:paraId="5B9690B8" w14:textId="77777777" w:rsidR="008C3E6A" w:rsidRPr="00A3111F" w:rsidRDefault="008C3E6A" w:rsidP="008C3E6A">
      <w:pPr>
        <w:tabs>
          <w:tab w:val="left" w:pos="426"/>
        </w:tabs>
        <w:contextualSpacing/>
        <w:jc w:val="both"/>
        <w:rPr>
          <w:rFonts w:ascii="Arial" w:hAnsi="Arial" w:cs="Arial"/>
          <w:sz w:val="24"/>
          <w:szCs w:val="24"/>
        </w:rPr>
      </w:pPr>
    </w:p>
    <w:p w14:paraId="03DBC123" w14:textId="06A1859D" w:rsidR="008C3E6A" w:rsidRPr="00A3111F" w:rsidRDefault="008C3E6A" w:rsidP="00C64343">
      <w:pPr>
        <w:numPr>
          <w:ilvl w:val="0"/>
          <w:numId w:val="3"/>
        </w:numPr>
        <w:tabs>
          <w:tab w:val="left" w:pos="426"/>
        </w:tabs>
        <w:ind w:left="0" w:firstLine="0"/>
        <w:contextualSpacing/>
        <w:jc w:val="both"/>
        <w:rPr>
          <w:rFonts w:ascii="Arial" w:hAnsi="Arial" w:cs="Arial"/>
          <w:sz w:val="24"/>
          <w:szCs w:val="24"/>
        </w:rPr>
      </w:pPr>
      <w:r w:rsidRPr="00A3111F">
        <w:rPr>
          <w:rFonts w:ascii="Arial" w:hAnsi="Arial" w:cs="Arial"/>
          <w:sz w:val="24"/>
          <w:szCs w:val="24"/>
        </w:rPr>
        <w:t xml:space="preserve">En este sentido, el Despacho procederá a analizar si, en el caso </w:t>
      </w:r>
      <w:r w:rsidRPr="00A3111F">
        <w:rPr>
          <w:rFonts w:ascii="Arial" w:hAnsi="Arial" w:cs="Arial"/>
          <w:i/>
          <w:iCs/>
          <w:sz w:val="24"/>
          <w:szCs w:val="24"/>
        </w:rPr>
        <w:t xml:space="preserve">sub examine, </w:t>
      </w:r>
      <w:r w:rsidRPr="00A3111F">
        <w:rPr>
          <w:rFonts w:ascii="Arial" w:hAnsi="Arial" w:cs="Arial"/>
          <w:sz w:val="24"/>
          <w:szCs w:val="24"/>
        </w:rPr>
        <w:t xml:space="preserve">se cumplen los supuestos fácticos indicados </w:t>
      </w:r>
      <w:r w:rsidRPr="00A3111F">
        <w:rPr>
          <w:rFonts w:ascii="Arial" w:hAnsi="Arial" w:cs="Arial"/>
          <w:i/>
          <w:iCs/>
          <w:sz w:val="24"/>
          <w:szCs w:val="24"/>
        </w:rPr>
        <w:t xml:space="preserve">supra </w:t>
      </w:r>
      <w:r w:rsidRPr="00A3111F">
        <w:rPr>
          <w:rFonts w:ascii="Arial" w:hAnsi="Arial" w:cs="Arial"/>
          <w:sz w:val="24"/>
          <w:szCs w:val="24"/>
        </w:rPr>
        <w:t>para la procedencia de la acumulación de procesos en el marco del control inmediato de legalidad</w:t>
      </w:r>
    </w:p>
    <w:p w14:paraId="1EC54B2C" w14:textId="6FAFBC9A" w:rsidR="00574656" w:rsidRPr="00A3111F" w:rsidRDefault="00574656" w:rsidP="00574656">
      <w:pPr>
        <w:tabs>
          <w:tab w:val="left" w:pos="426"/>
        </w:tabs>
        <w:contextualSpacing/>
        <w:jc w:val="both"/>
        <w:rPr>
          <w:rFonts w:ascii="Arial" w:hAnsi="Arial" w:cs="Arial"/>
          <w:sz w:val="24"/>
          <w:szCs w:val="24"/>
        </w:rPr>
      </w:pPr>
    </w:p>
    <w:p w14:paraId="43E35309" w14:textId="1A307853" w:rsidR="00CB1942" w:rsidRPr="00A3111F" w:rsidRDefault="00CB1942" w:rsidP="00574656">
      <w:pPr>
        <w:tabs>
          <w:tab w:val="left" w:pos="426"/>
        </w:tabs>
        <w:contextualSpacing/>
        <w:jc w:val="both"/>
        <w:rPr>
          <w:rFonts w:ascii="Arial" w:hAnsi="Arial" w:cs="Arial"/>
          <w:b/>
          <w:bCs/>
          <w:i/>
          <w:iCs/>
          <w:sz w:val="24"/>
          <w:szCs w:val="24"/>
        </w:rPr>
      </w:pPr>
      <w:r w:rsidRPr="00A3111F">
        <w:rPr>
          <w:rFonts w:ascii="Arial" w:hAnsi="Arial" w:cs="Arial"/>
          <w:b/>
          <w:bCs/>
          <w:i/>
          <w:iCs/>
          <w:sz w:val="24"/>
          <w:szCs w:val="24"/>
        </w:rPr>
        <w:t>Sobre la existencia de una conexidad y unidad de materia directa e inmediata entre los actos administrativos</w:t>
      </w:r>
    </w:p>
    <w:p w14:paraId="24665B48" w14:textId="07F779D9" w:rsidR="3674EF52" w:rsidRPr="00A3111F" w:rsidRDefault="3674EF52" w:rsidP="3674EF52">
      <w:pPr>
        <w:jc w:val="both"/>
        <w:rPr>
          <w:rFonts w:ascii="Arial" w:hAnsi="Arial" w:cs="Arial"/>
          <w:i/>
          <w:iCs/>
          <w:sz w:val="24"/>
          <w:szCs w:val="24"/>
        </w:rPr>
      </w:pPr>
    </w:p>
    <w:p w14:paraId="27B6E18D" w14:textId="0B18956A" w:rsidR="00574656" w:rsidRPr="00A3111F" w:rsidRDefault="00CB1942" w:rsidP="3674EF52">
      <w:pPr>
        <w:numPr>
          <w:ilvl w:val="0"/>
          <w:numId w:val="3"/>
        </w:numPr>
        <w:tabs>
          <w:tab w:val="left" w:pos="426"/>
        </w:tabs>
        <w:ind w:left="0" w:firstLine="0"/>
        <w:contextualSpacing/>
        <w:jc w:val="both"/>
        <w:rPr>
          <w:rFonts w:ascii="Arial" w:eastAsia="Arial" w:hAnsi="Arial" w:cs="Arial"/>
          <w:sz w:val="24"/>
          <w:szCs w:val="24"/>
        </w:rPr>
      </w:pPr>
      <w:r w:rsidRPr="00A3111F">
        <w:rPr>
          <w:rFonts w:ascii="Arial" w:hAnsi="Arial" w:cs="Arial"/>
          <w:sz w:val="24"/>
          <w:szCs w:val="24"/>
        </w:rPr>
        <w:t>A</w:t>
      </w:r>
      <w:r w:rsidR="00574656" w:rsidRPr="00A3111F">
        <w:rPr>
          <w:rFonts w:ascii="Arial" w:hAnsi="Arial" w:cs="Arial"/>
          <w:sz w:val="24"/>
          <w:szCs w:val="24"/>
        </w:rPr>
        <w:t xml:space="preserve">tendiendo a que la </w:t>
      </w:r>
      <w:r w:rsidR="00614C9B" w:rsidRPr="00A3111F">
        <w:rPr>
          <w:rFonts w:ascii="Arial" w:hAnsi="Arial" w:cs="Arial"/>
          <w:sz w:val="24"/>
          <w:szCs w:val="24"/>
        </w:rPr>
        <w:t>Resolución núm. CRA 921 de 16 de junio de 2020</w:t>
      </w:r>
      <w:r w:rsidR="00574656" w:rsidRPr="00A3111F">
        <w:rPr>
          <w:rFonts w:ascii="Arial" w:hAnsi="Arial" w:cs="Arial"/>
          <w:sz w:val="24"/>
          <w:szCs w:val="24"/>
        </w:rPr>
        <w:t xml:space="preserve"> resolvió</w:t>
      </w:r>
      <w:r w:rsidR="6F3A123E" w:rsidRPr="00A3111F">
        <w:rPr>
          <w:rFonts w:ascii="Arial" w:hAnsi="Arial" w:cs="Arial"/>
          <w:sz w:val="24"/>
          <w:szCs w:val="24"/>
        </w:rPr>
        <w:t>:</w:t>
      </w:r>
    </w:p>
    <w:p w14:paraId="7ABA02B1" w14:textId="560D9106" w:rsidR="00574656" w:rsidRPr="00A3111F" w:rsidRDefault="00574656" w:rsidP="3674EF52">
      <w:pPr>
        <w:tabs>
          <w:tab w:val="left" w:pos="426"/>
        </w:tabs>
        <w:ind w:left="792"/>
        <w:contextualSpacing/>
        <w:jc w:val="both"/>
        <w:rPr>
          <w:rFonts w:ascii="Arial" w:hAnsi="Arial" w:cs="Arial"/>
          <w:i/>
          <w:iCs/>
          <w:sz w:val="24"/>
          <w:szCs w:val="24"/>
        </w:rPr>
      </w:pPr>
    </w:p>
    <w:p w14:paraId="5581B13A" w14:textId="77777777" w:rsidR="00614C9B" w:rsidRPr="00A3111F" w:rsidRDefault="00574656" w:rsidP="0057290A">
      <w:pPr>
        <w:tabs>
          <w:tab w:val="left" w:pos="426"/>
        </w:tabs>
        <w:spacing w:line="240" w:lineRule="auto"/>
        <w:ind w:left="792" w:right="647"/>
        <w:contextualSpacing/>
        <w:jc w:val="both"/>
        <w:rPr>
          <w:rFonts w:ascii="Arial" w:hAnsi="Arial" w:cs="Arial"/>
          <w:i/>
          <w:iCs/>
        </w:rPr>
      </w:pPr>
      <w:r w:rsidRPr="00A3111F">
        <w:rPr>
          <w:rFonts w:ascii="Arial" w:hAnsi="Arial" w:cs="Arial"/>
          <w:i/>
          <w:iCs/>
        </w:rPr>
        <w:t xml:space="preserve">[…] </w:t>
      </w:r>
      <w:r w:rsidR="00614C9B" w:rsidRPr="00A3111F">
        <w:rPr>
          <w:rFonts w:ascii="Arial" w:hAnsi="Arial" w:cs="Arial"/>
          <w:b/>
          <w:bCs/>
          <w:i/>
          <w:iCs/>
        </w:rPr>
        <w:t>ARTÍCULO 1. DEROGATORIA. Derogar el artículo 7 de la Resolución CRA 911 de 2020</w:t>
      </w:r>
      <w:r w:rsidR="00614C9B" w:rsidRPr="00A3111F">
        <w:rPr>
          <w:rFonts w:ascii="Arial" w:hAnsi="Arial" w:cs="Arial"/>
          <w:i/>
          <w:iCs/>
        </w:rPr>
        <w:t xml:space="preserve">. </w:t>
      </w:r>
    </w:p>
    <w:p w14:paraId="1502E2B3" w14:textId="77777777" w:rsidR="00614C9B" w:rsidRPr="00A3111F" w:rsidRDefault="00614C9B" w:rsidP="0057290A">
      <w:pPr>
        <w:tabs>
          <w:tab w:val="left" w:pos="426"/>
        </w:tabs>
        <w:spacing w:line="240" w:lineRule="auto"/>
        <w:ind w:left="792" w:right="647"/>
        <w:contextualSpacing/>
        <w:jc w:val="both"/>
        <w:rPr>
          <w:rFonts w:ascii="Arial" w:hAnsi="Arial" w:cs="Arial"/>
          <w:i/>
          <w:iCs/>
        </w:rPr>
      </w:pPr>
    </w:p>
    <w:p w14:paraId="250CAB07" w14:textId="77EDAEFB" w:rsidR="00574656" w:rsidRPr="00A3111F" w:rsidRDefault="00614C9B" w:rsidP="0057290A">
      <w:pPr>
        <w:tabs>
          <w:tab w:val="left" w:pos="426"/>
        </w:tabs>
        <w:spacing w:line="240" w:lineRule="auto"/>
        <w:ind w:left="792" w:right="647"/>
        <w:contextualSpacing/>
        <w:jc w:val="both"/>
        <w:rPr>
          <w:rFonts w:ascii="Arial" w:hAnsi="Arial" w:cs="Arial"/>
          <w:i/>
          <w:iCs/>
        </w:rPr>
      </w:pPr>
      <w:r w:rsidRPr="00A3111F">
        <w:rPr>
          <w:rFonts w:ascii="Arial" w:hAnsi="Arial" w:cs="Arial"/>
          <w:b/>
          <w:bCs/>
          <w:i/>
          <w:iCs/>
        </w:rPr>
        <w:t>ARTÍCULO 2.</w:t>
      </w:r>
      <w:r w:rsidRPr="00A3111F">
        <w:rPr>
          <w:rFonts w:ascii="Arial" w:hAnsi="Arial" w:cs="Arial"/>
          <w:i/>
          <w:iCs/>
        </w:rPr>
        <w:t xml:space="preserve"> </w:t>
      </w:r>
      <w:r w:rsidRPr="00A3111F">
        <w:rPr>
          <w:rFonts w:ascii="Arial" w:hAnsi="Arial" w:cs="Arial"/>
          <w:b/>
          <w:bCs/>
          <w:i/>
          <w:iCs/>
        </w:rPr>
        <w:t>MODIFICAR el artículo 8 de la Resolución CRA 911 de 2020 el cual quedará así</w:t>
      </w:r>
      <w:r w:rsidRPr="00A3111F">
        <w:rPr>
          <w:rFonts w:ascii="Arial" w:hAnsi="Arial" w:cs="Arial"/>
          <w:i/>
          <w:iCs/>
        </w:rPr>
        <w:t>:</w:t>
      </w:r>
    </w:p>
    <w:p w14:paraId="7697F293" w14:textId="745EBD94" w:rsidR="00614C9B" w:rsidRPr="00A3111F" w:rsidRDefault="00614C9B" w:rsidP="0057290A">
      <w:pPr>
        <w:tabs>
          <w:tab w:val="left" w:pos="426"/>
        </w:tabs>
        <w:spacing w:line="240" w:lineRule="auto"/>
        <w:ind w:left="792" w:right="647"/>
        <w:contextualSpacing/>
        <w:jc w:val="both"/>
        <w:rPr>
          <w:rFonts w:ascii="Arial" w:hAnsi="Arial" w:cs="Arial"/>
          <w:i/>
          <w:iCs/>
        </w:rPr>
      </w:pPr>
    </w:p>
    <w:p w14:paraId="01B3A682" w14:textId="3D12AF7F" w:rsidR="00614C9B" w:rsidRPr="00A3111F" w:rsidRDefault="00614C9B" w:rsidP="00614C9B">
      <w:pPr>
        <w:tabs>
          <w:tab w:val="left" w:pos="426"/>
        </w:tabs>
        <w:spacing w:line="240" w:lineRule="auto"/>
        <w:ind w:left="1418" w:right="647"/>
        <w:contextualSpacing/>
        <w:jc w:val="both"/>
        <w:rPr>
          <w:rFonts w:ascii="Arial" w:hAnsi="Arial" w:cs="Arial"/>
          <w:i/>
          <w:iCs/>
        </w:rPr>
      </w:pPr>
      <w:r w:rsidRPr="00A3111F">
        <w:rPr>
          <w:rFonts w:ascii="Arial" w:hAnsi="Arial" w:cs="Arial"/>
          <w:i/>
          <w:iCs/>
        </w:rPr>
        <w:t>“ARTÍCULO 8. COSTO DE LAVADO Y DESINFECCIÓN DE ÁREAS PÚBLICAS A TRANSFERIR VIA TARIFA AL USUARIO. Después de tres (3) meses de finalizado el periodo de emergencia sanitaria, y por los siguientes seis (6) meses, el Costo de Lavado y Desinfección de Áreas Públicas incurrido entre el 18 de marzo y la entrada en vigencia de la presente resolución, podrá ser incorporado en el Costo de Limpieza Urbana por Suscriptor (CLUS), sin perjuicio de que la persona prestadora pueda gestionar aportes de los entes territoriales, calculado de la siguiente forma:</w:t>
      </w:r>
    </w:p>
    <w:p w14:paraId="10E3629F" w14:textId="7E4B2C2C" w:rsidR="00614C9B" w:rsidRPr="00A3111F" w:rsidRDefault="00614C9B" w:rsidP="00614C9B">
      <w:pPr>
        <w:tabs>
          <w:tab w:val="left" w:pos="426"/>
        </w:tabs>
        <w:spacing w:line="240" w:lineRule="auto"/>
        <w:ind w:left="1418" w:right="647"/>
        <w:contextualSpacing/>
        <w:jc w:val="both"/>
        <w:rPr>
          <w:rFonts w:ascii="Arial" w:hAnsi="Arial" w:cs="Arial"/>
          <w:i/>
          <w:iCs/>
        </w:rPr>
      </w:pPr>
    </w:p>
    <w:p w14:paraId="24EA9FF4" w14:textId="584364DF" w:rsidR="00614C9B" w:rsidRPr="00A3111F" w:rsidRDefault="00614C9B" w:rsidP="00614C9B">
      <w:pPr>
        <w:tabs>
          <w:tab w:val="left" w:pos="426"/>
        </w:tabs>
        <w:spacing w:line="240" w:lineRule="auto"/>
        <w:ind w:left="1418" w:right="647"/>
        <w:contextualSpacing/>
        <w:jc w:val="both"/>
        <w:rPr>
          <w:rFonts w:ascii="Arial" w:hAnsi="Arial" w:cs="Arial"/>
          <w:i/>
          <w:iCs/>
        </w:rPr>
      </w:pPr>
      <w:r w:rsidRPr="00A3111F">
        <w:rPr>
          <w:rFonts w:ascii="Arial" w:hAnsi="Arial" w:cs="Arial"/>
          <w:i/>
          <w:iCs/>
        </w:rPr>
        <w:t>[…]</w:t>
      </w:r>
    </w:p>
    <w:p w14:paraId="2C8196C1" w14:textId="0281387E" w:rsidR="00614C9B" w:rsidRPr="00A3111F" w:rsidRDefault="00614C9B" w:rsidP="00614C9B">
      <w:pPr>
        <w:tabs>
          <w:tab w:val="left" w:pos="426"/>
        </w:tabs>
        <w:spacing w:line="240" w:lineRule="auto"/>
        <w:ind w:right="647"/>
        <w:contextualSpacing/>
        <w:jc w:val="both"/>
        <w:rPr>
          <w:rFonts w:ascii="Arial" w:hAnsi="Arial" w:cs="Arial"/>
          <w:i/>
          <w:iCs/>
        </w:rPr>
      </w:pPr>
    </w:p>
    <w:p w14:paraId="3260ED1A" w14:textId="29688F21" w:rsidR="00614C9B" w:rsidRPr="00A3111F" w:rsidRDefault="00614C9B" w:rsidP="00614C9B">
      <w:pPr>
        <w:tabs>
          <w:tab w:val="left" w:pos="426"/>
        </w:tabs>
        <w:spacing w:line="240" w:lineRule="auto"/>
        <w:ind w:left="709" w:right="647"/>
        <w:contextualSpacing/>
        <w:jc w:val="both"/>
        <w:rPr>
          <w:rFonts w:ascii="Arial" w:hAnsi="Arial" w:cs="Arial"/>
          <w:i/>
          <w:iCs/>
        </w:rPr>
      </w:pPr>
      <w:r w:rsidRPr="00A3111F">
        <w:rPr>
          <w:rFonts w:ascii="Arial" w:hAnsi="Arial" w:cs="Arial"/>
          <w:b/>
          <w:bCs/>
          <w:i/>
          <w:iCs/>
        </w:rPr>
        <w:lastRenderedPageBreak/>
        <w:t>ARTÍCULO 3</w:t>
      </w:r>
      <w:r w:rsidRPr="00A3111F">
        <w:rPr>
          <w:rFonts w:ascii="Arial" w:hAnsi="Arial" w:cs="Arial"/>
          <w:i/>
          <w:iCs/>
        </w:rPr>
        <w:t xml:space="preserve">. </w:t>
      </w:r>
      <w:r w:rsidRPr="00A3111F">
        <w:rPr>
          <w:rFonts w:ascii="Arial" w:hAnsi="Arial" w:cs="Arial"/>
          <w:b/>
          <w:bCs/>
          <w:i/>
          <w:iCs/>
        </w:rPr>
        <w:t>MODIFICAR el artículo 9 de la Resolución CRA 911 de 2020 el cual quedará así</w:t>
      </w:r>
      <w:r w:rsidRPr="00A3111F">
        <w:rPr>
          <w:rFonts w:ascii="Arial" w:hAnsi="Arial" w:cs="Arial"/>
          <w:i/>
          <w:iCs/>
        </w:rPr>
        <w:t>:</w:t>
      </w:r>
    </w:p>
    <w:p w14:paraId="2B479FF5" w14:textId="75D051F7" w:rsidR="00614C9B" w:rsidRPr="00A3111F" w:rsidRDefault="00614C9B" w:rsidP="00614C9B">
      <w:pPr>
        <w:tabs>
          <w:tab w:val="left" w:pos="426"/>
        </w:tabs>
        <w:spacing w:line="240" w:lineRule="auto"/>
        <w:ind w:left="709" w:right="647"/>
        <w:contextualSpacing/>
        <w:jc w:val="both"/>
        <w:rPr>
          <w:rFonts w:ascii="Arial" w:hAnsi="Arial" w:cs="Arial"/>
          <w:i/>
          <w:iCs/>
        </w:rPr>
      </w:pPr>
    </w:p>
    <w:p w14:paraId="53E57A5F" w14:textId="34E80E7A" w:rsidR="00614C9B" w:rsidRPr="00A3111F" w:rsidRDefault="00614C9B" w:rsidP="00614C9B">
      <w:pPr>
        <w:tabs>
          <w:tab w:val="left" w:pos="426"/>
        </w:tabs>
        <w:spacing w:line="240" w:lineRule="auto"/>
        <w:ind w:left="709" w:right="647"/>
        <w:contextualSpacing/>
        <w:jc w:val="both"/>
        <w:rPr>
          <w:rFonts w:ascii="Arial" w:hAnsi="Arial" w:cs="Arial"/>
          <w:i/>
          <w:iCs/>
        </w:rPr>
      </w:pPr>
    </w:p>
    <w:p w14:paraId="65FB151C" w14:textId="0F88A479" w:rsidR="00614C9B" w:rsidRPr="00A3111F" w:rsidRDefault="00614C9B" w:rsidP="00614C9B">
      <w:pPr>
        <w:tabs>
          <w:tab w:val="left" w:pos="426"/>
        </w:tabs>
        <w:spacing w:line="240" w:lineRule="auto"/>
        <w:ind w:left="1418" w:right="647"/>
        <w:contextualSpacing/>
        <w:jc w:val="both"/>
        <w:rPr>
          <w:rFonts w:ascii="Arial" w:hAnsi="Arial" w:cs="Arial"/>
          <w:i/>
          <w:iCs/>
        </w:rPr>
      </w:pPr>
      <w:r w:rsidRPr="00A3111F">
        <w:rPr>
          <w:rFonts w:ascii="Arial" w:hAnsi="Arial" w:cs="Arial"/>
          <w:i/>
          <w:iCs/>
        </w:rPr>
        <w:t>“ARTÍCULO 9. COSTO DE REFERENCIA DE LAVADO Y DESINFECCIÓN DE ÁREAS PÚBLICAS DURANTE LA EMERGENCIA SANITARIA (</w:t>
      </w:r>
      <w:proofErr w:type="spellStart"/>
      <w:r w:rsidRPr="00A3111F">
        <w:rPr>
          <w:rFonts w:ascii="Arial" w:hAnsi="Arial" w:cs="Arial"/>
          <w:i/>
          <w:iCs/>
        </w:rPr>
        <w:t>CRLAVDjE</w:t>
      </w:r>
      <w:proofErr w:type="spellEnd"/>
      <w:r w:rsidRPr="00A3111F">
        <w:rPr>
          <w:rFonts w:ascii="Arial" w:hAnsi="Arial" w:cs="Arial"/>
          <w:i/>
          <w:iCs/>
        </w:rPr>
        <w:t>). El Costo máximo de Lavado de Áreas Públicas, Públicas incurrido entre el 18 de marzo y la entrada en vigencia de la presente resolución, será el resultado de la aplicación de los siguientes rubros:</w:t>
      </w:r>
    </w:p>
    <w:p w14:paraId="081A77AC" w14:textId="7A6DC06C" w:rsidR="00614C9B" w:rsidRPr="00A3111F" w:rsidRDefault="00614C9B" w:rsidP="00614C9B">
      <w:pPr>
        <w:tabs>
          <w:tab w:val="left" w:pos="426"/>
        </w:tabs>
        <w:spacing w:line="240" w:lineRule="auto"/>
        <w:ind w:left="1418" w:right="647"/>
        <w:contextualSpacing/>
        <w:jc w:val="both"/>
        <w:rPr>
          <w:rFonts w:ascii="Arial" w:hAnsi="Arial" w:cs="Arial"/>
          <w:i/>
          <w:iCs/>
        </w:rPr>
      </w:pPr>
    </w:p>
    <w:p w14:paraId="5F7BDF40" w14:textId="5165A3DD" w:rsidR="00614C9B" w:rsidRPr="00A3111F" w:rsidRDefault="00614C9B" w:rsidP="00614C9B">
      <w:pPr>
        <w:tabs>
          <w:tab w:val="left" w:pos="426"/>
        </w:tabs>
        <w:spacing w:line="240" w:lineRule="auto"/>
        <w:ind w:right="647"/>
        <w:contextualSpacing/>
        <w:jc w:val="both"/>
        <w:rPr>
          <w:rFonts w:ascii="Arial" w:hAnsi="Arial" w:cs="Arial"/>
          <w:i/>
          <w:iCs/>
        </w:rPr>
      </w:pPr>
      <w:r w:rsidRPr="00A3111F">
        <w:rPr>
          <w:rFonts w:ascii="Arial" w:hAnsi="Arial" w:cs="Arial"/>
          <w:i/>
          <w:iCs/>
        </w:rPr>
        <w:tab/>
      </w:r>
      <w:r w:rsidRPr="00A3111F">
        <w:rPr>
          <w:rFonts w:ascii="Arial" w:hAnsi="Arial" w:cs="Arial"/>
          <w:i/>
          <w:iCs/>
        </w:rPr>
        <w:tab/>
        <w:t xml:space="preserve">[…]” </w:t>
      </w:r>
      <w:r w:rsidRPr="00A3111F">
        <w:rPr>
          <w:rFonts w:ascii="Arial" w:hAnsi="Arial" w:cs="Arial"/>
        </w:rPr>
        <w:t>(Resaltado fuera de texto)</w:t>
      </w:r>
      <w:r w:rsidRPr="00A3111F">
        <w:rPr>
          <w:rFonts w:ascii="Arial" w:hAnsi="Arial" w:cs="Arial"/>
          <w:i/>
          <w:iCs/>
        </w:rPr>
        <w:t>.</w:t>
      </w:r>
    </w:p>
    <w:p w14:paraId="26033D32" w14:textId="7C3314BE" w:rsidR="3674EF52" w:rsidRPr="00A3111F" w:rsidRDefault="3674EF52" w:rsidP="3674EF52">
      <w:pPr>
        <w:jc w:val="both"/>
        <w:rPr>
          <w:rFonts w:ascii="Arial" w:hAnsi="Arial" w:cs="Arial"/>
          <w:i/>
          <w:iCs/>
          <w:sz w:val="24"/>
          <w:szCs w:val="24"/>
        </w:rPr>
      </w:pPr>
    </w:p>
    <w:p w14:paraId="3057181F" w14:textId="66C6AB84" w:rsidR="00D12E4D" w:rsidRPr="00A3111F" w:rsidRDefault="00D12E4D" w:rsidP="00C64343">
      <w:pPr>
        <w:numPr>
          <w:ilvl w:val="0"/>
          <w:numId w:val="3"/>
        </w:numPr>
        <w:tabs>
          <w:tab w:val="left" w:pos="426"/>
        </w:tabs>
        <w:ind w:left="0" w:firstLine="0"/>
        <w:contextualSpacing/>
        <w:jc w:val="both"/>
        <w:rPr>
          <w:rFonts w:ascii="Arial" w:hAnsi="Arial" w:cs="Arial"/>
          <w:sz w:val="24"/>
          <w:szCs w:val="24"/>
        </w:rPr>
      </w:pPr>
      <w:r w:rsidRPr="00A3111F">
        <w:rPr>
          <w:rStyle w:val="normaltextrun"/>
          <w:rFonts w:ascii="Arial" w:hAnsi="Arial" w:cs="Arial"/>
          <w:sz w:val="24"/>
          <w:szCs w:val="24"/>
        </w:rPr>
        <w:t>Este Despacho</w:t>
      </w:r>
      <w:r w:rsidR="76614E90" w:rsidRPr="00A3111F">
        <w:rPr>
          <w:rStyle w:val="normaltextrun"/>
          <w:rFonts w:ascii="Arial" w:hAnsi="Arial" w:cs="Arial"/>
          <w:sz w:val="24"/>
          <w:szCs w:val="24"/>
        </w:rPr>
        <w:t xml:space="preserve">, de la lectura y del análisis de los actos administrativos </w:t>
      </w:r>
      <w:r w:rsidRPr="00A3111F">
        <w:rPr>
          <w:rStyle w:val="normaltextrun"/>
          <w:rFonts w:ascii="Arial" w:hAnsi="Arial" w:cs="Arial"/>
          <w:sz w:val="24"/>
          <w:szCs w:val="24"/>
        </w:rPr>
        <w:t xml:space="preserve">considera </w:t>
      </w:r>
      <w:r w:rsidR="210F124B" w:rsidRPr="00A3111F">
        <w:rPr>
          <w:rStyle w:val="normaltextrun"/>
          <w:rFonts w:ascii="Arial" w:hAnsi="Arial" w:cs="Arial"/>
          <w:sz w:val="24"/>
          <w:szCs w:val="24"/>
        </w:rPr>
        <w:t xml:space="preserve">que </w:t>
      </w:r>
      <w:r w:rsidR="00574656" w:rsidRPr="00A3111F">
        <w:rPr>
          <w:rStyle w:val="normaltextrun"/>
          <w:rFonts w:ascii="Arial" w:hAnsi="Arial" w:cs="Arial"/>
          <w:sz w:val="24"/>
          <w:szCs w:val="24"/>
        </w:rPr>
        <w:t xml:space="preserve">existe una conexidad y unidad de materia directa e inmediata entre </w:t>
      </w:r>
      <w:r w:rsidR="00574656" w:rsidRPr="00A3111F">
        <w:rPr>
          <w:rFonts w:ascii="Arial" w:hAnsi="Arial" w:cs="Arial"/>
          <w:sz w:val="24"/>
          <w:szCs w:val="24"/>
        </w:rPr>
        <w:t xml:space="preserve">las resoluciones núms. </w:t>
      </w:r>
      <w:r w:rsidR="00614C9B" w:rsidRPr="00A3111F">
        <w:rPr>
          <w:rFonts w:ascii="Arial" w:hAnsi="Arial" w:cs="Arial"/>
          <w:sz w:val="24"/>
          <w:szCs w:val="24"/>
        </w:rPr>
        <w:t>CRA 911 de 17 de marzo</w:t>
      </w:r>
      <w:r w:rsidR="00574656" w:rsidRPr="00A3111F">
        <w:rPr>
          <w:rFonts w:ascii="Arial" w:hAnsi="Arial" w:cs="Arial"/>
          <w:sz w:val="24"/>
          <w:szCs w:val="24"/>
        </w:rPr>
        <w:t xml:space="preserve"> de 2020 y </w:t>
      </w:r>
      <w:r w:rsidR="00614C9B" w:rsidRPr="00A3111F">
        <w:rPr>
          <w:rFonts w:ascii="Arial" w:hAnsi="Arial" w:cs="Arial"/>
          <w:sz w:val="24"/>
          <w:szCs w:val="24"/>
        </w:rPr>
        <w:t xml:space="preserve">CRA 921 de 16 de junio </w:t>
      </w:r>
      <w:r w:rsidR="00574656" w:rsidRPr="00A3111F">
        <w:rPr>
          <w:rFonts w:ascii="Arial" w:hAnsi="Arial" w:cs="Arial"/>
          <w:sz w:val="24"/>
          <w:szCs w:val="24"/>
        </w:rPr>
        <w:t>de 2020, comoquiera que</w:t>
      </w:r>
      <w:r w:rsidR="00614C9B" w:rsidRPr="00A3111F">
        <w:rPr>
          <w:rFonts w:ascii="Arial" w:hAnsi="Arial" w:cs="Arial"/>
          <w:sz w:val="24"/>
          <w:szCs w:val="24"/>
        </w:rPr>
        <w:t xml:space="preserve"> </w:t>
      </w:r>
      <w:r w:rsidR="00574656" w:rsidRPr="00A3111F">
        <w:rPr>
          <w:rFonts w:ascii="Arial" w:hAnsi="Arial" w:cs="Arial"/>
          <w:sz w:val="24"/>
          <w:szCs w:val="24"/>
        </w:rPr>
        <w:t xml:space="preserve">la </w:t>
      </w:r>
      <w:r w:rsidRPr="00A3111F">
        <w:rPr>
          <w:rFonts w:ascii="Arial" w:hAnsi="Arial" w:cs="Arial"/>
          <w:sz w:val="24"/>
          <w:szCs w:val="24"/>
        </w:rPr>
        <w:t xml:space="preserve">última </w:t>
      </w:r>
      <w:r w:rsidR="00574656" w:rsidRPr="00A3111F">
        <w:rPr>
          <w:rFonts w:ascii="Arial" w:hAnsi="Arial" w:cs="Arial"/>
          <w:sz w:val="24"/>
          <w:szCs w:val="24"/>
        </w:rPr>
        <w:t xml:space="preserve">Resolución </w:t>
      </w:r>
      <w:r w:rsidR="00614C9B" w:rsidRPr="00A3111F">
        <w:rPr>
          <w:rFonts w:ascii="Arial" w:hAnsi="Arial" w:cs="Arial"/>
          <w:sz w:val="24"/>
          <w:szCs w:val="24"/>
        </w:rPr>
        <w:t>derogó un artículo y modificó dos artículos d</w:t>
      </w:r>
      <w:r w:rsidR="00574656" w:rsidRPr="00A3111F">
        <w:rPr>
          <w:rFonts w:ascii="Arial" w:hAnsi="Arial" w:cs="Arial"/>
          <w:sz w:val="24"/>
          <w:szCs w:val="24"/>
        </w:rPr>
        <w:t>el acto administrativo del proceso de la referencia</w:t>
      </w:r>
      <w:r w:rsidR="50099479" w:rsidRPr="00A3111F">
        <w:rPr>
          <w:rFonts w:ascii="Arial" w:hAnsi="Arial" w:cs="Arial"/>
          <w:sz w:val="24"/>
          <w:szCs w:val="24"/>
        </w:rPr>
        <w:t>:</w:t>
      </w:r>
      <w:r w:rsidRPr="00A3111F">
        <w:rPr>
          <w:rFonts w:ascii="Arial" w:hAnsi="Arial" w:cs="Arial"/>
          <w:sz w:val="24"/>
          <w:szCs w:val="24"/>
        </w:rPr>
        <w:t xml:space="preserve">  por lo </w:t>
      </w:r>
      <w:r w:rsidR="00614C9B" w:rsidRPr="00A3111F">
        <w:rPr>
          <w:rFonts w:ascii="Arial" w:hAnsi="Arial" w:cs="Arial"/>
          <w:sz w:val="24"/>
          <w:szCs w:val="24"/>
        </w:rPr>
        <w:t>que</w:t>
      </w:r>
      <w:r w:rsidRPr="00A3111F">
        <w:rPr>
          <w:rFonts w:ascii="Arial" w:hAnsi="Arial" w:cs="Arial"/>
          <w:sz w:val="24"/>
          <w:szCs w:val="24"/>
        </w:rPr>
        <w:t xml:space="preserve"> se cumple con el </w:t>
      </w:r>
      <w:r w:rsidR="00CB1942" w:rsidRPr="00A3111F">
        <w:rPr>
          <w:rFonts w:ascii="Arial" w:hAnsi="Arial" w:cs="Arial"/>
          <w:sz w:val="24"/>
          <w:szCs w:val="24"/>
        </w:rPr>
        <w:t>primer</w:t>
      </w:r>
      <w:r w:rsidRPr="00A3111F">
        <w:rPr>
          <w:rFonts w:ascii="Arial" w:hAnsi="Arial" w:cs="Arial"/>
          <w:sz w:val="24"/>
          <w:szCs w:val="24"/>
        </w:rPr>
        <w:t xml:space="preserve"> supuesto fáctico indicado </w:t>
      </w:r>
      <w:r w:rsidRPr="00A3111F">
        <w:rPr>
          <w:rFonts w:ascii="Arial" w:hAnsi="Arial" w:cs="Arial"/>
          <w:i/>
          <w:iCs/>
          <w:sz w:val="24"/>
          <w:szCs w:val="24"/>
        </w:rPr>
        <w:t>supra.</w:t>
      </w:r>
    </w:p>
    <w:p w14:paraId="28DD098F" w14:textId="77777777" w:rsidR="00F41162" w:rsidRPr="00A3111F" w:rsidRDefault="00F41162" w:rsidP="00B60B9C">
      <w:pPr>
        <w:tabs>
          <w:tab w:val="left" w:pos="426"/>
        </w:tabs>
        <w:contextualSpacing/>
        <w:jc w:val="both"/>
        <w:rPr>
          <w:rFonts w:ascii="Arial" w:eastAsia="Arial" w:hAnsi="Arial" w:cs="Arial"/>
          <w:sz w:val="24"/>
          <w:szCs w:val="24"/>
        </w:rPr>
      </w:pPr>
    </w:p>
    <w:p w14:paraId="629AD524" w14:textId="04DAFE86" w:rsidR="007D2215" w:rsidRPr="00A3111F" w:rsidRDefault="00CB1942" w:rsidP="00B60B9C">
      <w:pPr>
        <w:tabs>
          <w:tab w:val="left" w:pos="426"/>
        </w:tabs>
        <w:contextualSpacing/>
        <w:jc w:val="both"/>
        <w:rPr>
          <w:rFonts w:ascii="Arial" w:hAnsi="Arial" w:cs="Arial"/>
          <w:b/>
          <w:bCs/>
          <w:i/>
          <w:iCs/>
          <w:sz w:val="24"/>
          <w:szCs w:val="24"/>
        </w:rPr>
      </w:pPr>
      <w:r w:rsidRPr="00A3111F">
        <w:rPr>
          <w:rFonts w:ascii="Arial" w:hAnsi="Arial" w:cs="Arial"/>
          <w:b/>
          <w:bCs/>
          <w:i/>
          <w:iCs/>
          <w:sz w:val="24"/>
          <w:szCs w:val="24"/>
        </w:rPr>
        <w:t>S</w:t>
      </w:r>
      <w:r w:rsidR="007D2215" w:rsidRPr="00A3111F">
        <w:rPr>
          <w:rFonts w:ascii="Arial" w:hAnsi="Arial" w:cs="Arial"/>
          <w:b/>
          <w:bCs/>
          <w:i/>
          <w:iCs/>
          <w:sz w:val="24"/>
          <w:szCs w:val="24"/>
        </w:rPr>
        <w:t>obre si se avoca o no</w:t>
      </w:r>
      <w:r w:rsidR="003A0396" w:rsidRPr="00A3111F">
        <w:rPr>
          <w:rFonts w:ascii="Arial" w:hAnsi="Arial" w:cs="Arial"/>
          <w:b/>
          <w:bCs/>
          <w:i/>
          <w:iCs/>
          <w:sz w:val="24"/>
          <w:szCs w:val="24"/>
        </w:rPr>
        <w:t xml:space="preserve"> </w:t>
      </w:r>
      <w:r w:rsidR="0057290A" w:rsidRPr="00A3111F">
        <w:rPr>
          <w:rFonts w:ascii="Arial" w:hAnsi="Arial" w:cs="Arial"/>
          <w:b/>
          <w:bCs/>
          <w:i/>
          <w:iCs/>
          <w:sz w:val="24"/>
          <w:szCs w:val="24"/>
        </w:rPr>
        <w:t>conocimiento d</w:t>
      </w:r>
      <w:r w:rsidR="003A0396" w:rsidRPr="00A3111F">
        <w:rPr>
          <w:rFonts w:ascii="Arial" w:hAnsi="Arial" w:cs="Arial"/>
          <w:b/>
          <w:bCs/>
          <w:i/>
          <w:iCs/>
          <w:sz w:val="24"/>
          <w:szCs w:val="24"/>
        </w:rPr>
        <w:t xml:space="preserve">el control </w:t>
      </w:r>
      <w:r w:rsidR="0057290A" w:rsidRPr="00A3111F">
        <w:rPr>
          <w:rFonts w:ascii="Arial" w:hAnsi="Arial" w:cs="Arial"/>
          <w:b/>
          <w:bCs/>
          <w:i/>
          <w:iCs/>
          <w:sz w:val="24"/>
          <w:szCs w:val="24"/>
        </w:rPr>
        <w:t xml:space="preserve">inmediato </w:t>
      </w:r>
      <w:r w:rsidR="003A0396" w:rsidRPr="00A3111F">
        <w:rPr>
          <w:rFonts w:ascii="Arial" w:hAnsi="Arial" w:cs="Arial"/>
          <w:b/>
          <w:bCs/>
          <w:i/>
          <w:iCs/>
          <w:sz w:val="24"/>
          <w:szCs w:val="24"/>
        </w:rPr>
        <w:t xml:space="preserve">de legalidad de la </w:t>
      </w:r>
      <w:r w:rsidR="00614C9B" w:rsidRPr="00A3111F">
        <w:rPr>
          <w:rFonts w:ascii="Arial" w:hAnsi="Arial" w:cs="Arial"/>
          <w:b/>
          <w:bCs/>
          <w:i/>
          <w:iCs/>
          <w:sz w:val="24"/>
          <w:szCs w:val="24"/>
        </w:rPr>
        <w:t>Resolución núm. CRA 921 de 16 de junio de 2020</w:t>
      </w:r>
    </w:p>
    <w:p w14:paraId="695C092D" w14:textId="77777777" w:rsidR="00F77ED5" w:rsidRPr="00A3111F" w:rsidRDefault="00F77ED5" w:rsidP="00B60B9C">
      <w:pPr>
        <w:tabs>
          <w:tab w:val="left" w:pos="426"/>
        </w:tabs>
        <w:contextualSpacing/>
        <w:jc w:val="both"/>
        <w:rPr>
          <w:rFonts w:ascii="Arial" w:hAnsi="Arial" w:cs="Arial"/>
          <w:sz w:val="24"/>
          <w:szCs w:val="24"/>
        </w:rPr>
      </w:pPr>
    </w:p>
    <w:p w14:paraId="6CA8173A" w14:textId="47ABC45B" w:rsidR="00101E71" w:rsidRPr="00A3111F" w:rsidRDefault="00101E71" w:rsidP="00B60B9C">
      <w:pPr>
        <w:numPr>
          <w:ilvl w:val="0"/>
          <w:numId w:val="3"/>
        </w:numPr>
        <w:tabs>
          <w:tab w:val="left" w:pos="426"/>
        </w:tabs>
        <w:ind w:left="0" w:firstLine="0"/>
        <w:contextualSpacing/>
        <w:jc w:val="both"/>
        <w:rPr>
          <w:rStyle w:val="eop"/>
          <w:rFonts w:ascii="Arial" w:hAnsi="Arial" w:cs="Arial"/>
          <w:sz w:val="24"/>
          <w:szCs w:val="24"/>
        </w:rPr>
      </w:pPr>
      <w:r w:rsidRPr="00A3111F">
        <w:rPr>
          <w:rStyle w:val="normaltextrun"/>
          <w:rFonts w:ascii="Arial" w:hAnsi="Arial" w:cs="Arial"/>
          <w:sz w:val="24"/>
          <w:szCs w:val="24"/>
          <w:shd w:val="clear" w:color="auto" w:fill="FFFFFF"/>
        </w:rPr>
        <w:t xml:space="preserve">Vistos las normas </w:t>
      </w:r>
      <w:r w:rsidR="00614C9B" w:rsidRPr="00A3111F">
        <w:rPr>
          <w:rStyle w:val="normaltextrun"/>
          <w:rFonts w:ascii="Arial" w:hAnsi="Arial" w:cs="Arial"/>
          <w:sz w:val="24"/>
          <w:szCs w:val="24"/>
          <w:shd w:val="clear" w:color="auto" w:fill="FFFFFF"/>
        </w:rPr>
        <w:t xml:space="preserve">y el acuerdo </w:t>
      </w:r>
      <w:r w:rsidRPr="00A3111F">
        <w:rPr>
          <w:rStyle w:val="normaltextrun"/>
          <w:rFonts w:ascii="Arial" w:hAnsi="Arial" w:cs="Arial"/>
          <w:sz w:val="24"/>
          <w:szCs w:val="24"/>
          <w:shd w:val="clear" w:color="auto" w:fill="FFFFFF"/>
        </w:rPr>
        <w:t>indicad</w:t>
      </w:r>
      <w:r w:rsidR="00614C9B" w:rsidRPr="00A3111F">
        <w:rPr>
          <w:rStyle w:val="normaltextrun"/>
          <w:rFonts w:ascii="Arial" w:hAnsi="Arial" w:cs="Arial"/>
          <w:sz w:val="24"/>
          <w:szCs w:val="24"/>
          <w:shd w:val="clear" w:color="auto" w:fill="FFFFFF"/>
        </w:rPr>
        <w:t>o</w:t>
      </w:r>
      <w:r w:rsidRPr="00A3111F">
        <w:rPr>
          <w:rStyle w:val="normaltextrun"/>
          <w:rFonts w:ascii="Arial" w:hAnsi="Arial" w:cs="Arial"/>
          <w:sz w:val="24"/>
          <w:szCs w:val="24"/>
          <w:shd w:val="clear" w:color="auto" w:fill="FFFFFF"/>
        </w:rPr>
        <w:t xml:space="preserve">s en los acápites desarrollados </w:t>
      </w:r>
      <w:r w:rsidRPr="00A3111F">
        <w:rPr>
          <w:rStyle w:val="normaltextrun"/>
          <w:rFonts w:ascii="Arial" w:hAnsi="Arial" w:cs="Arial"/>
          <w:i/>
          <w:iCs/>
          <w:sz w:val="24"/>
          <w:szCs w:val="24"/>
          <w:shd w:val="clear" w:color="auto" w:fill="FFFFFF"/>
        </w:rPr>
        <w:t xml:space="preserve">supra </w:t>
      </w:r>
      <w:r w:rsidRPr="00A3111F">
        <w:rPr>
          <w:rStyle w:val="normaltextrun"/>
          <w:rFonts w:ascii="Arial" w:hAnsi="Arial" w:cs="Arial"/>
          <w:sz w:val="24"/>
          <w:szCs w:val="24"/>
          <w:shd w:val="clear" w:color="auto" w:fill="FFFFFF"/>
        </w:rPr>
        <w:t>de competencia, de los marcos normativos y características del medio de control inmediato de legalidad y su procedimiento; y atendiendo a que</w:t>
      </w:r>
      <w:r w:rsidR="00CB1942" w:rsidRPr="00A3111F">
        <w:rPr>
          <w:rStyle w:val="normaltextrun"/>
          <w:rFonts w:ascii="Arial" w:hAnsi="Arial" w:cs="Arial"/>
          <w:sz w:val="24"/>
          <w:szCs w:val="24"/>
          <w:shd w:val="clear" w:color="auto" w:fill="FFFFFF"/>
        </w:rPr>
        <w:t xml:space="preserve"> existe una conexidad y unidad de materia directa e inmediata entre los actos administrativos y que no se ha </w:t>
      </w:r>
      <w:r w:rsidRPr="00A3111F">
        <w:rPr>
          <w:rFonts w:ascii="Arial" w:hAnsi="Arial" w:cs="Arial"/>
          <w:sz w:val="24"/>
          <w:szCs w:val="24"/>
          <w:shd w:val="clear" w:color="auto" w:fill="FFFFFF"/>
        </w:rPr>
        <w:t xml:space="preserve">resuelto sobre si se avoca o </w:t>
      </w:r>
      <w:r w:rsidR="00CB1942" w:rsidRPr="00A3111F">
        <w:rPr>
          <w:rFonts w:ascii="Arial" w:hAnsi="Arial" w:cs="Arial"/>
          <w:sz w:val="24"/>
          <w:szCs w:val="24"/>
          <w:shd w:val="clear" w:color="auto" w:fill="FFFFFF"/>
        </w:rPr>
        <w:t xml:space="preserve">no </w:t>
      </w:r>
      <w:r w:rsidR="00F77ED5" w:rsidRPr="00A3111F">
        <w:rPr>
          <w:rFonts w:ascii="Arial" w:hAnsi="Arial" w:cs="Arial"/>
          <w:sz w:val="24"/>
          <w:szCs w:val="24"/>
        </w:rPr>
        <w:t xml:space="preserve">el </w:t>
      </w:r>
      <w:r w:rsidR="00CB1942" w:rsidRPr="00A3111F">
        <w:rPr>
          <w:rFonts w:ascii="Arial" w:hAnsi="Arial" w:cs="Arial"/>
          <w:sz w:val="24"/>
          <w:szCs w:val="24"/>
        </w:rPr>
        <w:t xml:space="preserve">conocimiento </w:t>
      </w:r>
      <w:r w:rsidR="00F77ED5" w:rsidRPr="00A3111F">
        <w:rPr>
          <w:rFonts w:ascii="Arial" w:hAnsi="Arial" w:cs="Arial"/>
          <w:sz w:val="24"/>
          <w:szCs w:val="24"/>
        </w:rPr>
        <w:t xml:space="preserve">de la </w:t>
      </w:r>
      <w:r w:rsidR="00614C9B" w:rsidRPr="00A3111F">
        <w:rPr>
          <w:rFonts w:ascii="Arial" w:hAnsi="Arial" w:cs="Arial"/>
          <w:sz w:val="24"/>
          <w:szCs w:val="24"/>
        </w:rPr>
        <w:t>Resolución núm. CRA 921 de 16 de junio de 2020</w:t>
      </w:r>
      <w:r w:rsidR="00CB1942" w:rsidRPr="00A3111F">
        <w:rPr>
          <w:rFonts w:ascii="Arial" w:hAnsi="Arial" w:cs="Arial"/>
          <w:sz w:val="24"/>
          <w:szCs w:val="24"/>
        </w:rPr>
        <w:t>, en el marco del control inmediato de legalidad</w:t>
      </w:r>
      <w:r w:rsidRPr="00A3111F">
        <w:rPr>
          <w:rStyle w:val="normaltextrun"/>
          <w:rFonts w:ascii="Arial" w:hAnsi="Arial" w:cs="Arial"/>
          <w:sz w:val="24"/>
          <w:szCs w:val="24"/>
          <w:shd w:val="clear" w:color="auto" w:fill="FFFFFF"/>
        </w:rPr>
        <w:t xml:space="preserve">: este Despacho es competente </w:t>
      </w:r>
      <w:r w:rsidR="0082246B" w:rsidRPr="00A3111F">
        <w:rPr>
          <w:rStyle w:val="normaltextrun"/>
          <w:rFonts w:ascii="Arial" w:hAnsi="Arial" w:cs="Arial"/>
          <w:sz w:val="24"/>
          <w:szCs w:val="24"/>
          <w:shd w:val="clear" w:color="auto" w:fill="FFFFFF"/>
        </w:rPr>
        <w:t>para</w:t>
      </w:r>
      <w:r w:rsidR="00F77ED5" w:rsidRPr="00A3111F">
        <w:rPr>
          <w:rStyle w:val="normaltextrun"/>
          <w:rFonts w:ascii="Arial" w:hAnsi="Arial" w:cs="Arial"/>
          <w:sz w:val="24"/>
          <w:szCs w:val="24"/>
          <w:shd w:val="clear" w:color="auto" w:fill="FFFFFF"/>
        </w:rPr>
        <w:t xml:space="preserve"> resolver lo que en derecho corresponda</w:t>
      </w:r>
      <w:r w:rsidRPr="00A3111F">
        <w:rPr>
          <w:rStyle w:val="normaltextrun"/>
          <w:rFonts w:ascii="Arial" w:hAnsi="Arial" w:cs="Arial"/>
          <w:sz w:val="24"/>
          <w:szCs w:val="24"/>
          <w:shd w:val="clear" w:color="auto" w:fill="FFFFFF"/>
        </w:rPr>
        <w:t>.</w:t>
      </w:r>
    </w:p>
    <w:p w14:paraId="7B22E54E" w14:textId="77777777" w:rsidR="00101E71" w:rsidRPr="00A3111F" w:rsidRDefault="00101E71" w:rsidP="009E2306">
      <w:pPr>
        <w:tabs>
          <w:tab w:val="left" w:pos="426"/>
        </w:tabs>
        <w:contextualSpacing/>
        <w:jc w:val="both"/>
        <w:rPr>
          <w:rFonts w:ascii="Arial" w:hAnsi="Arial" w:cs="Arial"/>
          <w:sz w:val="24"/>
          <w:szCs w:val="24"/>
        </w:rPr>
      </w:pPr>
    </w:p>
    <w:p w14:paraId="116859E2" w14:textId="735FB2F6" w:rsidR="00C40804" w:rsidRPr="00A3111F" w:rsidRDefault="00F77ED5" w:rsidP="009E2306">
      <w:pPr>
        <w:numPr>
          <w:ilvl w:val="0"/>
          <w:numId w:val="3"/>
        </w:numPr>
        <w:tabs>
          <w:tab w:val="left" w:pos="426"/>
        </w:tabs>
        <w:ind w:left="0" w:firstLine="0"/>
        <w:contextualSpacing/>
        <w:jc w:val="both"/>
        <w:rPr>
          <w:rFonts w:ascii="Arial" w:hAnsi="Arial" w:cs="Arial"/>
          <w:sz w:val="24"/>
          <w:szCs w:val="24"/>
        </w:rPr>
      </w:pPr>
      <w:r w:rsidRPr="00A3111F">
        <w:rPr>
          <w:rFonts w:ascii="Arial" w:hAnsi="Arial" w:cs="Arial"/>
          <w:sz w:val="24"/>
          <w:szCs w:val="24"/>
        </w:rPr>
        <w:t>Ahora bien, conforme se indicó en acápite </w:t>
      </w:r>
      <w:r w:rsidRPr="00A3111F">
        <w:rPr>
          <w:rFonts w:ascii="Arial" w:hAnsi="Arial" w:cs="Arial"/>
          <w:i/>
          <w:iCs/>
          <w:sz w:val="24"/>
          <w:szCs w:val="24"/>
        </w:rPr>
        <w:t>supra </w:t>
      </w:r>
      <w:r w:rsidRPr="00A3111F">
        <w:rPr>
          <w:rFonts w:ascii="Arial" w:hAnsi="Arial" w:cs="Arial"/>
          <w:sz w:val="24"/>
          <w:szCs w:val="24"/>
        </w:rPr>
        <w:t>de esta providencia, la procedibilidad del medio de control inmediato de legalidad está determinada por los siguientes supuestos fácticos: i) se trate de una medida de carácter general; </w:t>
      </w:r>
      <w:proofErr w:type="spellStart"/>
      <w:r w:rsidRPr="00A3111F">
        <w:rPr>
          <w:rFonts w:ascii="Arial" w:hAnsi="Arial" w:cs="Arial"/>
          <w:sz w:val="24"/>
          <w:szCs w:val="24"/>
        </w:rPr>
        <w:t>ii</w:t>
      </w:r>
      <w:proofErr w:type="spellEnd"/>
      <w:r w:rsidRPr="00A3111F">
        <w:rPr>
          <w:rFonts w:ascii="Arial" w:hAnsi="Arial" w:cs="Arial"/>
          <w:sz w:val="24"/>
          <w:szCs w:val="24"/>
        </w:rPr>
        <w:t>) dictada en ejercicio de la función administrativa; y iii) en desarrollo de un decreto legislativo expedido durante los estados de excepción de que tratan los artículos 212, 213 y 215 de la Constitución Política.</w:t>
      </w:r>
    </w:p>
    <w:p w14:paraId="6AFFDBCA" w14:textId="77777777" w:rsidR="00F77ED5" w:rsidRPr="00A3111F" w:rsidRDefault="00F77ED5" w:rsidP="009E2306">
      <w:pPr>
        <w:pStyle w:val="Prrafodelista"/>
        <w:spacing w:after="0"/>
        <w:rPr>
          <w:rFonts w:ascii="Arial" w:hAnsi="Arial" w:cs="Arial"/>
          <w:sz w:val="24"/>
          <w:szCs w:val="24"/>
        </w:rPr>
      </w:pPr>
    </w:p>
    <w:p w14:paraId="6FF3F5F2" w14:textId="60AEF0FB" w:rsidR="00F77ED5" w:rsidRPr="009938A2" w:rsidRDefault="00F77ED5" w:rsidP="4CAA07BA">
      <w:pPr>
        <w:numPr>
          <w:ilvl w:val="0"/>
          <w:numId w:val="3"/>
        </w:numPr>
        <w:tabs>
          <w:tab w:val="left" w:pos="426"/>
        </w:tabs>
        <w:ind w:left="0" w:firstLine="0"/>
        <w:contextualSpacing/>
        <w:jc w:val="both"/>
        <w:rPr>
          <w:rFonts w:ascii="Arial" w:eastAsia="Arial" w:hAnsi="Arial" w:cs="Arial"/>
          <w:sz w:val="24"/>
          <w:szCs w:val="24"/>
        </w:rPr>
      </w:pPr>
      <w:r w:rsidRPr="009938A2">
        <w:rPr>
          <w:rStyle w:val="normaltextrun"/>
          <w:rFonts w:ascii="Arial" w:hAnsi="Arial" w:cs="Arial"/>
          <w:sz w:val="24"/>
          <w:szCs w:val="24"/>
        </w:rPr>
        <w:lastRenderedPageBreak/>
        <w:t>En </w:t>
      </w:r>
      <w:r w:rsidRPr="009938A2">
        <w:rPr>
          <w:rStyle w:val="normaltextrun"/>
          <w:rFonts w:ascii="Arial" w:hAnsi="Arial" w:cs="Arial"/>
          <w:b/>
          <w:bCs/>
          <w:sz w:val="24"/>
          <w:szCs w:val="24"/>
        </w:rPr>
        <w:t>primer orden</w:t>
      </w:r>
      <w:r w:rsidRPr="009938A2">
        <w:rPr>
          <w:rStyle w:val="normaltextrun"/>
          <w:rFonts w:ascii="Arial" w:hAnsi="Arial" w:cs="Arial"/>
          <w:sz w:val="24"/>
          <w:szCs w:val="24"/>
        </w:rPr>
        <w:t xml:space="preserve">, este Despacho considera que la </w:t>
      </w:r>
      <w:r w:rsidR="00614C9B" w:rsidRPr="009938A2">
        <w:rPr>
          <w:rStyle w:val="normaltextrun"/>
          <w:rFonts w:ascii="Arial" w:hAnsi="Arial" w:cs="Arial"/>
          <w:sz w:val="24"/>
          <w:szCs w:val="24"/>
        </w:rPr>
        <w:t>Resolución núm. CRA 921 de 16 de junio de 2020</w:t>
      </w:r>
      <w:r w:rsidRPr="009938A2">
        <w:rPr>
          <w:rStyle w:val="normaltextrun"/>
          <w:rFonts w:ascii="Arial" w:hAnsi="Arial" w:cs="Arial"/>
          <w:sz w:val="24"/>
          <w:szCs w:val="24"/>
        </w:rPr>
        <w:t xml:space="preserve"> es una medida de carácter general toda vez que sus supuestos son objetivos, impersonales y abstractos, en la medida que establece </w:t>
      </w:r>
      <w:r w:rsidR="00614C9B" w:rsidRPr="009938A2">
        <w:rPr>
          <w:rStyle w:val="normaltextrun"/>
          <w:rFonts w:ascii="Arial" w:hAnsi="Arial" w:cs="Arial"/>
          <w:sz w:val="24"/>
          <w:szCs w:val="24"/>
        </w:rPr>
        <w:t xml:space="preserve">la fórmula que se tendrá en cuenta para </w:t>
      </w:r>
      <w:r w:rsidR="03A38F19" w:rsidRPr="009938A2">
        <w:rPr>
          <w:rStyle w:val="normaltextrun"/>
          <w:rFonts w:ascii="Arial" w:hAnsi="Arial" w:cs="Arial"/>
          <w:sz w:val="24"/>
          <w:szCs w:val="24"/>
        </w:rPr>
        <w:t xml:space="preserve">determinar el costo de lavado y desinfección de áreas públicos a transferir vía tarifa al </w:t>
      </w:r>
      <w:r w:rsidR="0A92DA76" w:rsidRPr="009938A2">
        <w:rPr>
          <w:rStyle w:val="normaltextrun"/>
          <w:rFonts w:ascii="Arial" w:hAnsi="Arial" w:cs="Arial"/>
          <w:sz w:val="24"/>
          <w:szCs w:val="24"/>
        </w:rPr>
        <w:t>usuario</w:t>
      </w:r>
      <w:r w:rsidRPr="009938A2">
        <w:rPr>
          <w:rFonts w:ascii="Arial" w:hAnsi="Arial" w:cs="Arial"/>
          <w:i/>
          <w:iCs/>
          <w:sz w:val="24"/>
          <w:szCs w:val="24"/>
        </w:rPr>
        <w:t>.</w:t>
      </w:r>
    </w:p>
    <w:p w14:paraId="7D2F48DC" w14:textId="77777777" w:rsidR="00F77ED5" w:rsidRPr="00A3111F" w:rsidRDefault="00F77ED5" w:rsidP="009E2306">
      <w:pPr>
        <w:pStyle w:val="Prrafodelista"/>
        <w:spacing w:after="0" w:line="360" w:lineRule="auto"/>
        <w:rPr>
          <w:rFonts w:ascii="Arial" w:eastAsia="Times New Roman" w:hAnsi="Arial" w:cs="Arial"/>
          <w:sz w:val="24"/>
          <w:szCs w:val="24"/>
          <w:lang w:eastAsia="es-CO"/>
        </w:rPr>
      </w:pPr>
    </w:p>
    <w:p w14:paraId="59E5074C" w14:textId="0E9E2596" w:rsidR="004731D1" w:rsidRPr="00A3111F" w:rsidRDefault="00F77ED5" w:rsidP="4CAA07BA">
      <w:pPr>
        <w:numPr>
          <w:ilvl w:val="0"/>
          <w:numId w:val="3"/>
        </w:numPr>
        <w:tabs>
          <w:tab w:val="left" w:pos="426"/>
        </w:tabs>
        <w:ind w:left="0" w:firstLine="0"/>
        <w:contextualSpacing/>
        <w:jc w:val="both"/>
        <w:rPr>
          <w:rFonts w:ascii="Arial" w:eastAsia="Times New Roman" w:hAnsi="Arial" w:cs="Arial"/>
          <w:i/>
          <w:iCs/>
          <w:sz w:val="24"/>
          <w:szCs w:val="24"/>
          <w:lang w:eastAsia="es-CO"/>
        </w:rPr>
      </w:pPr>
      <w:r w:rsidRPr="00A3111F">
        <w:rPr>
          <w:rFonts w:ascii="Arial" w:eastAsia="Times New Roman" w:hAnsi="Arial" w:cs="Arial"/>
          <w:sz w:val="24"/>
          <w:szCs w:val="24"/>
          <w:lang w:eastAsia="es-CO"/>
        </w:rPr>
        <w:t xml:space="preserve">En </w:t>
      </w:r>
      <w:r w:rsidRPr="00A3111F">
        <w:rPr>
          <w:rFonts w:ascii="Arial" w:eastAsia="Times New Roman" w:hAnsi="Arial" w:cs="Arial"/>
          <w:b/>
          <w:bCs/>
          <w:sz w:val="24"/>
          <w:szCs w:val="24"/>
          <w:lang w:eastAsia="es-CO"/>
        </w:rPr>
        <w:t>segundo orden</w:t>
      </w:r>
      <w:r w:rsidRPr="00A3111F">
        <w:rPr>
          <w:rFonts w:ascii="Arial" w:eastAsia="Times New Roman" w:hAnsi="Arial" w:cs="Arial"/>
          <w:sz w:val="24"/>
          <w:szCs w:val="24"/>
          <w:lang w:eastAsia="es-CO"/>
        </w:rPr>
        <w:t xml:space="preserve">, </w:t>
      </w:r>
      <w:r w:rsidR="00614C9B" w:rsidRPr="00A3111F">
        <w:rPr>
          <w:rFonts w:ascii="Arial" w:eastAsia="Times New Roman" w:hAnsi="Arial" w:cs="Arial"/>
          <w:sz w:val="24"/>
          <w:szCs w:val="24"/>
          <w:lang w:eastAsia="es-CO"/>
        </w:rPr>
        <w:t>Presidente y el Director Ejecutivo de la Comisión de Regulación de Agua Potable y Saneamiento Básico</w:t>
      </w:r>
      <w:r w:rsidRPr="00A3111F">
        <w:rPr>
          <w:rFonts w:ascii="Arial" w:eastAsia="Times New Roman" w:hAnsi="Arial" w:cs="Arial"/>
          <w:sz w:val="24"/>
          <w:szCs w:val="24"/>
          <w:lang w:eastAsia="es-CO"/>
        </w:rPr>
        <w:t xml:space="preserve"> expidieron la Resolución con fundamento en el ejercicio de “</w:t>
      </w:r>
      <w:r w:rsidRPr="00A3111F">
        <w:rPr>
          <w:rFonts w:ascii="Arial" w:eastAsia="Times New Roman" w:hAnsi="Arial" w:cs="Arial"/>
          <w:i/>
          <w:iCs/>
          <w:sz w:val="24"/>
          <w:szCs w:val="24"/>
          <w:lang w:eastAsia="es-CO"/>
        </w:rPr>
        <w:t xml:space="preserve">[…] </w:t>
      </w:r>
      <w:r w:rsidR="00614C9B" w:rsidRPr="00A3111F">
        <w:rPr>
          <w:rFonts w:ascii="Arial" w:eastAsia="Times New Roman" w:hAnsi="Arial" w:cs="Arial"/>
          <w:i/>
          <w:iCs/>
          <w:sz w:val="24"/>
          <w:szCs w:val="24"/>
          <w:lang w:eastAsia="es-CO"/>
        </w:rPr>
        <w:t xml:space="preserve">sus facultades legales, en especial de las conferidas por la Ley 142 de 1994, los Decretos 1524 de 1994, 2882 y 2883 de 2007, modificado por el Decreto 2412 de 2015, el Decreto 1077 de 2015, el </w:t>
      </w:r>
      <w:r w:rsidR="00614C9B" w:rsidRPr="00A3111F">
        <w:rPr>
          <w:rFonts w:ascii="Arial" w:eastAsia="Times New Roman" w:hAnsi="Arial" w:cs="Arial"/>
          <w:b/>
          <w:bCs/>
          <w:i/>
          <w:iCs/>
          <w:sz w:val="24"/>
          <w:szCs w:val="24"/>
          <w:lang w:eastAsia="es-CO"/>
        </w:rPr>
        <w:t>Decreto Legislativo 580 de 2020</w:t>
      </w:r>
      <w:r w:rsidR="00614C9B" w:rsidRPr="00A3111F">
        <w:rPr>
          <w:rFonts w:ascii="Arial" w:eastAsia="Times New Roman" w:hAnsi="Arial" w:cs="Arial"/>
          <w:i/>
          <w:iCs/>
          <w:sz w:val="24"/>
          <w:szCs w:val="24"/>
          <w:lang w:eastAsia="es-CO"/>
        </w:rPr>
        <w:t>, [y] la Resolución CRA 475 de 2009</w:t>
      </w:r>
      <w:r w:rsidRPr="00A3111F">
        <w:rPr>
          <w:rFonts w:ascii="Arial" w:eastAsia="Times New Roman" w:hAnsi="Arial" w:cs="Arial"/>
          <w:i/>
          <w:iCs/>
          <w:sz w:val="24"/>
          <w:szCs w:val="24"/>
          <w:lang w:eastAsia="es-CO"/>
        </w:rPr>
        <w:t xml:space="preserve"> […]”</w:t>
      </w:r>
      <w:r w:rsidR="004731D1" w:rsidRPr="00A3111F">
        <w:rPr>
          <w:rFonts w:ascii="Arial" w:eastAsia="Times New Roman" w:hAnsi="Arial" w:cs="Arial"/>
          <w:i/>
          <w:iCs/>
          <w:sz w:val="24"/>
          <w:szCs w:val="24"/>
          <w:lang w:eastAsia="es-CO"/>
        </w:rPr>
        <w:t xml:space="preserve"> </w:t>
      </w:r>
      <w:r w:rsidRPr="00A3111F">
        <w:rPr>
          <w:rFonts w:ascii="Arial" w:eastAsia="Times New Roman" w:hAnsi="Arial" w:cs="Arial"/>
          <w:sz w:val="24"/>
          <w:szCs w:val="24"/>
          <w:lang w:eastAsia="es-CO"/>
        </w:rPr>
        <w:t>(Destacado</w:t>
      </w:r>
      <w:r w:rsidR="004731D1" w:rsidRPr="00A3111F">
        <w:rPr>
          <w:rFonts w:ascii="Arial" w:eastAsia="Times New Roman" w:hAnsi="Arial" w:cs="Arial"/>
          <w:sz w:val="24"/>
          <w:szCs w:val="24"/>
          <w:lang w:eastAsia="es-CO"/>
        </w:rPr>
        <w:t xml:space="preserve"> </w:t>
      </w:r>
      <w:r w:rsidRPr="00A3111F">
        <w:rPr>
          <w:rFonts w:ascii="Arial" w:eastAsia="Times New Roman" w:hAnsi="Arial" w:cs="Arial"/>
          <w:sz w:val="24"/>
          <w:szCs w:val="24"/>
          <w:lang w:eastAsia="es-CO"/>
        </w:rPr>
        <w:t>fuera de texto),</w:t>
      </w:r>
      <w:r w:rsidR="004731D1" w:rsidRPr="00A3111F">
        <w:rPr>
          <w:rFonts w:ascii="Arial" w:eastAsia="Times New Roman" w:hAnsi="Arial" w:cs="Arial"/>
          <w:sz w:val="24"/>
          <w:szCs w:val="24"/>
          <w:lang w:eastAsia="es-CO"/>
        </w:rPr>
        <w:t xml:space="preserve"> </w:t>
      </w:r>
      <w:r w:rsidRPr="00A3111F">
        <w:rPr>
          <w:rFonts w:ascii="Arial" w:eastAsia="Times New Roman" w:hAnsi="Arial" w:cs="Arial"/>
          <w:sz w:val="24"/>
          <w:szCs w:val="24"/>
          <w:lang w:eastAsia="es-CO"/>
        </w:rPr>
        <w:t>por lo que</w:t>
      </w:r>
      <w:r w:rsidR="004731D1" w:rsidRPr="00A3111F">
        <w:rPr>
          <w:rFonts w:ascii="Arial" w:eastAsia="Times New Roman" w:hAnsi="Arial" w:cs="Arial"/>
          <w:sz w:val="24"/>
          <w:szCs w:val="24"/>
          <w:lang w:eastAsia="es-CO"/>
        </w:rPr>
        <w:t xml:space="preserve"> </w:t>
      </w:r>
      <w:r w:rsidRPr="00A3111F">
        <w:rPr>
          <w:rFonts w:ascii="Arial" w:eastAsia="Times New Roman" w:hAnsi="Arial" w:cs="Arial"/>
          <w:sz w:val="24"/>
          <w:szCs w:val="24"/>
          <w:lang w:eastAsia="es-CO"/>
        </w:rPr>
        <w:t>este Despacho considera que el acto se expidió en ejercicio de la función administrativa.</w:t>
      </w:r>
    </w:p>
    <w:p w14:paraId="4255D676" w14:textId="77777777" w:rsidR="004731D1" w:rsidRPr="00A3111F" w:rsidRDefault="004731D1" w:rsidP="009E2306">
      <w:pPr>
        <w:pStyle w:val="Prrafodelista"/>
        <w:spacing w:after="0" w:line="360" w:lineRule="auto"/>
        <w:rPr>
          <w:rFonts w:ascii="Arial" w:eastAsia="Times New Roman" w:hAnsi="Arial" w:cs="Arial"/>
          <w:sz w:val="24"/>
          <w:szCs w:val="24"/>
          <w:lang w:eastAsia="es-CO"/>
        </w:rPr>
      </w:pPr>
    </w:p>
    <w:p w14:paraId="0FBF84B0" w14:textId="02778CC0" w:rsidR="004731D1" w:rsidRPr="00A3111F" w:rsidRDefault="004731D1" w:rsidP="4CAA07BA">
      <w:pPr>
        <w:numPr>
          <w:ilvl w:val="0"/>
          <w:numId w:val="3"/>
        </w:numPr>
        <w:tabs>
          <w:tab w:val="left" w:pos="426"/>
        </w:tabs>
        <w:ind w:left="0" w:firstLine="0"/>
        <w:contextualSpacing/>
        <w:jc w:val="both"/>
        <w:rPr>
          <w:rFonts w:ascii="Arial" w:eastAsia="Times New Roman" w:hAnsi="Arial" w:cs="Arial"/>
          <w:i/>
          <w:iCs/>
          <w:sz w:val="24"/>
          <w:szCs w:val="24"/>
          <w:lang w:eastAsia="es-CO"/>
        </w:rPr>
      </w:pPr>
      <w:r w:rsidRPr="00A3111F">
        <w:rPr>
          <w:rFonts w:ascii="Arial" w:eastAsia="Times New Roman" w:hAnsi="Arial" w:cs="Arial"/>
          <w:sz w:val="24"/>
          <w:szCs w:val="24"/>
          <w:lang w:eastAsia="es-CO"/>
        </w:rPr>
        <w:t xml:space="preserve">En </w:t>
      </w:r>
      <w:r w:rsidRPr="00A3111F">
        <w:rPr>
          <w:rFonts w:ascii="Arial" w:eastAsia="Times New Roman" w:hAnsi="Arial" w:cs="Arial"/>
          <w:b/>
          <w:bCs/>
          <w:sz w:val="24"/>
          <w:szCs w:val="24"/>
          <w:lang w:eastAsia="es-CO"/>
        </w:rPr>
        <w:t>tercer orden,</w:t>
      </w:r>
      <w:r w:rsidRPr="00A3111F">
        <w:rPr>
          <w:rFonts w:ascii="Arial" w:eastAsia="Times New Roman" w:hAnsi="Arial" w:cs="Arial"/>
          <w:sz w:val="24"/>
          <w:szCs w:val="24"/>
          <w:lang w:eastAsia="es-CO"/>
        </w:rPr>
        <w:t xml:space="preserve"> la Resolución indicada </w:t>
      </w:r>
      <w:r w:rsidRPr="00A3111F">
        <w:rPr>
          <w:rFonts w:ascii="Arial" w:eastAsia="Times New Roman" w:hAnsi="Arial" w:cs="Arial"/>
          <w:i/>
          <w:iCs/>
          <w:sz w:val="24"/>
          <w:szCs w:val="24"/>
          <w:lang w:eastAsia="es-CO"/>
        </w:rPr>
        <w:t xml:space="preserve">supra </w:t>
      </w:r>
      <w:r w:rsidRPr="00A3111F">
        <w:rPr>
          <w:rFonts w:ascii="Arial" w:eastAsia="Times New Roman" w:hAnsi="Arial" w:cs="Arial"/>
          <w:sz w:val="24"/>
          <w:szCs w:val="24"/>
          <w:lang w:eastAsia="es-CO"/>
        </w:rPr>
        <w:t>invocó en la parte de considerandos, entre otras, las siguientes disposiciones:</w:t>
      </w:r>
    </w:p>
    <w:p w14:paraId="2D96C363" w14:textId="731AED66" w:rsidR="004731D1" w:rsidRPr="00A3111F" w:rsidRDefault="004731D1" w:rsidP="009E2306">
      <w:pPr>
        <w:contextualSpacing/>
        <w:rPr>
          <w:rFonts w:ascii="Arial" w:eastAsia="Times New Roman" w:hAnsi="Arial" w:cs="Arial"/>
          <w:i/>
          <w:iCs/>
          <w:sz w:val="24"/>
          <w:szCs w:val="24"/>
          <w:lang w:eastAsia="es-CO"/>
        </w:rPr>
      </w:pPr>
    </w:p>
    <w:p w14:paraId="6D7F9F47" w14:textId="77777777" w:rsidR="00614C9B" w:rsidRPr="00A3111F" w:rsidRDefault="004731D1" w:rsidP="00614C9B">
      <w:pPr>
        <w:spacing w:line="240" w:lineRule="auto"/>
        <w:ind w:left="567" w:right="505"/>
        <w:contextualSpacing/>
        <w:jc w:val="both"/>
        <w:rPr>
          <w:rFonts w:ascii="Arial" w:eastAsia="Times New Roman" w:hAnsi="Arial" w:cs="Arial"/>
          <w:i/>
          <w:iCs/>
          <w:lang w:eastAsia="es-CO"/>
        </w:rPr>
      </w:pPr>
      <w:r w:rsidRPr="00A3111F">
        <w:rPr>
          <w:rFonts w:ascii="Arial" w:eastAsia="Times New Roman" w:hAnsi="Arial" w:cs="Arial"/>
          <w:i/>
          <w:iCs/>
          <w:lang w:eastAsia="es-CO"/>
        </w:rPr>
        <w:t xml:space="preserve">“[…] </w:t>
      </w:r>
      <w:r w:rsidR="00614C9B" w:rsidRPr="00A3111F">
        <w:rPr>
          <w:rFonts w:ascii="Arial" w:eastAsia="Times New Roman" w:hAnsi="Arial" w:cs="Arial"/>
          <w:b/>
          <w:bCs/>
          <w:i/>
          <w:iCs/>
          <w:lang w:eastAsia="es-CO"/>
        </w:rPr>
        <w:t>Que el Gobierno Nacional, mediante Decreto 417 del 17 de marzo de 2020</w:t>
      </w:r>
      <w:r w:rsidR="00614C9B" w:rsidRPr="00A3111F">
        <w:rPr>
          <w:rFonts w:ascii="Arial" w:eastAsia="Times New Roman" w:hAnsi="Arial" w:cs="Arial"/>
          <w:i/>
          <w:iCs/>
          <w:lang w:eastAsia="es-CO"/>
        </w:rPr>
        <w:t xml:space="preserve">, declaró el Estado de Emergencia Económica, Social y Ecológica en todo el territorio nacional por el término de treinta (30) días calendario, contados a partir de la vigencia de dicho decreto, señalando, entre otras motivaciones "(...) Que las medidas que debe adoptar el Gobierno nacional para conjurar esta crisis y evitar la extensión de sus efectos se requieren aplicar inmediatamente ante la inminencia de que los hechos cada día sean más complejos y afecten a un mayor número de habitantes del territorio nacional, pero además para atender oportunamente a los afectados tanto en materia sanitaria como económica”. </w:t>
      </w:r>
    </w:p>
    <w:p w14:paraId="446D3A98" w14:textId="77777777" w:rsidR="00614C9B" w:rsidRPr="00A3111F" w:rsidRDefault="00614C9B" w:rsidP="00614C9B">
      <w:pPr>
        <w:spacing w:line="240" w:lineRule="auto"/>
        <w:ind w:left="567" w:right="505"/>
        <w:contextualSpacing/>
        <w:jc w:val="both"/>
        <w:rPr>
          <w:rFonts w:ascii="Arial" w:eastAsia="Times New Roman" w:hAnsi="Arial" w:cs="Arial"/>
          <w:i/>
          <w:iCs/>
          <w:lang w:eastAsia="es-CO"/>
        </w:rPr>
      </w:pPr>
    </w:p>
    <w:p w14:paraId="3AA2FD34" w14:textId="77777777" w:rsidR="00614C9B" w:rsidRPr="00A3111F" w:rsidRDefault="00614C9B" w:rsidP="00614C9B">
      <w:pPr>
        <w:spacing w:line="240" w:lineRule="auto"/>
        <w:ind w:left="567" w:right="505"/>
        <w:contextualSpacing/>
        <w:jc w:val="both"/>
        <w:rPr>
          <w:rFonts w:ascii="Arial" w:eastAsia="Times New Roman" w:hAnsi="Arial" w:cs="Arial"/>
          <w:i/>
          <w:iCs/>
          <w:lang w:eastAsia="es-CO"/>
        </w:rPr>
      </w:pPr>
      <w:r w:rsidRPr="00A3111F">
        <w:rPr>
          <w:rFonts w:ascii="Arial" w:eastAsia="Times New Roman" w:hAnsi="Arial" w:cs="Arial"/>
          <w:b/>
          <w:bCs/>
          <w:i/>
          <w:iCs/>
          <w:lang w:eastAsia="es-CO"/>
        </w:rPr>
        <w:t>Que, con fundamento en lo anterior, esta Comisión de Regulación expidió la Resolución CRA 911 de 17 de marzo de 2020</w:t>
      </w:r>
      <w:r w:rsidRPr="00A3111F">
        <w:rPr>
          <w:rFonts w:ascii="Arial" w:eastAsia="Times New Roman" w:hAnsi="Arial" w:cs="Arial"/>
          <w:i/>
          <w:iCs/>
          <w:lang w:eastAsia="es-CO"/>
        </w:rPr>
        <w:t xml:space="preserve"> "Por la cual se establecen medidas regulatorias transitorias en el sector de agua potable y saneamiento básico, derivadas de la emergencia declarada por el Gobierno Nacional a causa del COVID-19", publicada en el Diario Oficial No. 51.260 de 18 de marzo de 2020”</w:t>
      </w:r>
    </w:p>
    <w:p w14:paraId="21C54780" w14:textId="77777777" w:rsidR="00614C9B" w:rsidRPr="00A3111F" w:rsidRDefault="00614C9B" w:rsidP="00614C9B">
      <w:pPr>
        <w:spacing w:line="240" w:lineRule="auto"/>
        <w:ind w:left="567" w:right="505"/>
        <w:contextualSpacing/>
        <w:jc w:val="both"/>
        <w:rPr>
          <w:rFonts w:ascii="Arial" w:eastAsia="Times New Roman" w:hAnsi="Arial" w:cs="Arial"/>
          <w:i/>
          <w:iCs/>
          <w:lang w:eastAsia="es-CO"/>
        </w:rPr>
      </w:pPr>
    </w:p>
    <w:p w14:paraId="3E856386" w14:textId="77777777" w:rsidR="00614C9B" w:rsidRPr="00A3111F" w:rsidRDefault="00614C9B" w:rsidP="00614C9B">
      <w:pPr>
        <w:spacing w:line="240" w:lineRule="auto"/>
        <w:ind w:left="567" w:right="505"/>
        <w:contextualSpacing/>
        <w:jc w:val="both"/>
        <w:rPr>
          <w:rFonts w:ascii="Arial" w:eastAsia="Times New Roman" w:hAnsi="Arial" w:cs="Arial"/>
          <w:i/>
          <w:iCs/>
          <w:lang w:eastAsia="es-CO"/>
        </w:rPr>
      </w:pPr>
      <w:r w:rsidRPr="00A3111F">
        <w:rPr>
          <w:rFonts w:ascii="Arial" w:eastAsia="Times New Roman" w:hAnsi="Arial" w:cs="Arial"/>
          <w:i/>
          <w:iCs/>
          <w:lang w:eastAsia="es-CO"/>
        </w:rPr>
        <w:t>[…]</w:t>
      </w:r>
    </w:p>
    <w:p w14:paraId="47794E46" w14:textId="77777777" w:rsidR="00614C9B" w:rsidRPr="00A3111F" w:rsidRDefault="00614C9B" w:rsidP="00614C9B">
      <w:pPr>
        <w:spacing w:line="240" w:lineRule="auto"/>
        <w:ind w:left="567" w:right="505"/>
        <w:contextualSpacing/>
        <w:jc w:val="both"/>
        <w:rPr>
          <w:rFonts w:ascii="Arial" w:eastAsia="Times New Roman" w:hAnsi="Arial" w:cs="Arial"/>
          <w:i/>
          <w:iCs/>
          <w:lang w:eastAsia="es-CO"/>
        </w:rPr>
      </w:pPr>
    </w:p>
    <w:p w14:paraId="65775222" w14:textId="3E2D24A3" w:rsidR="004731D1" w:rsidRPr="00A3111F" w:rsidRDefault="00614C9B" w:rsidP="00614C9B">
      <w:pPr>
        <w:spacing w:line="240" w:lineRule="auto"/>
        <w:ind w:left="567" w:right="505"/>
        <w:contextualSpacing/>
        <w:jc w:val="both"/>
        <w:rPr>
          <w:rFonts w:ascii="Arial" w:eastAsia="Times New Roman" w:hAnsi="Arial" w:cs="Arial"/>
          <w:i/>
          <w:iCs/>
          <w:lang w:eastAsia="es-CO"/>
        </w:rPr>
      </w:pPr>
      <w:r w:rsidRPr="00A3111F">
        <w:rPr>
          <w:rFonts w:ascii="Arial" w:eastAsia="Times New Roman" w:hAnsi="Arial" w:cs="Arial"/>
          <w:i/>
          <w:iCs/>
          <w:lang w:eastAsia="es-CO"/>
        </w:rPr>
        <w:t xml:space="preserve">Que la grave afectación de orden económico y social está justificada con la emergencia sanitaria declarada por la Resolución 385 de 2020, prorrogada por la Resolución 844 de 2020 del Ministerio de Salud y Protección Social y por </w:t>
      </w:r>
      <w:r w:rsidRPr="00A3111F">
        <w:rPr>
          <w:rFonts w:ascii="Arial" w:eastAsia="Times New Roman" w:hAnsi="Arial" w:cs="Arial"/>
          <w:b/>
          <w:bCs/>
          <w:i/>
          <w:iCs/>
          <w:lang w:eastAsia="es-CO"/>
        </w:rPr>
        <w:t>las dos (2) declaratorias del Estado de Emergencia Económica, Social y Ecológica en todo el territorio nacional,</w:t>
      </w:r>
      <w:r w:rsidRPr="00A3111F">
        <w:rPr>
          <w:rFonts w:ascii="Arial" w:eastAsia="Times New Roman" w:hAnsi="Arial" w:cs="Arial"/>
          <w:i/>
          <w:iCs/>
          <w:lang w:eastAsia="es-CO"/>
        </w:rPr>
        <w:t xml:space="preserve"> razón por la cual, en el presente acto administrativo no se aplica el procedimiento de participación ciudadana, por </w:t>
      </w:r>
      <w:r w:rsidRPr="00A3111F">
        <w:rPr>
          <w:rFonts w:ascii="Arial" w:eastAsia="Times New Roman" w:hAnsi="Arial" w:cs="Arial"/>
          <w:i/>
          <w:iCs/>
          <w:lang w:eastAsia="es-CO"/>
        </w:rPr>
        <w:lastRenderedPageBreak/>
        <w:t xml:space="preserve">encontrarse dentro de las excepciones contempladas en el artículo 1 de la Resolución CRA 475 de 2009 </w:t>
      </w:r>
      <w:r w:rsidR="004731D1" w:rsidRPr="00A3111F">
        <w:rPr>
          <w:rFonts w:ascii="Arial" w:eastAsia="Times New Roman" w:hAnsi="Arial" w:cs="Arial"/>
          <w:i/>
          <w:iCs/>
          <w:lang w:eastAsia="es-CO"/>
        </w:rPr>
        <w:t xml:space="preserve"> […]” </w:t>
      </w:r>
      <w:r w:rsidR="004731D1" w:rsidRPr="00A3111F">
        <w:rPr>
          <w:rFonts w:ascii="Arial" w:eastAsia="Times New Roman" w:hAnsi="Arial" w:cs="Arial"/>
          <w:sz w:val="24"/>
          <w:szCs w:val="24"/>
          <w:lang w:eastAsia="es-CO"/>
        </w:rPr>
        <w:t>(Destacado fuera de texto)</w:t>
      </w:r>
      <w:r w:rsidR="004731D1" w:rsidRPr="00A3111F">
        <w:rPr>
          <w:rFonts w:ascii="Arial" w:eastAsia="Times New Roman" w:hAnsi="Arial" w:cs="Arial"/>
          <w:i/>
          <w:iCs/>
          <w:lang w:eastAsia="es-CO"/>
        </w:rPr>
        <w:t>.</w:t>
      </w:r>
    </w:p>
    <w:p w14:paraId="7DDE6DDF" w14:textId="77777777" w:rsidR="00C121D3" w:rsidRPr="00A3111F" w:rsidRDefault="00C121D3" w:rsidP="009E2306">
      <w:pPr>
        <w:ind w:left="567" w:right="567"/>
        <w:contextualSpacing/>
        <w:jc w:val="both"/>
        <w:rPr>
          <w:rFonts w:ascii="Arial" w:hAnsi="Arial" w:cs="Arial"/>
          <w:i/>
          <w:lang w:val="es-US" w:eastAsia="es-MX"/>
        </w:rPr>
      </w:pPr>
    </w:p>
    <w:p w14:paraId="5929F42E" w14:textId="2AA563AC" w:rsidR="00C121D3" w:rsidRPr="00A3111F" w:rsidRDefault="00C121D3" w:rsidP="3674EF52">
      <w:pPr>
        <w:numPr>
          <w:ilvl w:val="0"/>
          <w:numId w:val="3"/>
        </w:numPr>
        <w:tabs>
          <w:tab w:val="left" w:pos="426"/>
        </w:tabs>
        <w:ind w:left="0" w:firstLine="0"/>
        <w:contextualSpacing/>
        <w:jc w:val="both"/>
        <w:rPr>
          <w:rFonts w:ascii="Arial" w:eastAsia="Arial" w:hAnsi="Arial" w:cs="Arial"/>
          <w:sz w:val="24"/>
          <w:szCs w:val="24"/>
        </w:rPr>
      </w:pPr>
      <w:r w:rsidRPr="00A3111F">
        <w:rPr>
          <w:rFonts w:ascii="Arial" w:hAnsi="Arial" w:cs="Arial"/>
          <w:sz w:val="24"/>
          <w:szCs w:val="24"/>
        </w:rPr>
        <w:t xml:space="preserve">Este Despacho considera que la Resolución se expidió </w:t>
      </w:r>
      <w:r w:rsidRPr="00A3111F">
        <w:rPr>
          <w:rFonts w:ascii="Arial" w:hAnsi="Arial" w:cs="Arial"/>
          <w:i/>
          <w:iCs/>
          <w:sz w:val="24"/>
          <w:szCs w:val="24"/>
        </w:rPr>
        <w:t>“[…] como desarrollo de los decretos legislativos</w:t>
      </w:r>
      <w:r w:rsidRPr="00A3111F">
        <w:rPr>
          <w:rFonts w:ascii="Arial" w:eastAsia="Arial" w:hAnsi="Arial" w:cs="Arial"/>
          <w:i/>
          <w:iCs/>
          <w:sz w:val="24"/>
          <w:szCs w:val="24"/>
        </w:rPr>
        <w:t xml:space="preserve"> durante los Estados de Excepción</w:t>
      </w:r>
      <w:r w:rsidRPr="00A3111F">
        <w:rPr>
          <w:rFonts w:ascii="Arial" w:hAnsi="Arial" w:cs="Arial"/>
          <w:i/>
          <w:iCs/>
          <w:sz w:val="24"/>
          <w:szCs w:val="24"/>
        </w:rPr>
        <w:t xml:space="preserve"> […]”, </w:t>
      </w:r>
      <w:r w:rsidRPr="00A3111F">
        <w:rPr>
          <w:rFonts w:ascii="Arial" w:hAnsi="Arial" w:cs="Arial"/>
          <w:sz w:val="24"/>
          <w:szCs w:val="24"/>
        </w:rPr>
        <w:t xml:space="preserve">comoquiera que: i) se fundamentó en el Decreto Legislativo </w:t>
      </w:r>
      <w:r w:rsidR="00614C9B" w:rsidRPr="00A3111F">
        <w:rPr>
          <w:rFonts w:ascii="Arial" w:hAnsi="Arial" w:cs="Arial"/>
          <w:sz w:val="24"/>
          <w:szCs w:val="24"/>
        </w:rPr>
        <w:t>580 de 2020</w:t>
      </w:r>
      <w:r w:rsidR="023A49FC" w:rsidRPr="00A3111F">
        <w:rPr>
          <w:rFonts w:ascii="Arial" w:hAnsi="Arial" w:cs="Arial"/>
          <w:sz w:val="24"/>
          <w:szCs w:val="24"/>
        </w:rPr>
        <w:t>;</w:t>
      </w:r>
      <w:r w:rsidRPr="00A3111F">
        <w:rPr>
          <w:rFonts w:ascii="Arial" w:hAnsi="Arial" w:cs="Arial"/>
          <w:sz w:val="24"/>
          <w:szCs w:val="24"/>
        </w:rPr>
        <w:t xml:space="preserve"> </w:t>
      </w:r>
      <w:proofErr w:type="spellStart"/>
      <w:r w:rsidRPr="00A3111F">
        <w:rPr>
          <w:rFonts w:ascii="Arial" w:hAnsi="Arial" w:cs="Arial"/>
          <w:sz w:val="24"/>
          <w:szCs w:val="24"/>
        </w:rPr>
        <w:t>ii</w:t>
      </w:r>
      <w:proofErr w:type="spellEnd"/>
      <w:r w:rsidRPr="00A3111F">
        <w:rPr>
          <w:rFonts w:ascii="Arial" w:hAnsi="Arial" w:cs="Arial"/>
          <w:sz w:val="24"/>
          <w:szCs w:val="24"/>
        </w:rPr>
        <w:t>) en sus considerandos</w:t>
      </w:r>
      <w:r w:rsidR="6A2A6CF5" w:rsidRPr="00A3111F">
        <w:rPr>
          <w:rFonts w:ascii="Arial" w:hAnsi="Arial" w:cs="Arial"/>
          <w:sz w:val="24"/>
          <w:szCs w:val="24"/>
        </w:rPr>
        <w:t xml:space="preserve"> </w:t>
      </w:r>
      <w:r w:rsidR="0533223C" w:rsidRPr="00A3111F">
        <w:rPr>
          <w:rFonts w:ascii="Arial" w:hAnsi="Arial" w:cs="Arial"/>
          <w:sz w:val="24"/>
          <w:szCs w:val="24"/>
        </w:rPr>
        <w:t>invocó</w:t>
      </w:r>
      <w:r w:rsidR="00614C9B" w:rsidRPr="00A3111F">
        <w:rPr>
          <w:rFonts w:ascii="Arial" w:hAnsi="Arial" w:cs="Arial"/>
          <w:sz w:val="24"/>
          <w:szCs w:val="24"/>
        </w:rPr>
        <w:t xml:space="preserve"> los decretos núms. 417 y 637 de 2020</w:t>
      </w:r>
      <w:r w:rsidRPr="00A3111F">
        <w:rPr>
          <w:rFonts w:ascii="Arial" w:hAnsi="Arial" w:cs="Arial"/>
          <w:sz w:val="24"/>
          <w:szCs w:val="24"/>
        </w:rPr>
        <w:t>; y iii) en su parte resolutiva se adoptan medidas que lo</w:t>
      </w:r>
      <w:r w:rsidR="00614C9B" w:rsidRPr="00A3111F">
        <w:rPr>
          <w:rFonts w:ascii="Arial" w:hAnsi="Arial" w:cs="Arial"/>
          <w:sz w:val="24"/>
          <w:szCs w:val="24"/>
        </w:rPr>
        <w:t>s</w:t>
      </w:r>
      <w:r w:rsidRPr="00A3111F">
        <w:rPr>
          <w:rFonts w:ascii="Arial" w:hAnsi="Arial" w:cs="Arial"/>
          <w:sz w:val="24"/>
          <w:szCs w:val="24"/>
        </w:rPr>
        <w:t xml:space="preserve"> desarrollan. </w:t>
      </w:r>
    </w:p>
    <w:p w14:paraId="35B6E4BB" w14:textId="77777777" w:rsidR="00C121D3" w:rsidRPr="00A3111F" w:rsidRDefault="00C121D3" w:rsidP="009E2306">
      <w:pPr>
        <w:pStyle w:val="Prrafodelista"/>
        <w:tabs>
          <w:tab w:val="left" w:pos="426"/>
        </w:tabs>
        <w:spacing w:after="0" w:line="360" w:lineRule="auto"/>
        <w:ind w:left="0"/>
        <w:jc w:val="both"/>
        <w:rPr>
          <w:rFonts w:ascii="Arial" w:hAnsi="Arial" w:cs="Arial"/>
          <w:b/>
          <w:bCs/>
          <w:sz w:val="24"/>
          <w:szCs w:val="24"/>
        </w:rPr>
      </w:pPr>
    </w:p>
    <w:p w14:paraId="2A84D8A1" w14:textId="0FDE1288" w:rsidR="005C7F72" w:rsidRPr="00A3111F" w:rsidRDefault="00C121D3" w:rsidP="009E2306">
      <w:pPr>
        <w:numPr>
          <w:ilvl w:val="0"/>
          <w:numId w:val="3"/>
        </w:numPr>
        <w:tabs>
          <w:tab w:val="left" w:pos="426"/>
        </w:tabs>
        <w:ind w:left="0" w:firstLine="0"/>
        <w:contextualSpacing/>
        <w:jc w:val="both"/>
        <w:rPr>
          <w:rFonts w:ascii="Arial" w:hAnsi="Arial" w:cs="Arial"/>
          <w:sz w:val="24"/>
          <w:szCs w:val="24"/>
        </w:rPr>
      </w:pPr>
      <w:r w:rsidRPr="00A3111F">
        <w:rPr>
          <w:rFonts w:ascii="Arial" w:hAnsi="Arial" w:cs="Arial"/>
          <w:b/>
          <w:bCs/>
          <w:sz w:val="24"/>
          <w:szCs w:val="24"/>
        </w:rPr>
        <w:t>En ese orden de ideas,</w:t>
      </w:r>
      <w:r w:rsidRPr="00A3111F">
        <w:rPr>
          <w:rFonts w:ascii="Arial" w:hAnsi="Arial" w:cs="Arial"/>
          <w:sz w:val="24"/>
          <w:szCs w:val="24"/>
        </w:rPr>
        <w:t xml:space="preserve"> este Despacho considera que </w:t>
      </w:r>
      <w:r w:rsidRPr="00A3111F">
        <w:rPr>
          <w:rFonts w:ascii="Arial" w:eastAsia="Arial" w:hAnsi="Arial" w:cs="Arial"/>
          <w:sz w:val="24"/>
          <w:szCs w:val="24"/>
        </w:rPr>
        <w:t xml:space="preserve">la Resolución </w:t>
      </w:r>
      <w:r w:rsidR="00614C9B" w:rsidRPr="00A3111F">
        <w:rPr>
          <w:rFonts w:ascii="Arial" w:eastAsia="Arial" w:hAnsi="Arial" w:cs="Arial"/>
          <w:sz w:val="24"/>
          <w:szCs w:val="24"/>
        </w:rPr>
        <w:t>núm. CRA 921 de 16 de junio</w:t>
      </w:r>
      <w:r w:rsidRPr="00A3111F">
        <w:rPr>
          <w:rFonts w:ascii="Arial" w:eastAsia="Arial" w:hAnsi="Arial" w:cs="Arial"/>
          <w:sz w:val="24"/>
          <w:szCs w:val="24"/>
        </w:rPr>
        <w:t xml:space="preserve"> de 2020 </w:t>
      </w:r>
      <w:r w:rsidRPr="00A3111F">
        <w:rPr>
          <w:rFonts w:ascii="Arial" w:hAnsi="Arial" w:cs="Arial"/>
          <w:sz w:val="24"/>
          <w:szCs w:val="24"/>
        </w:rPr>
        <w:t xml:space="preserve">es una medida general expedida por una autoridad del orden nacional, en ejercicio de la función administrativa y en desarrollo de un decreto legislativo expedido durante el estado de excepción indicado </w:t>
      </w:r>
      <w:r w:rsidRPr="00A3111F">
        <w:rPr>
          <w:rFonts w:ascii="Arial" w:hAnsi="Arial" w:cs="Arial"/>
          <w:i/>
          <w:iCs/>
          <w:sz w:val="24"/>
          <w:szCs w:val="24"/>
        </w:rPr>
        <w:t>supra</w:t>
      </w:r>
      <w:r w:rsidRPr="00A3111F">
        <w:rPr>
          <w:rFonts w:ascii="Arial" w:hAnsi="Arial" w:cs="Arial"/>
          <w:sz w:val="24"/>
          <w:szCs w:val="24"/>
        </w:rPr>
        <w:t>; en consecuencia, este Despacho es competente para avocar su conocimiento, en el marco del medio de control inmediato de legalidad, y resolver lo que en derecho corresponda.</w:t>
      </w:r>
    </w:p>
    <w:p w14:paraId="5F2A6ABF" w14:textId="77777777" w:rsidR="00E041B6" w:rsidRPr="00A3111F" w:rsidRDefault="00E041B6" w:rsidP="00E041B6">
      <w:pPr>
        <w:tabs>
          <w:tab w:val="left" w:pos="426"/>
        </w:tabs>
        <w:contextualSpacing/>
        <w:jc w:val="both"/>
        <w:rPr>
          <w:rFonts w:ascii="Arial" w:hAnsi="Arial" w:cs="Arial"/>
          <w:sz w:val="24"/>
          <w:szCs w:val="24"/>
        </w:rPr>
      </w:pPr>
    </w:p>
    <w:p w14:paraId="149F3669" w14:textId="64A0FEFA" w:rsidR="00E041B6" w:rsidRPr="00A3111F" w:rsidRDefault="00E041B6" w:rsidP="4CAA07BA">
      <w:pPr>
        <w:numPr>
          <w:ilvl w:val="0"/>
          <w:numId w:val="3"/>
        </w:numPr>
        <w:tabs>
          <w:tab w:val="left" w:pos="426"/>
        </w:tabs>
        <w:ind w:left="0" w:firstLine="0"/>
        <w:contextualSpacing/>
        <w:jc w:val="both"/>
        <w:rPr>
          <w:rFonts w:ascii="Arial" w:hAnsi="Arial" w:cs="Arial"/>
          <w:i/>
          <w:iCs/>
          <w:sz w:val="24"/>
          <w:szCs w:val="24"/>
        </w:rPr>
      </w:pPr>
      <w:r w:rsidRPr="00A3111F">
        <w:rPr>
          <w:rFonts w:ascii="Arial" w:hAnsi="Arial" w:cs="Arial"/>
          <w:b/>
          <w:bCs/>
          <w:sz w:val="24"/>
          <w:szCs w:val="24"/>
        </w:rPr>
        <w:t xml:space="preserve">En suma, </w:t>
      </w:r>
      <w:r w:rsidRPr="00A3111F">
        <w:rPr>
          <w:rFonts w:ascii="Arial" w:hAnsi="Arial" w:cs="Arial"/>
          <w:sz w:val="24"/>
          <w:szCs w:val="24"/>
        </w:rPr>
        <w:t xml:space="preserve">atendiendo a que: i) existe una conexidad y unidad de materia </w:t>
      </w:r>
      <w:r w:rsidRPr="00A3111F">
        <w:rPr>
          <w:rStyle w:val="normaltextrun"/>
          <w:rFonts w:ascii="Arial" w:hAnsi="Arial" w:cs="Arial"/>
          <w:sz w:val="24"/>
          <w:szCs w:val="24"/>
        </w:rPr>
        <w:t xml:space="preserve">directa e inmediata entre </w:t>
      </w:r>
      <w:r w:rsidRPr="00A3111F">
        <w:rPr>
          <w:rFonts w:ascii="Arial" w:hAnsi="Arial" w:cs="Arial"/>
          <w:sz w:val="24"/>
          <w:szCs w:val="24"/>
        </w:rPr>
        <w:t xml:space="preserve">las resoluciones núms. </w:t>
      </w:r>
      <w:r w:rsidR="00614C9B" w:rsidRPr="00A3111F">
        <w:rPr>
          <w:rFonts w:ascii="Arial" w:hAnsi="Arial" w:cs="Arial"/>
          <w:sz w:val="24"/>
          <w:szCs w:val="24"/>
        </w:rPr>
        <w:t xml:space="preserve">CRA 911 de 17 de marzo de 2020 </w:t>
      </w:r>
      <w:r w:rsidRPr="00A3111F">
        <w:rPr>
          <w:rFonts w:ascii="Arial" w:hAnsi="Arial" w:cs="Arial"/>
          <w:sz w:val="24"/>
          <w:szCs w:val="24"/>
        </w:rPr>
        <w:t xml:space="preserve"> y </w:t>
      </w:r>
      <w:r w:rsidR="00614C9B" w:rsidRPr="00A3111F">
        <w:rPr>
          <w:rFonts w:ascii="Arial" w:hAnsi="Arial" w:cs="Arial"/>
          <w:sz w:val="24"/>
          <w:szCs w:val="24"/>
        </w:rPr>
        <w:t>CRA 921 de 16 de junio de 2020</w:t>
      </w:r>
      <w:r w:rsidRPr="00A3111F">
        <w:rPr>
          <w:rFonts w:ascii="Arial" w:hAnsi="Arial" w:cs="Arial"/>
          <w:sz w:val="24"/>
          <w:szCs w:val="24"/>
        </w:rPr>
        <w:t xml:space="preserve"> y </w:t>
      </w:r>
      <w:proofErr w:type="spellStart"/>
      <w:r w:rsidRPr="00A3111F">
        <w:rPr>
          <w:rFonts w:ascii="Arial" w:hAnsi="Arial" w:cs="Arial"/>
          <w:sz w:val="24"/>
          <w:szCs w:val="24"/>
        </w:rPr>
        <w:t>ii</w:t>
      </w:r>
      <w:proofErr w:type="spellEnd"/>
      <w:r w:rsidRPr="00A3111F">
        <w:rPr>
          <w:rFonts w:ascii="Arial" w:hAnsi="Arial" w:cs="Arial"/>
          <w:sz w:val="24"/>
          <w:szCs w:val="24"/>
        </w:rPr>
        <w:t xml:space="preserve">) la </w:t>
      </w:r>
      <w:r w:rsidR="00614C9B" w:rsidRPr="00A3111F">
        <w:rPr>
          <w:rFonts w:ascii="Arial" w:hAnsi="Arial" w:cs="Arial"/>
          <w:sz w:val="24"/>
          <w:szCs w:val="24"/>
        </w:rPr>
        <w:t>Resolución núm. CRA 921 de 16 de junio de 2020</w:t>
      </w:r>
      <w:r w:rsidRPr="00A3111F">
        <w:rPr>
          <w:rFonts w:ascii="Arial" w:hAnsi="Arial" w:cs="Arial"/>
          <w:sz w:val="24"/>
          <w:szCs w:val="24"/>
        </w:rPr>
        <w:t xml:space="preserve"> es susceptible de control inmediato de legalidad por el Consejo de Estado: este Despacho considera que se cumplen los presupuestos fácticos indicados </w:t>
      </w:r>
      <w:r w:rsidRPr="00A3111F">
        <w:rPr>
          <w:rFonts w:ascii="Arial" w:hAnsi="Arial" w:cs="Arial"/>
          <w:i/>
          <w:iCs/>
          <w:sz w:val="24"/>
          <w:szCs w:val="24"/>
        </w:rPr>
        <w:t xml:space="preserve">supra </w:t>
      </w:r>
      <w:r w:rsidRPr="00A3111F">
        <w:rPr>
          <w:rFonts w:ascii="Arial" w:hAnsi="Arial" w:cs="Arial"/>
          <w:sz w:val="24"/>
          <w:szCs w:val="24"/>
        </w:rPr>
        <w:t xml:space="preserve">para la acumulación de los procesos </w:t>
      </w:r>
      <w:r w:rsidR="00D618CE" w:rsidRPr="00A3111F">
        <w:rPr>
          <w:rFonts w:ascii="Arial" w:hAnsi="Arial" w:cs="Arial"/>
          <w:sz w:val="24"/>
          <w:szCs w:val="24"/>
        </w:rPr>
        <w:t xml:space="preserve">en el marco del control inmediato de legalidad, por lo que es procedente la acumulación del proceso identificado con el número único de radicación </w:t>
      </w:r>
      <w:r w:rsidR="00614C9B" w:rsidRPr="00A3111F">
        <w:rPr>
          <w:rFonts w:ascii="Arial" w:hAnsi="Arial" w:cs="Arial"/>
          <w:sz w:val="24"/>
          <w:szCs w:val="24"/>
        </w:rPr>
        <w:t>11001031500020200284900</w:t>
      </w:r>
      <w:r w:rsidR="00D618CE" w:rsidRPr="00A3111F">
        <w:rPr>
          <w:rFonts w:ascii="Arial" w:hAnsi="Arial" w:cs="Arial"/>
          <w:sz w:val="24"/>
          <w:szCs w:val="24"/>
        </w:rPr>
        <w:t xml:space="preserve">, en el que se tramita el control inmediato de legalidad de la Resolución </w:t>
      </w:r>
      <w:r w:rsidR="00614C9B" w:rsidRPr="00A3111F">
        <w:rPr>
          <w:rFonts w:ascii="Arial" w:hAnsi="Arial" w:cs="Arial"/>
          <w:sz w:val="24"/>
          <w:szCs w:val="24"/>
        </w:rPr>
        <w:t>núm. CRA 921 de 16 de junio de 2020</w:t>
      </w:r>
      <w:r w:rsidR="00D618CE" w:rsidRPr="00A3111F">
        <w:rPr>
          <w:rFonts w:ascii="Arial" w:hAnsi="Arial" w:cs="Arial"/>
          <w:sz w:val="24"/>
          <w:szCs w:val="24"/>
        </w:rPr>
        <w:t xml:space="preserve">, al proceso de la referencia; y, en consecuencia, se procederá a suspender el proceso de la referencia por ser el más avanzado hasta que se encuentren en la misma etapa procesal y a resolver lo que en derecho corresponda en relación con el proceso identificado con el número único de radicación </w:t>
      </w:r>
      <w:r w:rsidR="00614C9B" w:rsidRPr="00A3111F">
        <w:rPr>
          <w:rFonts w:ascii="Arial" w:hAnsi="Arial" w:cs="Arial"/>
          <w:sz w:val="24"/>
          <w:szCs w:val="24"/>
        </w:rPr>
        <w:t>11001031500020200284900</w:t>
      </w:r>
      <w:r w:rsidR="00D618CE" w:rsidRPr="00A3111F">
        <w:rPr>
          <w:rFonts w:ascii="Arial" w:hAnsi="Arial" w:cs="Arial"/>
          <w:sz w:val="24"/>
          <w:szCs w:val="24"/>
        </w:rPr>
        <w:t>.</w:t>
      </w:r>
    </w:p>
    <w:p w14:paraId="508AE587" w14:textId="7B9449ED" w:rsidR="00614C9B" w:rsidRPr="00A3111F" w:rsidRDefault="00614C9B" w:rsidP="009E2306">
      <w:pPr>
        <w:tabs>
          <w:tab w:val="left" w:pos="426"/>
        </w:tabs>
        <w:contextualSpacing/>
        <w:jc w:val="both"/>
        <w:rPr>
          <w:rFonts w:ascii="Arial" w:hAnsi="Arial" w:cs="Arial"/>
          <w:sz w:val="24"/>
          <w:szCs w:val="24"/>
        </w:rPr>
      </w:pPr>
    </w:p>
    <w:p w14:paraId="2420889B" w14:textId="77777777" w:rsidR="009938A2" w:rsidRDefault="009938A2" w:rsidP="009E2306">
      <w:pPr>
        <w:contextualSpacing/>
        <w:jc w:val="both"/>
        <w:rPr>
          <w:rFonts w:ascii="Arial" w:hAnsi="Arial" w:cs="Arial"/>
          <w:b/>
          <w:i/>
          <w:iCs/>
          <w:sz w:val="24"/>
          <w:szCs w:val="24"/>
        </w:rPr>
      </w:pPr>
    </w:p>
    <w:p w14:paraId="2710C96B" w14:textId="77777777" w:rsidR="009938A2" w:rsidRDefault="009938A2" w:rsidP="009E2306">
      <w:pPr>
        <w:contextualSpacing/>
        <w:jc w:val="both"/>
        <w:rPr>
          <w:rFonts w:ascii="Arial" w:hAnsi="Arial" w:cs="Arial"/>
          <w:b/>
          <w:i/>
          <w:iCs/>
          <w:sz w:val="24"/>
          <w:szCs w:val="24"/>
        </w:rPr>
      </w:pPr>
    </w:p>
    <w:p w14:paraId="40ABFD81" w14:textId="77777777" w:rsidR="009938A2" w:rsidRDefault="009938A2" w:rsidP="009E2306">
      <w:pPr>
        <w:contextualSpacing/>
        <w:jc w:val="both"/>
        <w:rPr>
          <w:rFonts w:ascii="Arial" w:hAnsi="Arial" w:cs="Arial"/>
          <w:b/>
          <w:i/>
          <w:iCs/>
          <w:sz w:val="24"/>
          <w:szCs w:val="24"/>
        </w:rPr>
      </w:pPr>
    </w:p>
    <w:p w14:paraId="45775089" w14:textId="4A0BC5B1" w:rsidR="005C7F72" w:rsidRPr="00A3111F" w:rsidRDefault="005C7F72" w:rsidP="009E2306">
      <w:pPr>
        <w:contextualSpacing/>
        <w:jc w:val="both"/>
        <w:rPr>
          <w:rFonts w:ascii="Arial" w:hAnsi="Arial" w:cs="Arial"/>
          <w:b/>
          <w:bCs/>
          <w:i/>
          <w:iCs/>
          <w:sz w:val="24"/>
          <w:szCs w:val="24"/>
        </w:rPr>
      </w:pPr>
      <w:r w:rsidRPr="00A3111F">
        <w:rPr>
          <w:rFonts w:ascii="Arial" w:hAnsi="Arial" w:cs="Arial"/>
          <w:b/>
          <w:i/>
          <w:iCs/>
          <w:sz w:val="24"/>
          <w:szCs w:val="24"/>
        </w:rPr>
        <w:lastRenderedPageBreak/>
        <w:t>Sobre</w:t>
      </w:r>
      <w:r w:rsidRPr="00A3111F">
        <w:rPr>
          <w:rFonts w:ascii="Arial" w:hAnsi="Arial" w:cs="Arial"/>
          <w:b/>
          <w:bCs/>
          <w:i/>
          <w:iCs/>
          <w:sz w:val="24"/>
          <w:szCs w:val="24"/>
        </w:rPr>
        <w:t xml:space="preserve"> las órdenes a impartir</w:t>
      </w:r>
    </w:p>
    <w:p w14:paraId="0D596C84" w14:textId="77777777" w:rsidR="005C7F72" w:rsidRPr="00A3111F" w:rsidRDefault="005C7F72" w:rsidP="0B0805DE">
      <w:pPr>
        <w:pStyle w:val="Prrafodelista"/>
        <w:spacing w:after="0" w:line="360" w:lineRule="auto"/>
        <w:ind w:left="0"/>
        <w:rPr>
          <w:rFonts w:ascii="Arial" w:hAnsi="Arial" w:cs="Arial"/>
          <w:sz w:val="24"/>
          <w:szCs w:val="24"/>
        </w:rPr>
      </w:pPr>
    </w:p>
    <w:p w14:paraId="3AA4C823" w14:textId="379F03D6" w:rsidR="005C7F72" w:rsidRPr="00A3111F" w:rsidRDefault="005C7F72" w:rsidP="4CAA07BA">
      <w:pPr>
        <w:numPr>
          <w:ilvl w:val="0"/>
          <w:numId w:val="3"/>
        </w:numPr>
        <w:tabs>
          <w:tab w:val="left" w:pos="426"/>
        </w:tabs>
        <w:ind w:left="0" w:firstLine="0"/>
        <w:contextualSpacing/>
        <w:jc w:val="both"/>
        <w:rPr>
          <w:rFonts w:ascii="Arial" w:hAnsi="Arial" w:cs="Arial"/>
          <w:b/>
          <w:bCs/>
          <w:i/>
          <w:iCs/>
          <w:sz w:val="24"/>
          <w:szCs w:val="24"/>
        </w:rPr>
      </w:pPr>
      <w:r w:rsidRPr="00A3111F">
        <w:rPr>
          <w:rFonts w:ascii="Arial" w:hAnsi="Arial" w:cs="Arial"/>
          <w:sz w:val="24"/>
          <w:szCs w:val="24"/>
        </w:rPr>
        <w:t>Vistos los artículos 185, 186, 197 y 199 de la Ley 1437, sobre el trámite del control inmediato de legalidad de actos, actuaciones a través de medios electrónicos, dirección electrónica para efectos de notificaciones y sobre la vinculación de la Agencia Nacional de Defensa Jurídica del Estado.</w:t>
      </w:r>
    </w:p>
    <w:p w14:paraId="6A62E9ED" w14:textId="77777777" w:rsidR="007D3530" w:rsidRPr="00A3111F" w:rsidRDefault="007D3530" w:rsidP="009E2306">
      <w:pPr>
        <w:tabs>
          <w:tab w:val="left" w:pos="426"/>
        </w:tabs>
        <w:contextualSpacing/>
        <w:jc w:val="both"/>
        <w:rPr>
          <w:rFonts w:ascii="Arial" w:hAnsi="Arial" w:cs="Arial"/>
          <w:b/>
          <w:bCs/>
          <w:i/>
          <w:iCs/>
          <w:sz w:val="24"/>
          <w:szCs w:val="24"/>
        </w:rPr>
      </w:pPr>
    </w:p>
    <w:p w14:paraId="643746AB" w14:textId="2065B657" w:rsidR="007D3530" w:rsidRPr="00A3111F" w:rsidRDefault="007D3530" w:rsidP="009E2306">
      <w:pPr>
        <w:numPr>
          <w:ilvl w:val="0"/>
          <w:numId w:val="3"/>
        </w:numPr>
        <w:tabs>
          <w:tab w:val="left" w:pos="426"/>
        </w:tabs>
        <w:ind w:left="0" w:firstLine="0"/>
        <w:contextualSpacing/>
        <w:jc w:val="both"/>
        <w:rPr>
          <w:rFonts w:ascii="Arial" w:hAnsi="Arial" w:cs="Arial"/>
          <w:sz w:val="24"/>
          <w:szCs w:val="24"/>
        </w:rPr>
      </w:pPr>
      <w:r w:rsidRPr="00A3111F">
        <w:rPr>
          <w:rFonts w:ascii="Arial" w:hAnsi="Arial" w:cs="Arial"/>
          <w:sz w:val="24"/>
          <w:szCs w:val="24"/>
        </w:rPr>
        <w:t xml:space="preserve">Asimismo, vistos los artículos 1, 2, 3, 8 y 9 del </w:t>
      </w:r>
      <w:r w:rsidR="00D12E4D" w:rsidRPr="00A3111F">
        <w:rPr>
          <w:rFonts w:ascii="Arial" w:hAnsi="Arial" w:cs="Arial"/>
          <w:sz w:val="24"/>
          <w:szCs w:val="24"/>
        </w:rPr>
        <w:t>D</w:t>
      </w:r>
      <w:r w:rsidRPr="00A3111F">
        <w:rPr>
          <w:rFonts w:ascii="Arial" w:hAnsi="Arial" w:cs="Arial"/>
          <w:sz w:val="24"/>
          <w:szCs w:val="24"/>
        </w:rPr>
        <w:t>ecreto Legislativo 806 de 2020, sobre objeto, uso de las tecnologías de la información y las comunicaciones, deberes de los sujetos procesales en relación con las tecnologías de la información y las comunicaciones, notificaciones personales y notificación por estado y traslados.</w:t>
      </w:r>
    </w:p>
    <w:p w14:paraId="5E9ECBCB" w14:textId="77777777" w:rsidR="005C7F72" w:rsidRPr="00A3111F" w:rsidRDefault="005C7F72" w:rsidP="009E2306">
      <w:pPr>
        <w:tabs>
          <w:tab w:val="left" w:pos="426"/>
        </w:tabs>
        <w:contextualSpacing/>
        <w:jc w:val="both"/>
        <w:rPr>
          <w:rFonts w:ascii="Arial" w:hAnsi="Arial" w:cs="Arial"/>
          <w:b/>
          <w:i/>
          <w:spacing w:val="-3"/>
          <w:sz w:val="24"/>
          <w:szCs w:val="24"/>
        </w:rPr>
      </w:pPr>
    </w:p>
    <w:p w14:paraId="0CFD05DD" w14:textId="11E5F614" w:rsidR="005C7F72" w:rsidRPr="00A3111F" w:rsidRDefault="005C7F72" w:rsidP="009E2306">
      <w:pPr>
        <w:numPr>
          <w:ilvl w:val="0"/>
          <w:numId w:val="3"/>
        </w:numPr>
        <w:tabs>
          <w:tab w:val="left" w:pos="426"/>
        </w:tabs>
        <w:ind w:left="0" w:firstLine="0"/>
        <w:contextualSpacing/>
        <w:jc w:val="both"/>
        <w:rPr>
          <w:rFonts w:ascii="Arial" w:hAnsi="Arial" w:cs="Arial"/>
          <w:sz w:val="24"/>
          <w:szCs w:val="24"/>
        </w:rPr>
      </w:pPr>
      <w:r w:rsidRPr="00A3111F">
        <w:rPr>
          <w:rFonts w:ascii="Arial" w:hAnsi="Arial" w:cs="Arial"/>
          <w:spacing w:val="-3"/>
          <w:sz w:val="24"/>
          <w:szCs w:val="24"/>
        </w:rPr>
        <w:t xml:space="preserve">Considerando que </w:t>
      </w:r>
      <w:r w:rsidR="00D618CE" w:rsidRPr="00A3111F">
        <w:rPr>
          <w:rFonts w:ascii="Arial" w:hAnsi="Arial" w:cs="Arial"/>
          <w:sz w:val="24"/>
          <w:szCs w:val="24"/>
        </w:rPr>
        <w:t xml:space="preserve">la Resolución </w:t>
      </w:r>
      <w:r w:rsidR="00614C9B" w:rsidRPr="00A3111F">
        <w:rPr>
          <w:rFonts w:ascii="Arial" w:hAnsi="Arial" w:cs="Arial"/>
          <w:sz w:val="24"/>
          <w:szCs w:val="24"/>
        </w:rPr>
        <w:t xml:space="preserve">núm. CRA 921 de 16 de junio de 2020 </w:t>
      </w:r>
      <w:r w:rsidRPr="00A3111F">
        <w:rPr>
          <w:rFonts w:ascii="Arial" w:hAnsi="Arial" w:cs="Arial"/>
          <w:spacing w:val="-3"/>
          <w:sz w:val="24"/>
          <w:szCs w:val="24"/>
        </w:rPr>
        <w:t xml:space="preserve">es susceptible de control inmediato de legalidad, conforme se indicó </w:t>
      </w:r>
      <w:r w:rsidRPr="00A3111F">
        <w:rPr>
          <w:rFonts w:ascii="Arial" w:hAnsi="Arial" w:cs="Arial"/>
          <w:i/>
          <w:iCs/>
          <w:spacing w:val="-3"/>
          <w:sz w:val="24"/>
          <w:szCs w:val="24"/>
        </w:rPr>
        <w:t xml:space="preserve">supra, </w:t>
      </w:r>
      <w:r w:rsidRPr="00A3111F">
        <w:rPr>
          <w:rFonts w:ascii="Arial" w:hAnsi="Arial" w:cs="Arial"/>
          <w:spacing w:val="-3"/>
          <w:sz w:val="24"/>
          <w:szCs w:val="24"/>
        </w:rPr>
        <w:t xml:space="preserve">este Despacho </w:t>
      </w:r>
      <w:r w:rsidRPr="00A3111F">
        <w:rPr>
          <w:rFonts w:ascii="Arial" w:hAnsi="Arial" w:cs="Arial"/>
          <w:b/>
          <w:bCs/>
          <w:spacing w:val="-3"/>
          <w:sz w:val="24"/>
          <w:szCs w:val="24"/>
        </w:rPr>
        <w:t>avocará</w:t>
      </w:r>
      <w:r w:rsidRPr="00A3111F">
        <w:rPr>
          <w:rFonts w:ascii="Arial" w:hAnsi="Arial" w:cs="Arial"/>
          <w:spacing w:val="-3"/>
          <w:sz w:val="24"/>
          <w:szCs w:val="24"/>
        </w:rPr>
        <w:t xml:space="preserve"> el conocimiento del presente asunto y, en este sentido, </w:t>
      </w:r>
      <w:r w:rsidRPr="00A3111F">
        <w:rPr>
          <w:rFonts w:ascii="Arial" w:hAnsi="Arial" w:cs="Arial"/>
          <w:sz w:val="24"/>
          <w:szCs w:val="24"/>
        </w:rPr>
        <w:t>dispondrá:</w:t>
      </w:r>
    </w:p>
    <w:p w14:paraId="5E733C71" w14:textId="77777777" w:rsidR="00C40804" w:rsidRPr="00A3111F" w:rsidRDefault="00C40804" w:rsidP="009E2306">
      <w:pPr>
        <w:contextualSpacing/>
        <w:rPr>
          <w:rFonts w:ascii="Arial" w:hAnsi="Arial" w:cs="Arial"/>
          <w:sz w:val="24"/>
          <w:szCs w:val="24"/>
        </w:rPr>
      </w:pPr>
    </w:p>
    <w:p w14:paraId="05E2B5B6" w14:textId="60E8E257" w:rsidR="00C40804" w:rsidRPr="00A3111F" w:rsidRDefault="00C40804" w:rsidP="009E2306">
      <w:pPr>
        <w:numPr>
          <w:ilvl w:val="0"/>
          <w:numId w:val="12"/>
        </w:numPr>
        <w:tabs>
          <w:tab w:val="left" w:pos="426"/>
        </w:tabs>
        <w:contextualSpacing/>
        <w:jc w:val="both"/>
        <w:rPr>
          <w:rFonts w:ascii="Arial" w:hAnsi="Arial" w:cs="Arial"/>
          <w:sz w:val="24"/>
          <w:szCs w:val="24"/>
        </w:rPr>
      </w:pPr>
      <w:r w:rsidRPr="00A3111F">
        <w:rPr>
          <w:rFonts w:ascii="Arial" w:hAnsi="Arial" w:cs="Arial"/>
          <w:b/>
          <w:bCs/>
          <w:sz w:val="24"/>
          <w:szCs w:val="24"/>
        </w:rPr>
        <w:t>NOTIFICAR</w:t>
      </w:r>
      <w:r w:rsidRPr="00A3111F">
        <w:rPr>
          <w:rFonts w:ascii="Arial" w:hAnsi="Arial" w:cs="Arial"/>
          <w:sz w:val="24"/>
          <w:szCs w:val="24"/>
        </w:rPr>
        <w:t xml:space="preserve"> esta providencia,</w:t>
      </w:r>
      <w:r w:rsidRPr="00A3111F">
        <w:rPr>
          <w:rFonts w:ascii="Arial" w:hAnsi="Arial" w:cs="Arial"/>
          <w:b/>
          <w:bCs/>
          <w:sz w:val="24"/>
          <w:szCs w:val="24"/>
        </w:rPr>
        <w:t xml:space="preserve"> </w:t>
      </w:r>
      <w:r w:rsidRPr="00A3111F">
        <w:rPr>
          <w:rFonts w:ascii="Arial" w:hAnsi="Arial" w:cs="Arial"/>
          <w:sz w:val="24"/>
          <w:szCs w:val="24"/>
        </w:rPr>
        <w:t xml:space="preserve">por conducto de la Secretaría General </w:t>
      </w:r>
      <w:r w:rsidR="005C7F72" w:rsidRPr="00A3111F">
        <w:rPr>
          <w:rFonts w:ascii="Arial" w:hAnsi="Arial" w:cs="Arial"/>
          <w:sz w:val="24"/>
          <w:szCs w:val="24"/>
        </w:rPr>
        <w:t>del Consejo de Estado</w:t>
      </w:r>
      <w:r w:rsidRPr="00A3111F">
        <w:rPr>
          <w:rFonts w:ascii="Arial" w:hAnsi="Arial" w:cs="Arial"/>
          <w:sz w:val="24"/>
          <w:szCs w:val="24"/>
        </w:rPr>
        <w:t>,</w:t>
      </w:r>
      <w:r w:rsidRPr="00A3111F">
        <w:rPr>
          <w:rFonts w:ascii="Arial" w:hAnsi="Arial" w:cs="Arial"/>
          <w:b/>
          <w:bCs/>
          <w:sz w:val="24"/>
          <w:szCs w:val="24"/>
        </w:rPr>
        <w:t xml:space="preserve"> </w:t>
      </w:r>
      <w:r w:rsidRPr="00A3111F">
        <w:rPr>
          <w:rFonts w:ascii="Arial" w:hAnsi="Arial" w:cs="Arial"/>
          <w:sz w:val="24"/>
          <w:szCs w:val="24"/>
        </w:rPr>
        <w:t xml:space="preserve">al </w:t>
      </w:r>
      <w:proofErr w:type="gramStart"/>
      <w:r w:rsidRPr="00A3111F">
        <w:rPr>
          <w:rFonts w:ascii="Arial" w:hAnsi="Arial" w:cs="Arial"/>
          <w:sz w:val="24"/>
          <w:szCs w:val="24"/>
        </w:rPr>
        <w:t>Presidente</w:t>
      </w:r>
      <w:proofErr w:type="gramEnd"/>
      <w:r w:rsidRPr="00A3111F">
        <w:rPr>
          <w:rFonts w:ascii="Arial" w:hAnsi="Arial" w:cs="Arial"/>
          <w:sz w:val="24"/>
          <w:szCs w:val="24"/>
        </w:rPr>
        <w:t xml:space="preserve"> y al Director Ejecutivo de la Comisión de Regulación de Comunicaciones, en la forma establecida en los artículos 185, 186, 197 y 199 de la Ley 1437</w:t>
      </w:r>
      <w:r w:rsidR="00AE04FC" w:rsidRPr="00A3111F">
        <w:rPr>
          <w:rFonts w:ascii="Arial" w:hAnsi="Arial" w:cs="Arial"/>
          <w:sz w:val="24"/>
          <w:szCs w:val="24"/>
        </w:rPr>
        <w:t xml:space="preserve"> y 8 del Decreto legislativo 806 de 2020.</w:t>
      </w:r>
    </w:p>
    <w:p w14:paraId="6561C7DA" w14:textId="77777777" w:rsidR="00C40804" w:rsidRPr="00A3111F" w:rsidRDefault="00C40804" w:rsidP="009E2306">
      <w:pPr>
        <w:pStyle w:val="Prrafodelista"/>
        <w:spacing w:after="0" w:line="360" w:lineRule="auto"/>
        <w:ind w:left="0"/>
        <w:rPr>
          <w:rFonts w:ascii="Arial" w:hAnsi="Arial" w:cs="Arial"/>
          <w:sz w:val="24"/>
          <w:szCs w:val="24"/>
        </w:rPr>
      </w:pPr>
    </w:p>
    <w:p w14:paraId="733CF3FF" w14:textId="688C9683" w:rsidR="00C40804" w:rsidRPr="00A3111F" w:rsidRDefault="00C40804" w:rsidP="009E2306">
      <w:pPr>
        <w:numPr>
          <w:ilvl w:val="0"/>
          <w:numId w:val="12"/>
        </w:numPr>
        <w:tabs>
          <w:tab w:val="left" w:pos="426"/>
        </w:tabs>
        <w:contextualSpacing/>
        <w:jc w:val="both"/>
        <w:rPr>
          <w:rFonts w:ascii="Arial" w:hAnsi="Arial" w:cs="Arial"/>
          <w:sz w:val="24"/>
          <w:szCs w:val="24"/>
        </w:rPr>
      </w:pPr>
      <w:r w:rsidRPr="00A3111F">
        <w:rPr>
          <w:rFonts w:ascii="Arial" w:hAnsi="Arial" w:cs="Arial"/>
          <w:b/>
          <w:bCs/>
          <w:sz w:val="24"/>
          <w:szCs w:val="24"/>
        </w:rPr>
        <w:t>ADVERTIR</w:t>
      </w:r>
      <w:r w:rsidRPr="00A3111F">
        <w:rPr>
          <w:rFonts w:ascii="Arial" w:hAnsi="Arial" w:cs="Arial"/>
          <w:sz w:val="24"/>
          <w:szCs w:val="24"/>
        </w:rPr>
        <w:t xml:space="preserve"> a quienes deben ser notificados en cumplimiento de la orden impartida en el literal anterior que, dentro del término de diez (10) días, si lo estiman pertinente, podrán presentar por escrito su intervención sobre la legalidad de la Resolución </w:t>
      </w:r>
      <w:r w:rsidR="00614C9B" w:rsidRPr="00A3111F">
        <w:rPr>
          <w:rFonts w:ascii="Arial" w:hAnsi="Arial" w:cs="Arial"/>
          <w:sz w:val="24"/>
          <w:szCs w:val="24"/>
        </w:rPr>
        <w:t>núm. CRA 921 de 16 de junio de 2020</w:t>
      </w:r>
      <w:r w:rsidRPr="00A3111F">
        <w:rPr>
          <w:rFonts w:ascii="Arial" w:hAnsi="Arial" w:cs="Arial"/>
          <w:sz w:val="24"/>
          <w:szCs w:val="24"/>
        </w:rPr>
        <w:t>, de conformidad con lo establecido en los artículos 185 y 186 de la Ley 1437.</w:t>
      </w:r>
    </w:p>
    <w:p w14:paraId="04697CDE" w14:textId="77777777" w:rsidR="00C40804" w:rsidRPr="00A3111F" w:rsidRDefault="00C40804" w:rsidP="009E2306">
      <w:pPr>
        <w:pStyle w:val="Prrafodelista"/>
        <w:spacing w:after="0" w:line="360" w:lineRule="auto"/>
        <w:rPr>
          <w:rFonts w:ascii="Arial" w:hAnsi="Arial" w:cs="Arial"/>
          <w:sz w:val="24"/>
          <w:szCs w:val="24"/>
        </w:rPr>
      </w:pPr>
    </w:p>
    <w:p w14:paraId="5DE8149B" w14:textId="74EF27A5" w:rsidR="00C40804" w:rsidRPr="00A3111F" w:rsidRDefault="00C40804" w:rsidP="009E2306">
      <w:pPr>
        <w:numPr>
          <w:ilvl w:val="0"/>
          <w:numId w:val="12"/>
        </w:numPr>
        <w:tabs>
          <w:tab w:val="left" w:pos="426"/>
        </w:tabs>
        <w:contextualSpacing/>
        <w:jc w:val="both"/>
        <w:rPr>
          <w:rFonts w:ascii="Arial" w:hAnsi="Arial" w:cs="Arial"/>
          <w:sz w:val="24"/>
          <w:szCs w:val="24"/>
        </w:rPr>
      </w:pPr>
      <w:r w:rsidRPr="00A3111F">
        <w:rPr>
          <w:rFonts w:ascii="Arial" w:hAnsi="Arial" w:cs="Arial"/>
          <w:b/>
          <w:bCs/>
          <w:sz w:val="24"/>
          <w:szCs w:val="24"/>
        </w:rPr>
        <w:t xml:space="preserve">ORDENAR </w:t>
      </w:r>
      <w:r w:rsidRPr="00A3111F">
        <w:rPr>
          <w:rFonts w:ascii="Arial" w:hAnsi="Arial" w:cs="Arial"/>
          <w:sz w:val="24"/>
          <w:szCs w:val="24"/>
        </w:rPr>
        <w:t xml:space="preserve">a la Secretaría General de esta Corporación que fije en la secretaria un aviso, informando sobre la existencia del proceso, por el término de diez (10) días, durante los cuales cualquier ciudadano podrá intervenir por escrito para defender o impugnar la legalidad de la </w:t>
      </w:r>
      <w:r w:rsidR="005C7F72" w:rsidRPr="00A3111F">
        <w:rPr>
          <w:rFonts w:ascii="Arial" w:hAnsi="Arial" w:cs="Arial"/>
          <w:sz w:val="24"/>
          <w:szCs w:val="24"/>
        </w:rPr>
        <w:t xml:space="preserve">Resolución </w:t>
      </w:r>
      <w:r w:rsidR="00614C9B" w:rsidRPr="00A3111F">
        <w:rPr>
          <w:rFonts w:ascii="Arial" w:hAnsi="Arial" w:cs="Arial"/>
          <w:sz w:val="24"/>
          <w:szCs w:val="24"/>
        </w:rPr>
        <w:lastRenderedPageBreak/>
        <w:t>núm. CRA 921 de 16 de junio de 2020</w:t>
      </w:r>
      <w:r w:rsidRPr="00A3111F">
        <w:rPr>
          <w:rFonts w:ascii="Arial" w:hAnsi="Arial" w:cs="Arial"/>
          <w:sz w:val="24"/>
          <w:szCs w:val="24"/>
        </w:rPr>
        <w:t>, de conformidad con lo establecido en los artículos 185 y 186 de la Ley 1437.</w:t>
      </w:r>
    </w:p>
    <w:p w14:paraId="2B6B74D9" w14:textId="77777777" w:rsidR="00C40804" w:rsidRPr="00A3111F" w:rsidRDefault="00C40804" w:rsidP="009E2306">
      <w:pPr>
        <w:tabs>
          <w:tab w:val="left" w:pos="426"/>
        </w:tabs>
        <w:ind w:left="720"/>
        <w:contextualSpacing/>
        <w:jc w:val="both"/>
        <w:rPr>
          <w:rFonts w:ascii="Arial" w:hAnsi="Arial" w:cs="Arial"/>
          <w:sz w:val="24"/>
          <w:szCs w:val="24"/>
        </w:rPr>
      </w:pPr>
    </w:p>
    <w:p w14:paraId="546E69F2" w14:textId="77777777" w:rsidR="00C40804" w:rsidRPr="00A3111F" w:rsidRDefault="00C40804" w:rsidP="009E2306">
      <w:pPr>
        <w:numPr>
          <w:ilvl w:val="0"/>
          <w:numId w:val="12"/>
        </w:numPr>
        <w:tabs>
          <w:tab w:val="left" w:pos="426"/>
        </w:tabs>
        <w:contextualSpacing/>
        <w:jc w:val="both"/>
        <w:rPr>
          <w:rFonts w:ascii="Arial" w:hAnsi="Arial" w:cs="Arial"/>
          <w:sz w:val="24"/>
          <w:szCs w:val="24"/>
        </w:rPr>
      </w:pPr>
      <w:r w:rsidRPr="00A3111F">
        <w:rPr>
          <w:rFonts w:ascii="Arial" w:hAnsi="Arial" w:cs="Arial"/>
          <w:b/>
          <w:bCs/>
          <w:sz w:val="24"/>
          <w:szCs w:val="24"/>
        </w:rPr>
        <w:t>ORDENAR,</w:t>
      </w:r>
      <w:r w:rsidRPr="00A3111F">
        <w:rPr>
          <w:rFonts w:ascii="Arial" w:hAnsi="Arial" w:cs="Arial"/>
          <w:sz w:val="24"/>
          <w:szCs w:val="24"/>
        </w:rPr>
        <w:t xml:space="preserve"> a través de la Secretaría General de esta Corporación, que se publique el aviso referido en el literal anterior, en el sitio web de la jurisdicción de lo contencioso administrativo y de la Rama Judicial, de conformidad con lo establecido en los artículos 185 y 186 de la Ley 1437.</w:t>
      </w:r>
    </w:p>
    <w:p w14:paraId="2AE33CD6" w14:textId="77777777" w:rsidR="00C40804" w:rsidRPr="00A3111F" w:rsidRDefault="00C40804" w:rsidP="009E2306">
      <w:pPr>
        <w:tabs>
          <w:tab w:val="left" w:pos="426"/>
        </w:tabs>
        <w:contextualSpacing/>
        <w:jc w:val="both"/>
        <w:rPr>
          <w:rFonts w:ascii="Arial" w:hAnsi="Arial" w:cs="Arial"/>
          <w:sz w:val="24"/>
          <w:szCs w:val="24"/>
        </w:rPr>
      </w:pPr>
    </w:p>
    <w:p w14:paraId="6AA1A200" w14:textId="0290AEBD" w:rsidR="00C40804" w:rsidRPr="00A3111F" w:rsidRDefault="00C40804" w:rsidP="009E2306">
      <w:pPr>
        <w:numPr>
          <w:ilvl w:val="0"/>
          <w:numId w:val="12"/>
        </w:numPr>
        <w:tabs>
          <w:tab w:val="left" w:pos="426"/>
        </w:tabs>
        <w:contextualSpacing/>
        <w:jc w:val="both"/>
        <w:rPr>
          <w:rFonts w:ascii="Arial" w:hAnsi="Arial" w:cs="Arial"/>
          <w:sz w:val="24"/>
          <w:szCs w:val="24"/>
        </w:rPr>
      </w:pPr>
      <w:r w:rsidRPr="00A3111F">
        <w:rPr>
          <w:rFonts w:ascii="Arial" w:hAnsi="Arial" w:cs="Arial"/>
          <w:b/>
          <w:bCs/>
          <w:sz w:val="24"/>
          <w:szCs w:val="24"/>
        </w:rPr>
        <w:t xml:space="preserve">ORDENAR </w:t>
      </w:r>
      <w:r w:rsidR="00AC0090" w:rsidRPr="00A3111F">
        <w:rPr>
          <w:rFonts w:ascii="Arial" w:hAnsi="Arial" w:cs="Arial"/>
          <w:sz w:val="24"/>
          <w:szCs w:val="24"/>
        </w:rPr>
        <w:t xml:space="preserve">al </w:t>
      </w:r>
      <w:r w:rsidRPr="00A3111F">
        <w:rPr>
          <w:rFonts w:ascii="Arial" w:hAnsi="Arial" w:cs="Arial"/>
          <w:sz w:val="24"/>
          <w:szCs w:val="24"/>
        </w:rPr>
        <w:t xml:space="preserve">Director Ejecutivo de la Comisión de Regulación de </w:t>
      </w:r>
      <w:r w:rsidR="00614C9B" w:rsidRPr="00A3111F">
        <w:rPr>
          <w:rFonts w:ascii="Arial" w:hAnsi="Arial" w:cs="Arial"/>
          <w:sz w:val="24"/>
          <w:szCs w:val="24"/>
        </w:rPr>
        <w:t>Agua Potable y Saneamiento Básico</w:t>
      </w:r>
      <w:r w:rsidRPr="00A3111F">
        <w:rPr>
          <w:rFonts w:ascii="Arial" w:hAnsi="Arial" w:cs="Arial"/>
          <w:sz w:val="24"/>
          <w:szCs w:val="24"/>
        </w:rPr>
        <w:t xml:space="preserve"> que publique esta providencia de </w:t>
      </w:r>
      <w:r w:rsidRPr="00A3111F">
        <w:rPr>
          <w:rFonts w:ascii="Arial" w:hAnsi="Arial" w:cs="Arial"/>
          <w:b/>
          <w:bCs/>
          <w:sz w:val="24"/>
          <w:szCs w:val="24"/>
        </w:rPr>
        <w:t>manera inmediata</w:t>
      </w:r>
      <w:r w:rsidRPr="00A3111F">
        <w:rPr>
          <w:rFonts w:ascii="Arial" w:hAnsi="Arial" w:cs="Arial"/>
          <w:sz w:val="24"/>
          <w:szCs w:val="24"/>
        </w:rPr>
        <w:t xml:space="preserve">, por el término de diez (10) días, en el sitio web oficial de la Entidad, con el objeto de informar a la comunidad, en general; y a los proveedores y operadores a que se refiere la </w:t>
      </w:r>
      <w:r w:rsidR="005C7F72" w:rsidRPr="00A3111F">
        <w:rPr>
          <w:rFonts w:ascii="Arial" w:hAnsi="Arial" w:cs="Arial"/>
          <w:sz w:val="24"/>
          <w:szCs w:val="24"/>
        </w:rPr>
        <w:t xml:space="preserve">Resolución </w:t>
      </w:r>
      <w:r w:rsidR="00614C9B" w:rsidRPr="00A3111F">
        <w:rPr>
          <w:rFonts w:ascii="Arial" w:hAnsi="Arial" w:cs="Arial"/>
          <w:sz w:val="24"/>
          <w:szCs w:val="24"/>
        </w:rPr>
        <w:t>núm. CRA 921 de 16 de junio de 2020</w:t>
      </w:r>
      <w:r w:rsidRPr="00A3111F">
        <w:rPr>
          <w:rFonts w:ascii="Arial" w:hAnsi="Arial" w:cs="Arial"/>
          <w:i/>
          <w:iCs/>
          <w:sz w:val="24"/>
          <w:szCs w:val="24"/>
        </w:rPr>
        <w:t xml:space="preserve">, </w:t>
      </w:r>
      <w:r w:rsidRPr="00A3111F">
        <w:rPr>
          <w:rFonts w:ascii="Arial" w:hAnsi="Arial" w:cs="Arial"/>
          <w:sz w:val="24"/>
          <w:szCs w:val="24"/>
        </w:rPr>
        <w:t>en especial:</w:t>
      </w:r>
      <w:r w:rsidRPr="00A3111F">
        <w:rPr>
          <w:rFonts w:ascii="Arial" w:hAnsi="Arial" w:cs="Arial"/>
          <w:i/>
          <w:iCs/>
          <w:sz w:val="24"/>
          <w:szCs w:val="24"/>
        </w:rPr>
        <w:t xml:space="preserve"> </w:t>
      </w:r>
      <w:r w:rsidRPr="00A3111F">
        <w:rPr>
          <w:rFonts w:ascii="Arial" w:hAnsi="Arial" w:cs="Arial"/>
          <w:sz w:val="24"/>
          <w:szCs w:val="24"/>
        </w:rPr>
        <w:t>sobre la iniciación de la presente actuación judicial. El Director</w:t>
      </w:r>
      <w:r w:rsidR="13C04152" w:rsidRPr="00A3111F">
        <w:rPr>
          <w:rFonts w:ascii="Arial" w:hAnsi="Arial" w:cs="Arial"/>
          <w:sz w:val="24"/>
          <w:szCs w:val="24"/>
        </w:rPr>
        <w:t xml:space="preserve"> E</w:t>
      </w:r>
      <w:r w:rsidRPr="00A3111F">
        <w:rPr>
          <w:rFonts w:ascii="Arial" w:hAnsi="Arial" w:cs="Arial"/>
          <w:sz w:val="24"/>
          <w:szCs w:val="24"/>
        </w:rPr>
        <w:t>jecutivo deberá</w:t>
      </w:r>
      <w:r w:rsidR="00AC0090" w:rsidRPr="00A3111F">
        <w:rPr>
          <w:rFonts w:ascii="Arial" w:hAnsi="Arial" w:cs="Arial"/>
          <w:sz w:val="24"/>
          <w:szCs w:val="24"/>
        </w:rPr>
        <w:t>n</w:t>
      </w:r>
      <w:r w:rsidRPr="00A3111F">
        <w:rPr>
          <w:rFonts w:ascii="Arial" w:hAnsi="Arial" w:cs="Arial"/>
          <w:sz w:val="24"/>
          <w:szCs w:val="24"/>
        </w:rPr>
        <w:t xml:space="preserve"> remitir al Despacho sustanciador, dentro de los dos (2) días siguientes a la notificación de esta providencia, prueba de la publicación ordenada.</w:t>
      </w:r>
    </w:p>
    <w:p w14:paraId="57D829A0" w14:textId="77777777" w:rsidR="005C7F72" w:rsidRPr="00A3111F" w:rsidRDefault="005C7F72" w:rsidP="009E2306">
      <w:pPr>
        <w:tabs>
          <w:tab w:val="left" w:pos="426"/>
        </w:tabs>
        <w:contextualSpacing/>
        <w:jc w:val="both"/>
        <w:rPr>
          <w:rFonts w:ascii="Arial" w:hAnsi="Arial" w:cs="Arial"/>
          <w:b/>
          <w:bCs/>
          <w:sz w:val="24"/>
          <w:szCs w:val="24"/>
        </w:rPr>
      </w:pPr>
    </w:p>
    <w:p w14:paraId="454A915A" w14:textId="5B504761" w:rsidR="00C40804" w:rsidRPr="00A3111F" w:rsidRDefault="00C40804" w:rsidP="009E2306">
      <w:pPr>
        <w:numPr>
          <w:ilvl w:val="0"/>
          <w:numId w:val="12"/>
        </w:numPr>
        <w:tabs>
          <w:tab w:val="left" w:pos="426"/>
        </w:tabs>
        <w:contextualSpacing/>
        <w:jc w:val="both"/>
        <w:rPr>
          <w:rFonts w:ascii="Arial" w:hAnsi="Arial" w:cs="Arial"/>
          <w:b/>
          <w:bCs/>
          <w:sz w:val="24"/>
          <w:szCs w:val="24"/>
        </w:rPr>
      </w:pPr>
      <w:r w:rsidRPr="00A3111F">
        <w:rPr>
          <w:rFonts w:ascii="Arial" w:hAnsi="Arial" w:cs="Arial"/>
          <w:b/>
          <w:bCs/>
          <w:sz w:val="24"/>
          <w:szCs w:val="24"/>
        </w:rPr>
        <w:t xml:space="preserve">INVITAR </w:t>
      </w:r>
      <w:r w:rsidR="00614C9B" w:rsidRPr="00A3111F">
        <w:rPr>
          <w:rFonts w:ascii="Arial" w:hAnsi="Arial" w:cs="Arial"/>
          <w:sz w:val="24"/>
          <w:szCs w:val="24"/>
        </w:rPr>
        <w:t xml:space="preserve">a la Superintendencia de Servicios Públicos Domiciliarios, a la Federación Colombiana de Departamentos, a la Federación Colombiana de Municipios, a la Asociación Nacional de Empresas de Servicios Públicos y Comunicaciones, a la Asociación Colombiana de Ingeniería Sanitaria y Ambiental y a las siguientes instituciones de </w:t>
      </w:r>
      <w:r w:rsidR="4EAC95DA" w:rsidRPr="00A3111F">
        <w:rPr>
          <w:rFonts w:ascii="Arial" w:hAnsi="Arial" w:cs="Arial"/>
          <w:sz w:val="24"/>
          <w:szCs w:val="24"/>
        </w:rPr>
        <w:t>educación</w:t>
      </w:r>
      <w:r w:rsidR="00614C9B" w:rsidRPr="00A3111F">
        <w:rPr>
          <w:rFonts w:ascii="Arial" w:hAnsi="Arial" w:cs="Arial"/>
          <w:sz w:val="24"/>
          <w:szCs w:val="24"/>
        </w:rPr>
        <w:t xml:space="preserve"> superior: Universidad de los Andes, Universidad Externado de Colombia, Pontificia Universidad Javeriana de la Compañía de Jesús, Universidad Nacional de Colombia, Universidad del Valle, Universidad de Antioquia, Universidad del Norte, Universidad de Cartagena, Universidad Industrial de Santander y Universidad de Nariño: </w:t>
      </w:r>
      <w:r w:rsidRPr="00A3111F">
        <w:rPr>
          <w:rFonts w:ascii="Arial" w:hAnsi="Arial" w:cs="Arial"/>
          <w:sz w:val="24"/>
          <w:szCs w:val="24"/>
        </w:rPr>
        <w:t xml:space="preserve">para que, dentro del término de diez (10) días, si lo estiman pertinente, presenten por escrito su concepto sobre el contenido de la </w:t>
      </w:r>
      <w:r w:rsidR="005C7F72" w:rsidRPr="00A3111F">
        <w:rPr>
          <w:rFonts w:ascii="Arial" w:hAnsi="Arial" w:cs="Arial"/>
          <w:sz w:val="24"/>
          <w:szCs w:val="24"/>
        </w:rPr>
        <w:t xml:space="preserve">Resolución </w:t>
      </w:r>
      <w:r w:rsidR="00614C9B" w:rsidRPr="00A3111F">
        <w:rPr>
          <w:rFonts w:ascii="Arial" w:hAnsi="Arial" w:cs="Arial"/>
          <w:sz w:val="24"/>
          <w:szCs w:val="24"/>
        </w:rPr>
        <w:t>núm. CRA 921 de 16 de junio de 2020</w:t>
      </w:r>
      <w:r w:rsidRPr="00A3111F">
        <w:rPr>
          <w:rFonts w:ascii="Arial" w:hAnsi="Arial" w:cs="Arial"/>
          <w:sz w:val="24"/>
          <w:szCs w:val="24"/>
        </w:rPr>
        <w:t xml:space="preserve">, de conformidad con lo establecido en los artículos 185 y 186 de la Ley 1437; y, en ese sentido, </w:t>
      </w:r>
      <w:r w:rsidRPr="00A3111F">
        <w:rPr>
          <w:rFonts w:ascii="Arial" w:hAnsi="Arial" w:cs="Arial"/>
          <w:b/>
          <w:bCs/>
          <w:sz w:val="24"/>
          <w:szCs w:val="24"/>
        </w:rPr>
        <w:t xml:space="preserve">COMUNICAR </w:t>
      </w:r>
      <w:r w:rsidRPr="00A3111F">
        <w:rPr>
          <w:rFonts w:ascii="Arial" w:hAnsi="Arial" w:cs="Arial"/>
          <w:sz w:val="24"/>
          <w:szCs w:val="24"/>
        </w:rPr>
        <w:t>la invitación</w:t>
      </w:r>
      <w:r w:rsidRPr="00A3111F">
        <w:rPr>
          <w:rFonts w:ascii="Arial" w:hAnsi="Arial" w:cs="Arial"/>
          <w:b/>
          <w:bCs/>
          <w:sz w:val="24"/>
          <w:szCs w:val="24"/>
        </w:rPr>
        <w:t xml:space="preserve">, </w:t>
      </w:r>
      <w:r w:rsidRPr="00A3111F">
        <w:rPr>
          <w:rFonts w:ascii="Arial" w:hAnsi="Arial" w:cs="Arial"/>
          <w:sz w:val="24"/>
          <w:szCs w:val="24"/>
        </w:rPr>
        <w:t xml:space="preserve">por conducto de la Secretaría General de esta Corporación, de conformidad con las normas indicadas </w:t>
      </w:r>
      <w:r w:rsidRPr="00A3111F">
        <w:rPr>
          <w:rFonts w:ascii="Arial" w:hAnsi="Arial" w:cs="Arial"/>
          <w:i/>
          <w:iCs/>
          <w:sz w:val="24"/>
          <w:szCs w:val="24"/>
        </w:rPr>
        <w:t>supra</w:t>
      </w:r>
      <w:r w:rsidRPr="00A3111F">
        <w:rPr>
          <w:rFonts w:ascii="Arial" w:hAnsi="Arial" w:cs="Arial"/>
          <w:sz w:val="24"/>
          <w:szCs w:val="24"/>
        </w:rPr>
        <w:t>.</w:t>
      </w:r>
      <w:bookmarkStart w:id="2" w:name="_Hlk36467230"/>
      <w:bookmarkEnd w:id="2"/>
    </w:p>
    <w:p w14:paraId="58B6FF1D" w14:textId="77777777" w:rsidR="00C40804" w:rsidRPr="00A3111F" w:rsidRDefault="00C40804" w:rsidP="009E2306">
      <w:pPr>
        <w:pStyle w:val="Prrafodelista"/>
        <w:spacing w:after="0" w:line="360" w:lineRule="auto"/>
        <w:rPr>
          <w:rFonts w:ascii="Arial" w:hAnsi="Arial" w:cs="Arial"/>
          <w:b/>
          <w:bCs/>
          <w:sz w:val="24"/>
          <w:szCs w:val="24"/>
        </w:rPr>
      </w:pPr>
    </w:p>
    <w:p w14:paraId="7F65D811" w14:textId="77777777" w:rsidR="00C40804" w:rsidRPr="00A3111F" w:rsidRDefault="00C40804" w:rsidP="009E2306">
      <w:pPr>
        <w:numPr>
          <w:ilvl w:val="0"/>
          <w:numId w:val="12"/>
        </w:numPr>
        <w:tabs>
          <w:tab w:val="left" w:pos="426"/>
        </w:tabs>
        <w:contextualSpacing/>
        <w:jc w:val="both"/>
        <w:rPr>
          <w:rFonts w:ascii="Arial" w:hAnsi="Arial" w:cs="Arial"/>
          <w:b/>
          <w:bCs/>
          <w:sz w:val="24"/>
          <w:szCs w:val="24"/>
        </w:rPr>
      </w:pPr>
      <w:r w:rsidRPr="00A3111F">
        <w:rPr>
          <w:rFonts w:ascii="Arial" w:hAnsi="Arial" w:cs="Arial"/>
          <w:b/>
          <w:bCs/>
          <w:sz w:val="24"/>
          <w:szCs w:val="24"/>
        </w:rPr>
        <w:lastRenderedPageBreak/>
        <w:t>NOTIFICAR</w:t>
      </w:r>
      <w:r w:rsidRPr="00A3111F">
        <w:rPr>
          <w:rFonts w:ascii="Arial" w:hAnsi="Arial" w:cs="Arial"/>
          <w:sz w:val="24"/>
          <w:szCs w:val="24"/>
        </w:rPr>
        <w:t xml:space="preserve"> esta providencia,</w:t>
      </w:r>
      <w:r w:rsidRPr="00A3111F">
        <w:rPr>
          <w:rFonts w:ascii="Arial" w:hAnsi="Arial" w:cs="Arial"/>
          <w:b/>
          <w:bCs/>
          <w:sz w:val="24"/>
          <w:szCs w:val="24"/>
        </w:rPr>
        <w:t xml:space="preserve"> </w:t>
      </w:r>
      <w:r w:rsidRPr="00A3111F">
        <w:rPr>
          <w:rFonts w:ascii="Arial" w:hAnsi="Arial" w:cs="Arial"/>
          <w:sz w:val="24"/>
          <w:szCs w:val="24"/>
        </w:rPr>
        <w:t>por conducto de la Secretaría General de esta Corporación, al Ministerio Público, o a quien se haya delegado para tal efecto, de conformidad con lo establecido en el numeral 5 del artículo 185 de la Ley 1437.</w:t>
      </w:r>
    </w:p>
    <w:p w14:paraId="011F10E5" w14:textId="77777777" w:rsidR="00C40804" w:rsidRPr="00A3111F" w:rsidRDefault="00C40804" w:rsidP="009E2306">
      <w:pPr>
        <w:pStyle w:val="Prrafodelista"/>
        <w:spacing w:after="0" w:line="360" w:lineRule="auto"/>
        <w:rPr>
          <w:rFonts w:ascii="Arial" w:hAnsi="Arial" w:cs="Arial"/>
          <w:b/>
          <w:bCs/>
          <w:sz w:val="24"/>
          <w:szCs w:val="24"/>
        </w:rPr>
      </w:pPr>
    </w:p>
    <w:p w14:paraId="1FD7D977" w14:textId="77777777" w:rsidR="00C40804" w:rsidRPr="00A3111F" w:rsidRDefault="00C40804" w:rsidP="009E2306">
      <w:pPr>
        <w:numPr>
          <w:ilvl w:val="0"/>
          <w:numId w:val="12"/>
        </w:numPr>
        <w:tabs>
          <w:tab w:val="left" w:pos="426"/>
        </w:tabs>
        <w:contextualSpacing/>
        <w:jc w:val="both"/>
        <w:rPr>
          <w:rFonts w:ascii="Arial" w:hAnsi="Arial" w:cs="Arial"/>
          <w:b/>
          <w:bCs/>
          <w:sz w:val="24"/>
          <w:szCs w:val="24"/>
        </w:rPr>
      </w:pPr>
      <w:r w:rsidRPr="00A3111F">
        <w:rPr>
          <w:rFonts w:ascii="Arial" w:hAnsi="Arial" w:cs="Arial"/>
          <w:b/>
          <w:bCs/>
          <w:sz w:val="24"/>
          <w:szCs w:val="24"/>
        </w:rPr>
        <w:t>NOTIFICAR</w:t>
      </w:r>
      <w:r w:rsidRPr="00A3111F">
        <w:rPr>
          <w:rFonts w:ascii="Arial" w:hAnsi="Arial" w:cs="Arial"/>
          <w:sz w:val="24"/>
          <w:szCs w:val="24"/>
        </w:rPr>
        <w:t xml:space="preserve"> esta providencia, por conducto de la Secretaría General de esta Corporación, al Director General de la Agencia Nacional de Defensa Jurídica del Estado, o a quien se haya delegado para tal efecto, al buzón electrónico determinado para recibir notificaciones judiciales.</w:t>
      </w:r>
    </w:p>
    <w:p w14:paraId="36BE6D85" w14:textId="77777777" w:rsidR="00C40804" w:rsidRPr="00A3111F" w:rsidRDefault="00C40804" w:rsidP="009E2306">
      <w:pPr>
        <w:pStyle w:val="Prrafodelista"/>
        <w:spacing w:after="0" w:line="360" w:lineRule="auto"/>
        <w:rPr>
          <w:rFonts w:ascii="Arial" w:hAnsi="Arial" w:cs="Arial"/>
          <w:b/>
          <w:bCs/>
          <w:sz w:val="24"/>
          <w:szCs w:val="24"/>
        </w:rPr>
      </w:pPr>
    </w:p>
    <w:p w14:paraId="427C4AA4" w14:textId="3633FD9F" w:rsidR="00C40804" w:rsidRPr="00A3111F" w:rsidRDefault="00C40804" w:rsidP="009E2306">
      <w:pPr>
        <w:numPr>
          <w:ilvl w:val="0"/>
          <w:numId w:val="12"/>
        </w:numPr>
        <w:tabs>
          <w:tab w:val="left" w:pos="426"/>
        </w:tabs>
        <w:contextualSpacing/>
        <w:jc w:val="both"/>
        <w:rPr>
          <w:rFonts w:ascii="Arial" w:hAnsi="Arial" w:cs="Arial"/>
          <w:b/>
          <w:bCs/>
          <w:sz w:val="24"/>
          <w:szCs w:val="24"/>
        </w:rPr>
      </w:pPr>
      <w:r w:rsidRPr="00A3111F">
        <w:rPr>
          <w:rFonts w:ascii="Arial" w:hAnsi="Arial" w:cs="Arial"/>
          <w:b/>
          <w:bCs/>
          <w:sz w:val="24"/>
          <w:szCs w:val="24"/>
        </w:rPr>
        <w:t xml:space="preserve">REQUERIR </w:t>
      </w:r>
      <w:r w:rsidRPr="00A3111F">
        <w:rPr>
          <w:rFonts w:ascii="Arial" w:hAnsi="Arial" w:cs="Arial"/>
          <w:sz w:val="24"/>
          <w:szCs w:val="24"/>
        </w:rPr>
        <w:t xml:space="preserve">al Director Ejecutivo de la Comisión de Regulación de </w:t>
      </w:r>
      <w:r w:rsidR="00614C9B" w:rsidRPr="00A3111F">
        <w:rPr>
          <w:rFonts w:ascii="Arial" w:hAnsi="Arial" w:cs="Arial"/>
          <w:sz w:val="24"/>
          <w:szCs w:val="24"/>
        </w:rPr>
        <w:t>Agua Potable y Saneamiento Básico</w:t>
      </w:r>
      <w:r w:rsidRPr="00A3111F">
        <w:rPr>
          <w:rFonts w:ascii="Arial" w:hAnsi="Arial" w:cs="Arial"/>
          <w:sz w:val="24"/>
          <w:szCs w:val="24"/>
        </w:rPr>
        <w:t xml:space="preserve"> para que, dentro del término de cinco (5) días, allegue el expediente administrativo que contenga todos los antecedentes de la </w:t>
      </w:r>
      <w:r w:rsidR="005C7F72" w:rsidRPr="00A3111F">
        <w:rPr>
          <w:rFonts w:ascii="Arial" w:hAnsi="Arial" w:cs="Arial"/>
          <w:sz w:val="24"/>
          <w:szCs w:val="24"/>
        </w:rPr>
        <w:t xml:space="preserve">Resolución </w:t>
      </w:r>
      <w:r w:rsidR="00614C9B" w:rsidRPr="00A3111F">
        <w:rPr>
          <w:rFonts w:ascii="Arial" w:hAnsi="Arial" w:cs="Arial"/>
          <w:sz w:val="24"/>
          <w:szCs w:val="24"/>
        </w:rPr>
        <w:t>núm. CRA 921 de 16 de junio de 2020</w:t>
      </w:r>
      <w:r w:rsidRPr="00A3111F">
        <w:rPr>
          <w:rFonts w:ascii="Arial" w:hAnsi="Arial" w:cs="Arial"/>
          <w:sz w:val="24"/>
          <w:szCs w:val="24"/>
        </w:rPr>
        <w:t xml:space="preserve">, de conformidad con lo dispuesto en el numeral </w:t>
      </w:r>
      <w:proofErr w:type="gramStart"/>
      <w:r w:rsidRPr="00A3111F">
        <w:rPr>
          <w:rFonts w:ascii="Arial" w:hAnsi="Arial" w:cs="Arial"/>
          <w:sz w:val="24"/>
          <w:szCs w:val="24"/>
        </w:rPr>
        <w:t>4</w:t>
      </w:r>
      <w:r w:rsidR="00AE04FC" w:rsidRPr="00A3111F">
        <w:rPr>
          <w:rFonts w:ascii="Arial" w:hAnsi="Arial" w:cs="Arial"/>
          <w:sz w:val="24"/>
          <w:szCs w:val="24"/>
        </w:rPr>
        <w:t>.°</w:t>
      </w:r>
      <w:proofErr w:type="gramEnd"/>
      <w:r w:rsidRPr="00A3111F">
        <w:rPr>
          <w:rFonts w:ascii="Arial" w:hAnsi="Arial" w:cs="Arial"/>
          <w:sz w:val="24"/>
          <w:szCs w:val="24"/>
        </w:rPr>
        <w:t xml:space="preserve"> del artículo 185 de la Ley 1437.</w:t>
      </w:r>
    </w:p>
    <w:p w14:paraId="3548441B" w14:textId="77777777" w:rsidR="00C40804" w:rsidRPr="00A3111F" w:rsidRDefault="00C40804" w:rsidP="009E2306">
      <w:pPr>
        <w:pStyle w:val="Prrafodelista"/>
        <w:spacing w:after="0" w:line="360" w:lineRule="auto"/>
        <w:ind w:left="0"/>
        <w:rPr>
          <w:rFonts w:ascii="Arial" w:hAnsi="Arial" w:cs="Arial"/>
          <w:b/>
          <w:bCs/>
          <w:sz w:val="24"/>
          <w:szCs w:val="24"/>
        </w:rPr>
      </w:pPr>
    </w:p>
    <w:p w14:paraId="30698113" w14:textId="77777777" w:rsidR="00C40804" w:rsidRPr="00A3111F" w:rsidRDefault="00C40804" w:rsidP="009E2306">
      <w:pPr>
        <w:numPr>
          <w:ilvl w:val="0"/>
          <w:numId w:val="12"/>
        </w:numPr>
        <w:tabs>
          <w:tab w:val="left" w:pos="426"/>
        </w:tabs>
        <w:contextualSpacing/>
        <w:jc w:val="both"/>
        <w:rPr>
          <w:rFonts w:ascii="Arial" w:hAnsi="Arial" w:cs="Arial"/>
          <w:b/>
          <w:bCs/>
          <w:sz w:val="24"/>
          <w:szCs w:val="24"/>
        </w:rPr>
      </w:pPr>
      <w:r w:rsidRPr="00A3111F">
        <w:rPr>
          <w:rFonts w:ascii="Arial" w:hAnsi="Arial" w:cs="Arial"/>
          <w:b/>
          <w:bCs/>
          <w:sz w:val="24"/>
          <w:szCs w:val="24"/>
        </w:rPr>
        <w:t xml:space="preserve">INFORMAR, </w:t>
      </w:r>
      <w:r w:rsidRPr="00A3111F">
        <w:rPr>
          <w:rFonts w:ascii="Arial" w:hAnsi="Arial" w:cs="Arial"/>
          <w:sz w:val="24"/>
          <w:szCs w:val="24"/>
        </w:rPr>
        <w:t xml:space="preserve">por conducto de la Secretaría General de esta Corporación, que las intervenciones, los conceptos, los antecedentes administrativos, las pruebas, las comunicaciones y demás documentos que se dirijan al Despacho sustanciador con destino al expediente del proceso de la referencia, mediante mensaje de datos, deberán ser enviados al siguiente buzón electrónico </w:t>
      </w:r>
      <w:r w:rsidRPr="00A3111F">
        <w:rPr>
          <w:rFonts w:ascii="Arial" w:hAnsi="Arial" w:cs="Arial"/>
          <w:i/>
          <w:sz w:val="24"/>
          <w:szCs w:val="24"/>
        </w:rPr>
        <w:t xml:space="preserve">“[…] </w:t>
      </w:r>
      <w:hyperlink r:id="rId12">
        <w:r w:rsidRPr="00A3111F">
          <w:rPr>
            <w:rFonts w:ascii="Arial" w:eastAsia="Batang" w:hAnsi="Arial" w:cs="Arial"/>
            <w:i/>
            <w:sz w:val="24"/>
            <w:szCs w:val="24"/>
          </w:rPr>
          <w:t>secgeneral@consejoestado.ramajudicial.gov.co</w:t>
        </w:r>
      </w:hyperlink>
      <w:r w:rsidRPr="00A3111F">
        <w:rPr>
          <w:rFonts w:ascii="Arial" w:eastAsia="Batang" w:hAnsi="Arial" w:cs="Arial"/>
          <w:i/>
          <w:sz w:val="24"/>
          <w:szCs w:val="24"/>
        </w:rPr>
        <w:t xml:space="preserve"> […]”</w:t>
      </w:r>
      <w:r w:rsidRPr="00A3111F">
        <w:rPr>
          <w:rFonts w:ascii="Arial" w:eastAsia="Batang" w:hAnsi="Arial" w:cs="Arial"/>
          <w:sz w:val="24"/>
          <w:szCs w:val="24"/>
        </w:rPr>
        <w:t>.</w:t>
      </w:r>
    </w:p>
    <w:p w14:paraId="5A897165" w14:textId="77777777" w:rsidR="00C40804" w:rsidRPr="00A3111F" w:rsidRDefault="00C40804" w:rsidP="009E2306">
      <w:pPr>
        <w:tabs>
          <w:tab w:val="left" w:pos="426"/>
        </w:tabs>
        <w:contextualSpacing/>
        <w:jc w:val="both"/>
        <w:rPr>
          <w:rFonts w:ascii="Arial" w:eastAsia="Times New Roman" w:hAnsi="Arial" w:cs="Arial"/>
          <w:sz w:val="24"/>
          <w:szCs w:val="24"/>
          <w:lang w:eastAsia="es-ES"/>
        </w:rPr>
      </w:pPr>
    </w:p>
    <w:p w14:paraId="7A522955" w14:textId="70EB7F96" w:rsidR="00C40804" w:rsidRPr="00A3111F" w:rsidRDefault="00C40804" w:rsidP="009E2306">
      <w:pPr>
        <w:numPr>
          <w:ilvl w:val="0"/>
          <w:numId w:val="3"/>
        </w:numPr>
        <w:tabs>
          <w:tab w:val="left" w:pos="426"/>
        </w:tabs>
        <w:ind w:left="0" w:firstLine="0"/>
        <w:contextualSpacing/>
        <w:jc w:val="both"/>
        <w:rPr>
          <w:rFonts w:ascii="Arial" w:eastAsia="Times New Roman" w:hAnsi="Arial" w:cs="Arial"/>
          <w:sz w:val="24"/>
          <w:szCs w:val="24"/>
          <w:lang w:eastAsia="es-ES"/>
        </w:rPr>
      </w:pPr>
      <w:r w:rsidRPr="00A3111F">
        <w:rPr>
          <w:rFonts w:ascii="Arial" w:hAnsi="Arial" w:cs="Arial"/>
          <w:spacing w:val="-3"/>
          <w:sz w:val="24"/>
          <w:szCs w:val="24"/>
        </w:rPr>
        <w:t xml:space="preserve">Una vez surtidas las actuaciones indicadas </w:t>
      </w:r>
      <w:r w:rsidRPr="00A3111F">
        <w:rPr>
          <w:rFonts w:ascii="Arial" w:hAnsi="Arial" w:cs="Arial"/>
          <w:i/>
          <w:iCs/>
          <w:spacing w:val="-3"/>
          <w:sz w:val="24"/>
          <w:szCs w:val="24"/>
        </w:rPr>
        <w:t>supra</w:t>
      </w:r>
      <w:r w:rsidRPr="00A3111F">
        <w:rPr>
          <w:rFonts w:ascii="Arial" w:hAnsi="Arial" w:cs="Arial"/>
          <w:spacing w:val="-3"/>
          <w:sz w:val="24"/>
          <w:szCs w:val="24"/>
        </w:rPr>
        <w:t xml:space="preserve">, en la oportunidad procesal correspondiente, se decidirá sobre el decreto de pruebas que se estime conducentes y el traslado del asunto al Ministerio Público, para que rinda concepto. </w:t>
      </w:r>
    </w:p>
    <w:p w14:paraId="3D089831" w14:textId="77777777" w:rsidR="00C40804" w:rsidRPr="00A3111F" w:rsidRDefault="00C40804" w:rsidP="009E2306">
      <w:pPr>
        <w:pStyle w:val="Prrafodelista"/>
        <w:spacing w:after="0" w:line="360" w:lineRule="auto"/>
        <w:ind w:left="0"/>
        <w:rPr>
          <w:rFonts w:ascii="Arial" w:hAnsi="Arial" w:cs="Arial"/>
          <w:sz w:val="24"/>
          <w:szCs w:val="24"/>
        </w:rPr>
      </w:pPr>
    </w:p>
    <w:p w14:paraId="1BFF2512" w14:textId="77777777" w:rsidR="00C40804" w:rsidRPr="00A3111F" w:rsidRDefault="00C40804" w:rsidP="009E2306">
      <w:pPr>
        <w:contextualSpacing/>
        <w:jc w:val="both"/>
        <w:rPr>
          <w:rFonts w:ascii="Arial" w:hAnsi="Arial" w:cs="Arial"/>
          <w:b/>
          <w:bCs/>
          <w:spacing w:val="-3"/>
          <w:sz w:val="24"/>
          <w:szCs w:val="24"/>
        </w:rPr>
      </w:pPr>
      <w:r w:rsidRPr="00A3111F">
        <w:rPr>
          <w:rFonts w:ascii="Arial" w:hAnsi="Arial" w:cs="Arial"/>
          <w:b/>
          <w:bCs/>
          <w:spacing w:val="-3"/>
          <w:sz w:val="24"/>
          <w:szCs w:val="24"/>
        </w:rPr>
        <w:t>En mérito de lo expuesto, el Consejo de Estado, Sala Plena de lo Contencioso Administrativo, en Sala Unitaria,</w:t>
      </w:r>
    </w:p>
    <w:p w14:paraId="30AA60E1" w14:textId="039582F9" w:rsidR="00AC0090" w:rsidRPr="00A3111F" w:rsidRDefault="00AC0090" w:rsidP="009E2306">
      <w:pPr>
        <w:contextualSpacing/>
        <w:jc w:val="both"/>
        <w:rPr>
          <w:rFonts w:ascii="Arial" w:hAnsi="Arial" w:cs="Arial"/>
          <w:b/>
          <w:bCs/>
          <w:spacing w:val="-3"/>
          <w:sz w:val="24"/>
          <w:szCs w:val="24"/>
        </w:rPr>
      </w:pPr>
    </w:p>
    <w:p w14:paraId="19CE4581" w14:textId="194D1E70" w:rsidR="00614C9B" w:rsidRPr="00A3111F" w:rsidRDefault="00614C9B" w:rsidP="009E2306">
      <w:pPr>
        <w:contextualSpacing/>
        <w:jc w:val="both"/>
        <w:rPr>
          <w:rFonts w:ascii="Arial" w:hAnsi="Arial" w:cs="Arial"/>
          <w:b/>
          <w:bCs/>
          <w:spacing w:val="-3"/>
          <w:sz w:val="24"/>
          <w:szCs w:val="24"/>
        </w:rPr>
      </w:pPr>
    </w:p>
    <w:p w14:paraId="3E95677C" w14:textId="77777777" w:rsidR="00614C9B" w:rsidRPr="00A3111F" w:rsidRDefault="00614C9B" w:rsidP="009E2306">
      <w:pPr>
        <w:contextualSpacing/>
        <w:jc w:val="both"/>
        <w:rPr>
          <w:rFonts w:ascii="Arial" w:hAnsi="Arial" w:cs="Arial"/>
          <w:b/>
          <w:bCs/>
          <w:spacing w:val="-3"/>
          <w:sz w:val="24"/>
          <w:szCs w:val="24"/>
        </w:rPr>
      </w:pPr>
    </w:p>
    <w:p w14:paraId="1434DD24" w14:textId="77777777" w:rsidR="00C40804" w:rsidRPr="00A3111F" w:rsidRDefault="00C40804" w:rsidP="009E2306">
      <w:pPr>
        <w:contextualSpacing/>
        <w:jc w:val="center"/>
        <w:rPr>
          <w:rFonts w:ascii="Arial" w:hAnsi="Arial" w:cs="Arial"/>
          <w:b/>
          <w:bCs/>
          <w:spacing w:val="-3"/>
          <w:sz w:val="24"/>
          <w:szCs w:val="24"/>
        </w:rPr>
      </w:pPr>
      <w:r w:rsidRPr="00A3111F">
        <w:rPr>
          <w:rFonts w:ascii="Arial" w:hAnsi="Arial" w:cs="Arial"/>
          <w:b/>
          <w:bCs/>
          <w:spacing w:val="-3"/>
          <w:sz w:val="24"/>
          <w:szCs w:val="24"/>
        </w:rPr>
        <w:lastRenderedPageBreak/>
        <w:t>III. RESUELVE:</w:t>
      </w:r>
    </w:p>
    <w:p w14:paraId="4B145856" w14:textId="77777777" w:rsidR="00C40804" w:rsidRPr="00A3111F" w:rsidRDefault="00C40804" w:rsidP="009E2306">
      <w:pPr>
        <w:overflowPunct w:val="0"/>
        <w:autoSpaceDE w:val="0"/>
        <w:autoSpaceDN w:val="0"/>
        <w:adjustRightInd w:val="0"/>
        <w:contextualSpacing/>
        <w:jc w:val="both"/>
        <w:textAlignment w:val="baseline"/>
        <w:rPr>
          <w:rFonts w:ascii="Arial" w:eastAsia="Times New Roman" w:hAnsi="Arial" w:cs="Arial"/>
          <w:b/>
          <w:sz w:val="24"/>
          <w:szCs w:val="24"/>
          <w:lang w:eastAsia="es-ES"/>
        </w:rPr>
      </w:pPr>
    </w:p>
    <w:p w14:paraId="79E3D86E" w14:textId="73A4142F" w:rsidR="00AC178B" w:rsidRPr="00A3111F" w:rsidRDefault="00C40804" w:rsidP="009E2306">
      <w:pPr>
        <w:tabs>
          <w:tab w:val="left" w:pos="2410"/>
          <w:tab w:val="left" w:pos="5080"/>
        </w:tabs>
        <w:suppressAutoHyphens/>
        <w:contextualSpacing/>
        <w:jc w:val="both"/>
        <w:rPr>
          <w:rFonts w:ascii="Arial" w:hAnsi="Arial" w:cs="Arial"/>
          <w:sz w:val="24"/>
          <w:szCs w:val="24"/>
        </w:rPr>
      </w:pPr>
      <w:r w:rsidRPr="00A3111F">
        <w:rPr>
          <w:rFonts w:ascii="Arial" w:hAnsi="Arial" w:cs="Arial"/>
          <w:b/>
          <w:sz w:val="24"/>
          <w:szCs w:val="24"/>
        </w:rPr>
        <w:t>PRIMERO:</w:t>
      </w:r>
      <w:r w:rsidR="00AC178B" w:rsidRPr="00A3111F">
        <w:rPr>
          <w:rFonts w:ascii="Arial" w:hAnsi="Arial" w:cs="Arial"/>
          <w:b/>
          <w:sz w:val="24"/>
          <w:szCs w:val="24"/>
        </w:rPr>
        <w:t xml:space="preserve"> ACUMULAR </w:t>
      </w:r>
      <w:r w:rsidR="00AC178B" w:rsidRPr="00A3111F">
        <w:rPr>
          <w:rFonts w:ascii="Arial" w:hAnsi="Arial" w:cs="Arial"/>
          <w:sz w:val="24"/>
          <w:szCs w:val="24"/>
        </w:rPr>
        <w:t xml:space="preserve">el proceso identificado con el número único de radicación </w:t>
      </w:r>
      <w:r w:rsidR="00614C9B" w:rsidRPr="00A3111F">
        <w:rPr>
          <w:rFonts w:ascii="Arial" w:hAnsi="Arial" w:cs="Arial"/>
          <w:sz w:val="24"/>
          <w:szCs w:val="24"/>
        </w:rPr>
        <w:t>11001031500020200284900</w:t>
      </w:r>
      <w:r w:rsidR="00AC178B" w:rsidRPr="00A3111F">
        <w:rPr>
          <w:rFonts w:ascii="Arial" w:hAnsi="Arial" w:cs="Arial"/>
          <w:sz w:val="24"/>
          <w:szCs w:val="24"/>
        </w:rPr>
        <w:t xml:space="preserve"> al proceso identificado con el número único de radicación </w:t>
      </w:r>
      <w:r w:rsidR="00AC178B" w:rsidRPr="00A3111F">
        <w:rPr>
          <w:rFonts w:ascii="Arial" w:hAnsi="Arial" w:cs="Arial"/>
          <w:bCs/>
          <w:sz w:val="24"/>
          <w:szCs w:val="24"/>
        </w:rPr>
        <w:t>1100103150002020009</w:t>
      </w:r>
      <w:r w:rsidR="00614C9B" w:rsidRPr="00A3111F">
        <w:rPr>
          <w:rFonts w:ascii="Arial" w:hAnsi="Arial" w:cs="Arial"/>
          <w:bCs/>
          <w:sz w:val="24"/>
          <w:szCs w:val="24"/>
        </w:rPr>
        <w:t>46</w:t>
      </w:r>
      <w:r w:rsidR="00AC178B" w:rsidRPr="00A3111F">
        <w:rPr>
          <w:rFonts w:ascii="Arial" w:hAnsi="Arial" w:cs="Arial"/>
          <w:bCs/>
          <w:sz w:val="24"/>
          <w:szCs w:val="24"/>
        </w:rPr>
        <w:t>00, por las razones expuestas en la parte motiva de esta providencia.</w:t>
      </w:r>
    </w:p>
    <w:p w14:paraId="64FE5E7D" w14:textId="77777777" w:rsidR="00AC178B" w:rsidRPr="00A3111F" w:rsidRDefault="00AC178B" w:rsidP="009E2306">
      <w:pPr>
        <w:tabs>
          <w:tab w:val="left" w:pos="2410"/>
          <w:tab w:val="left" w:pos="5080"/>
        </w:tabs>
        <w:suppressAutoHyphens/>
        <w:contextualSpacing/>
        <w:jc w:val="both"/>
        <w:rPr>
          <w:rFonts w:ascii="Arial" w:hAnsi="Arial" w:cs="Arial"/>
          <w:b/>
          <w:sz w:val="24"/>
          <w:szCs w:val="24"/>
        </w:rPr>
      </w:pPr>
    </w:p>
    <w:p w14:paraId="29FAF2AF" w14:textId="3B77F63F" w:rsidR="00AC178B" w:rsidRPr="00A3111F" w:rsidRDefault="00AC178B" w:rsidP="00D21CDE">
      <w:pPr>
        <w:tabs>
          <w:tab w:val="left" w:pos="2410"/>
          <w:tab w:val="left" w:pos="5080"/>
        </w:tabs>
        <w:suppressAutoHyphens/>
        <w:contextualSpacing/>
        <w:jc w:val="both"/>
        <w:rPr>
          <w:rFonts w:ascii="Arial" w:hAnsi="Arial" w:cs="Arial"/>
          <w:bCs/>
          <w:sz w:val="24"/>
          <w:szCs w:val="24"/>
        </w:rPr>
      </w:pPr>
      <w:r w:rsidRPr="00A3111F">
        <w:rPr>
          <w:rFonts w:ascii="Arial" w:hAnsi="Arial" w:cs="Arial"/>
          <w:b/>
          <w:sz w:val="24"/>
          <w:szCs w:val="24"/>
        </w:rPr>
        <w:t xml:space="preserve">SEGUNDO: SUSPENDER </w:t>
      </w:r>
      <w:r w:rsidRPr="00A3111F">
        <w:rPr>
          <w:rFonts w:ascii="Arial" w:hAnsi="Arial" w:cs="Arial"/>
          <w:bCs/>
          <w:sz w:val="24"/>
          <w:szCs w:val="24"/>
        </w:rPr>
        <w:t>el proceso identificado con el número único de radicación 1100103150002020009</w:t>
      </w:r>
      <w:r w:rsidR="00614C9B" w:rsidRPr="00A3111F">
        <w:rPr>
          <w:rFonts w:ascii="Arial" w:hAnsi="Arial" w:cs="Arial"/>
          <w:bCs/>
          <w:sz w:val="24"/>
          <w:szCs w:val="24"/>
        </w:rPr>
        <w:t>46</w:t>
      </w:r>
      <w:r w:rsidRPr="00A3111F">
        <w:rPr>
          <w:rFonts w:ascii="Arial" w:hAnsi="Arial" w:cs="Arial"/>
          <w:bCs/>
          <w:sz w:val="24"/>
          <w:szCs w:val="24"/>
        </w:rPr>
        <w:t>00, por las razones expuestas en la parte motiva de esta providencia.</w:t>
      </w:r>
    </w:p>
    <w:p w14:paraId="60BA56BB" w14:textId="679E3A65" w:rsidR="005962C3" w:rsidRPr="00A3111F" w:rsidRDefault="005962C3" w:rsidP="00D21CDE">
      <w:pPr>
        <w:tabs>
          <w:tab w:val="left" w:pos="2410"/>
          <w:tab w:val="left" w:pos="5080"/>
        </w:tabs>
        <w:suppressAutoHyphens/>
        <w:contextualSpacing/>
        <w:jc w:val="both"/>
        <w:rPr>
          <w:rFonts w:ascii="Arial" w:hAnsi="Arial" w:cs="Arial"/>
          <w:bCs/>
          <w:sz w:val="24"/>
          <w:szCs w:val="24"/>
        </w:rPr>
      </w:pPr>
    </w:p>
    <w:p w14:paraId="668DC62A" w14:textId="66F1EE30" w:rsidR="00C40804" w:rsidRPr="00A3111F" w:rsidRDefault="00D618CE" w:rsidP="181E2151">
      <w:pPr>
        <w:tabs>
          <w:tab w:val="left" w:pos="2410"/>
          <w:tab w:val="left" w:pos="5080"/>
        </w:tabs>
        <w:suppressAutoHyphens/>
        <w:contextualSpacing/>
        <w:jc w:val="both"/>
        <w:rPr>
          <w:rFonts w:ascii="Arial" w:hAnsi="Arial" w:cs="Arial"/>
          <w:i/>
          <w:iCs/>
          <w:sz w:val="24"/>
          <w:szCs w:val="24"/>
        </w:rPr>
      </w:pPr>
      <w:r w:rsidRPr="00A3111F">
        <w:rPr>
          <w:rFonts w:ascii="Arial" w:hAnsi="Arial" w:cs="Arial"/>
          <w:b/>
          <w:bCs/>
          <w:sz w:val="24"/>
          <w:szCs w:val="24"/>
        </w:rPr>
        <w:t>TERCERO</w:t>
      </w:r>
      <w:r w:rsidR="00AC178B" w:rsidRPr="00A3111F">
        <w:rPr>
          <w:rFonts w:ascii="Arial" w:hAnsi="Arial" w:cs="Arial"/>
          <w:b/>
          <w:bCs/>
          <w:sz w:val="24"/>
          <w:szCs w:val="24"/>
        </w:rPr>
        <w:t xml:space="preserve">: </w:t>
      </w:r>
      <w:r w:rsidR="00C40804" w:rsidRPr="00A3111F">
        <w:rPr>
          <w:rFonts w:ascii="Arial" w:hAnsi="Arial" w:cs="Arial"/>
          <w:b/>
          <w:bCs/>
          <w:sz w:val="24"/>
          <w:szCs w:val="24"/>
        </w:rPr>
        <w:t xml:space="preserve">AVOCAR </w:t>
      </w:r>
      <w:r w:rsidR="00C40804" w:rsidRPr="00A3111F">
        <w:rPr>
          <w:rFonts w:ascii="Arial" w:hAnsi="Arial" w:cs="Arial"/>
          <w:sz w:val="24"/>
          <w:szCs w:val="24"/>
        </w:rPr>
        <w:t xml:space="preserve">el conocimiento del control inmediato de legalidad de la </w:t>
      </w:r>
      <w:r w:rsidR="005C7F72" w:rsidRPr="00A3111F">
        <w:rPr>
          <w:rFonts w:ascii="Arial" w:hAnsi="Arial" w:cs="Arial"/>
          <w:sz w:val="24"/>
          <w:szCs w:val="24"/>
        </w:rPr>
        <w:t xml:space="preserve">Resolución </w:t>
      </w:r>
      <w:r w:rsidR="00614C9B" w:rsidRPr="00A3111F">
        <w:rPr>
          <w:rFonts w:ascii="Arial" w:hAnsi="Arial" w:cs="Arial"/>
          <w:sz w:val="24"/>
          <w:szCs w:val="24"/>
        </w:rPr>
        <w:t xml:space="preserve">núm. CRA 921 de 16 de junio de 2020, </w:t>
      </w:r>
      <w:r w:rsidR="00614C9B" w:rsidRPr="00A3111F">
        <w:rPr>
          <w:rFonts w:ascii="Arial" w:hAnsi="Arial" w:cs="Arial"/>
          <w:i/>
          <w:iCs/>
          <w:sz w:val="24"/>
          <w:szCs w:val="24"/>
        </w:rPr>
        <w:t>“[…] [p]</w:t>
      </w:r>
      <w:proofErr w:type="spellStart"/>
      <w:r w:rsidR="00614C9B" w:rsidRPr="00A3111F">
        <w:rPr>
          <w:rFonts w:ascii="Arial" w:hAnsi="Arial" w:cs="Arial"/>
          <w:i/>
          <w:iCs/>
          <w:sz w:val="24"/>
          <w:szCs w:val="24"/>
        </w:rPr>
        <w:t>or</w:t>
      </w:r>
      <w:proofErr w:type="spellEnd"/>
      <w:r w:rsidR="00614C9B" w:rsidRPr="00A3111F">
        <w:rPr>
          <w:rFonts w:ascii="Arial" w:hAnsi="Arial" w:cs="Arial"/>
          <w:i/>
          <w:iCs/>
          <w:sz w:val="24"/>
          <w:szCs w:val="24"/>
        </w:rPr>
        <w:t xml:space="preserve"> la cual se deroga el artículo 7 y se modifican los artículos 8 y 9 de la Resolución CRA 911 de 2020 […]”</w:t>
      </w:r>
      <w:r w:rsidR="00C40804" w:rsidRPr="00A3111F">
        <w:rPr>
          <w:rFonts w:ascii="Arial" w:hAnsi="Arial" w:cs="Arial"/>
          <w:i/>
          <w:iCs/>
          <w:sz w:val="24"/>
          <w:szCs w:val="24"/>
        </w:rPr>
        <w:t>,</w:t>
      </w:r>
      <w:r w:rsidR="00C40804" w:rsidRPr="00A3111F">
        <w:rPr>
          <w:rFonts w:ascii="Arial" w:hAnsi="Arial" w:cs="Arial"/>
          <w:sz w:val="24"/>
          <w:szCs w:val="24"/>
        </w:rPr>
        <w:t xml:space="preserve"> expedida por </w:t>
      </w:r>
      <w:r w:rsidR="3C55E312" w:rsidRPr="00A3111F">
        <w:rPr>
          <w:rFonts w:ascii="Arial" w:hAnsi="Arial" w:cs="Arial"/>
          <w:sz w:val="24"/>
          <w:szCs w:val="24"/>
        </w:rPr>
        <w:t xml:space="preserve">el </w:t>
      </w:r>
      <w:proofErr w:type="gramStart"/>
      <w:r w:rsidR="00614C9B" w:rsidRPr="00A3111F">
        <w:rPr>
          <w:rFonts w:ascii="Arial" w:hAnsi="Arial" w:cs="Arial"/>
          <w:sz w:val="24"/>
          <w:szCs w:val="24"/>
        </w:rPr>
        <w:t>Presidente</w:t>
      </w:r>
      <w:proofErr w:type="gramEnd"/>
      <w:r w:rsidR="00614C9B" w:rsidRPr="00A3111F">
        <w:rPr>
          <w:rFonts w:ascii="Arial" w:hAnsi="Arial" w:cs="Arial"/>
          <w:sz w:val="24"/>
          <w:szCs w:val="24"/>
        </w:rPr>
        <w:t xml:space="preserve"> y el Director Ejecutivo de la Comisión de Regulación de Agua Potable y Saneamiento Básico</w:t>
      </w:r>
      <w:r w:rsidR="00C40804" w:rsidRPr="00A3111F">
        <w:rPr>
          <w:rFonts w:ascii="Arial" w:hAnsi="Arial" w:cs="Arial"/>
          <w:sz w:val="24"/>
          <w:szCs w:val="24"/>
        </w:rPr>
        <w:t>, por las razones expuestas en la parte motiva de esta providencia.</w:t>
      </w:r>
    </w:p>
    <w:p w14:paraId="67F81AD0" w14:textId="77777777" w:rsidR="00C40804" w:rsidRPr="00A3111F" w:rsidRDefault="00C40804" w:rsidP="009E2306">
      <w:pPr>
        <w:tabs>
          <w:tab w:val="left" w:pos="2410"/>
          <w:tab w:val="left" w:pos="5080"/>
        </w:tabs>
        <w:suppressAutoHyphens/>
        <w:contextualSpacing/>
        <w:jc w:val="both"/>
        <w:rPr>
          <w:rFonts w:ascii="Arial" w:hAnsi="Arial" w:cs="Arial"/>
          <w:sz w:val="24"/>
          <w:szCs w:val="24"/>
        </w:rPr>
      </w:pPr>
    </w:p>
    <w:p w14:paraId="34298A6F" w14:textId="55AD61FA" w:rsidR="00C40804" w:rsidRPr="00A3111F" w:rsidRDefault="005962C3" w:rsidP="009E2306">
      <w:pPr>
        <w:tabs>
          <w:tab w:val="left" w:pos="426"/>
        </w:tabs>
        <w:contextualSpacing/>
        <w:jc w:val="both"/>
        <w:rPr>
          <w:rFonts w:ascii="Arial" w:hAnsi="Arial" w:cs="Arial"/>
          <w:sz w:val="24"/>
          <w:szCs w:val="24"/>
        </w:rPr>
      </w:pPr>
      <w:r w:rsidRPr="00A3111F">
        <w:rPr>
          <w:rFonts w:ascii="Arial" w:hAnsi="Arial" w:cs="Arial"/>
          <w:b/>
          <w:bCs/>
          <w:sz w:val="24"/>
          <w:szCs w:val="24"/>
        </w:rPr>
        <w:t>QUINTO</w:t>
      </w:r>
      <w:r w:rsidR="00C40804" w:rsidRPr="00A3111F">
        <w:rPr>
          <w:rFonts w:ascii="Arial" w:hAnsi="Arial" w:cs="Arial"/>
          <w:b/>
          <w:bCs/>
          <w:sz w:val="24"/>
          <w:szCs w:val="24"/>
        </w:rPr>
        <w:t>: NOTIFICAR</w:t>
      </w:r>
      <w:r w:rsidR="00C40804" w:rsidRPr="00A3111F">
        <w:rPr>
          <w:rFonts w:ascii="Arial" w:hAnsi="Arial" w:cs="Arial"/>
          <w:sz w:val="24"/>
          <w:szCs w:val="24"/>
        </w:rPr>
        <w:t xml:space="preserve"> esta providencia,</w:t>
      </w:r>
      <w:r w:rsidR="00C40804" w:rsidRPr="00A3111F">
        <w:rPr>
          <w:rFonts w:ascii="Arial" w:hAnsi="Arial" w:cs="Arial"/>
          <w:b/>
          <w:bCs/>
          <w:sz w:val="24"/>
          <w:szCs w:val="24"/>
        </w:rPr>
        <w:t xml:space="preserve"> </w:t>
      </w:r>
      <w:r w:rsidR="00C40804" w:rsidRPr="00A3111F">
        <w:rPr>
          <w:rFonts w:ascii="Arial" w:hAnsi="Arial" w:cs="Arial"/>
          <w:sz w:val="24"/>
          <w:szCs w:val="24"/>
        </w:rPr>
        <w:t>por conducto de la Secretaría General de</w:t>
      </w:r>
      <w:r w:rsidR="00AC178B" w:rsidRPr="00A3111F">
        <w:rPr>
          <w:rFonts w:ascii="Arial" w:hAnsi="Arial" w:cs="Arial"/>
          <w:sz w:val="24"/>
          <w:szCs w:val="24"/>
        </w:rPr>
        <w:t>l Consejo de Estado</w:t>
      </w:r>
      <w:r w:rsidR="00C40804" w:rsidRPr="00A3111F">
        <w:rPr>
          <w:rFonts w:ascii="Arial" w:hAnsi="Arial" w:cs="Arial"/>
          <w:sz w:val="24"/>
          <w:szCs w:val="24"/>
        </w:rPr>
        <w:t>,</w:t>
      </w:r>
      <w:r w:rsidR="00C40804" w:rsidRPr="00A3111F">
        <w:rPr>
          <w:rFonts w:ascii="Arial" w:hAnsi="Arial" w:cs="Arial"/>
          <w:b/>
          <w:bCs/>
          <w:sz w:val="24"/>
          <w:szCs w:val="24"/>
        </w:rPr>
        <w:t xml:space="preserve"> </w:t>
      </w:r>
      <w:r w:rsidR="00C40804" w:rsidRPr="00A3111F">
        <w:rPr>
          <w:rFonts w:ascii="Arial" w:hAnsi="Arial" w:cs="Arial"/>
          <w:sz w:val="24"/>
          <w:szCs w:val="24"/>
        </w:rPr>
        <w:t xml:space="preserve">al </w:t>
      </w:r>
      <w:proofErr w:type="gramStart"/>
      <w:r w:rsidR="00C40804" w:rsidRPr="00A3111F">
        <w:rPr>
          <w:rFonts w:ascii="Arial" w:hAnsi="Arial" w:cs="Arial"/>
          <w:sz w:val="24"/>
          <w:szCs w:val="24"/>
        </w:rPr>
        <w:t>Presidente</w:t>
      </w:r>
      <w:proofErr w:type="gramEnd"/>
      <w:r w:rsidR="00C40804" w:rsidRPr="00A3111F">
        <w:rPr>
          <w:rFonts w:ascii="Arial" w:hAnsi="Arial" w:cs="Arial"/>
          <w:sz w:val="24"/>
          <w:szCs w:val="24"/>
        </w:rPr>
        <w:t xml:space="preserve"> y al Director Ejecutivo de la Comisión de Regulación de Comunicaciones por las razones expuestas en la parte motiva de esta providencia.</w:t>
      </w:r>
    </w:p>
    <w:p w14:paraId="38B09B3E" w14:textId="77777777" w:rsidR="00C40804" w:rsidRPr="00A3111F" w:rsidRDefault="00C40804" w:rsidP="009E2306">
      <w:pPr>
        <w:pStyle w:val="Prrafodelista"/>
        <w:spacing w:after="0" w:line="360" w:lineRule="auto"/>
        <w:ind w:left="0"/>
        <w:rPr>
          <w:rFonts w:ascii="Arial" w:hAnsi="Arial" w:cs="Arial"/>
          <w:sz w:val="24"/>
          <w:szCs w:val="24"/>
        </w:rPr>
      </w:pPr>
    </w:p>
    <w:p w14:paraId="6A4067F9" w14:textId="33284E53" w:rsidR="00C40804" w:rsidRPr="00A3111F" w:rsidRDefault="005962C3" w:rsidP="009E2306">
      <w:pPr>
        <w:tabs>
          <w:tab w:val="left" w:pos="426"/>
        </w:tabs>
        <w:contextualSpacing/>
        <w:jc w:val="both"/>
        <w:rPr>
          <w:rFonts w:ascii="Arial" w:hAnsi="Arial" w:cs="Arial"/>
          <w:sz w:val="24"/>
          <w:szCs w:val="24"/>
        </w:rPr>
      </w:pPr>
      <w:r w:rsidRPr="00A3111F">
        <w:rPr>
          <w:rFonts w:ascii="Arial" w:hAnsi="Arial" w:cs="Arial"/>
          <w:b/>
          <w:bCs/>
          <w:sz w:val="24"/>
          <w:szCs w:val="24"/>
        </w:rPr>
        <w:t>SEXTO</w:t>
      </w:r>
      <w:r w:rsidR="00C40804" w:rsidRPr="00A3111F">
        <w:rPr>
          <w:rFonts w:ascii="Arial" w:hAnsi="Arial" w:cs="Arial"/>
          <w:b/>
          <w:bCs/>
          <w:sz w:val="24"/>
          <w:szCs w:val="24"/>
        </w:rPr>
        <w:t>: ADVERTIR</w:t>
      </w:r>
      <w:r w:rsidR="00C40804" w:rsidRPr="00A3111F">
        <w:rPr>
          <w:rFonts w:ascii="Arial" w:hAnsi="Arial" w:cs="Arial"/>
          <w:sz w:val="24"/>
          <w:szCs w:val="24"/>
        </w:rPr>
        <w:t xml:space="preserve"> a quienes deben ser notificados en cumplimiento del ordinal </w:t>
      </w:r>
      <w:r w:rsidR="00AE04FC" w:rsidRPr="00A3111F">
        <w:rPr>
          <w:rFonts w:ascii="Arial" w:hAnsi="Arial" w:cs="Arial"/>
          <w:sz w:val="24"/>
          <w:szCs w:val="24"/>
        </w:rPr>
        <w:t>cuarto</w:t>
      </w:r>
      <w:r w:rsidR="00C40804" w:rsidRPr="00A3111F">
        <w:rPr>
          <w:rFonts w:ascii="Arial" w:hAnsi="Arial" w:cs="Arial"/>
          <w:sz w:val="24"/>
          <w:szCs w:val="24"/>
        </w:rPr>
        <w:t xml:space="preserve"> de este auto, que, dentro del término de diez (10) días, si lo estiman pertinente, podrán presentar por escrito su intervención sobre la legalidad de la </w:t>
      </w:r>
      <w:r w:rsidR="00AC178B" w:rsidRPr="00A3111F">
        <w:rPr>
          <w:rFonts w:ascii="Arial" w:hAnsi="Arial" w:cs="Arial"/>
          <w:sz w:val="24"/>
          <w:szCs w:val="24"/>
        </w:rPr>
        <w:t xml:space="preserve">Resolución </w:t>
      </w:r>
      <w:r w:rsidR="00614C9B" w:rsidRPr="00A3111F">
        <w:rPr>
          <w:rFonts w:ascii="Arial" w:hAnsi="Arial" w:cs="Arial"/>
          <w:sz w:val="24"/>
          <w:szCs w:val="24"/>
        </w:rPr>
        <w:t>núm. CRA 921 de 16 de junio de 2020</w:t>
      </w:r>
      <w:r w:rsidR="00C40804" w:rsidRPr="00A3111F">
        <w:rPr>
          <w:rFonts w:ascii="Arial" w:hAnsi="Arial" w:cs="Arial"/>
          <w:sz w:val="24"/>
          <w:szCs w:val="24"/>
        </w:rPr>
        <w:t>, por las razones expuestas en la parte motiva de esta providencia.</w:t>
      </w:r>
    </w:p>
    <w:p w14:paraId="43E19C1D" w14:textId="77777777" w:rsidR="00C40804" w:rsidRPr="00A3111F" w:rsidRDefault="00C40804" w:rsidP="009E2306">
      <w:pPr>
        <w:pStyle w:val="Prrafodelista"/>
        <w:spacing w:after="0" w:line="360" w:lineRule="auto"/>
        <w:rPr>
          <w:rFonts w:ascii="Arial" w:hAnsi="Arial" w:cs="Arial"/>
          <w:sz w:val="24"/>
          <w:szCs w:val="24"/>
        </w:rPr>
      </w:pPr>
    </w:p>
    <w:p w14:paraId="412EEA83" w14:textId="5F03B66F" w:rsidR="00C40804" w:rsidRPr="00A3111F" w:rsidRDefault="005962C3" w:rsidP="009E2306">
      <w:pPr>
        <w:tabs>
          <w:tab w:val="left" w:pos="426"/>
        </w:tabs>
        <w:contextualSpacing/>
        <w:jc w:val="both"/>
        <w:rPr>
          <w:rFonts w:ascii="Arial" w:hAnsi="Arial" w:cs="Arial"/>
          <w:sz w:val="24"/>
          <w:szCs w:val="24"/>
        </w:rPr>
      </w:pPr>
      <w:r w:rsidRPr="00A3111F">
        <w:rPr>
          <w:rFonts w:ascii="Arial" w:hAnsi="Arial" w:cs="Arial"/>
          <w:b/>
          <w:bCs/>
          <w:sz w:val="24"/>
          <w:szCs w:val="24"/>
        </w:rPr>
        <w:t>SÉPTIMO</w:t>
      </w:r>
      <w:r w:rsidR="00C40804" w:rsidRPr="00A3111F">
        <w:rPr>
          <w:rFonts w:ascii="Arial" w:hAnsi="Arial" w:cs="Arial"/>
          <w:b/>
          <w:bCs/>
          <w:sz w:val="24"/>
          <w:szCs w:val="24"/>
        </w:rPr>
        <w:t xml:space="preserve">: ORDENAR </w:t>
      </w:r>
      <w:r w:rsidR="00C40804" w:rsidRPr="00A3111F">
        <w:rPr>
          <w:rFonts w:ascii="Arial" w:hAnsi="Arial" w:cs="Arial"/>
          <w:sz w:val="24"/>
          <w:szCs w:val="24"/>
        </w:rPr>
        <w:t xml:space="preserve">a la Secretaría General de esta Corporación que fije en la secretaria un aviso, informando sobre la existencia del proceso, por el término de diez (10) días, durante los cuales cualquier ciudadano podrá intervenir por escrito para defender o impugnar la legalidad de la </w:t>
      </w:r>
      <w:r w:rsidR="00AC178B" w:rsidRPr="00A3111F">
        <w:rPr>
          <w:rFonts w:ascii="Arial" w:hAnsi="Arial" w:cs="Arial"/>
          <w:sz w:val="24"/>
          <w:szCs w:val="24"/>
        </w:rPr>
        <w:t xml:space="preserve">Resolución </w:t>
      </w:r>
      <w:r w:rsidR="00614C9B" w:rsidRPr="00A3111F">
        <w:rPr>
          <w:rFonts w:ascii="Arial" w:hAnsi="Arial" w:cs="Arial"/>
          <w:sz w:val="24"/>
          <w:szCs w:val="24"/>
        </w:rPr>
        <w:t>núm. CRA 921 de 16 de junio de 2020</w:t>
      </w:r>
      <w:r w:rsidR="00C40804" w:rsidRPr="00A3111F">
        <w:rPr>
          <w:rFonts w:ascii="Arial" w:hAnsi="Arial" w:cs="Arial"/>
          <w:sz w:val="24"/>
          <w:szCs w:val="24"/>
        </w:rPr>
        <w:t>, por las razones expuestas en la parte motiva de esta providencia.</w:t>
      </w:r>
    </w:p>
    <w:p w14:paraId="3FE78599" w14:textId="77777777" w:rsidR="00C40804" w:rsidRPr="00A3111F" w:rsidRDefault="00C40804" w:rsidP="009E2306">
      <w:pPr>
        <w:tabs>
          <w:tab w:val="left" w:pos="426"/>
        </w:tabs>
        <w:ind w:left="720"/>
        <w:contextualSpacing/>
        <w:jc w:val="both"/>
        <w:rPr>
          <w:rFonts w:ascii="Arial" w:hAnsi="Arial" w:cs="Arial"/>
          <w:sz w:val="24"/>
          <w:szCs w:val="24"/>
        </w:rPr>
      </w:pPr>
    </w:p>
    <w:p w14:paraId="2FFD088A" w14:textId="5301E2B8" w:rsidR="00C40804" w:rsidRPr="00A3111F" w:rsidRDefault="005962C3" w:rsidP="009E2306">
      <w:pPr>
        <w:tabs>
          <w:tab w:val="left" w:pos="426"/>
        </w:tabs>
        <w:contextualSpacing/>
        <w:jc w:val="both"/>
        <w:rPr>
          <w:rFonts w:ascii="Arial" w:hAnsi="Arial" w:cs="Arial"/>
          <w:sz w:val="24"/>
          <w:szCs w:val="24"/>
        </w:rPr>
      </w:pPr>
      <w:r w:rsidRPr="00A3111F">
        <w:rPr>
          <w:rFonts w:ascii="Arial" w:hAnsi="Arial" w:cs="Arial"/>
          <w:b/>
          <w:bCs/>
          <w:sz w:val="24"/>
          <w:szCs w:val="24"/>
        </w:rPr>
        <w:t>OCTAVO</w:t>
      </w:r>
      <w:r w:rsidR="00C40804" w:rsidRPr="00A3111F">
        <w:rPr>
          <w:rFonts w:ascii="Arial" w:hAnsi="Arial" w:cs="Arial"/>
          <w:b/>
          <w:bCs/>
          <w:sz w:val="24"/>
          <w:szCs w:val="24"/>
        </w:rPr>
        <w:t>: ORDENAR,</w:t>
      </w:r>
      <w:r w:rsidR="00C40804" w:rsidRPr="00A3111F">
        <w:rPr>
          <w:rFonts w:ascii="Arial" w:hAnsi="Arial" w:cs="Arial"/>
          <w:sz w:val="24"/>
          <w:szCs w:val="24"/>
        </w:rPr>
        <w:t xml:space="preserve"> a través de la Secretaría General de esta Corporación, que se publique el aviso referido en el ordinal anterior, en el sitio web de la jurisdicción de lo contencioso administrativo y de la Rama Judicial, por las razones expuestas en la parte motiva de esta providencia.</w:t>
      </w:r>
    </w:p>
    <w:p w14:paraId="193D5453" w14:textId="77777777" w:rsidR="00C40804" w:rsidRPr="00A3111F" w:rsidRDefault="00C40804" w:rsidP="009E2306">
      <w:pPr>
        <w:tabs>
          <w:tab w:val="left" w:pos="426"/>
        </w:tabs>
        <w:contextualSpacing/>
        <w:jc w:val="both"/>
        <w:rPr>
          <w:rFonts w:ascii="Arial" w:hAnsi="Arial" w:cs="Arial"/>
          <w:sz w:val="24"/>
          <w:szCs w:val="24"/>
        </w:rPr>
      </w:pPr>
    </w:p>
    <w:p w14:paraId="60D8C4D9" w14:textId="598A4AAF" w:rsidR="00C40804" w:rsidRPr="00A3111F" w:rsidRDefault="005962C3" w:rsidP="009E2306">
      <w:pPr>
        <w:tabs>
          <w:tab w:val="left" w:pos="426"/>
        </w:tabs>
        <w:contextualSpacing/>
        <w:jc w:val="both"/>
        <w:rPr>
          <w:rFonts w:ascii="Arial" w:hAnsi="Arial" w:cs="Arial"/>
          <w:sz w:val="24"/>
          <w:szCs w:val="24"/>
        </w:rPr>
      </w:pPr>
      <w:r w:rsidRPr="00A3111F">
        <w:rPr>
          <w:rFonts w:ascii="Arial" w:hAnsi="Arial" w:cs="Arial"/>
          <w:b/>
          <w:bCs/>
          <w:sz w:val="24"/>
          <w:szCs w:val="24"/>
        </w:rPr>
        <w:t>NOVENO</w:t>
      </w:r>
      <w:r w:rsidR="00C40804" w:rsidRPr="00A3111F">
        <w:rPr>
          <w:rFonts w:ascii="Arial" w:hAnsi="Arial" w:cs="Arial"/>
          <w:b/>
          <w:bCs/>
          <w:sz w:val="24"/>
          <w:szCs w:val="24"/>
        </w:rPr>
        <w:t xml:space="preserve">: ORDENAR </w:t>
      </w:r>
      <w:r w:rsidR="00C40804" w:rsidRPr="00A3111F">
        <w:rPr>
          <w:rFonts w:ascii="Arial" w:hAnsi="Arial" w:cs="Arial"/>
          <w:sz w:val="24"/>
          <w:szCs w:val="24"/>
        </w:rPr>
        <w:t xml:space="preserve">al Director Ejecutivo de la Comisión de Regulación de </w:t>
      </w:r>
      <w:r w:rsidR="00614C9B" w:rsidRPr="00A3111F">
        <w:rPr>
          <w:rFonts w:ascii="Arial" w:hAnsi="Arial" w:cs="Arial"/>
          <w:sz w:val="24"/>
          <w:szCs w:val="24"/>
        </w:rPr>
        <w:t>Agua Potable y Saneamiento Básico</w:t>
      </w:r>
      <w:r w:rsidR="00C40804" w:rsidRPr="00A3111F">
        <w:rPr>
          <w:rFonts w:ascii="Arial" w:hAnsi="Arial" w:cs="Arial"/>
          <w:sz w:val="24"/>
          <w:szCs w:val="24"/>
        </w:rPr>
        <w:t xml:space="preserve"> que publique esta providencia de </w:t>
      </w:r>
      <w:r w:rsidR="00C40804" w:rsidRPr="00A3111F">
        <w:rPr>
          <w:rFonts w:ascii="Arial" w:hAnsi="Arial" w:cs="Arial"/>
          <w:b/>
          <w:bCs/>
          <w:sz w:val="24"/>
          <w:szCs w:val="24"/>
        </w:rPr>
        <w:t>manera inmediata</w:t>
      </w:r>
      <w:r w:rsidR="00C40804" w:rsidRPr="00A3111F">
        <w:rPr>
          <w:rFonts w:ascii="Arial" w:hAnsi="Arial" w:cs="Arial"/>
          <w:sz w:val="24"/>
          <w:szCs w:val="24"/>
        </w:rPr>
        <w:t xml:space="preserve">, por el término de diez (10) días, en el sitio web oficial de la Entidad, con el objeto de informar a la comunidad, en general; y a los proveedores y operadores a que se refiere la </w:t>
      </w:r>
      <w:r w:rsidR="00AC178B" w:rsidRPr="00A3111F">
        <w:rPr>
          <w:rFonts w:ascii="Arial" w:hAnsi="Arial" w:cs="Arial"/>
          <w:sz w:val="24"/>
          <w:szCs w:val="24"/>
        </w:rPr>
        <w:t xml:space="preserve">Resolución </w:t>
      </w:r>
      <w:r w:rsidR="00614C9B" w:rsidRPr="00A3111F">
        <w:rPr>
          <w:rFonts w:ascii="Arial" w:hAnsi="Arial" w:cs="Arial"/>
          <w:sz w:val="24"/>
          <w:szCs w:val="24"/>
        </w:rPr>
        <w:t>núm. CRA 921 de 16 de junio de 2020</w:t>
      </w:r>
      <w:r w:rsidR="00C40804" w:rsidRPr="00A3111F">
        <w:rPr>
          <w:rFonts w:ascii="Arial" w:hAnsi="Arial" w:cs="Arial"/>
          <w:i/>
          <w:iCs/>
          <w:sz w:val="24"/>
          <w:szCs w:val="24"/>
        </w:rPr>
        <w:t xml:space="preserve">, </w:t>
      </w:r>
      <w:r w:rsidR="00C40804" w:rsidRPr="00A3111F">
        <w:rPr>
          <w:rFonts w:ascii="Arial" w:hAnsi="Arial" w:cs="Arial"/>
          <w:sz w:val="24"/>
          <w:szCs w:val="24"/>
        </w:rPr>
        <w:t>en especial:</w:t>
      </w:r>
      <w:r w:rsidR="00C40804" w:rsidRPr="00A3111F">
        <w:rPr>
          <w:rFonts w:ascii="Arial" w:hAnsi="Arial" w:cs="Arial"/>
          <w:i/>
          <w:iCs/>
          <w:sz w:val="24"/>
          <w:szCs w:val="24"/>
        </w:rPr>
        <w:t xml:space="preserve"> </w:t>
      </w:r>
      <w:r w:rsidR="00C40804" w:rsidRPr="00A3111F">
        <w:rPr>
          <w:rFonts w:ascii="Arial" w:hAnsi="Arial" w:cs="Arial"/>
          <w:sz w:val="24"/>
          <w:szCs w:val="24"/>
        </w:rPr>
        <w:t>sobre la iniciación de la presente actuación judicial. El Director</w:t>
      </w:r>
      <w:r w:rsidR="578EDCF6" w:rsidRPr="00A3111F">
        <w:rPr>
          <w:rFonts w:ascii="Arial" w:hAnsi="Arial" w:cs="Arial"/>
          <w:sz w:val="24"/>
          <w:szCs w:val="24"/>
        </w:rPr>
        <w:t xml:space="preserve"> E</w:t>
      </w:r>
      <w:r w:rsidR="00C40804" w:rsidRPr="00A3111F">
        <w:rPr>
          <w:rFonts w:ascii="Arial" w:hAnsi="Arial" w:cs="Arial"/>
          <w:sz w:val="24"/>
          <w:szCs w:val="24"/>
        </w:rPr>
        <w:t>jecutivo deberá</w:t>
      </w:r>
      <w:r w:rsidR="00F133FE" w:rsidRPr="00A3111F">
        <w:rPr>
          <w:rFonts w:ascii="Arial" w:hAnsi="Arial" w:cs="Arial"/>
          <w:sz w:val="24"/>
          <w:szCs w:val="24"/>
        </w:rPr>
        <w:t>n</w:t>
      </w:r>
      <w:r w:rsidR="00C40804" w:rsidRPr="00A3111F">
        <w:rPr>
          <w:rFonts w:ascii="Arial" w:hAnsi="Arial" w:cs="Arial"/>
          <w:sz w:val="24"/>
          <w:szCs w:val="24"/>
        </w:rPr>
        <w:t xml:space="preserve"> remitir al Despacho sustanciador, dentro de los dos (2) días siguientes a la notificación de esta providencia, prueba de la publicación ordenada. </w:t>
      </w:r>
    </w:p>
    <w:p w14:paraId="7704AAB8" w14:textId="77777777" w:rsidR="00C40804" w:rsidRPr="00A3111F" w:rsidRDefault="00C40804" w:rsidP="009E2306">
      <w:pPr>
        <w:tabs>
          <w:tab w:val="left" w:pos="426"/>
        </w:tabs>
        <w:ind w:left="720"/>
        <w:contextualSpacing/>
        <w:jc w:val="both"/>
        <w:rPr>
          <w:rFonts w:ascii="Arial" w:hAnsi="Arial" w:cs="Arial"/>
          <w:b/>
          <w:bCs/>
          <w:sz w:val="24"/>
          <w:szCs w:val="24"/>
        </w:rPr>
      </w:pPr>
    </w:p>
    <w:p w14:paraId="091658A5" w14:textId="31CF39D8" w:rsidR="00C40804" w:rsidRPr="00A3111F" w:rsidRDefault="005962C3" w:rsidP="009E2306">
      <w:pPr>
        <w:tabs>
          <w:tab w:val="left" w:pos="426"/>
        </w:tabs>
        <w:contextualSpacing/>
        <w:jc w:val="both"/>
        <w:rPr>
          <w:rFonts w:ascii="Arial" w:hAnsi="Arial" w:cs="Arial"/>
          <w:b/>
          <w:bCs/>
          <w:sz w:val="24"/>
          <w:szCs w:val="24"/>
        </w:rPr>
      </w:pPr>
      <w:r w:rsidRPr="00A3111F">
        <w:rPr>
          <w:rFonts w:ascii="Arial" w:hAnsi="Arial" w:cs="Arial"/>
          <w:b/>
          <w:bCs/>
          <w:sz w:val="24"/>
          <w:szCs w:val="24"/>
        </w:rPr>
        <w:t>DÉCIMO</w:t>
      </w:r>
      <w:r w:rsidR="00C40804" w:rsidRPr="00A3111F">
        <w:rPr>
          <w:rFonts w:ascii="Arial" w:hAnsi="Arial" w:cs="Arial"/>
          <w:b/>
          <w:bCs/>
          <w:sz w:val="24"/>
          <w:szCs w:val="24"/>
        </w:rPr>
        <w:t xml:space="preserve">: INVITAR </w:t>
      </w:r>
      <w:r w:rsidR="00614C9B" w:rsidRPr="00A3111F">
        <w:rPr>
          <w:rFonts w:ascii="Arial" w:hAnsi="Arial" w:cs="Arial"/>
          <w:sz w:val="24"/>
          <w:szCs w:val="24"/>
        </w:rPr>
        <w:t xml:space="preserve">a la Superintendencia de Servicios Públicos Domiciliarios, a la Federación Colombiana de Departamentos, a la Federación Colombiana de Municipios, a la Asociación Nacional de Empresas de Servicios Públicos y Comunicaciones, a la Asociación Colombiana de Ingeniería Sanitaria y Ambiental y a las siguientes instituciones de </w:t>
      </w:r>
      <w:r w:rsidR="5A40B200" w:rsidRPr="00A3111F">
        <w:rPr>
          <w:rFonts w:ascii="Arial" w:hAnsi="Arial" w:cs="Arial"/>
          <w:sz w:val="24"/>
          <w:szCs w:val="24"/>
        </w:rPr>
        <w:t>educación</w:t>
      </w:r>
      <w:r w:rsidR="00614C9B" w:rsidRPr="00A3111F">
        <w:rPr>
          <w:rFonts w:ascii="Arial" w:hAnsi="Arial" w:cs="Arial"/>
          <w:sz w:val="24"/>
          <w:szCs w:val="24"/>
        </w:rPr>
        <w:t xml:space="preserve"> superior: Universidad de los Andes, Universidad Externado de Colombia, Pontificia Universidad Javeriana de la Compañía de Jesús, Universidad Nacional de Colombia, Universidad del Valle, Universidad de Antioquia, Universidad del Norte, Universidad de Cartagena, Universidad Industrial de Santander y Universidad de Nariño:</w:t>
      </w:r>
      <w:r w:rsidR="00C40804" w:rsidRPr="00A3111F">
        <w:rPr>
          <w:rFonts w:ascii="Arial" w:hAnsi="Arial" w:cs="Arial"/>
          <w:sz w:val="24"/>
          <w:szCs w:val="24"/>
        </w:rPr>
        <w:t xml:space="preserve"> para que, dentro del término de diez (10) días, si lo estiman pertinente, presenten por escrito su concepto sobre el contenido de la </w:t>
      </w:r>
      <w:r w:rsidR="00AC178B" w:rsidRPr="00A3111F">
        <w:rPr>
          <w:rFonts w:ascii="Arial" w:hAnsi="Arial" w:cs="Arial"/>
          <w:sz w:val="24"/>
          <w:szCs w:val="24"/>
        </w:rPr>
        <w:t xml:space="preserve">Resolución </w:t>
      </w:r>
      <w:r w:rsidR="00614C9B" w:rsidRPr="00A3111F">
        <w:rPr>
          <w:rFonts w:ascii="Arial" w:hAnsi="Arial" w:cs="Arial"/>
          <w:sz w:val="24"/>
          <w:szCs w:val="24"/>
        </w:rPr>
        <w:t>núm. CRA 921 de 16 de junio de 2020</w:t>
      </w:r>
      <w:r w:rsidR="00C40804" w:rsidRPr="00A3111F">
        <w:rPr>
          <w:rFonts w:ascii="Arial" w:hAnsi="Arial" w:cs="Arial"/>
          <w:sz w:val="24"/>
          <w:szCs w:val="24"/>
        </w:rPr>
        <w:t xml:space="preserve">, de conformidad con lo establecido en los artículos 185 y 186 de la Ley 1437; y, en ese sentido, </w:t>
      </w:r>
      <w:r w:rsidR="00C40804" w:rsidRPr="00A3111F">
        <w:rPr>
          <w:rFonts w:ascii="Arial" w:hAnsi="Arial" w:cs="Arial"/>
          <w:b/>
          <w:bCs/>
          <w:sz w:val="24"/>
          <w:szCs w:val="24"/>
        </w:rPr>
        <w:t xml:space="preserve">COMUNICAR </w:t>
      </w:r>
      <w:r w:rsidR="00C40804" w:rsidRPr="00A3111F">
        <w:rPr>
          <w:rFonts w:ascii="Arial" w:hAnsi="Arial" w:cs="Arial"/>
          <w:sz w:val="24"/>
          <w:szCs w:val="24"/>
        </w:rPr>
        <w:t>la invitación, por conducto de la Secretaría General de esta Corporación, por las razones expuestas en la parte motiva de esta providencia.</w:t>
      </w:r>
    </w:p>
    <w:p w14:paraId="395378E6" w14:textId="77777777" w:rsidR="00C40804" w:rsidRPr="00A3111F" w:rsidRDefault="00C40804" w:rsidP="002827FF">
      <w:pPr>
        <w:rPr>
          <w:rFonts w:ascii="Arial" w:hAnsi="Arial" w:cs="Arial"/>
          <w:b/>
          <w:bCs/>
          <w:sz w:val="24"/>
          <w:szCs w:val="24"/>
        </w:rPr>
      </w:pPr>
    </w:p>
    <w:p w14:paraId="5251E9EB" w14:textId="043BF4D2" w:rsidR="00C40804" w:rsidRPr="00A3111F" w:rsidRDefault="00AC178B" w:rsidP="009E2306">
      <w:pPr>
        <w:tabs>
          <w:tab w:val="left" w:pos="426"/>
        </w:tabs>
        <w:contextualSpacing/>
        <w:jc w:val="both"/>
        <w:rPr>
          <w:rFonts w:ascii="Arial" w:hAnsi="Arial" w:cs="Arial"/>
          <w:b/>
          <w:bCs/>
          <w:sz w:val="24"/>
          <w:szCs w:val="24"/>
        </w:rPr>
      </w:pPr>
      <w:r w:rsidRPr="00A3111F">
        <w:rPr>
          <w:rFonts w:ascii="Arial" w:hAnsi="Arial" w:cs="Arial"/>
          <w:b/>
          <w:bCs/>
          <w:sz w:val="24"/>
          <w:szCs w:val="24"/>
        </w:rPr>
        <w:t>DÉCIMO</w:t>
      </w:r>
      <w:r w:rsidR="005962C3" w:rsidRPr="00A3111F">
        <w:rPr>
          <w:rFonts w:ascii="Arial" w:hAnsi="Arial" w:cs="Arial"/>
          <w:b/>
          <w:bCs/>
          <w:sz w:val="24"/>
          <w:szCs w:val="24"/>
        </w:rPr>
        <w:t xml:space="preserve"> PRIMERO</w:t>
      </w:r>
      <w:r w:rsidR="00C40804" w:rsidRPr="00A3111F">
        <w:rPr>
          <w:rFonts w:ascii="Arial" w:hAnsi="Arial" w:cs="Arial"/>
          <w:b/>
          <w:bCs/>
          <w:sz w:val="24"/>
          <w:szCs w:val="24"/>
        </w:rPr>
        <w:t>: NOTIFICAR</w:t>
      </w:r>
      <w:r w:rsidR="00C40804" w:rsidRPr="00A3111F">
        <w:rPr>
          <w:rFonts w:ascii="Arial" w:hAnsi="Arial" w:cs="Arial"/>
          <w:sz w:val="24"/>
          <w:szCs w:val="24"/>
        </w:rPr>
        <w:t xml:space="preserve"> esta providencia,</w:t>
      </w:r>
      <w:r w:rsidR="00C40804" w:rsidRPr="00A3111F">
        <w:rPr>
          <w:rFonts w:ascii="Arial" w:hAnsi="Arial" w:cs="Arial"/>
          <w:b/>
          <w:bCs/>
          <w:sz w:val="24"/>
          <w:szCs w:val="24"/>
        </w:rPr>
        <w:t xml:space="preserve"> </w:t>
      </w:r>
      <w:r w:rsidR="00C40804" w:rsidRPr="00A3111F">
        <w:rPr>
          <w:rFonts w:ascii="Arial" w:hAnsi="Arial" w:cs="Arial"/>
          <w:sz w:val="24"/>
          <w:szCs w:val="24"/>
        </w:rPr>
        <w:t xml:space="preserve">por conducto de la Secretaría General de esta Corporación, al Ministerio Público, o a quien se haya delegado </w:t>
      </w:r>
      <w:r w:rsidR="00C40804" w:rsidRPr="00A3111F">
        <w:rPr>
          <w:rFonts w:ascii="Arial" w:hAnsi="Arial" w:cs="Arial"/>
          <w:sz w:val="24"/>
          <w:szCs w:val="24"/>
        </w:rPr>
        <w:lastRenderedPageBreak/>
        <w:t>para tal efecto, de conformidad con lo establecido en el numeral 5 del artículo 185 de la Ley 1437.</w:t>
      </w:r>
    </w:p>
    <w:p w14:paraId="2B87B876" w14:textId="77777777" w:rsidR="00C40804" w:rsidRPr="00A3111F" w:rsidRDefault="00C40804" w:rsidP="002827FF">
      <w:pPr>
        <w:rPr>
          <w:rFonts w:ascii="Arial" w:hAnsi="Arial" w:cs="Arial"/>
          <w:b/>
          <w:bCs/>
          <w:sz w:val="24"/>
          <w:szCs w:val="24"/>
        </w:rPr>
      </w:pPr>
    </w:p>
    <w:p w14:paraId="10BC436A" w14:textId="0C67F43C" w:rsidR="00C40804" w:rsidRPr="00A3111F" w:rsidRDefault="00AC178B" w:rsidP="009E2306">
      <w:pPr>
        <w:tabs>
          <w:tab w:val="left" w:pos="426"/>
        </w:tabs>
        <w:contextualSpacing/>
        <w:jc w:val="both"/>
        <w:rPr>
          <w:rFonts w:ascii="Arial" w:hAnsi="Arial" w:cs="Arial"/>
          <w:b/>
          <w:bCs/>
          <w:sz w:val="24"/>
          <w:szCs w:val="24"/>
        </w:rPr>
      </w:pPr>
      <w:r w:rsidRPr="00A3111F">
        <w:rPr>
          <w:rFonts w:ascii="Arial" w:hAnsi="Arial" w:cs="Arial"/>
          <w:b/>
          <w:bCs/>
          <w:sz w:val="24"/>
          <w:szCs w:val="24"/>
        </w:rPr>
        <w:t xml:space="preserve">DÉCIMO </w:t>
      </w:r>
      <w:r w:rsidR="005962C3" w:rsidRPr="00A3111F">
        <w:rPr>
          <w:rFonts w:ascii="Arial" w:hAnsi="Arial" w:cs="Arial"/>
          <w:b/>
          <w:bCs/>
          <w:sz w:val="24"/>
          <w:szCs w:val="24"/>
        </w:rPr>
        <w:t>SEGUNDO</w:t>
      </w:r>
      <w:r w:rsidR="00C40804" w:rsidRPr="00A3111F">
        <w:rPr>
          <w:rFonts w:ascii="Arial" w:hAnsi="Arial" w:cs="Arial"/>
          <w:b/>
          <w:bCs/>
          <w:sz w:val="24"/>
          <w:szCs w:val="24"/>
        </w:rPr>
        <w:t>: NOTIFICAR</w:t>
      </w:r>
      <w:r w:rsidR="00C40804" w:rsidRPr="00A3111F">
        <w:rPr>
          <w:rFonts w:ascii="Arial" w:hAnsi="Arial" w:cs="Arial"/>
          <w:sz w:val="24"/>
          <w:szCs w:val="24"/>
        </w:rPr>
        <w:t xml:space="preserve"> esta providencia, por conducto de la Secretaría General de esta Corporación, al Director General de la Agencia Nacional de Defensa Jurídica del Estado, o a quien se haya delegado para tal efecto, al buzón electrónico determinado para recibir notificaciones judiciales, por las razones expuestas en la parte motiva de esta providencia.</w:t>
      </w:r>
    </w:p>
    <w:p w14:paraId="2172E3FF" w14:textId="77777777" w:rsidR="00C40804" w:rsidRPr="00A3111F" w:rsidRDefault="00C40804" w:rsidP="002827FF">
      <w:pPr>
        <w:rPr>
          <w:rFonts w:ascii="Arial" w:hAnsi="Arial" w:cs="Arial"/>
          <w:b/>
          <w:bCs/>
          <w:sz w:val="24"/>
          <w:szCs w:val="24"/>
        </w:rPr>
      </w:pPr>
    </w:p>
    <w:p w14:paraId="4FA160BD" w14:textId="536C2946" w:rsidR="00C40804" w:rsidRPr="00A3111F" w:rsidRDefault="00C40804" w:rsidP="009E2306">
      <w:pPr>
        <w:tabs>
          <w:tab w:val="left" w:pos="426"/>
        </w:tabs>
        <w:contextualSpacing/>
        <w:jc w:val="both"/>
        <w:rPr>
          <w:rFonts w:ascii="Arial" w:hAnsi="Arial" w:cs="Arial"/>
          <w:b/>
          <w:bCs/>
          <w:sz w:val="24"/>
          <w:szCs w:val="24"/>
        </w:rPr>
      </w:pPr>
      <w:r w:rsidRPr="00A3111F">
        <w:rPr>
          <w:rFonts w:ascii="Arial" w:hAnsi="Arial" w:cs="Arial"/>
          <w:b/>
          <w:bCs/>
          <w:sz w:val="24"/>
          <w:szCs w:val="24"/>
        </w:rPr>
        <w:t>DÉCIMO</w:t>
      </w:r>
      <w:r w:rsidR="00AC178B" w:rsidRPr="00A3111F">
        <w:rPr>
          <w:rFonts w:ascii="Arial" w:hAnsi="Arial" w:cs="Arial"/>
          <w:b/>
          <w:bCs/>
          <w:sz w:val="24"/>
          <w:szCs w:val="24"/>
        </w:rPr>
        <w:t xml:space="preserve"> </w:t>
      </w:r>
      <w:r w:rsidR="005962C3" w:rsidRPr="00A3111F">
        <w:rPr>
          <w:rFonts w:ascii="Arial" w:hAnsi="Arial" w:cs="Arial"/>
          <w:b/>
          <w:bCs/>
          <w:sz w:val="24"/>
          <w:szCs w:val="24"/>
        </w:rPr>
        <w:t>TERCERO</w:t>
      </w:r>
      <w:r w:rsidRPr="00A3111F">
        <w:rPr>
          <w:rFonts w:ascii="Arial" w:hAnsi="Arial" w:cs="Arial"/>
          <w:b/>
          <w:bCs/>
          <w:sz w:val="24"/>
          <w:szCs w:val="24"/>
        </w:rPr>
        <w:t xml:space="preserve">: REQUERIR </w:t>
      </w:r>
      <w:r w:rsidR="00F133FE" w:rsidRPr="00A3111F">
        <w:rPr>
          <w:rFonts w:ascii="Arial" w:hAnsi="Arial" w:cs="Arial"/>
          <w:sz w:val="24"/>
          <w:szCs w:val="24"/>
        </w:rPr>
        <w:t xml:space="preserve">al </w:t>
      </w:r>
      <w:r w:rsidRPr="00A3111F">
        <w:rPr>
          <w:rFonts w:ascii="Arial" w:hAnsi="Arial" w:cs="Arial"/>
          <w:sz w:val="24"/>
          <w:szCs w:val="24"/>
        </w:rPr>
        <w:t xml:space="preserve">Director Ejecutivo de la Comisión de Regulación de </w:t>
      </w:r>
      <w:r w:rsidR="00614C9B" w:rsidRPr="00A3111F">
        <w:rPr>
          <w:rFonts w:ascii="Arial" w:hAnsi="Arial" w:cs="Arial"/>
          <w:sz w:val="24"/>
          <w:szCs w:val="24"/>
        </w:rPr>
        <w:t>Agua Potable y Saneamiento Básico</w:t>
      </w:r>
      <w:r w:rsidRPr="00A3111F">
        <w:rPr>
          <w:rFonts w:ascii="Arial" w:hAnsi="Arial" w:cs="Arial"/>
          <w:sz w:val="24"/>
          <w:szCs w:val="24"/>
        </w:rPr>
        <w:t xml:space="preserve"> para que, dentro del término de cinco (5) días, allegue el expediente administrativo que contenga todos los antecedentes de la </w:t>
      </w:r>
      <w:r w:rsidR="00AC178B" w:rsidRPr="00A3111F">
        <w:rPr>
          <w:rFonts w:ascii="Arial" w:hAnsi="Arial" w:cs="Arial"/>
          <w:sz w:val="24"/>
          <w:szCs w:val="24"/>
        </w:rPr>
        <w:t xml:space="preserve">Resolución </w:t>
      </w:r>
      <w:r w:rsidR="00614C9B" w:rsidRPr="00A3111F">
        <w:rPr>
          <w:rFonts w:ascii="Arial" w:hAnsi="Arial" w:cs="Arial"/>
          <w:sz w:val="24"/>
          <w:szCs w:val="24"/>
        </w:rPr>
        <w:t>núm. CRA 921 de 16 de junio de 2020</w:t>
      </w:r>
      <w:r w:rsidRPr="00A3111F">
        <w:rPr>
          <w:rFonts w:ascii="Arial" w:hAnsi="Arial" w:cs="Arial"/>
          <w:sz w:val="24"/>
          <w:szCs w:val="24"/>
        </w:rPr>
        <w:t>, por las razones expuestas en la parte motiva de esta providencia.</w:t>
      </w:r>
    </w:p>
    <w:p w14:paraId="7D0907DA" w14:textId="77777777" w:rsidR="00C40804" w:rsidRPr="00A3111F" w:rsidRDefault="00C40804" w:rsidP="009E2306">
      <w:pPr>
        <w:pStyle w:val="Prrafodelista"/>
        <w:spacing w:after="0" w:line="360" w:lineRule="auto"/>
        <w:ind w:left="0"/>
        <w:rPr>
          <w:rFonts w:ascii="Arial" w:hAnsi="Arial" w:cs="Arial"/>
          <w:b/>
          <w:bCs/>
          <w:sz w:val="24"/>
          <w:szCs w:val="24"/>
        </w:rPr>
      </w:pPr>
    </w:p>
    <w:p w14:paraId="5E7F2430" w14:textId="604EAAA4" w:rsidR="00C40804" w:rsidRPr="00A3111F" w:rsidRDefault="00C40804" w:rsidP="009E2306">
      <w:pPr>
        <w:tabs>
          <w:tab w:val="left" w:pos="426"/>
        </w:tabs>
        <w:contextualSpacing/>
        <w:jc w:val="both"/>
        <w:rPr>
          <w:rFonts w:ascii="Arial" w:eastAsia="Batang" w:hAnsi="Arial" w:cs="Arial"/>
          <w:i/>
          <w:sz w:val="24"/>
          <w:szCs w:val="24"/>
        </w:rPr>
      </w:pPr>
      <w:r w:rsidRPr="00A3111F">
        <w:rPr>
          <w:rFonts w:ascii="Arial" w:hAnsi="Arial" w:cs="Arial"/>
          <w:b/>
          <w:bCs/>
          <w:sz w:val="24"/>
          <w:szCs w:val="24"/>
        </w:rPr>
        <w:t xml:space="preserve">DÉCIMO </w:t>
      </w:r>
      <w:r w:rsidR="005962C3" w:rsidRPr="00A3111F">
        <w:rPr>
          <w:rFonts w:ascii="Arial" w:hAnsi="Arial" w:cs="Arial"/>
          <w:b/>
          <w:bCs/>
          <w:sz w:val="24"/>
          <w:szCs w:val="24"/>
        </w:rPr>
        <w:t>CUARTO</w:t>
      </w:r>
      <w:r w:rsidRPr="00A3111F">
        <w:rPr>
          <w:rFonts w:ascii="Arial" w:hAnsi="Arial" w:cs="Arial"/>
          <w:b/>
          <w:bCs/>
          <w:sz w:val="24"/>
          <w:szCs w:val="24"/>
        </w:rPr>
        <w:t xml:space="preserve">: INFORMAR, </w:t>
      </w:r>
      <w:r w:rsidRPr="00A3111F">
        <w:rPr>
          <w:rFonts w:ascii="Arial" w:hAnsi="Arial" w:cs="Arial"/>
          <w:sz w:val="24"/>
          <w:szCs w:val="24"/>
        </w:rPr>
        <w:t xml:space="preserve">por conducto de la Secretaría General de esta Corporación, que las intervenciones, los conceptos, los antecedentes administrativos, las pruebas, las comunicaciones y demás documentos que se dirijan al Despacho sustanciador con destino al expediente del proceso de la referencia, mediante mensaje de datos, deberán ser enviados al siguiente buzón electrónico: </w:t>
      </w:r>
      <w:hyperlink r:id="rId13">
        <w:r w:rsidRPr="00A3111F">
          <w:rPr>
            <w:rFonts w:ascii="Arial" w:eastAsia="Batang" w:hAnsi="Arial" w:cs="Arial"/>
            <w:i/>
            <w:sz w:val="24"/>
            <w:szCs w:val="24"/>
          </w:rPr>
          <w:t>secgeneral@consejoestado.ramajudicial.gov.co</w:t>
        </w:r>
      </w:hyperlink>
    </w:p>
    <w:p w14:paraId="4EF9EE6E" w14:textId="653CDCCF" w:rsidR="00AE04FC" w:rsidRPr="00A3111F" w:rsidRDefault="00AE04FC" w:rsidP="009E2306">
      <w:pPr>
        <w:tabs>
          <w:tab w:val="left" w:pos="426"/>
        </w:tabs>
        <w:contextualSpacing/>
        <w:jc w:val="both"/>
        <w:rPr>
          <w:rFonts w:ascii="Arial" w:eastAsia="Batang" w:hAnsi="Arial" w:cs="Arial"/>
          <w:i/>
          <w:sz w:val="24"/>
          <w:szCs w:val="24"/>
        </w:rPr>
      </w:pPr>
    </w:p>
    <w:p w14:paraId="6AEFCBC9" w14:textId="3A23DBC9" w:rsidR="00AE04FC" w:rsidRPr="00A3111F" w:rsidRDefault="00AE04FC" w:rsidP="009E2306">
      <w:pPr>
        <w:tabs>
          <w:tab w:val="left" w:pos="426"/>
        </w:tabs>
        <w:contextualSpacing/>
        <w:jc w:val="both"/>
        <w:rPr>
          <w:rFonts w:ascii="Arial" w:hAnsi="Arial" w:cs="Arial"/>
          <w:iCs/>
          <w:sz w:val="24"/>
          <w:szCs w:val="24"/>
        </w:rPr>
      </w:pPr>
      <w:r w:rsidRPr="00A3111F">
        <w:rPr>
          <w:rFonts w:ascii="Arial" w:eastAsia="Batang" w:hAnsi="Arial" w:cs="Arial"/>
          <w:b/>
          <w:bCs/>
          <w:iCs/>
          <w:sz w:val="24"/>
          <w:szCs w:val="24"/>
        </w:rPr>
        <w:t xml:space="preserve">DECIMO </w:t>
      </w:r>
      <w:r w:rsidR="005962C3" w:rsidRPr="00A3111F">
        <w:rPr>
          <w:rFonts w:ascii="Arial" w:eastAsia="Batang" w:hAnsi="Arial" w:cs="Arial"/>
          <w:b/>
          <w:bCs/>
          <w:iCs/>
          <w:sz w:val="24"/>
          <w:szCs w:val="24"/>
        </w:rPr>
        <w:t>QUINTO</w:t>
      </w:r>
      <w:r w:rsidRPr="00A3111F">
        <w:rPr>
          <w:rFonts w:ascii="Arial" w:eastAsia="Batang" w:hAnsi="Arial" w:cs="Arial"/>
          <w:b/>
          <w:bCs/>
          <w:iCs/>
          <w:sz w:val="24"/>
          <w:szCs w:val="24"/>
        </w:rPr>
        <w:t xml:space="preserve">: </w:t>
      </w:r>
      <w:r w:rsidRPr="00A3111F">
        <w:rPr>
          <w:rFonts w:ascii="Arial" w:eastAsia="Batang" w:hAnsi="Arial" w:cs="Arial"/>
          <w:iCs/>
          <w:sz w:val="24"/>
          <w:szCs w:val="24"/>
        </w:rPr>
        <w:t xml:space="preserve">por Secretaría General de esta Corporación, </w:t>
      </w:r>
      <w:r w:rsidRPr="00A3111F">
        <w:rPr>
          <w:rFonts w:ascii="Arial" w:eastAsia="Batang" w:hAnsi="Arial" w:cs="Arial"/>
          <w:b/>
          <w:bCs/>
          <w:iCs/>
          <w:sz w:val="24"/>
          <w:szCs w:val="24"/>
        </w:rPr>
        <w:t xml:space="preserve">INFORMAR </w:t>
      </w:r>
      <w:r w:rsidRPr="00A3111F">
        <w:rPr>
          <w:rFonts w:ascii="Arial" w:eastAsia="Batang" w:hAnsi="Arial" w:cs="Arial"/>
          <w:iCs/>
          <w:sz w:val="24"/>
          <w:szCs w:val="24"/>
        </w:rPr>
        <w:t xml:space="preserve">al Despacho del Consejero de Estado, </w:t>
      </w:r>
      <w:r w:rsidR="00614C9B" w:rsidRPr="00A3111F">
        <w:rPr>
          <w:rFonts w:ascii="Arial" w:eastAsia="Batang" w:hAnsi="Arial" w:cs="Arial"/>
          <w:iCs/>
          <w:sz w:val="24"/>
          <w:szCs w:val="24"/>
        </w:rPr>
        <w:t>D</w:t>
      </w:r>
      <w:r w:rsidRPr="00A3111F">
        <w:rPr>
          <w:rFonts w:ascii="Arial" w:eastAsia="Batang" w:hAnsi="Arial" w:cs="Arial"/>
          <w:iCs/>
          <w:sz w:val="24"/>
          <w:szCs w:val="24"/>
        </w:rPr>
        <w:t xml:space="preserve">octor </w:t>
      </w:r>
      <w:r w:rsidR="00614C9B" w:rsidRPr="00A3111F">
        <w:rPr>
          <w:rFonts w:ascii="Arial" w:eastAsia="Batang" w:hAnsi="Arial" w:cs="Arial"/>
          <w:iCs/>
          <w:sz w:val="24"/>
          <w:szCs w:val="24"/>
        </w:rPr>
        <w:t>Luis Alberto Álvarez Parra</w:t>
      </w:r>
      <w:r w:rsidRPr="00A3111F">
        <w:rPr>
          <w:rFonts w:ascii="Arial" w:eastAsia="Batang" w:hAnsi="Arial" w:cs="Arial"/>
          <w:iCs/>
          <w:sz w:val="24"/>
          <w:szCs w:val="24"/>
        </w:rPr>
        <w:t>, sobre las decisiones adoptadas en esta providencia, para su conocimiento y fines pertinentes.</w:t>
      </w:r>
    </w:p>
    <w:p w14:paraId="4E9C3827" w14:textId="77777777" w:rsidR="00C40804" w:rsidRPr="00A3111F" w:rsidRDefault="00C40804" w:rsidP="009E2306">
      <w:pPr>
        <w:tabs>
          <w:tab w:val="left" w:pos="426"/>
        </w:tabs>
        <w:contextualSpacing/>
        <w:jc w:val="both"/>
        <w:rPr>
          <w:rFonts w:ascii="Arial" w:hAnsi="Arial" w:cs="Arial"/>
          <w:b/>
          <w:sz w:val="24"/>
          <w:szCs w:val="24"/>
        </w:rPr>
      </w:pPr>
    </w:p>
    <w:p w14:paraId="5A230D87" w14:textId="77777777" w:rsidR="00C40804" w:rsidRPr="00A3111F" w:rsidRDefault="00C40804" w:rsidP="009E2306">
      <w:pPr>
        <w:pStyle w:val="Sinespaciado"/>
        <w:contextualSpacing/>
        <w:rPr>
          <w:rFonts w:ascii="Arial" w:hAnsi="Arial" w:cs="Arial"/>
          <w:b/>
          <w:sz w:val="24"/>
          <w:szCs w:val="24"/>
          <w:lang w:val="es-CO"/>
        </w:rPr>
      </w:pPr>
      <w:r w:rsidRPr="00A3111F">
        <w:rPr>
          <w:rFonts w:ascii="Arial" w:hAnsi="Arial" w:cs="Arial"/>
          <w:b/>
          <w:sz w:val="24"/>
          <w:szCs w:val="24"/>
          <w:lang w:val="es-CO"/>
        </w:rPr>
        <w:t>NOTIFÍQUESE Y CÚMPLASE</w:t>
      </w:r>
    </w:p>
    <w:p w14:paraId="0DCADA53" w14:textId="77777777" w:rsidR="00C40804" w:rsidRPr="00A3111F" w:rsidRDefault="00C40804" w:rsidP="009E2306">
      <w:pPr>
        <w:pStyle w:val="Sinespaciado"/>
        <w:contextualSpacing/>
        <w:rPr>
          <w:rFonts w:ascii="Arial" w:hAnsi="Arial" w:cs="Arial"/>
          <w:b/>
          <w:sz w:val="24"/>
          <w:szCs w:val="24"/>
          <w:lang w:val="es-CO"/>
        </w:rPr>
      </w:pPr>
    </w:p>
    <w:p w14:paraId="3A26534E" w14:textId="77777777" w:rsidR="00C40804" w:rsidRPr="00A3111F" w:rsidRDefault="00C40804" w:rsidP="009E2306">
      <w:pPr>
        <w:pStyle w:val="Sinespaciado"/>
        <w:contextualSpacing/>
        <w:rPr>
          <w:rFonts w:ascii="Arial" w:hAnsi="Arial" w:cs="Arial"/>
          <w:b/>
          <w:sz w:val="24"/>
          <w:szCs w:val="24"/>
          <w:lang w:val="es-CO"/>
        </w:rPr>
      </w:pPr>
    </w:p>
    <w:p w14:paraId="53DB046F" w14:textId="6A4EFE1A" w:rsidR="00AC178B" w:rsidRPr="00A3111F" w:rsidRDefault="00AC178B" w:rsidP="3674EF52">
      <w:pPr>
        <w:pStyle w:val="Sinespaciado"/>
        <w:contextualSpacing/>
        <w:rPr>
          <w:rFonts w:ascii="Arial" w:hAnsi="Arial" w:cs="Arial"/>
          <w:b/>
          <w:bCs/>
          <w:sz w:val="24"/>
          <w:szCs w:val="24"/>
          <w:lang w:val="es-CO"/>
        </w:rPr>
      </w:pPr>
    </w:p>
    <w:p w14:paraId="78BDD2AC" w14:textId="77777777" w:rsidR="00C40804" w:rsidRPr="00A3111F" w:rsidRDefault="00C40804" w:rsidP="009E2306">
      <w:pPr>
        <w:pStyle w:val="Sinespaciado"/>
        <w:spacing w:line="240" w:lineRule="auto"/>
        <w:contextualSpacing/>
        <w:rPr>
          <w:rFonts w:ascii="Arial" w:hAnsi="Arial" w:cs="Arial"/>
          <w:b/>
          <w:sz w:val="24"/>
          <w:szCs w:val="24"/>
          <w:lang w:val="es-CO"/>
        </w:rPr>
      </w:pPr>
    </w:p>
    <w:p w14:paraId="2547F99C" w14:textId="77777777" w:rsidR="00C40804" w:rsidRPr="00A3111F" w:rsidRDefault="00C40804" w:rsidP="009E2306">
      <w:pPr>
        <w:pStyle w:val="Sinespaciado"/>
        <w:spacing w:line="240" w:lineRule="auto"/>
        <w:contextualSpacing/>
        <w:jc w:val="center"/>
        <w:rPr>
          <w:rFonts w:ascii="Arial" w:hAnsi="Arial" w:cs="Arial"/>
          <w:b/>
          <w:sz w:val="24"/>
          <w:szCs w:val="24"/>
          <w:lang w:val="es-CO"/>
        </w:rPr>
      </w:pPr>
      <w:r w:rsidRPr="00A3111F">
        <w:rPr>
          <w:rFonts w:ascii="Arial" w:hAnsi="Arial" w:cs="Arial"/>
          <w:b/>
          <w:sz w:val="24"/>
          <w:szCs w:val="24"/>
          <w:lang w:val="es-CO"/>
        </w:rPr>
        <w:t xml:space="preserve">HERNANDO SÁNCHEZ </w:t>
      </w:r>
      <w:proofErr w:type="spellStart"/>
      <w:r w:rsidRPr="00A3111F">
        <w:rPr>
          <w:rFonts w:ascii="Arial" w:hAnsi="Arial" w:cs="Arial"/>
          <w:b/>
          <w:sz w:val="24"/>
          <w:szCs w:val="24"/>
          <w:lang w:val="es-CO"/>
        </w:rPr>
        <w:t>SÁNCHEZ</w:t>
      </w:r>
      <w:proofErr w:type="spellEnd"/>
    </w:p>
    <w:p w14:paraId="553FA984" w14:textId="77777777" w:rsidR="00C40804" w:rsidRPr="002868BA" w:rsidRDefault="00C40804" w:rsidP="009E2306">
      <w:pPr>
        <w:pStyle w:val="Sinespaciado"/>
        <w:spacing w:line="240" w:lineRule="auto"/>
        <w:contextualSpacing/>
        <w:jc w:val="center"/>
        <w:rPr>
          <w:rFonts w:ascii="Arial" w:hAnsi="Arial" w:cs="Arial"/>
          <w:b/>
        </w:rPr>
      </w:pPr>
      <w:r w:rsidRPr="002868BA">
        <w:rPr>
          <w:rFonts w:ascii="Arial" w:hAnsi="Arial" w:cs="Arial"/>
          <w:b/>
          <w:sz w:val="24"/>
          <w:szCs w:val="24"/>
          <w:lang w:val="es-CO"/>
        </w:rPr>
        <w:t>Consejero de Estado</w:t>
      </w:r>
    </w:p>
    <w:p w14:paraId="5214ED7C" w14:textId="77777777" w:rsidR="00C40804" w:rsidRPr="00A3111F" w:rsidRDefault="00C40804" w:rsidP="009E2306">
      <w:pPr>
        <w:tabs>
          <w:tab w:val="left" w:pos="426"/>
        </w:tabs>
        <w:contextualSpacing/>
        <w:jc w:val="both"/>
        <w:rPr>
          <w:rFonts w:ascii="Arial" w:hAnsi="Arial" w:cs="Arial"/>
          <w:sz w:val="24"/>
          <w:szCs w:val="24"/>
        </w:rPr>
      </w:pPr>
    </w:p>
    <w:sectPr w:rsidR="00C40804" w:rsidRPr="00A3111F" w:rsidSect="005E7C10">
      <w:headerReference w:type="default" r:id="rId14"/>
      <w:footerReference w:type="default" r:id="rId15"/>
      <w:headerReference w:type="first" r:id="rId16"/>
      <w:footerReference w:type="first" r:id="rId17"/>
      <w:pgSz w:w="12242" w:h="18722" w:code="14"/>
      <w:pgMar w:top="2269" w:right="1701" w:bottom="2127" w:left="1814" w:header="709" w:footer="14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7FC854" w14:textId="77777777" w:rsidR="001113F0" w:rsidRDefault="001113F0" w:rsidP="008C26F9">
      <w:pPr>
        <w:spacing w:line="240" w:lineRule="auto"/>
      </w:pPr>
      <w:r>
        <w:separator/>
      </w:r>
    </w:p>
  </w:endnote>
  <w:endnote w:type="continuationSeparator" w:id="0">
    <w:p w14:paraId="453EBDDC" w14:textId="77777777" w:rsidR="001113F0" w:rsidRDefault="001113F0" w:rsidP="008C26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58E7" w14:textId="6495E64C" w:rsidR="007A6B63" w:rsidRPr="00556AC7" w:rsidRDefault="007A6B63" w:rsidP="00556AC7">
    <w:pPr>
      <w:tabs>
        <w:tab w:val="center" w:pos="4252"/>
        <w:tab w:val="right" w:pos="8504"/>
      </w:tabs>
      <w:spacing w:line="240" w:lineRule="auto"/>
      <w:jc w:val="center"/>
      <w:rPr>
        <w:rFonts w:ascii="Arial" w:hAnsi="Arial" w:cs="Arial"/>
        <w:color w:val="767171"/>
        <w:sz w:val="20"/>
        <w:szCs w:val="20"/>
        <w:lang w:val="es-ES"/>
      </w:rPr>
    </w:pPr>
    <w:r w:rsidRPr="00556AC7">
      <w:rPr>
        <w:rFonts w:ascii="Arial" w:hAnsi="Arial" w:cs="Arial"/>
        <w:color w:val="767171"/>
        <w:sz w:val="20"/>
        <w:szCs w:val="20"/>
        <w:lang w:val="es-ES"/>
      </w:rPr>
      <w:t>Calle 12 No. 7-65 – Tel: (57-1) 350-6700 – Bogotá D.C. – Colombia</w:t>
    </w:r>
  </w:p>
  <w:p w14:paraId="7417706E" w14:textId="77777777" w:rsidR="007A6B63" w:rsidRPr="00556AC7" w:rsidRDefault="007A6B63" w:rsidP="00556AC7">
    <w:pPr>
      <w:tabs>
        <w:tab w:val="center" w:pos="4252"/>
        <w:tab w:val="right" w:pos="8504"/>
      </w:tabs>
      <w:spacing w:line="240" w:lineRule="auto"/>
      <w:jc w:val="center"/>
      <w:rPr>
        <w:rFonts w:ascii="Arial" w:hAnsi="Arial" w:cs="Arial"/>
        <w:color w:val="767171"/>
        <w:sz w:val="20"/>
        <w:szCs w:val="20"/>
        <w:lang w:val="es-ES"/>
      </w:rPr>
    </w:pPr>
    <w:r w:rsidRPr="00556AC7">
      <w:rPr>
        <w:rFonts w:ascii="Arial" w:hAnsi="Arial" w:cs="Arial"/>
        <w:color w:val="767171"/>
        <w:sz w:val="20"/>
        <w:szCs w:val="20"/>
        <w:lang w:val="es-ES"/>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34C3A" w14:textId="77777777" w:rsidR="007A6B63" w:rsidRDefault="007A6B63" w:rsidP="0055234E">
    <w:pPr>
      <w:tabs>
        <w:tab w:val="center" w:pos="4252"/>
        <w:tab w:val="right" w:pos="8504"/>
      </w:tabs>
      <w:spacing w:line="240" w:lineRule="auto"/>
      <w:jc w:val="center"/>
      <w:rPr>
        <w:rFonts w:ascii="Verdana" w:hAnsi="Verdana" w:cs="Arial"/>
        <w:color w:val="767171"/>
        <w:sz w:val="20"/>
        <w:szCs w:val="20"/>
        <w:lang w:val="es-ES"/>
      </w:rPr>
    </w:pPr>
    <w:r>
      <w:rPr>
        <w:rFonts w:ascii="Verdana" w:hAnsi="Verdana" w:cs="Arial"/>
        <w:color w:val="767171"/>
        <w:sz w:val="20"/>
        <w:szCs w:val="20"/>
        <w:lang w:val="es-ES"/>
      </w:rPr>
      <w:t>C</w:t>
    </w:r>
    <w:r w:rsidRPr="00BE22F7">
      <w:rPr>
        <w:rFonts w:ascii="Verdana" w:hAnsi="Verdana" w:cs="Arial"/>
        <w:color w:val="767171"/>
        <w:sz w:val="20"/>
        <w:szCs w:val="20"/>
        <w:lang w:val="es-ES"/>
      </w:rPr>
      <w:t>alle 12 No. 7-65 – Tel: (57-1) 350-6700 – Bogotá D.C. – Colombia</w:t>
    </w:r>
  </w:p>
  <w:p w14:paraId="29300964" w14:textId="77777777" w:rsidR="007A6B63" w:rsidRPr="00DB266C" w:rsidRDefault="007A6B63" w:rsidP="0055234E">
    <w:pPr>
      <w:tabs>
        <w:tab w:val="center" w:pos="4252"/>
        <w:tab w:val="right" w:pos="8504"/>
      </w:tabs>
      <w:spacing w:line="240" w:lineRule="auto"/>
      <w:jc w:val="center"/>
      <w:rPr>
        <w:rFonts w:ascii="Verdana" w:hAnsi="Verdana" w:cs="Arial"/>
        <w:color w:val="767171"/>
        <w:sz w:val="20"/>
        <w:szCs w:val="20"/>
        <w:lang w:val="es-ES"/>
      </w:rPr>
    </w:pPr>
    <w:r w:rsidRPr="00BE22F7">
      <w:rPr>
        <w:rFonts w:ascii="Verdana" w:hAnsi="Verdana" w:cs="Arial"/>
        <w:color w:val="767171"/>
        <w:sz w:val="20"/>
        <w:szCs w:val="20"/>
        <w:lang w:val="es-ES"/>
      </w:rPr>
      <w:t>www.consejodeestado.gov.co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492A64" w14:textId="77777777" w:rsidR="001113F0" w:rsidRDefault="001113F0" w:rsidP="008C26F9">
      <w:pPr>
        <w:spacing w:line="240" w:lineRule="auto"/>
      </w:pPr>
      <w:r>
        <w:separator/>
      </w:r>
    </w:p>
  </w:footnote>
  <w:footnote w:type="continuationSeparator" w:id="0">
    <w:p w14:paraId="5B853C87" w14:textId="77777777" w:rsidR="001113F0" w:rsidRDefault="001113F0" w:rsidP="008C26F9">
      <w:pPr>
        <w:spacing w:line="240" w:lineRule="auto"/>
      </w:pPr>
      <w:r>
        <w:continuationSeparator/>
      </w:r>
    </w:p>
  </w:footnote>
  <w:footnote w:id="1">
    <w:p w14:paraId="26D24C00" w14:textId="77777777" w:rsidR="007A6B63" w:rsidRPr="0057290A" w:rsidRDefault="007A6B63" w:rsidP="0057290A">
      <w:pPr>
        <w:pStyle w:val="Textonotapie"/>
        <w:contextualSpacing/>
        <w:jc w:val="both"/>
        <w:rPr>
          <w:rFonts w:ascii="Arial" w:hAnsi="Arial" w:cs="Arial"/>
          <w:sz w:val="18"/>
          <w:szCs w:val="18"/>
        </w:rPr>
      </w:pPr>
      <w:r w:rsidRPr="0057290A">
        <w:rPr>
          <w:rStyle w:val="Refdenotaalpie"/>
          <w:rFonts w:ascii="Arial" w:hAnsi="Arial" w:cs="Arial"/>
          <w:sz w:val="18"/>
          <w:szCs w:val="18"/>
        </w:rPr>
        <w:footnoteRef/>
      </w:r>
      <w:r w:rsidRPr="0057290A">
        <w:rPr>
          <w:rFonts w:ascii="Arial" w:hAnsi="Arial" w:cs="Arial"/>
          <w:sz w:val="18"/>
          <w:szCs w:val="18"/>
        </w:rPr>
        <w:t xml:space="preserve"> El Convenio constitutivo de la Organización Mundial de la Salud fue adoptado por la Conferencia Sanitaria Internacional celebrada en Nueva York del 19 de junio al 22 de julio de 1946, firmada el 22 de julio de 1946 por los representantes de 61 Estados y entró en vigor internacional el 7 de abril de 1948. El Convenio fue aprobado por el Congreso de la República, mediante la Ley 19 de 13 de mayo 1959; y está en vigor para el Estado colombiano.  </w:t>
      </w:r>
    </w:p>
  </w:footnote>
  <w:footnote w:id="2">
    <w:p w14:paraId="25708F08" w14:textId="77777777" w:rsidR="007A6B63" w:rsidRPr="0057290A" w:rsidRDefault="007A6B63" w:rsidP="0057290A">
      <w:pPr>
        <w:pStyle w:val="Textonotapie"/>
        <w:rPr>
          <w:rFonts w:ascii="Arial" w:hAnsi="Arial" w:cs="Arial"/>
          <w:sz w:val="18"/>
          <w:szCs w:val="18"/>
        </w:rPr>
      </w:pPr>
      <w:r w:rsidRPr="0057290A">
        <w:rPr>
          <w:rStyle w:val="Refdenotaalpie"/>
          <w:rFonts w:ascii="Arial" w:hAnsi="Arial" w:cs="Arial"/>
          <w:sz w:val="18"/>
          <w:szCs w:val="18"/>
        </w:rPr>
        <w:footnoteRef/>
      </w:r>
      <w:r w:rsidRPr="0057290A">
        <w:rPr>
          <w:rFonts w:ascii="Arial" w:hAnsi="Arial" w:cs="Arial"/>
          <w:i/>
          <w:iCs/>
          <w:sz w:val="18"/>
          <w:szCs w:val="18"/>
        </w:rPr>
        <w:t xml:space="preserve"> “Por la cual se expide el Código de Procedimiento Administrativo y de lo Contencioso Administrativo”.</w:t>
      </w:r>
    </w:p>
  </w:footnote>
  <w:footnote w:id="3">
    <w:p w14:paraId="3181DF68" w14:textId="77777777" w:rsidR="007A6B63" w:rsidRPr="0057290A" w:rsidRDefault="007A6B63" w:rsidP="0057290A">
      <w:pPr>
        <w:pStyle w:val="NormalWeb"/>
        <w:spacing w:before="0" w:beforeAutospacing="0" w:after="0" w:afterAutospacing="0"/>
        <w:contextualSpacing/>
        <w:jc w:val="both"/>
        <w:rPr>
          <w:rFonts w:ascii="Arial" w:hAnsi="Arial" w:cs="Arial"/>
          <w:i/>
          <w:sz w:val="18"/>
          <w:szCs w:val="18"/>
        </w:rPr>
      </w:pPr>
      <w:r w:rsidRPr="0057290A">
        <w:rPr>
          <w:rStyle w:val="Refdenotaalpie"/>
          <w:rFonts w:ascii="Arial" w:hAnsi="Arial" w:cs="Arial"/>
          <w:i/>
          <w:sz w:val="18"/>
          <w:szCs w:val="18"/>
        </w:rPr>
        <w:footnoteRef/>
      </w:r>
      <w:r w:rsidRPr="0057290A">
        <w:rPr>
          <w:rFonts w:ascii="Arial" w:hAnsi="Arial" w:cs="Arial"/>
          <w:i/>
          <w:sz w:val="18"/>
          <w:szCs w:val="18"/>
        </w:rPr>
        <w:t xml:space="preserve"> “[…] Artículo 215. Cuando sobrevengan hechos distintos de los previstos en los artículos </w:t>
      </w:r>
      <w:hyperlink r:id="rId1" w:anchor="212" w:history="1">
        <w:r w:rsidRPr="0057290A">
          <w:rPr>
            <w:rFonts w:ascii="Arial" w:hAnsi="Arial" w:cs="Arial"/>
            <w:i/>
            <w:sz w:val="18"/>
            <w:szCs w:val="18"/>
          </w:rPr>
          <w:t>212</w:t>
        </w:r>
      </w:hyperlink>
      <w:r w:rsidRPr="0057290A">
        <w:rPr>
          <w:rFonts w:ascii="Arial" w:hAnsi="Arial" w:cs="Arial"/>
          <w:i/>
          <w:sz w:val="18"/>
          <w:szCs w:val="18"/>
        </w:rPr>
        <w:t> y </w:t>
      </w:r>
      <w:hyperlink r:id="rId2" w:anchor="213" w:history="1">
        <w:r w:rsidRPr="0057290A">
          <w:rPr>
            <w:rFonts w:ascii="Arial" w:hAnsi="Arial" w:cs="Arial"/>
            <w:i/>
            <w:sz w:val="18"/>
            <w:szCs w:val="18"/>
          </w:rPr>
          <w:t>213</w:t>
        </w:r>
      </w:hyperlink>
      <w:r w:rsidRPr="0057290A">
        <w:rPr>
          <w:rFonts w:ascii="Arial" w:hAnsi="Arial" w:cs="Arial"/>
          <w:i/>
          <w:sz w:val="18"/>
          <w:szCs w:val="18"/>
        </w:rPr>
        <w:t> que perturben o amenacen perturbar en forma grave e inminente el orden económico, social y ecológico del país, o que constituyan grave calamidad pública, podrá el Presidente, con la firma de todos los ministros, declarar el Estado de Emergencia por períodos hasta de treinta días en cada caso, que sumados no podrán exceder de noventa días en el año calendario.</w:t>
      </w:r>
    </w:p>
    <w:p w14:paraId="5E647252" w14:textId="77777777" w:rsidR="007A6B63" w:rsidRPr="0057290A" w:rsidRDefault="007A6B63" w:rsidP="0057290A">
      <w:pPr>
        <w:spacing w:line="240" w:lineRule="auto"/>
        <w:contextualSpacing/>
        <w:jc w:val="both"/>
        <w:rPr>
          <w:rFonts w:ascii="Arial" w:eastAsia="Times New Roman" w:hAnsi="Arial" w:cs="Arial"/>
          <w:i/>
          <w:spacing w:val="-2"/>
          <w:sz w:val="18"/>
          <w:szCs w:val="18"/>
          <w:lang w:eastAsia="es-CO"/>
        </w:rPr>
      </w:pPr>
      <w:r w:rsidRPr="0057290A">
        <w:rPr>
          <w:rFonts w:ascii="Arial" w:eastAsia="Times New Roman" w:hAnsi="Arial" w:cs="Arial"/>
          <w:i/>
          <w:spacing w:val="-2"/>
          <w:sz w:val="18"/>
          <w:szCs w:val="18"/>
          <w:lang w:eastAsia="es-CO"/>
        </w:rPr>
        <w:t xml:space="preserve">Mediante tal declaración, que deberá ser motivada, podrá el </w:t>
      </w:r>
      <w:proofErr w:type="gramStart"/>
      <w:r w:rsidRPr="0057290A">
        <w:rPr>
          <w:rFonts w:ascii="Arial" w:eastAsia="Times New Roman" w:hAnsi="Arial" w:cs="Arial"/>
          <w:i/>
          <w:spacing w:val="-2"/>
          <w:sz w:val="18"/>
          <w:szCs w:val="18"/>
          <w:lang w:eastAsia="es-CO"/>
        </w:rPr>
        <w:t>Presidente</w:t>
      </w:r>
      <w:proofErr w:type="gramEnd"/>
      <w:r w:rsidRPr="0057290A">
        <w:rPr>
          <w:rFonts w:ascii="Arial" w:eastAsia="Times New Roman" w:hAnsi="Arial" w:cs="Arial"/>
          <w:i/>
          <w:spacing w:val="-2"/>
          <w:sz w:val="18"/>
          <w:szCs w:val="18"/>
          <w:lang w:eastAsia="es-CO"/>
        </w:rPr>
        <w:t>, con la firma de todos los ministros, dictar decretos con fuerza de ley, destinados exclusivamente a conjurar la crisis y a impedir la extensión de sus efectos.</w:t>
      </w:r>
    </w:p>
    <w:p w14:paraId="4E828FF3" w14:textId="77777777" w:rsidR="007A6B63" w:rsidRPr="0057290A" w:rsidRDefault="007A6B63" w:rsidP="0057290A">
      <w:pPr>
        <w:spacing w:line="240" w:lineRule="auto"/>
        <w:contextualSpacing/>
        <w:jc w:val="both"/>
        <w:rPr>
          <w:rFonts w:ascii="Arial" w:eastAsia="Times New Roman" w:hAnsi="Arial" w:cs="Arial"/>
          <w:i/>
          <w:sz w:val="18"/>
          <w:szCs w:val="18"/>
          <w:lang w:eastAsia="es-CO"/>
        </w:rPr>
      </w:pPr>
      <w:r w:rsidRPr="0057290A">
        <w:rPr>
          <w:rFonts w:ascii="Arial" w:eastAsia="Times New Roman" w:hAnsi="Arial" w:cs="Arial"/>
          <w:i/>
          <w:sz w:val="18"/>
          <w:szCs w:val="18"/>
          <w:lang w:eastAsia="es-CO"/>
        </w:rPr>
        <w:t>Estos decretos deberán referirse a materias que tengan relación directa y específica con el estado de emergencia, y podrán, en forma transitoria, establecer nuevos tributos o modificar los existentes. En estos últimos casos, las medidas dejarán de regir al término de la siguiente vigencia fiscal, salvo que el Congreso, durante el año siguiente, les otorgue carácter permanente. […]</w:t>
      </w:r>
    </w:p>
    <w:p w14:paraId="01D94728" w14:textId="77777777" w:rsidR="007A6B63" w:rsidRPr="0057290A" w:rsidRDefault="007A6B63" w:rsidP="0057290A">
      <w:pPr>
        <w:spacing w:line="240" w:lineRule="auto"/>
        <w:contextualSpacing/>
        <w:jc w:val="both"/>
        <w:rPr>
          <w:rFonts w:ascii="Arial" w:eastAsia="Times New Roman" w:hAnsi="Arial" w:cs="Arial"/>
          <w:i/>
          <w:spacing w:val="-2"/>
          <w:sz w:val="18"/>
          <w:szCs w:val="18"/>
          <w:lang w:eastAsia="es-CO"/>
        </w:rPr>
      </w:pPr>
      <w:r w:rsidRPr="0057290A">
        <w:rPr>
          <w:rFonts w:ascii="Arial" w:eastAsia="Times New Roman" w:hAnsi="Arial" w:cs="Arial"/>
          <w:i/>
          <w:spacing w:val="-2"/>
          <w:sz w:val="18"/>
          <w:szCs w:val="18"/>
          <w:lang w:eastAsia="es-CO"/>
        </w:rPr>
        <w:t xml:space="preserve">El </w:t>
      </w:r>
      <w:proofErr w:type="gramStart"/>
      <w:r w:rsidRPr="0057290A">
        <w:rPr>
          <w:rFonts w:ascii="Arial" w:eastAsia="Times New Roman" w:hAnsi="Arial" w:cs="Arial"/>
          <w:i/>
          <w:spacing w:val="-2"/>
          <w:sz w:val="18"/>
          <w:szCs w:val="18"/>
          <w:lang w:eastAsia="es-CO"/>
        </w:rPr>
        <w:t>Presidente</w:t>
      </w:r>
      <w:proofErr w:type="gramEnd"/>
      <w:r w:rsidRPr="0057290A">
        <w:rPr>
          <w:rFonts w:ascii="Arial" w:eastAsia="Times New Roman" w:hAnsi="Arial" w:cs="Arial"/>
          <w:i/>
          <w:spacing w:val="-2"/>
          <w:sz w:val="18"/>
          <w:szCs w:val="18"/>
          <w:lang w:eastAsia="es-CO"/>
        </w:rPr>
        <w:t xml:space="preserve"> de la República y los ministros serán responsables cuando declaren el Estado de Emergencia sin haberse presentado alguna de las circunstancias previstas en el inciso primero, y lo serán también por cualquier abuso cometido en el ejercicio de las facultades que la Constitución otorga al Gobierno durante la emergencia.</w:t>
      </w:r>
    </w:p>
    <w:p w14:paraId="078B6FE6" w14:textId="77777777" w:rsidR="007A6B63" w:rsidRPr="0057290A" w:rsidRDefault="007A6B63" w:rsidP="0057290A">
      <w:pPr>
        <w:spacing w:line="240" w:lineRule="auto"/>
        <w:contextualSpacing/>
        <w:jc w:val="both"/>
        <w:rPr>
          <w:rFonts w:ascii="Arial" w:hAnsi="Arial" w:cs="Arial"/>
          <w:i/>
          <w:sz w:val="18"/>
          <w:szCs w:val="18"/>
        </w:rPr>
      </w:pPr>
      <w:r w:rsidRPr="0057290A">
        <w:rPr>
          <w:rFonts w:ascii="Arial" w:eastAsia="Times New Roman" w:hAnsi="Arial" w:cs="Arial"/>
          <w:i/>
          <w:sz w:val="18"/>
          <w:szCs w:val="18"/>
          <w:lang w:eastAsia="es-CO"/>
        </w:rPr>
        <w:t xml:space="preserve">El Gobierno no podrá desmejorar los derechos sociales de los trabajadores mediante los decretos contemplados en este artículo </w:t>
      </w:r>
      <w:r w:rsidRPr="0057290A">
        <w:rPr>
          <w:rFonts w:ascii="Arial" w:hAnsi="Arial" w:cs="Arial"/>
          <w:i/>
          <w:sz w:val="18"/>
          <w:szCs w:val="18"/>
        </w:rPr>
        <w:t>[…]”.</w:t>
      </w:r>
    </w:p>
  </w:footnote>
  <w:footnote w:id="4">
    <w:p w14:paraId="29FFE193" w14:textId="221C2242" w:rsidR="007A6B63" w:rsidRPr="0057290A" w:rsidRDefault="007A6B63" w:rsidP="0057290A">
      <w:pPr>
        <w:pStyle w:val="NormalWeb"/>
        <w:spacing w:before="0" w:beforeAutospacing="0" w:after="0" w:afterAutospacing="0"/>
        <w:contextualSpacing/>
        <w:jc w:val="both"/>
        <w:rPr>
          <w:rFonts w:ascii="Arial" w:hAnsi="Arial" w:cs="Arial"/>
          <w:i/>
          <w:sz w:val="18"/>
          <w:szCs w:val="18"/>
        </w:rPr>
      </w:pPr>
      <w:r w:rsidRPr="0057290A">
        <w:rPr>
          <w:rStyle w:val="Refdenotaalpie"/>
          <w:rFonts w:ascii="Arial" w:hAnsi="Arial" w:cs="Arial"/>
          <w:i/>
          <w:sz w:val="18"/>
          <w:szCs w:val="18"/>
        </w:rPr>
        <w:footnoteRef/>
      </w:r>
      <w:r w:rsidRPr="0057290A">
        <w:rPr>
          <w:rFonts w:ascii="Arial" w:hAnsi="Arial" w:cs="Arial"/>
          <w:i/>
          <w:sz w:val="18"/>
          <w:szCs w:val="18"/>
        </w:rPr>
        <w:t xml:space="preserve"> “[…] Artículo 237. Son atribuciones del Consejo de Estado:</w:t>
      </w:r>
      <w:r w:rsidR="0057290A" w:rsidRPr="0057290A">
        <w:rPr>
          <w:rFonts w:ascii="Arial" w:hAnsi="Arial" w:cs="Arial"/>
          <w:i/>
          <w:sz w:val="18"/>
          <w:szCs w:val="18"/>
        </w:rPr>
        <w:t xml:space="preserve"> </w:t>
      </w:r>
      <w:r w:rsidRPr="0057290A">
        <w:rPr>
          <w:rFonts w:ascii="Arial" w:hAnsi="Arial" w:cs="Arial"/>
          <w:i/>
          <w:sz w:val="18"/>
          <w:szCs w:val="18"/>
        </w:rPr>
        <w:t>1. Desempeñar las funciones de tribunal supremo de lo contencioso administrativo, conforme a las reglas que señale la ley […]”.</w:t>
      </w:r>
      <w:r w:rsidR="0057290A" w:rsidRPr="0057290A">
        <w:rPr>
          <w:rFonts w:ascii="Arial" w:hAnsi="Arial" w:cs="Arial"/>
          <w:i/>
          <w:sz w:val="18"/>
          <w:szCs w:val="18"/>
        </w:rPr>
        <w:t xml:space="preserve"> </w:t>
      </w:r>
    </w:p>
  </w:footnote>
  <w:footnote w:id="5">
    <w:p w14:paraId="587D8578" w14:textId="77777777" w:rsidR="007A6B63" w:rsidRPr="0057290A" w:rsidRDefault="007A6B63" w:rsidP="0057290A">
      <w:pPr>
        <w:pStyle w:val="Textonotapie"/>
        <w:contextualSpacing/>
        <w:jc w:val="both"/>
        <w:rPr>
          <w:rFonts w:ascii="Arial" w:hAnsi="Arial" w:cs="Arial"/>
          <w:sz w:val="18"/>
          <w:szCs w:val="18"/>
        </w:rPr>
      </w:pPr>
      <w:r w:rsidRPr="0057290A">
        <w:rPr>
          <w:rStyle w:val="Refdenotaalpie"/>
          <w:rFonts w:ascii="Arial" w:hAnsi="Arial" w:cs="Arial"/>
          <w:sz w:val="18"/>
          <w:szCs w:val="18"/>
        </w:rPr>
        <w:footnoteRef/>
      </w:r>
      <w:r w:rsidRPr="0057290A">
        <w:rPr>
          <w:rFonts w:ascii="Arial" w:hAnsi="Arial" w:cs="Arial"/>
          <w:sz w:val="18"/>
          <w:szCs w:val="18"/>
        </w:rPr>
        <w:t xml:space="preserve"> “</w:t>
      </w:r>
      <w:r w:rsidRPr="0057290A">
        <w:rPr>
          <w:rFonts w:ascii="Arial" w:hAnsi="Arial" w:cs="Arial"/>
          <w:i/>
          <w:sz w:val="18"/>
          <w:szCs w:val="18"/>
        </w:rPr>
        <w:t>[…] Por la cual se reglamentan los Estados de excepción en Colombia […]”.</w:t>
      </w:r>
    </w:p>
  </w:footnote>
  <w:footnote w:id="6">
    <w:p w14:paraId="627620F6" w14:textId="77777777" w:rsidR="007A6B63" w:rsidRPr="0057290A" w:rsidRDefault="007A6B63" w:rsidP="0057290A">
      <w:pPr>
        <w:pStyle w:val="NormalWeb"/>
        <w:spacing w:before="0" w:beforeAutospacing="0" w:after="0" w:afterAutospacing="0"/>
        <w:contextualSpacing/>
        <w:jc w:val="both"/>
        <w:rPr>
          <w:rFonts w:ascii="Arial" w:hAnsi="Arial" w:cs="Arial"/>
          <w:i/>
          <w:color w:val="000000"/>
          <w:sz w:val="18"/>
          <w:szCs w:val="18"/>
        </w:rPr>
      </w:pPr>
      <w:r w:rsidRPr="0057290A">
        <w:rPr>
          <w:rStyle w:val="Refdenotaalpie"/>
          <w:rFonts w:ascii="Arial" w:hAnsi="Arial" w:cs="Arial"/>
          <w:sz w:val="18"/>
          <w:szCs w:val="18"/>
        </w:rPr>
        <w:footnoteRef/>
      </w:r>
      <w:r w:rsidRPr="0057290A">
        <w:rPr>
          <w:rFonts w:ascii="Arial" w:hAnsi="Arial" w:cs="Arial"/>
          <w:sz w:val="18"/>
          <w:szCs w:val="18"/>
        </w:rPr>
        <w:t xml:space="preserve"> </w:t>
      </w:r>
      <w:r w:rsidRPr="0057290A">
        <w:rPr>
          <w:rFonts w:ascii="Arial" w:hAnsi="Arial" w:cs="Arial"/>
          <w:i/>
          <w:sz w:val="18"/>
          <w:szCs w:val="18"/>
        </w:rPr>
        <w:t xml:space="preserve">“[…] </w:t>
      </w:r>
      <w:r w:rsidRPr="0057290A">
        <w:rPr>
          <w:rStyle w:val="Textoennegrita"/>
          <w:rFonts w:ascii="Arial" w:hAnsi="Arial" w:cs="Arial"/>
          <w:b w:val="0"/>
          <w:bCs w:val="0"/>
          <w:i/>
          <w:color w:val="000000"/>
          <w:sz w:val="18"/>
          <w:szCs w:val="18"/>
        </w:rPr>
        <w:t>Artículo 37. De la Sala Plena de lo Contencioso Administrativo.</w:t>
      </w:r>
      <w:r w:rsidRPr="0057290A">
        <w:rPr>
          <w:rFonts w:ascii="Arial" w:hAnsi="Arial" w:cs="Arial"/>
          <w:i/>
          <w:color w:val="000000"/>
          <w:sz w:val="18"/>
          <w:szCs w:val="18"/>
        </w:rPr>
        <w:t> La Sala Plena de lo Contencioso Administrativo tendrá las siguientes funciones especiales: […] </w:t>
      </w:r>
    </w:p>
    <w:p w14:paraId="68DB6B6F" w14:textId="77777777" w:rsidR="007A6B63" w:rsidRPr="0057290A" w:rsidRDefault="007A6B63" w:rsidP="0057290A">
      <w:pPr>
        <w:pStyle w:val="NormalWeb"/>
        <w:spacing w:before="0" w:beforeAutospacing="0" w:after="0" w:afterAutospacing="0"/>
        <w:contextualSpacing/>
        <w:jc w:val="both"/>
        <w:rPr>
          <w:rFonts w:ascii="Arial" w:hAnsi="Arial" w:cs="Arial"/>
          <w:sz w:val="18"/>
          <w:szCs w:val="18"/>
        </w:rPr>
      </w:pPr>
      <w:r w:rsidRPr="0057290A">
        <w:rPr>
          <w:rFonts w:ascii="Arial" w:hAnsi="Arial" w:cs="Arial"/>
          <w:i/>
          <w:color w:val="000000"/>
          <w:sz w:val="18"/>
          <w:szCs w:val="18"/>
        </w:rPr>
        <w:t>2. Conocer de todos los procesos contencioso administrativos cuyo juzgamiento atribuya la ley al Consejo de Estado y que específicamente no se hayan asignado a las Secciones […]”.</w:t>
      </w:r>
    </w:p>
  </w:footnote>
  <w:footnote w:id="7">
    <w:p w14:paraId="44B57B02" w14:textId="77777777" w:rsidR="007A6B63" w:rsidRPr="0057290A" w:rsidRDefault="007A6B63" w:rsidP="0057290A">
      <w:pPr>
        <w:pStyle w:val="Textonotapie"/>
        <w:contextualSpacing/>
        <w:jc w:val="both"/>
        <w:rPr>
          <w:rFonts w:ascii="Arial" w:hAnsi="Arial" w:cs="Arial"/>
          <w:sz w:val="18"/>
          <w:szCs w:val="18"/>
        </w:rPr>
      </w:pPr>
      <w:r w:rsidRPr="0057290A">
        <w:rPr>
          <w:rStyle w:val="Refdenotaalpie"/>
          <w:rFonts w:ascii="Arial" w:hAnsi="Arial" w:cs="Arial"/>
          <w:sz w:val="18"/>
          <w:szCs w:val="18"/>
        </w:rPr>
        <w:footnoteRef/>
      </w:r>
      <w:r w:rsidRPr="0057290A">
        <w:rPr>
          <w:rFonts w:ascii="Arial" w:hAnsi="Arial" w:cs="Arial"/>
          <w:sz w:val="18"/>
          <w:szCs w:val="18"/>
        </w:rPr>
        <w:t xml:space="preserve"> </w:t>
      </w:r>
      <w:r w:rsidRPr="0057290A">
        <w:rPr>
          <w:rFonts w:ascii="Arial" w:hAnsi="Arial" w:cs="Arial"/>
          <w:i/>
          <w:sz w:val="18"/>
          <w:szCs w:val="18"/>
        </w:rPr>
        <w:t xml:space="preserve">“[…] </w:t>
      </w:r>
      <w:r w:rsidRPr="0057290A">
        <w:rPr>
          <w:rFonts w:ascii="Arial" w:hAnsi="Arial" w:cs="Arial"/>
          <w:i/>
          <w:color w:val="000000"/>
          <w:sz w:val="18"/>
          <w:szCs w:val="18"/>
        </w:rPr>
        <w:t>estatutaria de la Administración de Justicia […]”.</w:t>
      </w:r>
    </w:p>
  </w:footnote>
  <w:footnote w:id="8">
    <w:p w14:paraId="013CD4F8" w14:textId="77777777" w:rsidR="007A6B63" w:rsidRPr="0057290A" w:rsidRDefault="007A6B63" w:rsidP="0057290A">
      <w:pPr>
        <w:spacing w:line="240" w:lineRule="auto"/>
        <w:contextualSpacing/>
        <w:jc w:val="both"/>
        <w:rPr>
          <w:rFonts w:ascii="Arial" w:eastAsia="Times New Roman" w:hAnsi="Arial" w:cs="Arial"/>
          <w:i/>
          <w:sz w:val="18"/>
          <w:szCs w:val="18"/>
          <w:lang w:eastAsia="es-CO"/>
        </w:rPr>
      </w:pPr>
      <w:r w:rsidRPr="0057290A">
        <w:rPr>
          <w:rStyle w:val="Refdenotaalpie"/>
          <w:rFonts w:ascii="Arial" w:hAnsi="Arial" w:cs="Arial"/>
          <w:sz w:val="18"/>
          <w:szCs w:val="18"/>
        </w:rPr>
        <w:footnoteRef/>
      </w:r>
      <w:r w:rsidRPr="0057290A">
        <w:rPr>
          <w:rFonts w:ascii="Arial" w:hAnsi="Arial" w:cs="Arial"/>
          <w:sz w:val="18"/>
          <w:szCs w:val="18"/>
        </w:rPr>
        <w:t xml:space="preserve"> </w:t>
      </w:r>
      <w:r w:rsidRPr="0057290A">
        <w:rPr>
          <w:rFonts w:ascii="Arial" w:hAnsi="Arial" w:cs="Arial"/>
          <w:i/>
          <w:sz w:val="18"/>
          <w:szCs w:val="18"/>
        </w:rPr>
        <w:t>“</w:t>
      </w:r>
      <w:r w:rsidRPr="0057290A">
        <w:rPr>
          <w:rFonts w:ascii="Arial" w:eastAsia="Times New Roman" w:hAnsi="Arial" w:cs="Arial"/>
          <w:i/>
          <w:sz w:val="18"/>
          <w:szCs w:val="18"/>
          <w:lang w:eastAsia="es-CO"/>
        </w:rPr>
        <w:t>[…] Artículo 111. Funciones de la sala plena de lo contencioso administrativo. la sala de lo contencioso administrativo en pleno tendrá las siguientes funciones: […]</w:t>
      </w:r>
    </w:p>
    <w:p w14:paraId="15C2EE63" w14:textId="77777777" w:rsidR="007A6B63" w:rsidRPr="0057290A" w:rsidRDefault="007A6B63" w:rsidP="0057290A">
      <w:pPr>
        <w:spacing w:line="240" w:lineRule="auto"/>
        <w:contextualSpacing/>
        <w:jc w:val="both"/>
        <w:rPr>
          <w:rFonts w:ascii="Arial" w:eastAsia="Times New Roman" w:hAnsi="Arial" w:cs="Arial"/>
          <w:i/>
          <w:sz w:val="18"/>
          <w:szCs w:val="18"/>
          <w:lang w:eastAsia="es-CO"/>
        </w:rPr>
      </w:pPr>
      <w:r w:rsidRPr="0057290A">
        <w:rPr>
          <w:rFonts w:ascii="Arial" w:eastAsia="Times New Roman" w:hAnsi="Arial" w:cs="Arial"/>
          <w:i/>
          <w:sz w:val="18"/>
          <w:szCs w:val="18"/>
          <w:lang w:eastAsia="es-CO"/>
        </w:rPr>
        <w:t>8. ejercer el control inmediato de legalidad de los actos de carácter general dictados por autoridades nacionales con fundamento y durante los estados de excepción […]”.</w:t>
      </w:r>
    </w:p>
  </w:footnote>
  <w:footnote w:id="9">
    <w:p w14:paraId="723FF998" w14:textId="77777777" w:rsidR="007A6B63" w:rsidRPr="0057290A" w:rsidRDefault="007A6B63" w:rsidP="0057290A">
      <w:pPr>
        <w:pStyle w:val="Textonotapie"/>
        <w:contextualSpacing/>
        <w:jc w:val="both"/>
        <w:rPr>
          <w:rFonts w:ascii="Arial" w:hAnsi="Arial" w:cs="Arial"/>
          <w:sz w:val="18"/>
          <w:szCs w:val="18"/>
        </w:rPr>
      </w:pPr>
      <w:r w:rsidRPr="0057290A">
        <w:rPr>
          <w:rStyle w:val="Refdenotaalpie"/>
          <w:rFonts w:ascii="Arial" w:hAnsi="Arial" w:cs="Arial"/>
          <w:sz w:val="18"/>
          <w:szCs w:val="18"/>
        </w:rPr>
        <w:footnoteRef/>
      </w:r>
      <w:r w:rsidRPr="0057290A">
        <w:rPr>
          <w:rFonts w:ascii="Arial" w:hAnsi="Arial" w:cs="Arial"/>
          <w:sz w:val="18"/>
          <w:szCs w:val="18"/>
        </w:rPr>
        <w:t xml:space="preserve"> </w:t>
      </w:r>
      <w:r w:rsidRPr="0057290A">
        <w:rPr>
          <w:rFonts w:ascii="Arial" w:hAnsi="Arial" w:cs="Arial"/>
          <w:i/>
          <w:spacing w:val="-4"/>
          <w:sz w:val="18"/>
          <w:szCs w:val="18"/>
        </w:rPr>
        <w:t>“[…] Artículo 12.- Funciones. La Sala Plena de lo Contencioso Administrativo estará integrada por los consejeros de las cinco secciones y tendrá las funciones especiales señaladas en la Constitución Política y en la ley […]”.</w:t>
      </w:r>
    </w:p>
  </w:footnote>
  <w:footnote w:id="10">
    <w:p w14:paraId="1B573950" w14:textId="77777777" w:rsidR="007A6B63" w:rsidRPr="0057290A" w:rsidRDefault="007A6B63" w:rsidP="0057290A">
      <w:pPr>
        <w:pStyle w:val="Textonotapie"/>
        <w:contextualSpacing/>
        <w:jc w:val="both"/>
        <w:rPr>
          <w:rFonts w:ascii="Arial" w:hAnsi="Arial" w:cs="Arial"/>
          <w:sz w:val="18"/>
          <w:szCs w:val="18"/>
        </w:rPr>
      </w:pPr>
      <w:r w:rsidRPr="0057290A">
        <w:rPr>
          <w:rStyle w:val="Refdenotaalpie"/>
          <w:rFonts w:ascii="Arial" w:hAnsi="Arial" w:cs="Arial"/>
          <w:sz w:val="18"/>
          <w:szCs w:val="18"/>
        </w:rPr>
        <w:footnoteRef/>
      </w:r>
      <w:r w:rsidRPr="0057290A">
        <w:rPr>
          <w:rFonts w:ascii="Arial" w:hAnsi="Arial" w:cs="Arial"/>
          <w:sz w:val="18"/>
          <w:szCs w:val="18"/>
        </w:rPr>
        <w:t xml:space="preserve"> Por el cual se expide el Reglamento Interno del Consejo de Estado.</w:t>
      </w:r>
    </w:p>
  </w:footnote>
  <w:footnote w:id="11">
    <w:p w14:paraId="7C3E824F" w14:textId="77777777" w:rsidR="007A6B63" w:rsidRPr="0057290A" w:rsidRDefault="007A6B63" w:rsidP="0057290A">
      <w:pPr>
        <w:pStyle w:val="Textonotapie"/>
        <w:contextualSpacing/>
        <w:jc w:val="both"/>
        <w:rPr>
          <w:rFonts w:ascii="Arial" w:hAnsi="Arial" w:cs="Arial"/>
          <w:sz w:val="18"/>
          <w:szCs w:val="18"/>
        </w:rPr>
      </w:pPr>
      <w:r w:rsidRPr="0057290A">
        <w:rPr>
          <w:rStyle w:val="Refdenotaalpie"/>
          <w:rFonts w:ascii="Arial" w:eastAsia="MS Gothic" w:hAnsi="Arial" w:cs="Arial"/>
          <w:sz w:val="18"/>
          <w:szCs w:val="18"/>
        </w:rPr>
        <w:footnoteRef/>
      </w:r>
      <w:r w:rsidRPr="0057290A">
        <w:rPr>
          <w:rFonts w:ascii="Arial" w:hAnsi="Arial" w:cs="Arial"/>
          <w:sz w:val="18"/>
          <w:szCs w:val="18"/>
        </w:rPr>
        <w:t xml:space="preserve"> Véase, por ejemplo, las siguientes sentencias: i) Consejo de Estado, Sala Plena de lo Contencioso Administrativo; sentencia de 9 de diciembre de 2009, C.P. Dr. Enrique Gil Botero, número único de radicación 11001031500020090073200; </w:t>
      </w:r>
      <w:proofErr w:type="spellStart"/>
      <w:r w:rsidRPr="0057290A">
        <w:rPr>
          <w:rFonts w:ascii="Arial" w:hAnsi="Arial" w:cs="Arial"/>
          <w:sz w:val="18"/>
          <w:szCs w:val="18"/>
        </w:rPr>
        <w:t>ii</w:t>
      </w:r>
      <w:proofErr w:type="spellEnd"/>
      <w:r w:rsidRPr="0057290A">
        <w:rPr>
          <w:rFonts w:ascii="Arial" w:hAnsi="Arial" w:cs="Arial"/>
          <w:sz w:val="18"/>
          <w:szCs w:val="18"/>
        </w:rPr>
        <w:t xml:space="preserve">) Consejo de Estado, Sala Plena de lo Contencioso Administrativo; sentencia de 8 de julio de 2014, C.P. doctor Danilo Rojas </w:t>
      </w:r>
      <w:proofErr w:type="spellStart"/>
      <w:r w:rsidRPr="0057290A">
        <w:rPr>
          <w:rFonts w:ascii="Arial" w:hAnsi="Arial" w:cs="Arial"/>
          <w:sz w:val="18"/>
          <w:szCs w:val="18"/>
        </w:rPr>
        <w:t>Betancourth</w:t>
      </w:r>
      <w:proofErr w:type="spellEnd"/>
      <w:r w:rsidRPr="0057290A">
        <w:rPr>
          <w:rFonts w:ascii="Arial" w:hAnsi="Arial" w:cs="Arial"/>
          <w:sz w:val="18"/>
          <w:szCs w:val="18"/>
        </w:rPr>
        <w:t xml:space="preserve">; número único de radicación </w:t>
      </w:r>
      <w:r w:rsidRPr="0057290A">
        <w:rPr>
          <w:rFonts w:ascii="Arial" w:hAnsi="Arial" w:cs="Arial"/>
          <w:sz w:val="18"/>
          <w:szCs w:val="18"/>
          <w:lang w:val="es-ES"/>
        </w:rPr>
        <w:t xml:space="preserve">110010315000201101127-00; y iii) </w:t>
      </w:r>
      <w:r w:rsidRPr="0057290A">
        <w:rPr>
          <w:rFonts w:ascii="Arial" w:hAnsi="Arial" w:cs="Arial"/>
          <w:sz w:val="18"/>
          <w:szCs w:val="18"/>
        </w:rPr>
        <w:t xml:space="preserve">Consejo de Estado, Sala Plena de lo Contencioso Administrativo; sentencia de 31 de mayo de 2011, C.P. doctor Gerardo Arenas Monsalve; número único de radicación </w:t>
      </w:r>
      <w:r w:rsidRPr="0057290A">
        <w:rPr>
          <w:rFonts w:ascii="Arial" w:hAnsi="Arial" w:cs="Arial"/>
          <w:sz w:val="18"/>
          <w:szCs w:val="18"/>
          <w:lang w:val="es-ES"/>
        </w:rPr>
        <w:t>110010315000201000388-00.</w:t>
      </w:r>
    </w:p>
  </w:footnote>
  <w:footnote w:id="12">
    <w:p w14:paraId="05AD46B2" w14:textId="77777777" w:rsidR="007A6B63" w:rsidRPr="0057290A" w:rsidRDefault="007A6B63" w:rsidP="0057290A">
      <w:pPr>
        <w:spacing w:line="240" w:lineRule="auto"/>
        <w:contextualSpacing/>
        <w:jc w:val="both"/>
        <w:rPr>
          <w:rFonts w:ascii="Arial" w:hAnsi="Arial" w:cs="Arial"/>
          <w:sz w:val="18"/>
          <w:szCs w:val="18"/>
        </w:rPr>
      </w:pPr>
      <w:r w:rsidRPr="0057290A">
        <w:rPr>
          <w:rFonts w:ascii="Arial" w:hAnsi="Arial" w:cs="Arial"/>
          <w:sz w:val="18"/>
          <w:szCs w:val="18"/>
          <w:vertAlign w:val="superscript"/>
        </w:rPr>
        <w:footnoteRef/>
      </w:r>
      <w:r w:rsidRPr="0057290A">
        <w:rPr>
          <w:rFonts w:ascii="Arial" w:hAnsi="Arial" w:cs="Arial"/>
          <w:sz w:val="18"/>
          <w:szCs w:val="18"/>
        </w:rPr>
        <w:t xml:space="preserve"> </w:t>
      </w:r>
      <w:r w:rsidRPr="0057290A">
        <w:rPr>
          <w:rFonts w:ascii="Arial" w:hAnsi="Arial" w:cs="Arial"/>
          <w:i/>
          <w:iCs/>
          <w:sz w:val="18"/>
          <w:szCs w:val="18"/>
        </w:rPr>
        <w:t>“Por el cual se expide el Código de procedimiento Administrativo y de lo Contencioso Administrativo”.</w:t>
      </w:r>
    </w:p>
  </w:footnote>
  <w:footnote w:id="13">
    <w:p w14:paraId="4D65C30E" w14:textId="76FCB06E" w:rsidR="3674EF52" w:rsidRPr="0057290A" w:rsidRDefault="3674EF52" w:rsidP="0057290A">
      <w:pPr>
        <w:spacing w:line="240" w:lineRule="auto"/>
        <w:jc w:val="both"/>
        <w:rPr>
          <w:rFonts w:ascii="Arial" w:eastAsia="Arial" w:hAnsi="Arial" w:cs="Arial"/>
          <w:i/>
          <w:iCs/>
          <w:spacing w:val="-2"/>
          <w:sz w:val="18"/>
          <w:szCs w:val="18"/>
        </w:rPr>
      </w:pPr>
      <w:r w:rsidRPr="0057290A">
        <w:rPr>
          <w:rFonts w:ascii="Arial" w:hAnsi="Arial" w:cs="Arial"/>
          <w:sz w:val="18"/>
          <w:szCs w:val="18"/>
          <w:vertAlign w:val="superscript"/>
        </w:rPr>
        <w:footnoteRef/>
      </w:r>
      <w:r w:rsidRPr="0057290A">
        <w:rPr>
          <w:rFonts w:ascii="Arial" w:hAnsi="Arial" w:cs="Arial"/>
          <w:sz w:val="18"/>
          <w:szCs w:val="18"/>
        </w:rPr>
        <w:t xml:space="preserve"> </w:t>
      </w:r>
      <w:r w:rsidRPr="0057290A">
        <w:rPr>
          <w:rFonts w:ascii="Arial" w:eastAsia="Arial" w:hAnsi="Arial" w:cs="Arial"/>
          <w:i/>
          <w:iCs/>
          <w:spacing w:val="-2"/>
          <w:sz w:val="18"/>
          <w:szCs w:val="18"/>
        </w:rPr>
        <w:t xml:space="preserve">“[…] </w:t>
      </w:r>
      <w:r w:rsidRPr="0057290A">
        <w:rPr>
          <w:rFonts w:ascii="Arial" w:eastAsia="Arial" w:hAnsi="Arial" w:cs="Arial"/>
          <w:b/>
          <w:bCs/>
          <w:i/>
          <w:iCs/>
          <w:spacing w:val="-2"/>
          <w:sz w:val="18"/>
          <w:szCs w:val="18"/>
        </w:rPr>
        <w:t>Artículo 136. Control Inmediato de Legalidad</w:t>
      </w:r>
      <w:r w:rsidRPr="0057290A">
        <w:rPr>
          <w:rFonts w:ascii="Arial" w:eastAsia="Arial" w:hAnsi="Arial" w:cs="Arial"/>
          <w:i/>
          <w:iCs/>
          <w:spacing w:val="-2"/>
          <w:sz w:val="18"/>
          <w:szCs w:val="18"/>
        </w:rPr>
        <w:t xml:space="preserve">: Las medidas de carácter general que sean dictadas en ejercicio de la función administrativa y como desarrollo de los decretos legislativos durante los Estados de Excepción, tendrán un control inmediato de legalidad, ejercido por la Jurisdicción de lo Contencioso Administrativo en el lugar donde se expidan, si se tratare de entidades territoriales, o del Consejo de Estado si emanaren de autoridades nacionales, de acuerdo con las reglas de competencia establecidas en este Código. </w:t>
      </w:r>
    </w:p>
    <w:p w14:paraId="29FA316E" w14:textId="7B1C753B" w:rsidR="3674EF52" w:rsidRPr="0057290A" w:rsidRDefault="3674EF52" w:rsidP="0057290A">
      <w:pPr>
        <w:spacing w:line="240" w:lineRule="auto"/>
        <w:jc w:val="both"/>
        <w:rPr>
          <w:rFonts w:ascii="Arial" w:eastAsia="Arial" w:hAnsi="Arial" w:cs="Arial"/>
          <w:sz w:val="18"/>
          <w:szCs w:val="18"/>
        </w:rPr>
      </w:pPr>
      <w:r w:rsidRPr="0057290A">
        <w:rPr>
          <w:rFonts w:ascii="Arial" w:eastAsia="Arial" w:hAnsi="Arial" w:cs="Arial"/>
          <w:i/>
          <w:iCs/>
          <w:sz w:val="18"/>
          <w:szCs w:val="18"/>
        </w:rPr>
        <w:t>Las autoridades competentes que los expidan enviarán los actos administrativos a la autoridad judicial indicada, dentro de las cuarenta y ocho (48) horas siguientes a su expedición. Si no se efectuare el envío, la autoridad judicial competente aprehenderá de oficio su conocimiento […]”.</w:t>
      </w:r>
    </w:p>
  </w:footnote>
  <w:footnote w:id="14">
    <w:p w14:paraId="44A2DCD4" w14:textId="6578F3A2" w:rsidR="3674EF52" w:rsidRPr="0057290A" w:rsidRDefault="3674EF52" w:rsidP="0057290A">
      <w:pPr>
        <w:pStyle w:val="Textonotapie"/>
        <w:rPr>
          <w:rFonts w:ascii="Arial" w:hAnsi="Arial" w:cs="Arial"/>
          <w:sz w:val="18"/>
          <w:szCs w:val="18"/>
        </w:rPr>
      </w:pPr>
      <w:r w:rsidRPr="0057290A">
        <w:rPr>
          <w:rStyle w:val="Refdenotaalpie"/>
          <w:rFonts w:ascii="Arial" w:hAnsi="Arial" w:cs="Arial"/>
          <w:sz w:val="18"/>
          <w:szCs w:val="18"/>
        </w:rPr>
        <w:footnoteRef/>
      </w:r>
      <w:r w:rsidRPr="0057290A">
        <w:rPr>
          <w:rFonts w:ascii="Arial" w:hAnsi="Arial" w:cs="Arial"/>
          <w:sz w:val="18"/>
          <w:szCs w:val="18"/>
        </w:rPr>
        <w:t xml:space="preserve"> </w:t>
      </w:r>
      <w:r w:rsidRPr="0057290A">
        <w:rPr>
          <w:rFonts w:ascii="Arial" w:hAnsi="Arial" w:cs="Arial"/>
          <w:i/>
          <w:iCs/>
          <w:sz w:val="18"/>
          <w:szCs w:val="18"/>
        </w:rPr>
        <w:t>“[…] Por medio de la cual se expide el Código General del Proceso y se dictan otras disposiciones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4905A" w14:textId="43022A88" w:rsidR="007A6B63" w:rsidRDefault="007A6B63">
    <w:pPr>
      <w:pStyle w:val="Encabezado"/>
      <w:jc w:val="right"/>
    </w:pPr>
    <w:r>
      <w:rPr>
        <w:noProof/>
      </w:rPr>
      <w:drawing>
        <wp:anchor distT="0" distB="0" distL="114300" distR="114300" simplePos="0" relativeHeight="251659264" behindDoc="0" locked="0" layoutInCell="1" allowOverlap="1" wp14:anchorId="2D1B9643" wp14:editId="2FD61576">
          <wp:simplePos x="0" y="0"/>
          <wp:positionH relativeFrom="column">
            <wp:posOffset>-151765</wp:posOffset>
          </wp:positionH>
          <wp:positionV relativeFrom="paragraph">
            <wp:posOffset>-140970</wp:posOffset>
          </wp:positionV>
          <wp:extent cx="1115060" cy="1037590"/>
          <wp:effectExtent l="0" t="0" r="0" b="0"/>
          <wp:wrapSquare wrapText="bothSides"/>
          <wp:docPr id="13" name="Imagen 13" descr="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060" cy="1037590"/>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4BFBC87D" w:rsidRPr="00530206">
      <w:rPr>
        <w:noProof/>
        <w:lang w:val="es-ES"/>
      </w:rPr>
      <w:t>13</w:t>
    </w:r>
    <w:r>
      <w:fldChar w:fldCharType="end"/>
    </w:r>
  </w:p>
  <w:p w14:paraId="2032B3F0" w14:textId="77777777" w:rsidR="007A6B63" w:rsidRDefault="007A6B63" w:rsidP="008D19D1">
    <w:pPr>
      <w:pStyle w:val="Encabezado"/>
      <w:spacing w:after="0" w:line="240" w:lineRule="auto"/>
      <w:rPr>
        <w:sz w:val="20"/>
        <w:szCs w:val="20"/>
      </w:rPr>
    </w:pPr>
    <w:r>
      <w:rPr>
        <w:noProof/>
      </w:rPr>
      <mc:AlternateContent>
        <mc:Choice Requires="wps">
          <w:drawing>
            <wp:anchor distT="0" distB="0" distL="114300" distR="114300" simplePos="0" relativeHeight="251658240" behindDoc="0" locked="0" layoutInCell="1" allowOverlap="1" wp14:anchorId="16605A8A" wp14:editId="3D4C4104">
              <wp:simplePos x="0" y="0"/>
              <wp:positionH relativeFrom="column">
                <wp:posOffset>1397000</wp:posOffset>
              </wp:positionH>
              <wp:positionV relativeFrom="paragraph">
                <wp:posOffset>123825</wp:posOffset>
              </wp:positionV>
              <wp:extent cx="5288915" cy="21590"/>
              <wp:effectExtent l="19050" t="19050" r="6985" b="1651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CEF30D9">
            <v:shapetype id="_x0000_t32" coordsize="21600,21600" o:oned="t" filled="f" o:spt="32" path="m,l21600,21600e" w14:anchorId="4952A06D">
              <v:path fillok="f" arrowok="t" o:connecttype="none"/>
              <o:lock v:ext="edit" shapetype="t"/>
            </v:shapetype>
            <v:shape id="Conector recto de flecha 3" style="position:absolute;margin-left:110pt;margin-top:9.75pt;width:416.45pt;height: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">
              <v:shadow color="#1f3763" opacity=".5" offset="1pt"/>
            </v:shape>
          </w:pict>
        </mc:Fallback>
      </mc:AlternateContent>
    </w:r>
  </w:p>
  <w:p w14:paraId="122F1071" w14:textId="46B640C9" w:rsidR="007A6B63" w:rsidRPr="008D19D1" w:rsidRDefault="007A6B63" w:rsidP="00EB2A97">
    <w:pPr>
      <w:pStyle w:val="Encabezado"/>
      <w:tabs>
        <w:tab w:val="clear" w:pos="4419"/>
        <w:tab w:val="clear" w:pos="8838"/>
      </w:tabs>
      <w:spacing w:after="0" w:line="240" w:lineRule="auto"/>
      <w:ind w:left="3686"/>
      <w:rPr>
        <w:sz w:val="20"/>
        <w:szCs w:val="20"/>
      </w:rPr>
    </w:pPr>
    <w:r>
      <w:rPr>
        <w:color w:val="767171"/>
        <w:sz w:val="20"/>
        <w:szCs w:val="20"/>
      </w:rPr>
      <w:t xml:space="preserve">Número único de radicación: </w:t>
    </w:r>
    <w:bookmarkStart w:id="3" w:name="_Hlk45303390"/>
    <w:r w:rsidRPr="00930050">
      <w:rPr>
        <w:color w:val="767171"/>
        <w:sz w:val="20"/>
        <w:szCs w:val="20"/>
      </w:rPr>
      <w:t>1100103</w:t>
    </w:r>
    <w:r>
      <w:rPr>
        <w:color w:val="767171"/>
        <w:sz w:val="20"/>
        <w:szCs w:val="20"/>
      </w:rPr>
      <w:t>15000</w:t>
    </w:r>
    <w:r w:rsidRPr="00930050">
      <w:rPr>
        <w:color w:val="767171"/>
        <w:sz w:val="20"/>
        <w:szCs w:val="20"/>
      </w:rPr>
      <w:t>20</w:t>
    </w:r>
    <w:r>
      <w:rPr>
        <w:color w:val="767171"/>
        <w:sz w:val="20"/>
        <w:szCs w:val="20"/>
      </w:rPr>
      <w:t>20</w:t>
    </w:r>
    <w:r w:rsidRPr="00930050">
      <w:rPr>
        <w:color w:val="767171"/>
        <w:sz w:val="20"/>
        <w:szCs w:val="20"/>
      </w:rPr>
      <w:t>00</w:t>
    </w:r>
    <w:r>
      <w:rPr>
        <w:color w:val="767171"/>
        <w:sz w:val="20"/>
        <w:szCs w:val="20"/>
      </w:rPr>
      <w:t>9</w:t>
    </w:r>
    <w:r w:rsidR="00614C9B">
      <w:rPr>
        <w:color w:val="767171"/>
        <w:sz w:val="20"/>
        <w:szCs w:val="20"/>
      </w:rPr>
      <w:t>46</w:t>
    </w:r>
    <w:r w:rsidRPr="00930050">
      <w:rPr>
        <w:color w:val="767171"/>
        <w:sz w:val="20"/>
        <w:szCs w:val="20"/>
      </w:rPr>
      <w:t>00</w:t>
    </w:r>
    <w:bookmarkEnd w:id="3"/>
    <w:r>
      <w:rPr>
        <w:color w:val="767171"/>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133EC" w14:textId="77777777" w:rsidR="007A6B63" w:rsidRDefault="007A6B63" w:rsidP="0047175C">
    <w:pPr>
      <w:pStyle w:val="Encabezado"/>
      <w:spacing w:after="0" w:line="240" w:lineRule="auto"/>
      <w:rPr>
        <w:sz w:val="20"/>
        <w:szCs w:val="20"/>
      </w:rPr>
    </w:pPr>
  </w:p>
  <w:p w14:paraId="55C1C04C" w14:textId="77777777" w:rsidR="007A6B63" w:rsidRDefault="007A6B63" w:rsidP="0047175C">
    <w:pPr>
      <w:pStyle w:val="Encabezado"/>
      <w:spacing w:after="0" w:line="240" w:lineRule="auto"/>
      <w:rPr>
        <w:sz w:val="20"/>
        <w:szCs w:val="20"/>
      </w:rPr>
    </w:pPr>
  </w:p>
  <w:p w14:paraId="04FAFC1B" w14:textId="3D1A1668" w:rsidR="007A6B63" w:rsidRPr="0070023E" w:rsidRDefault="007A6B63" w:rsidP="0047175C">
    <w:pPr>
      <w:pStyle w:val="Encabezado"/>
      <w:spacing w:after="0" w:line="240" w:lineRule="auto"/>
      <w:rPr>
        <w:sz w:val="20"/>
        <w:szCs w:val="20"/>
      </w:rPr>
    </w:pPr>
    <w:r>
      <w:rPr>
        <w:noProof/>
      </w:rPr>
      <w:drawing>
        <wp:anchor distT="0" distB="0" distL="114300" distR="114300" simplePos="0" relativeHeight="251657216" behindDoc="0" locked="0" layoutInCell="1" allowOverlap="1" wp14:anchorId="097E1D94" wp14:editId="32D8AAB8">
          <wp:simplePos x="0" y="0"/>
          <wp:positionH relativeFrom="column">
            <wp:posOffset>-384810</wp:posOffset>
          </wp:positionH>
          <wp:positionV relativeFrom="paragraph">
            <wp:posOffset>-240030</wp:posOffset>
          </wp:positionV>
          <wp:extent cx="1238250" cy="1152525"/>
          <wp:effectExtent l="0" t="0" r="0" b="0"/>
          <wp:wrapSquare wrapText="bothSides"/>
          <wp:docPr id="14" name="Imagen 14" descr="NEGRO-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descr="NEGRO-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638C7" w14:textId="77777777" w:rsidR="007A6B63" w:rsidRPr="0070023E" w:rsidRDefault="007A6B63" w:rsidP="0047175C">
    <w:pPr>
      <w:pStyle w:val="Encabezado"/>
      <w:spacing w:after="0" w:line="240" w:lineRule="auto"/>
      <w:rPr>
        <w:sz w:val="20"/>
        <w:szCs w:val="20"/>
      </w:rPr>
    </w:pPr>
  </w:p>
  <w:p w14:paraId="22DD0123" w14:textId="2A573AA3" w:rsidR="007A6B63" w:rsidRPr="0070023E" w:rsidRDefault="007A6B63" w:rsidP="0047175C">
    <w:pPr>
      <w:pStyle w:val="Encabezado"/>
      <w:spacing w:after="0" w:line="240" w:lineRule="auto"/>
      <w:rPr>
        <w:sz w:val="20"/>
        <w:szCs w:val="20"/>
      </w:rPr>
    </w:pPr>
    <w:r>
      <w:rPr>
        <w:noProof/>
      </w:rPr>
      <mc:AlternateContent>
        <mc:Choice Requires="wps">
          <w:drawing>
            <wp:anchor distT="0" distB="0" distL="114300" distR="114300" simplePos="0" relativeHeight="251656192" behindDoc="0" locked="0" layoutInCell="1" allowOverlap="1" wp14:anchorId="46416825" wp14:editId="59B5B114">
              <wp:simplePos x="0" y="0"/>
              <wp:positionH relativeFrom="column">
                <wp:posOffset>1379855</wp:posOffset>
              </wp:positionH>
              <wp:positionV relativeFrom="paragraph">
                <wp:posOffset>60325</wp:posOffset>
              </wp:positionV>
              <wp:extent cx="5288915" cy="21590"/>
              <wp:effectExtent l="19050" t="19050" r="6985" b="1651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88915" cy="2159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064CB8E4">
            <v:shapetype id="_x0000_t32" coordsize="21600,21600" o:oned="t" filled="f" o:spt="32" path="m,l21600,21600e" w14:anchorId="2B49EDD9">
              <v:path fillok="f" arrowok="t" o:connecttype="none"/>
              <o:lock v:ext="edit" shapetype="t"/>
            </v:shapetype>
            <v:shape id="Conector recto de flecha 1" style="position:absolute;margin-left:108.65pt;margin-top:4.75pt;width:416.45pt;height: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">
              <v:shadow color="#1f3763" opacity=".5" offset="1pt"/>
            </v:shape>
          </w:pict>
        </mc:Fallback>
      </mc:AlternateContent>
    </w:r>
  </w:p>
  <w:p w14:paraId="13816333" w14:textId="77777777" w:rsidR="007A6B63" w:rsidRDefault="007A6B63" w:rsidP="0047175C">
    <w:pPr>
      <w:pStyle w:val="Encabezado"/>
      <w:spacing w:after="0" w:line="240" w:lineRule="auto"/>
      <w:jc w:val="right"/>
      <w:rPr>
        <w:color w:val="767171"/>
        <w:sz w:val="20"/>
        <w:szCs w:val="20"/>
      </w:rPr>
    </w:pPr>
  </w:p>
  <w:p w14:paraId="65C759F1" w14:textId="77777777" w:rsidR="007A6B63" w:rsidRDefault="007A6B63" w:rsidP="0047175C">
    <w:pPr>
      <w:pStyle w:val="Encabezado"/>
      <w:spacing w:after="0" w:line="240" w:lineRule="auto"/>
      <w:jc w:val="right"/>
      <w:rPr>
        <w:color w:val="767171"/>
        <w:sz w:val="20"/>
        <w:szCs w:val="20"/>
      </w:rPr>
    </w:pPr>
  </w:p>
  <w:p w14:paraId="2BD25828" w14:textId="77777777" w:rsidR="007A6B63" w:rsidRDefault="007A6B63" w:rsidP="0047175C">
    <w:pPr>
      <w:pStyle w:val="Encabezado"/>
      <w:spacing w:after="0" w:line="240" w:lineRule="aut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68AE383"/>
    <w:multiLevelType w:val="hybridMultilevel"/>
    <w:tmpl w:val="9B25DD4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D4A7403"/>
    <w:multiLevelType w:val="hybridMultilevel"/>
    <w:tmpl w:val="C65C3B0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B2A5ED"/>
    <w:multiLevelType w:val="hybridMultilevel"/>
    <w:tmpl w:val="63726C4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696F61"/>
    <w:multiLevelType w:val="hybridMultilevel"/>
    <w:tmpl w:val="26A85566"/>
    <w:lvl w:ilvl="0" w:tplc="41F0E6F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89C5C5A"/>
    <w:multiLevelType w:val="hybridMultilevel"/>
    <w:tmpl w:val="9620F070"/>
    <w:lvl w:ilvl="0" w:tplc="9AD0837C">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021634"/>
    <w:multiLevelType w:val="hybridMultilevel"/>
    <w:tmpl w:val="7606366A"/>
    <w:lvl w:ilvl="0" w:tplc="240A0017">
      <w:start w:val="1"/>
      <w:numFmt w:val="lowerLetter"/>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843538D"/>
    <w:multiLevelType w:val="hybridMultilevel"/>
    <w:tmpl w:val="4E30F1CC"/>
    <w:lvl w:ilvl="0" w:tplc="548AB1F4">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9DA3C32"/>
    <w:multiLevelType w:val="hybridMultilevel"/>
    <w:tmpl w:val="A4B2EF70"/>
    <w:lvl w:ilvl="0" w:tplc="9524240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AE25AE8"/>
    <w:multiLevelType w:val="hybridMultilevel"/>
    <w:tmpl w:val="0E7AC9BC"/>
    <w:lvl w:ilvl="0" w:tplc="C8725276">
      <w:start w:val="1"/>
      <w:numFmt w:val="decimal"/>
      <w:lvlText w:val="%1."/>
      <w:lvlJc w:val="left"/>
      <w:pPr>
        <w:ind w:left="360" w:hanging="360"/>
      </w:pPr>
      <w:rPr>
        <w:b w:val="0"/>
        <w:i w:val="0"/>
        <w:color w:val="000000"/>
      </w:rPr>
    </w:lvl>
    <w:lvl w:ilvl="1" w:tplc="040A0019">
      <w:start w:val="1"/>
      <w:numFmt w:val="lowerLetter"/>
      <w:lvlText w:val="%2."/>
      <w:lvlJc w:val="left"/>
      <w:pPr>
        <w:ind w:left="1440" w:hanging="360"/>
      </w:pPr>
    </w:lvl>
    <w:lvl w:ilvl="2" w:tplc="040A001B">
      <w:start w:val="1"/>
      <w:numFmt w:val="lowerRoman"/>
      <w:lvlText w:val="%3."/>
      <w:lvlJc w:val="right"/>
      <w:pPr>
        <w:ind w:left="2160" w:hanging="180"/>
      </w:pPr>
    </w:lvl>
    <w:lvl w:ilvl="3" w:tplc="040A000F">
      <w:start w:val="1"/>
      <w:numFmt w:val="decimal"/>
      <w:lvlText w:val="%4."/>
      <w:lvlJc w:val="left"/>
      <w:pPr>
        <w:ind w:left="2880" w:hanging="360"/>
      </w:pPr>
    </w:lvl>
    <w:lvl w:ilvl="4" w:tplc="040A0019">
      <w:start w:val="1"/>
      <w:numFmt w:val="lowerLetter"/>
      <w:lvlText w:val="%5."/>
      <w:lvlJc w:val="left"/>
      <w:pPr>
        <w:ind w:left="3600" w:hanging="360"/>
      </w:pPr>
    </w:lvl>
    <w:lvl w:ilvl="5" w:tplc="040A001B">
      <w:start w:val="1"/>
      <w:numFmt w:val="lowerRoman"/>
      <w:lvlText w:val="%6."/>
      <w:lvlJc w:val="right"/>
      <w:pPr>
        <w:ind w:left="4320" w:hanging="180"/>
      </w:pPr>
    </w:lvl>
    <w:lvl w:ilvl="6" w:tplc="040A000F">
      <w:start w:val="1"/>
      <w:numFmt w:val="decimal"/>
      <w:lvlText w:val="%7."/>
      <w:lvlJc w:val="left"/>
      <w:pPr>
        <w:ind w:left="5040" w:hanging="360"/>
      </w:pPr>
    </w:lvl>
    <w:lvl w:ilvl="7" w:tplc="040A0019">
      <w:start w:val="1"/>
      <w:numFmt w:val="lowerLetter"/>
      <w:lvlText w:val="%8."/>
      <w:lvlJc w:val="left"/>
      <w:pPr>
        <w:ind w:left="5760" w:hanging="360"/>
      </w:pPr>
    </w:lvl>
    <w:lvl w:ilvl="8" w:tplc="040A001B">
      <w:start w:val="1"/>
      <w:numFmt w:val="lowerRoman"/>
      <w:lvlText w:val="%9."/>
      <w:lvlJc w:val="right"/>
      <w:pPr>
        <w:ind w:left="6480" w:hanging="180"/>
      </w:pPr>
    </w:lvl>
  </w:abstractNum>
  <w:abstractNum w:abstractNumId="9" w15:restartNumberingAfterBreak="0">
    <w:nsid w:val="301B3B7A"/>
    <w:multiLevelType w:val="hybridMultilevel"/>
    <w:tmpl w:val="996431DC"/>
    <w:lvl w:ilvl="0" w:tplc="3244C196">
      <w:start w:val="17"/>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324F4308"/>
    <w:multiLevelType w:val="hybridMultilevel"/>
    <w:tmpl w:val="66761D82"/>
    <w:lvl w:ilvl="0" w:tplc="240A000F">
      <w:start w:val="8"/>
      <w:numFmt w:val="decimal"/>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29B020B"/>
    <w:multiLevelType w:val="hybridMultilevel"/>
    <w:tmpl w:val="9FD1528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3742441"/>
    <w:multiLevelType w:val="hybridMultilevel"/>
    <w:tmpl w:val="9620F070"/>
    <w:lvl w:ilvl="0" w:tplc="9AD0837C">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795731"/>
    <w:multiLevelType w:val="hybridMultilevel"/>
    <w:tmpl w:val="9620F070"/>
    <w:lvl w:ilvl="0" w:tplc="9AD0837C">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CA75FB"/>
    <w:multiLevelType w:val="hybridMultilevel"/>
    <w:tmpl w:val="C6B20F8E"/>
    <w:lvl w:ilvl="0" w:tplc="FD321D6A">
      <w:start w:val="22"/>
      <w:numFmt w:val="decimal"/>
      <w:lvlText w:val="%1."/>
      <w:lvlJc w:val="left"/>
      <w:pPr>
        <w:tabs>
          <w:tab w:val="num" w:pos="720"/>
        </w:tabs>
        <w:ind w:left="720" w:hanging="360"/>
      </w:pPr>
    </w:lvl>
    <w:lvl w:ilvl="1" w:tplc="D6DEC1F4" w:tentative="1">
      <w:start w:val="1"/>
      <w:numFmt w:val="decimal"/>
      <w:lvlText w:val="%2."/>
      <w:lvlJc w:val="left"/>
      <w:pPr>
        <w:tabs>
          <w:tab w:val="num" w:pos="1440"/>
        </w:tabs>
        <w:ind w:left="1440" w:hanging="360"/>
      </w:pPr>
    </w:lvl>
    <w:lvl w:ilvl="2" w:tplc="506484C0" w:tentative="1">
      <w:start w:val="1"/>
      <w:numFmt w:val="decimal"/>
      <w:lvlText w:val="%3."/>
      <w:lvlJc w:val="left"/>
      <w:pPr>
        <w:tabs>
          <w:tab w:val="num" w:pos="2160"/>
        </w:tabs>
        <w:ind w:left="2160" w:hanging="360"/>
      </w:pPr>
    </w:lvl>
    <w:lvl w:ilvl="3" w:tplc="4C386B0C" w:tentative="1">
      <w:start w:val="1"/>
      <w:numFmt w:val="decimal"/>
      <w:lvlText w:val="%4."/>
      <w:lvlJc w:val="left"/>
      <w:pPr>
        <w:tabs>
          <w:tab w:val="num" w:pos="2880"/>
        </w:tabs>
        <w:ind w:left="2880" w:hanging="360"/>
      </w:pPr>
    </w:lvl>
    <w:lvl w:ilvl="4" w:tplc="40580432" w:tentative="1">
      <w:start w:val="1"/>
      <w:numFmt w:val="decimal"/>
      <w:lvlText w:val="%5."/>
      <w:lvlJc w:val="left"/>
      <w:pPr>
        <w:tabs>
          <w:tab w:val="num" w:pos="3600"/>
        </w:tabs>
        <w:ind w:left="3600" w:hanging="360"/>
      </w:pPr>
    </w:lvl>
    <w:lvl w:ilvl="5" w:tplc="3DEC066A" w:tentative="1">
      <w:start w:val="1"/>
      <w:numFmt w:val="decimal"/>
      <w:lvlText w:val="%6."/>
      <w:lvlJc w:val="left"/>
      <w:pPr>
        <w:tabs>
          <w:tab w:val="num" w:pos="4320"/>
        </w:tabs>
        <w:ind w:left="4320" w:hanging="360"/>
      </w:pPr>
    </w:lvl>
    <w:lvl w:ilvl="6" w:tplc="59AEFC44" w:tentative="1">
      <w:start w:val="1"/>
      <w:numFmt w:val="decimal"/>
      <w:lvlText w:val="%7."/>
      <w:lvlJc w:val="left"/>
      <w:pPr>
        <w:tabs>
          <w:tab w:val="num" w:pos="5040"/>
        </w:tabs>
        <w:ind w:left="5040" w:hanging="360"/>
      </w:pPr>
    </w:lvl>
    <w:lvl w:ilvl="7" w:tplc="638EA274" w:tentative="1">
      <w:start w:val="1"/>
      <w:numFmt w:val="decimal"/>
      <w:lvlText w:val="%8."/>
      <w:lvlJc w:val="left"/>
      <w:pPr>
        <w:tabs>
          <w:tab w:val="num" w:pos="5760"/>
        </w:tabs>
        <w:ind w:left="5760" w:hanging="360"/>
      </w:pPr>
    </w:lvl>
    <w:lvl w:ilvl="8" w:tplc="E6C811F6" w:tentative="1">
      <w:start w:val="1"/>
      <w:numFmt w:val="decimal"/>
      <w:lvlText w:val="%9."/>
      <w:lvlJc w:val="left"/>
      <w:pPr>
        <w:tabs>
          <w:tab w:val="num" w:pos="6480"/>
        </w:tabs>
        <w:ind w:left="6480" w:hanging="360"/>
      </w:pPr>
    </w:lvl>
  </w:abstractNum>
  <w:abstractNum w:abstractNumId="15" w15:restartNumberingAfterBreak="0">
    <w:nsid w:val="3750394B"/>
    <w:multiLevelType w:val="hybridMultilevel"/>
    <w:tmpl w:val="AE9E8CA6"/>
    <w:lvl w:ilvl="0" w:tplc="7242AD5C">
      <w:start w:val="1"/>
      <w:numFmt w:val="decimal"/>
      <w:lvlText w:val="%1."/>
      <w:lvlJc w:val="left"/>
      <w:pPr>
        <w:ind w:left="360" w:hanging="360"/>
      </w:pPr>
      <w:rPr>
        <w:b w:val="0"/>
        <w:i w:val="0"/>
        <w:strike w:val="0"/>
        <w:color w:val="auto"/>
        <w:sz w:val="24"/>
        <w:szCs w:val="24"/>
      </w:rPr>
    </w:lvl>
    <w:lvl w:ilvl="1" w:tplc="31FA922E">
      <w:start w:val="1"/>
      <w:numFmt w:val="decimal"/>
      <w:lvlText w:val="%1."/>
      <w:lvlJc w:val="left"/>
      <w:pPr>
        <w:ind w:left="792" w:hanging="432"/>
      </w:pPr>
      <w:rPr>
        <w:b w:val="0"/>
        <w:bCs w:val="0"/>
      </w:rPr>
    </w:lvl>
    <w:lvl w:ilvl="2" w:tplc="91CEEDB4">
      <w:start w:val="1"/>
      <w:numFmt w:val="decimal"/>
      <w:lvlText w:val="%1.%2.%3."/>
      <w:lvlJc w:val="left"/>
      <w:pPr>
        <w:ind w:left="1224" w:hanging="504"/>
      </w:pPr>
    </w:lvl>
    <w:lvl w:ilvl="3" w:tplc="968E5834">
      <w:start w:val="1"/>
      <w:numFmt w:val="decimal"/>
      <w:lvlText w:val="%1.%2.%3.%4."/>
      <w:lvlJc w:val="left"/>
      <w:pPr>
        <w:ind w:left="1728" w:hanging="648"/>
      </w:pPr>
    </w:lvl>
    <w:lvl w:ilvl="4" w:tplc="3D043976">
      <w:start w:val="1"/>
      <w:numFmt w:val="decimal"/>
      <w:lvlText w:val="%1.%2.%3.%4.%5."/>
      <w:lvlJc w:val="left"/>
      <w:pPr>
        <w:ind w:left="2232" w:hanging="792"/>
      </w:pPr>
    </w:lvl>
    <w:lvl w:ilvl="5" w:tplc="C3201B4E">
      <w:start w:val="1"/>
      <w:numFmt w:val="decimal"/>
      <w:lvlText w:val="%1.%2.%3.%4.%5.%6."/>
      <w:lvlJc w:val="left"/>
      <w:pPr>
        <w:ind w:left="2736" w:hanging="936"/>
      </w:pPr>
    </w:lvl>
    <w:lvl w:ilvl="6" w:tplc="FE105896">
      <w:start w:val="1"/>
      <w:numFmt w:val="decimal"/>
      <w:lvlText w:val="%1.%2.%3.%4.%5.%6.%7."/>
      <w:lvlJc w:val="left"/>
      <w:pPr>
        <w:ind w:left="3240" w:hanging="1080"/>
      </w:pPr>
    </w:lvl>
    <w:lvl w:ilvl="7" w:tplc="05DC43C6">
      <w:start w:val="1"/>
      <w:numFmt w:val="decimal"/>
      <w:lvlText w:val="%1.%2.%3.%4.%5.%6.%7.%8."/>
      <w:lvlJc w:val="left"/>
      <w:pPr>
        <w:ind w:left="3744" w:hanging="1224"/>
      </w:pPr>
    </w:lvl>
    <w:lvl w:ilvl="8" w:tplc="7CDC6FF8">
      <w:start w:val="1"/>
      <w:numFmt w:val="decimal"/>
      <w:lvlText w:val="%1.%2.%3.%4.%5.%6.%7.%8.%9."/>
      <w:lvlJc w:val="left"/>
      <w:pPr>
        <w:ind w:left="4320" w:hanging="1440"/>
      </w:pPr>
    </w:lvl>
  </w:abstractNum>
  <w:abstractNum w:abstractNumId="16" w15:restartNumberingAfterBreak="0">
    <w:nsid w:val="3BF26F4D"/>
    <w:multiLevelType w:val="hybridMultilevel"/>
    <w:tmpl w:val="669E4B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F0F62FC"/>
    <w:multiLevelType w:val="hybridMultilevel"/>
    <w:tmpl w:val="723E3242"/>
    <w:lvl w:ilvl="0" w:tplc="D6F4D91A">
      <w:start w:val="1"/>
      <w:numFmt w:val="decimal"/>
      <w:lvlText w:val="%1."/>
      <w:lvlJc w:val="left"/>
      <w:pPr>
        <w:tabs>
          <w:tab w:val="num" w:pos="720"/>
        </w:tabs>
        <w:ind w:left="720" w:hanging="360"/>
      </w:pPr>
    </w:lvl>
    <w:lvl w:ilvl="1" w:tplc="5DAA9E2A" w:tentative="1">
      <w:start w:val="1"/>
      <w:numFmt w:val="decimal"/>
      <w:lvlText w:val="%2."/>
      <w:lvlJc w:val="left"/>
      <w:pPr>
        <w:tabs>
          <w:tab w:val="num" w:pos="1440"/>
        </w:tabs>
        <w:ind w:left="1440" w:hanging="360"/>
      </w:pPr>
    </w:lvl>
    <w:lvl w:ilvl="2" w:tplc="4AE22F76" w:tentative="1">
      <w:start w:val="1"/>
      <w:numFmt w:val="decimal"/>
      <w:lvlText w:val="%3."/>
      <w:lvlJc w:val="left"/>
      <w:pPr>
        <w:tabs>
          <w:tab w:val="num" w:pos="2160"/>
        </w:tabs>
        <w:ind w:left="2160" w:hanging="360"/>
      </w:pPr>
    </w:lvl>
    <w:lvl w:ilvl="3" w:tplc="1DFA6AB6" w:tentative="1">
      <w:start w:val="1"/>
      <w:numFmt w:val="decimal"/>
      <w:lvlText w:val="%4."/>
      <w:lvlJc w:val="left"/>
      <w:pPr>
        <w:tabs>
          <w:tab w:val="num" w:pos="2880"/>
        </w:tabs>
        <w:ind w:left="2880" w:hanging="360"/>
      </w:pPr>
    </w:lvl>
    <w:lvl w:ilvl="4" w:tplc="3E20DE04" w:tentative="1">
      <w:start w:val="1"/>
      <w:numFmt w:val="decimal"/>
      <w:lvlText w:val="%5."/>
      <w:lvlJc w:val="left"/>
      <w:pPr>
        <w:tabs>
          <w:tab w:val="num" w:pos="3600"/>
        </w:tabs>
        <w:ind w:left="3600" w:hanging="360"/>
      </w:pPr>
    </w:lvl>
    <w:lvl w:ilvl="5" w:tplc="CE286AA2" w:tentative="1">
      <w:start w:val="1"/>
      <w:numFmt w:val="decimal"/>
      <w:lvlText w:val="%6."/>
      <w:lvlJc w:val="left"/>
      <w:pPr>
        <w:tabs>
          <w:tab w:val="num" w:pos="4320"/>
        </w:tabs>
        <w:ind w:left="4320" w:hanging="360"/>
      </w:pPr>
    </w:lvl>
    <w:lvl w:ilvl="6" w:tplc="3D80E7C2" w:tentative="1">
      <w:start w:val="1"/>
      <w:numFmt w:val="decimal"/>
      <w:lvlText w:val="%7."/>
      <w:lvlJc w:val="left"/>
      <w:pPr>
        <w:tabs>
          <w:tab w:val="num" w:pos="5040"/>
        </w:tabs>
        <w:ind w:left="5040" w:hanging="360"/>
      </w:pPr>
    </w:lvl>
    <w:lvl w:ilvl="7" w:tplc="C4A8EC88" w:tentative="1">
      <w:start w:val="1"/>
      <w:numFmt w:val="decimal"/>
      <w:lvlText w:val="%8."/>
      <w:lvlJc w:val="left"/>
      <w:pPr>
        <w:tabs>
          <w:tab w:val="num" w:pos="5760"/>
        </w:tabs>
        <w:ind w:left="5760" w:hanging="360"/>
      </w:pPr>
    </w:lvl>
    <w:lvl w:ilvl="8" w:tplc="B9D22CC4" w:tentative="1">
      <w:start w:val="1"/>
      <w:numFmt w:val="decimal"/>
      <w:lvlText w:val="%9."/>
      <w:lvlJc w:val="left"/>
      <w:pPr>
        <w:tabs>
          <w:tab w:val="num" w:pos="6480"/>
        </w:tabs>
        <w:ind w:left="6480" w:hanging="360"/>
      </w:pPr>
    </w:lvl>
  </w:abstractNum>
  <w:abstractNum w:abstractNumId="18" w15:restartNumberingAfterBreak="0">
    <w:nsid w:val="41A811CE"/>
    <w:multiLevelType w:val="hybridMultilevel"/>
    <w:tmpl w:val="77C42670"/>
    <w:lvl w:ilvl="0" w:tplc="E898A930">
      <w:start w:val="23"/>
      <w:numFmt w:val="decimal"/>
      <w:lvlText w:val="%1."/>
      <w:lvlJc w:val="left"/>
      <w:pPr>
        <w:tabs>
          <w:tab w:val="num" w:pos="720"/>
        </w:tabs>
        <w:ind w:left="720" w:hanging="360"/>
      </w:pPr>
    </w:lvl>
    <w:lvl w:ilvl="1" w:tplc="360014BE" w:tentative="1">
      <w:start w:val="1"/>
      <w:numFmt w:val="decimal"/>
      <w:lvlText w:val="%2."/>
      <w:lvlJc w:val="left"/>
      <w:pPr>
        <w:tabs>
          <w:tab w:val="num" w:pos="1440"/>
        </w:tabs>
        <w:ind w:left="1440" w:hanging="360"/>
      </w:pPr>
    </w:lvl>
    <w:lvl w:ilvl="2" w:tplc="157CBEF8" w:tentative="1">
      <w:start w:val="1"/>
      <w:numFmt w:val="decimal"/>
      <w:lvlText w:val="%3."/>
      <w:lvlJc w:val="left"/>
      <w:pPr>
        <w:tabs>
          <w:tab w:val="num" w:pos="2160"/>
        </w:tabs>
        <w:ind w:left="2160" w:hanging="360"/>
      </w:pPr>
    </w:lvl>
    <w:lvl w:ilvl="3" w:tplc="B874D8A6" w:tentative="1">
      <w:start w:val="1"/>
      <w:numFmt w:val="decimal"/>
      <w:lvlText w:val="%4."/>
      <w:lvlJc w:val="left"/>
      <w:pPr>
        <w:tabs>
          <w:tab w:val="num" w:pos="2880"/>
        </w:tabs>
        <w:ind w:left="2880" w:hanging="360"/>
      </w:pPr>
    </w:lvl>
    <w:lvl w:ilvl="4" w:tplc="EF04317C" w:tentative="1">
      <w:start w:val="1"/>
      <w:numFmt w:val="decimal"/>
      <w:lvlText w:val="%5."/>
      <w:lvlJc w:val="left"/>
      <w:pPr>
        <w:tabs>
          <w:tab w:val="num" w:pos="3600"/>
        </w:tabs>
        <w:ind w:left="3600" w:hanging="360"/>
      </w:pPr>
    </w:lvl>
    <w:lvl w:ilvl="5" w:tplc="BDB8B990" w:tentative="1">
      <w:start w:val="1"/>
      <w:numFmt w:val="decimal"/>
      <w:lvlText w:val="%6."/>
      <w:lvlJc w:val="left"/>
      <w:pPr>
        <w:tabs>
          <w:tab w:val="num" w:pos="4320"/>
        </w:tabs>
        <w:ind w:left="4320" w:hanging="360"/>
      </w:pPr>
    </w:lvl>
    <w:lvl w:ilvl="6" w:tplc="6DE6AAA4" w:tentative="1">
      <w:start w:val="1"/>
      <w:numFmt w:val="decimal"/>
      <w:lvlText w:val="%7."/>
      <w:lvlJc w:val="left"/>
      <w:pPr>
        <w:tabs>
          <w:tab w:val="num" w:pos="5040"/>
        </w:tabs>
        <w:ind w:left="5040" w:hanging="360"/>
      </w:pPr>
    </w:lvl>
    <w:lvl w:ilvl="7" w:tplc="CBF4D2C0" w:tentative="1">
      <w:start w:val="1"/>
      <w:numFmt w:val="decimal"/>
      <w:lvlText w:val="%8."/>
      <w:lvlJc w:val="left"/>
      <w:pPr>
        <w:tabs>
          <w:tab w:val="num" w:pos="5760"/>
        </w:tabs>
        <w:ind w:left="5760" w:hanging="360"/>
      </w:pPr>
    </w:lvl>
    <w:lvl w:ilvl="8" w:tplc="AEB84B1E" w:tentative="1">
      <w:start w:val="1"/>
      <w:numFmt w:val="decimal"/>
      <w:lvlText w:val="%9."/>
      <w:lvlJc w:val="left"/>
      <w:pPr>
        <w:tabs>
          <w:tab w:val="num" w:pos="6480"/>
        </w:tabs>
        <w:ind w:left="6480" w:hanging="360"/>
      </w:pPr>
    </w:lvl>
  </w:abstractNum>
  <w:abstractNum w:abstractNumId="19" w15:restartNumberingAfterBreak="0">
    <w:nsid w:val="43F01E4E"/>
    <w:multiLevelType w:val="hybridMultilevel"/>
    <w:tmpl w:val="82B2861E"/>
    <w:lvl w:ilvl="0" w:tplc="B58A1EC4">
      <w:start w:val="1"/>
      <w:numFmt w:val="bullet"/>
      <w:lvlText w:val=""/>
      <w:lvlJc w:val="left"/>
      <w:pPr>
        <w:ind w:left="720" w:hanging="360"/>
      </w:pPr>
      <w:rPr>
        <w:rFonts w:ascii="Symbol" w:hAnsi="Symbol" w:hint="default"/>
      </w:rPr>
    </w:lvl>
    <w:lvl w:ilvl="1" w:tplc="B3F2EAEA">
      <w:start w:val="1"/>
      <w:numFmt w:val="bullet"/>
      <w:lvlText w:val="o"/>
      <w:lvlJc w:val="left"/>
      <w:pPr>
        <w:ind w:left="1440" w:hanging="360"/>
      </w:pPr>
      <w:rPr>
        <w:rFonts w:ascii="Courier New" w:hAnsi="Courier New" w:hint="default"/>
      </w:rPr>
    </w:lvl>
    <w:lvl w:ilvl="2" w:tplc="BD4A69A6">
      <w:start w:val="1"/>
      <w:numFmt w:val="bullet"/>
      <w:lvlText w:val=""/>
      <w:lvlJc w:val="left"/>
      <w:pPr>
        <w:ind w:left="2160" w:hanging="360"/>
      </w:pPr>
      <w:rPr>
        <w:rFonts w:ascii="Wingdings" w:hAnsi="Wingdings" w:hint="default"/>
      </w:rPr>
    </w:lvl>
    <w:lvl w:ilvl="3" w:tplc="9A229678">
      <w:start w:val="1"/>
      <w:numFmt w:val="bullet"/>
      <w:lvlText w:val=""/>
      <w:lvlJc w:val="left"/>
      <w:pPr>
        <w:ind w:left="2880" w:hanging="360"/>
      </w:pPr>
      <w:rPr>
        <w:rFonts w:ascii="Symbol" w:hAnsi="Symbol" w:hint="default"/>
      </w:rPr>
    </w:lvl>
    <w:lvl w:ilvl="4" w:tplc="DE76DF88">
      <w:start w:val="1"/>
      <w:numFmt w:val="bullet"/>
      <w:lvlText w:val="o"/>
      <w:lvlJc w:val="left"/>
      <w:pPr>
        <w:ind w:left="3600" w:hanging="360"/>
      </w:pPr>
      <w:rPr>
        <w:rFonts w:ascii="Courier New" w:hAnsi="Courier New" w:hint="default"/>
      </w:rPr>
    </w:lvl>
    <w:lvl w:ilvl="5" w:tplc="FC82C270">
      <w:start w:val="1"/>
      <w:numFmt w:val="bullet"/>
      <w:lvlText w:val=""/>
      <w:lvlJc w:val="left"/>
      <w:pPr>
        <w:ind w:left="4320" w:hanging="360"/>
      </w:pPr>
      <w:rPr>
        <w:rFonts w:ascii="Wingdings" w:hAnsi="Wingdings" w:hint="default"/>
      </w:rPr>
    </w:lvl>
    <w:lvl w:ilvl="6" w:tplc="FDC4FA14">
      <w:start w:val="1"/>
      <w:numFmt w:val="bullet"/>
      <w:lvlText w:val=""/>
      <w:lvlJc w:val="left"/>
      <w:pPr>
        <w:ind w:left="5040" w:hanging="360"/>
      </w:pPr>
      <w:rPr>
        <w:rFonts w:ascii="Symbol" w:hAnsi="Symbol" w:hint="default"/>
      </w:rPr>
    </w:lvl>
    <w:lvl w:ilvl="7" w:tplc="86E0E2E2">
      <w:start w:val="1"/>
      <w:numFmt w:val="bullet"/>
      <w:lvlText w:val="o"/>
      <w:lvlJc w:val="left"/>
      <w:pPr>
        <w:ind w:left="5760" w:hanging="360"/>
      </w:pPr>
      <w:rPr>
        <w:rFonts w:ascii="Courier New" w:hAnsi="Courier New" w:hint="default"/>
      </w:rPr>
    </w:lvl>
    <w:lvl w:ilvl="8" w:tplc="AF443CA2">
      <w:start w:val="1"/>
      <w:numFmt w:val="bullet"/>
      <w:lvlText w:val=""/>
      <w:lvlJc w:val="left"/>
      <w:pPr>
        <w:ind w:left="6480" w:hanging="360"/>
      </w:pPr>
      <w:rPr>
        <w:rFonts w:ascii="Wingdings" w:hAnsi="Wingdings" w:hint="default"/>
      </w:rPr>
    </w:lvl>
  </w:abstractNum>
  <w:abstractNum w:abstractNumId="20" w15:restartNumberingAfterBreak="0">
    <w:nsid w:val="495F0D08"/>
    <w:multiLevelType w:val="hybridMultilevel"/>
    <w:tmpl w:val="9620F070"/>
    <w:lvl w:ilvl="0" w:tplc="9AD0837C">
      <w:start w:val="1"/>
      <w:numFmt w:val="lowerLetter"/>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89E70F5"/>
    <w:multiLevelType w:val="hybridMultilevel"/>
    <w:tmpl w:val="6A00196C"/>
    <w:lvl w:ilvl="0" w:tplc="9C78496A">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9956FD1"/>
    <w:multiLevelType w:val="hybridMultilevel"/>
    <w:tmpl w:val="E94A7A1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E687665"/>
    <w:multiLevelType w:val="hybridMultilevel"/>
    <w:tmpl w:val="266C82C4"/>
    <w:lvl w:ilvl="0" w:tplc="178A8F48">
      <w:start w:val="1"/>
      <w:numFmt w:val="decimal"/>
      <w:pStyle w:val="NUMERAOK"/>
      <w:lvlText w:val="%1."/>
      <w:lvlJc w:val="left"/>
      <w:pPr>
        <w:ind w:left="720" w:hanging="360"/>
      </w:pPr>
      <w:rPr>
        <w:rFonts w:ascii="Arial" w:hAnsi="Arial" w:cs="Arial" w:hint="default"/>
        <w:b w:val="0"/>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0C4785C"/>
    <w:multiLevelType w:val="hybridMultilevel"/>
    <w:tmpl w:val="DA404B38"/>
    <w:lvl w:ilvl="0" w:tplc="14D0B9CA">
      <w:start w:val="1"/>
      <w:numFmt w:val="decimal"/>
      <w:lvlText w:val="%1."/>
      <w:lvlJc w:val="left"/>
      <w:pPr>
        <w:ind w:left="720" w:hanging="360"/>
      </w:pPr>
      <w:rPr>
        <w:rFonts w:ascii="Arial" w:hAnsi="Arial" w:cs="Arial" w:hint="default"/>
        <w:b w:val="0"/>
        <w:i w:val="0"/>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701EE8"/>
    <w:multiLevelType w:val="hybridMultilevel"/>
    <w:tmpl w:val="32A53B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39A4E87"/>
    <w:multiLevelType w:val="hybridMultilevel"/>
    <w:tmpl w:val="460A79BA"/>
    <w:lvl w:ilvl="0" w:tplc="F042BB00">
      <w:start w:val="1"/>
      <w:numFmt w:val="decimal"/>
      <w:lvlText w:val="%1."/>
      <w:lvlJc w:val="left"/>
      <w:pPr>
        <w:ind w:left="644" w:hanging="360"/>
      </w:pPr>
      <w:rPr>
        <w:rFonts w:ascii="Arial" w:hAnsi="Arial" w:cs="Arial" w:hint="default"/>
        <w:b w:val="0"/>
        <w:i w:val="0"/>
        <w:color w:val="000000"/>
        <w:sz w:val="24"/>
        <w:szCs w:val="24"/>
      </w:rPr>
    </w:lvl>
    <w:lvl w:ilvl="1" w:tplc="7C6480A6">
      <w:start w:val="1"/>
      <w:numFmt w:val="decimal"/>
      <w:lvlText w:val="%1.%2."/>
      <w:lvlJc w:val="left"/>
      <w:pPr>
        <w:ind w:left="2564" w:hanging="720"/>
      </w:pPr>
      <w:rPr>
        <w:b w:val="0"/>
        <w:i w:val="0"/>
        <w:sz w:val="24"/>
        <w:szCs w:val="24"/>
        <w:lang w:val="es-ES_tradnl"/>
      </w:rPr>
    </w:lvl>
    <w:lvl w:ilvl="2" w:tplc="D5E2EA14">
      <w:start w:val="1"/>
      <w:numFmt w:val="decimal"/>
      <w:lvlText w:val="%1.%2.%3."/>
      <w:lvlJc w:val="left"/>
      <w:pPr>
        <w:ind w:left="1080" w:hanging="720"/>
      </w:pPr>
      <w:rPr>
        <w:i w:val="0"/>
      </w:rPr>
    </w:lvl>
    <w:lvl w:ilvl="3" w:tplc="98EC245C">
      <w:start w:val="1"/>
      <w:numFmt w:val="decimal"/>
      <w:lvlText w:val="%1.%2.%3.%4."/>
      <w:lvlJc w:val="left"/>
      <w:pPr>
        <w:ind w:left="1440" w:hanging="1080"/>
      </w:pPr>
    </w:lvl>
    <w:lvl w:ilvl="4" w:tplc="42F4D736">
      <w:start w:val="1"/>
      <w:numFmt w:val="decimal"/>
      <w:lvlText w:val="%1.%2.%3.%4.%5."/>
      <w:lvlJc w:val="left"/>
      <w:pPr>
        <w:ind w:left="1440" w:hanging="1080"/>
      </w:pPr>
    </w:lvl>
    <w:lvl w:ilvl="5" w:tplc="C5E8EF6A">
      <w:start w:val="1"/>
      <w:numFmt w:val="decimal"/>
      <w:lvlText w:val="%1.%2.%3.%4.%5.%6."/>
      <w:lvlJc w:val="left"/>
      <w:pPr>
        <w:ind w:left="1800" w:hanging="1440"/>
      </w:pPr>
    </w:lvl>
    <w:lvl w:ilvl="6" w:tplc="3D58BF68">
      <w:start w:val="1"/>
      <w:numFmt w:val="decimal"/>
      <w:lvlText w:val="%1.%2.%3.%4.%5.%6.%7."/>
      <w:lvlJc w:val="left"/>
      <w:pPr>
        <w:ind w:left="1800" w:hanging="1440"/>
      </w:pPr>
    </w:lvl>
    <w:lvl w:ilvl="7" w:tplc="91B2C228">
      <w:start w:val="1"/>
      <w:numFmt w:val="decimal"/>
      <w:lvlText w:val="%1.%2.%3.%4.%5.%6.%7.%8."/>
      <w:lvlJc w:val="left"/>
      <w:pPr>
        <w:ind w:left="2160" w:hanging="1800"/>
      </w:pPr>
    </w:lvl>
    <w:lvl w:ilvl="8" w:tplc="323C9618">
      <w:start w:val="1"/>
      <w:numFmt w:val="decimal"/>
      <w:lvlText w:val="%1.%2.%3.%4.%5.%6.%7.%8.%9."/>
      <w:lvlJc w:val="left"/>
      <w:pPr>
        <w:ind w:left="2520" w:hanging="2160"/>
      </w:pPr>
    </w:lvl>
  </w:abstractNum>
  <w:abstractNum w:abstractNumId="27" w15:restartNumberingAfterBreak="0">
    <w:nsid w:val="6AAF1167"/>
    <w:multiLevelType w:val="hybridMultilevel"/>
    <w:tmpl w:val="8C66A9A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B4F029F"/>
    <w:multiLevelType w:val="hybridMultilevel"/>
    <w:tmpl w:val="36803422"/>
    <w:lvl w:ilvl="0" w:tplc="4790BE46">
      <w:start w:val="1"/>
      <w:numFmt w:val="decimal"/>
      <w:lvlText w:val="%1."/>
      <w:lvlJc w:val="left"/>
      <w:pPr>
        <w:ind w:left="360" w:hanging="360"/>
      </w:pPr>
      <w:rPr>
        <w:rFonts w:ascii="Arial" w:hAnsi="Arial" w:cs="Arial" w:hint="default"/>
        <w:b w:val="0"/>
        <w:i w:val="0"/>
        <w:color w:val="000000"/>
        <w:sz w:val="24"/>
        <w:szCs w:val="24"/>
      </w:rPr>
    </w:lvl>
    <w:lvl w:ilvl="1" w:tplc="277E8A80">
      <w:start w:val="1"/>
      <w:numFmt w:val="decimal"/>
      <w:lvlText w:val="%1.%2."/>
      <w:lvlJc w:val="left"/>
      <w:pPr>
        <w:ind w:left="792" w:hanging="432"/>
      </w:pPr>
      <w:rPr>
        <w:rFonts w:ascii="Arial" w:hAnsi="Arial" w:cs="Arial" w:hint="default"/>
        <w:i w:val="0"/>
        <w:sz w:val="24"/>
        <w:szCs w:val="24"/>
      </w:rPr>
    </w:lvl>
    <w:lvl w:ilvl="2" w:tplc="D2BC1D90">
      <w:start w:val="1"/>
      <w:numFmt w:val="decimal"/>
      <w:lvlText w:val="%1.%2.%3."/>
      <w:lvlJc w:val="left"/>
      <w:pPr>
        <w:ind w:left="1224" w:hanging="504"/>
      </w:pPr>
    </w:lvl>
    <w:lvl w:ilvl="3" w:tplc="6FA0DE36">
      <w:start w:val="1"/>
      <w:numFmt w:val="decimal"/>
      <w:lvlText w:val="%1.%2.%3.%4."/>
      <w:lvlJc w:val="left"/>
      <w:pPr>
        <w:ind w:left="1728" w:hanging="648"/>
      </w:pPr>
    </w:lvl>
    <w:lvl w:ilvl="4" w:tplc="369C8E44">
      <w:start w:val="1"/>
      <w:numFmt w:val="decimal"/>
      <w:lvlText w:val="%1.%2.%3.%4.%5."/>
      <w:lvlJc w:val="left"/>
      <w:pPr>
        <w:ind w:left="2232" w:hanging="792"/>
      </w:pPr>
    </w:lvl>
    <w:lvl w:ilvl="5" w:tplc="5CF4666A">
      <w:start w:val="1"/>
      <w:numFmt w:val="decimal"/>
      <w:lvlText w:val="%1.%2.%3.%4.%5.%6."/>
      <w:lvlJc w:val="left"/>
      <w:pPr>
        <w:ind w:left="2736" w:hanging="936"/>
      </w:pPr>
    </w:lvl>
    <w:lvl w:ilvl="6" w:tplc="603A0720">
      <w:start w:val="1"/>
      <w:numFmt w:val="decimal"/>
      <w:lvlText w:val="%1.%2.%3.%4.%5.%6.%7."/>
      <w:lvlJc w:val="left"/>
      <w:pPr>
        <w:ind w:left="3240" w:hanging="1080"/>
      </w:pPr>
    </w:lvl>
    <w:lvl w:ilvl="7" w:tplc="CCAEBF90">
      <w:start w:val="1"/>
      <w:numFmt w:val="decimal"/>
      <w:lvlText w:val="%1.%2.%3.%4.%5.%6.%7.%8."/>
      <w:lvlJc w:val="left"/>
      <w:pPr>
        <w:ind w:left="3744" w:hanging="1224"/>
      </w:pPr>
    </w:lvl>
    <w:lvl w:ilvl="8" w:tplc="8A3C8226">
      <w:start w:val="1"/>
      <w:numFmt w:val="decimal"/>
      <w:lvlText w:val="%1.%2.%3.%4.%5.%6.%7.%8.%9."/>
      <w:lvlJc w:val="left"/>
      <w:pPr>
        <w:ind w:left="4320" w:hanging="1440"/>
      </w:pPr>
    </w:lvl>
  </w:abstractNum>
  <w:abstractNum w:abstractNumId="29" w15:restartNumberingAfterBreak="0">
    <w:nsid w:val="7C3ADDE7"/>
    <w:multiLevelType w:val="hybridMultilevel"/>
    <w:tmpl w:val="34AE11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F065A19"/>
    <w:multiLevelType w:val="multilevel"/>
    <w:tmpl w:val="5ABA1F5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0"/>
  </w:num>
  <w:num w:numId="3">
    <w:abstractNumId w:val="15"/>
  </w:num>
  <w:num w:numId="4">
    <w:abstractNumId w:val="27"/>
  </w:num>
  <w:num w:numId="5">
    <w:abstractNumId w:val="24"/>
  </w:num>
  <w:num w:numId="6">
    <w:abstractNumId w:val="22"/>
  </w:num>
  <w:num w:numId="7">
    <w:abstractNumId w:val="28"/>
  </w:num>
  <w:num w:numId="8">
    <w:abstractNumId w:val="21"/>
  </w:num>
  <w:num w:numId="9">
    <w:abstractNumId w:val="16"/>
  </w:num>
  <w:num w:numId="10">
    <w:abstractNumId w:val="26"/>
  </w:num>
  <w:num w:numId="11">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5"/>
  </w:num>
  <w:num w:numId="14">
    <w:abstractNumId w:val="13"/>
  </w:num>
  <w:num w:numId="15">
    <w:abstractNumId w:val="6"/>
  </w:num>
  <w:num w:numId="16">
    <w:abstractNumId w:val="12"/>
  </w:num>
  <w:num w:numId="17">
    <w:abstractNumId w:val="20"/>
  </w:num>
  <w:num w:numId="18">
    <w:abstractNumId w:val="3"/>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
  </w:num>
  <w:num w:numId="22">
    <w:abstractNumId w:val="2"/>
  </w:num>
  <w:num w:numId="23">
    <w:abstractNumId w:val="29"/>
  </w:num>
  <w:num w:numId="24">
    <w:abstractNumId w:val="11"/>
  </w:num>
  <w:num w:numId="25">
    <w:abstractNumId w:val="0"/>
  </w:num>
  <w:num w:numId="26">
    <w:abstractNumId w:val="23"/>
  </w:num>
  <w:num w:numId="27">
    <w:abstractNumId w:val="7"/>
  </w:num>
  <w:num w:numId="28">
    <w:abstractNumId w:val="14"/>
  </w:num>
  <w:num w:numId="29">
    <w:abstractNumId w:val="18"/>
  </w:num>
  <w:num w:numId="30">
    <w:abstractNumId w:val="30"/>
  </w:num>
  <w:num w:numId="31">
    <w:abstractNumId w:val="17"/>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6F9"/>
    <w:rsid w:val="00005967"/>
    <w:rsid w:val="00006A41"/>
    <w:rsid w:val="00007A2C"/>
    <w:rsid w:val="0001485B"/>
    <w:rsid w:val="00031D36"/>
    <w:rsid w:val="00035557"/>
    <w:rsid w:val="000369E9"/>
    <w:rsid w:val="00037BE3"/>
    <w:rsid w:val="0004122D"/>
    <w:rsid w:val="0004474D"/>
    <w:rsid w:val="00044C32"/>
    <w:rsid w:val="0004590F"/>
    <w:rsid w:val="00054FCE"/>
    <w:rsid w:val="00055274"/>
    <w:rsid w:val="00072E23"/>
    <w:rsid w:val="000818A5"/>
    <w:rsid w:val="00082690"/>
    <w:rsid w:val="00085F99"/>
    <w:rsid w:val="0009069B"/>
    <w:rsid w:val="000962C9"/>
    <w:rsid w:val="00097F3E"/>
    <w:rsid w:val="000A5345"/>
    <w:rsid w:val="000C4A1E"/>
    <w:rsid w:val="000D6887"/>
    <w:rsid w:val="000E3EA5"/>
    <w:rsid w:val="000F0B88"/>
    <w:rsid w:val="00101E71"/>
    <w:rsid w:val="001113F0"/>
    <w:rsid w:val="00117809"/>
    <w:rsid w:val="00124779"/>
    <w:rsid w:val="00127411"/>
    <w:rsid w:val="00150EE5"/>
    <w:rsid w:val="00157AD3"/>
    <w:rsid w:val="0016494B"/>
    <w:rsid w:val="00171770"/>
    <w:rsid w:val="0018036A"/>
    <w:rsid w:val="001812F2"/>
    <w:rsid w:val="001A2131"/>
    <w:rsid w:val="001A2153"/>
    <w:rsid w:val="001A312E"/>
    <w:rsid w:val="001A7A0B"/>
    <w:rsid w:val="001C1D6B"/>
    <w:rsid w:val="001D4004"/>
    <w:rsid w:val="001D4BE8"/>
    <w:rsid w:val="001E6817"/>
    <w:rsid w:val="002057EC"/>
    <w:rsid w:val="002063C8"/>
    <w:rsid w:val="00217A1B"/>
    <w:rsid w:val="00223F7B"/>
    <w:rsid w:val="00231536"/>
    <w:rsid w:val="00234067"/>
    <w:rsid w:val="00234304"/>
    <w:rsid w:val="00237982"/>
    <w:rsid w:val="0024016C"/>
    <w:rsid w:val="00245C41"/>
    <w:rsid w:val="00273229"/>
    <w:rsid w:val="0028063B"/>
    <w:rsid w:val="002827FF"/>
    <w:rsid w:val="002868BA"/>
    <w:rsid w:val="002908E0"/>
    <w:rsid w:val="00295470"/>
    <w:rsid w:val="002966E5"/>
    <w:rsid w:val="002A077C"/>
    <w:rsid w:val="002A330E"/>
    <w:rsid w:val="002A649F"/>
    <w:rsid w:val="002B0020"/>
    <w:rsid w:val="002B6366"/>
    <w:rsid w:val="002D5C17"/>
    <w:rsid w:val="00305C59"/>
    <w:rsid w:val="0030694D"/>
    <w:rsid w:val="00311510"/>
    <w:rsid w:val="00315BF6"/>
    <w:rsid w:val="00323B28"/>
    <w:rsid w:val="00330451"/>
    <w:rsid w:val="00330527"/>
    <w:rsid w:val="003336E1"/>
    <w:rsid w:val="003457FA"/>
    <w:rsid w:val="00355D26"/>
    <w:rsid w:val="00366B30"/>
    <w:rsid w:val="00377F6C"/>
    <w:rsid w:val="003A0396"/>
    <w:rsid w:val="003A0E99"/>
    <w:rsid w:val="003A414E"/>
    <w:rsid w:val="003A4991"/>
    <w:rsid w:val="003B214C"/>
    <w:rsid w:val="003B5D51"/>
    <w:rsid w:val="003B6136"/>
    <w:rsid w:val="003C4A63"/>
    <w:rsid w:val="003D2023"/>
    <w:rsid w:val="003D56D5"/>
    <w:rsid w:val="003E0BD0"/>
    <w:rsid w:val="003E3A78"/>
    <w:rsid w:val="003E78C1"/>
    <w:rsid w:val="003F67A6"/>
    <w:rsid w:val="0040201D"/>
    <w:rsid w:val="00402C3E"/>
    <w:rsid w:val="004057B7"/>
    <w:rsid w:val="00410507"/>
    <w:rsid w:val="00411307"/>
    <w:rsid w:val="00412028"/>
    <w:rsid w:val="00416B76"/>
    <w:rsid w:val="00420EBE"/>
    <w:rsid w:val="00427154"/>
    <w:rsid w:val="00435C64"/>
    <w:rsid w:val="00441B32"/>
    <w:rsid w:val="00442DD0"/>
    <w:rsid w:val="004466BE"/>
    <w:rsid w:val="00450C4B"/>
    <w:rsid w:val="00452D2C"/>
    <w:rsid w:val="0046241B"/>
    <w:rsid w:val="0047175C"/>
    <w:rsid w:val="004731D1"/>
    <w:rsid w:val="00476772"/>
    <w:rsid w:val="004847EE"/>
    <w:rsid w:val="00485EA3"/>
    <w:rsid w:val="004872CF"/>
    <w:rsid w:val="00492D2E"/>
    <w:rsid w:val="00497F12"/>
    <w:rsid w:val="004B5F48"/>
    <w:rsid w:val="004C01B0"/>
    <w:rsid w:val="004C0490"/>
    <w:rsid w:val="004D1390"/>
    <w:rsid w:val="004D2E6B"/>
    <w:rsid w:val="004E4481"/>
    <w:rsid w:val="00505568"/>
    <w:rsid w:val="00505CF0"/>
    <w:rsid w:val="00512498"/>
    <w:rsid w:val="0051678A"/>
    <w:rsid w:val="00517B7E"/>
    <w:rsid w:val="00522033"/>
    <w:rsid w:val="00530206"/>
    <w:rsid w:val="005318E4"/>
    <w:rsid w:val="005349A2"/>
    <w:rsid w:val="00542B37"/>
    <w:rsid w:val="0054541F"/>
    <w:rsid w:val="0055031C"/>
    <w:rsid w:val="00551C6C"/>
    <w:rsid w:val="0055234E"/>
    <w:rsid w:val="00554210"/>
    <w:rsid w:val="005547E2"/>
    <w:rsid w:val="00556AC7"/>
    <w:rsid w:val="00556FD4"/>
    <w:rsid w:val="0056033B"/>
    <w:rsid w:val="00561BF5"/>
    <w:rsid w:val="005646EF"/>
    <w:rsid w:val="00565183"/>
    <w:rsid w:val="00566EC2"/>
    <w:rsid w:val="0057290A"/>
    <w:rsid w:val="00573F68"/>
    <w:rsid w:val="00574656"/>
    <w:rsid w:val="00587CF8"/>
    <w:rsid w:val="005923EC"/>
    <w:rsid w:val="00594F37"/>
    <w:rsid w:val="005962C3"/>
    <w:rsid w:val="00596B52"/>
    <w:rsid w:val="005B67AA"/>
    <w:rsid w:val="005C0F27"/>
    <w:rsid w:val="005C1000"/>
    <w:rsid w:val="005C1429"/>
    <w:rsid w:val="005C73A9"/>
    <w:rsid w:val="005C7F72"/>
    <w:rsid w:val="005D1468"/>
    <w:rsid w:val="005D195B"/>
    <w:rsid w:val="005D3174"/>
    <w:rsid w:val="005D7575"/>
    <w:rsid w:val="005E3FDE"/>
    <w:rsid w:val="005E7C10"/>
    <w:rsid w:val="005F5B03"/>
    <w:rsid w:val="005F6E6A"/>
    <w:rsid w:val="006055C7"/>
    <w:rsid w:val="006066A6"/>
    <w:rsid w:val="00610BB0"/>
    <w:rsid w:val="00614C9B"/>
    <w:rsid w:val="006151BF"/>
    <w:rsid w:val="006202CF"/>
    <w:rsid w:val="00620691"/>
    <w:rsid w:val="006410CB"/>
    <w:rsid w:val="006464F0"/>
    <w:rsid w:val="00661F40"/>
    <w:rsid w:val="00662326"/>
    <w:rsid w:val="0066705D"/>
    <w:rsid w:val="00671DCA"/>
    <w:rsid w:val="00694004"/>
    <w:rsid w:val="006A181F"/>
    <w:rsid w:val="006A49F8"/>
    <w:rsid w:val="006A4CF4"/>
    <w:rsid w:val="006A6425"/>
    <w:rsid w:val="006B5DDC"/>
    <w:rsid w:val="006C0CF3"/>
    <w:rsid w:val="006E5341"/>
    <w:rsid w:val="006E5A71"/>
    <w:rsid w:val="006E6463"/>
    <w:rsid w:val="006F1903"/>
    <w:rsid w:val="006F2FC7"/>
    <w:rsid w:val="007017DB"/>
    <w:rsid w:val="00701940"/>
    <w:rsid w:val="007035C3"/>
    <w:rsid w:val="0070643E"/>
    <w:rsid w:val="0071569D"/>
    <w:rsid w:val="00725200"/>
    <w:rsid w:val="00725F24"/>
    <w:rsid w:val="00730690"/>
    <w:rsid w:val="007379F0"/>
    <w:rsid w:val="0074393D"/>
    <w:rsid w:val="007646D3"/>
    <w:rsid w:val="00767928"/>
    <w:rsid w:val="007832C8"/>
    <w:rsid w:val="0078580A"/>
    <w:rsid w:val="00787A6B"/>
    <w:rsid w:val="00796720"/>
    <w:rsid w:val="007A38C1"/>
    <w:rsid w:val="007A3C0C"/>
    <w:rsid w:val="007A6B63"/>
    <w:rsid w:val="007B01F8"/>
    <w:rsid w:val="007B2ACD"/>
    <w:rsid w:val="007B6985"/>
    <w:rsid w:val="007C1E5D"/>
    <w:rsid w:val="007D2215"/>
    <w:rsid w:val="007D3530"/>
    <w:rsid w:val="007E130B"/>
    <w:rsid w:val="007E3631"/>
    <w:rsid w:val="007F417D"/>
    <w:rsid w:val="007F6D77"/>
    <w:rsid w:val="00807F1C"/>
    <w:rsid w:val="00814FE2"/>
    <w:rsid w:val="00817584"/>
    <w:rsid w:val="0082246B"/>
    <w:rsid w:val="00822D95"/>
    <w:rsid w:val="00833BE0"/>
    <w:rsid w:val="00842EB7"/>
    <w:rsid w:val="00846552"/>
    <w:rsid w:val="00851705"/>
    <w:rsid w:val="00852167"/>
    <w:rsid w:val="00863AA4"/>
    <w:rsid w:val="00863FB1"/>
    <w:rsid w:val="00882036"/>
    <w:rsid w:val="00891498"/>
    <w:rsid w:val="00894405"/>
    <w:rsid w:val="008B033D"/>
    <w:rsid w:val="008C26F9"/>
    <w:rsid w:val="008C367D"/>
    <w:rsid w:val="008C3E6A"/>
    <w:rsid w:val="008D046A"/>
    <w:rsid w:val="008D19D1"/>
    <w:rsid w:val="008D50E3"/>
    <w:rsid w:val="008E1BBE"/>
    <w:rsid w:val="008E3F33"/>
    <w:rsid w:val="008E545E"/>
    <w:rsid w:val="008E5A15"/>
    <w:rsid w:val="008E5DD1"/>
    <w:rsid w:val="008F18A7"/>
    <w:rsid w:val="008F3FAE"/>
    <w:rsid w:val="008F6AD3"/>
    <w:rsid w:val="008F6BA6"/>
    <w:rsid w:val="00905252"/>
    <w:rsid w:val="00930050"/>
    <w:rsid w:val="009308A0"/>
    <w:rsid w:val="00947A67"/>
    <w:rsid w:val="00947DCD"/>
    <w:rsid w:val="00957004"/>
    <w:rsid w:val="00967C49"/>
    <w:rsid w:val="00971DEB"/>
    <w:rsid w:val="0097356D"/>
    <w:rsid w:val="009849F5"/>
    <w:rsid w:val="00985B6E"/>
    <w:rsid w:val="009938A2"/>
    <w:rsid w:val="009A3EC6"/>
    <w:rsid w:val="009A48D3"/>
    <w:rsid w:val="009A5B70"/>
    <w:rsid w:val="009B165E"/>
    <w:rsid w:val="009B17E9"/>
    <w:rsid w:val="009B1E1D"/>
    <w:rsid w:val="009B4C6C"/>
    <w:rsid w:val="009B7F8B"/>
    <w:rsid w:val="009C7834"/>
    <w:rsid w:val="009D0CE8"/>
    <w:rsid w:val="009D69BB"/>
    <w:rsid w:val="009E1FB2"/>
    <w:rsid w:val="009E2306"/>
    <w:rsid w:val="009E510E"/>
    <w:rsid w:val="009E5A54"/>
    <w:rsid w:val="009E708E"/>
    <w:rsid w:val="009F4CD7"/>
    <w:rsid w:val="009F5592"/>
    <w:rsid w:val="00A01982"/>
    <w:rsid w:val="00A04FA0"/>
    <w:rsid w:val="00A11281"/>
    <w:rsid w:val="00A17A36"/>
    <w:rsid w:val="00A201CB"/>
    <w:rsid w:val="00A25B0F"/>
    <w:rsid w:val="00A26BC2"/>
    <w:rsid w:val="00A3111F"/>
    <w:rsid w:val="00A41A8A"/>
    <w:rsid w:val="00A4270D"/>
    <w:rsid w:val="00A44C3D"/>
    <w:rsid w:val="00A44CB3"/>
    <w:rsid w:val="00A46BE0"/>
    <w:rsid w:val="00A5503B"/>
    <w:rsid w:val="00A60CE3"/>
    <w:rsid w:val="00A62BB0"/>
    <w:rsid w:val="00A75531"/>
    <w:rsid w:val="00A75831"/>
    <w:rsid w:val="00A83A46"/>
    <w:rsid w:val="00A94100"/>
    <w:rsid w:val="00AA1D59"/>
    <w:rsid w:val="00AC0090"/>
    <w:rsid w:val="00AC178B"/>
    <w:rsid w:val="00AC5DFE"/>
    <w:rsid w:val="00AD02B1"/>
    <w:rsid w:val="00AD14FE"/>
    <w:rsid w:val="00AD5A9B"/>
    <w:rsid w:val="00AE0299"/>
    <w:rsid w:val="00AE04FC"/>
    <w:rsid w:val="00AE158A"/>
    <w:rsid w:val="00AE20E1"/>
    <w:rsid w:val="00AE2CE1"/>
    <w:rsid w:val="00AE5E2F"/>
    <w:rsid w:val="00AF1024"/>
    <w:rsid w:val="00AF4218"/>
    <w:rsid w:val="00AF422C"/>
    <w:rsid w:val="00AF43A1"/>
    <w:rsid w:val="00B142D7"/>
    <w:rsid w:val="00B15328"/>
    <w:rsid w:val="00B1626A"/>
    <w:rsid w:val="00B3119F"/>
    <w:rsid w:val="00B44F89"/>
    <w:rsid w:val="00B451F8"/>
    <w:rsid w:val="00B474DF"/>
    <w:rsid w:val="00B47559"/>
    <w:rsid w:val="00B507EF"/>
    <w:rsid w:val="00B52939"/>
    <w:rsid w:val="00B551C9"/>
    <w:rsid w:val="00B569F1"/>
    <w:rsid w:val="00B60B9C"/>
    <w:rsid w:val="00B7232B"/>
    <w:rsid w:val="00B82B5E"/>
    <w:rsid w:val="00B830DD"/>
    <w:rsid w:val="00B8661C"/>
    <w:rsid w:val="00B9377A"/>
    <w:rsid w:val="00BA1CA0"/>
    <w:rsid w:val="00BA6119"/>
    <w:rsid w:val="00BA7366"/>
    <w:rsid w:val="00BB1390"/>
    <w:rsid w:val="00BB720D"/>
    <w:rsid w:val="00BC00CE"/>
    <w:rsid w:val="00BC0875"/>
    <w:rsid w:val="00BC4349"/>
    <w:rsid w:val="00BC6B2A"/>
    <w:rsid w:val="00BD33FB"/>
    <w:rsid w:val="00BE1BF9"/>
    <w:rsid w:val="00BF4596"/>
    <w:rsid w:val="00C0154B"/>
    <w:rsid w:val="00C03A47"/>
    <w:rsid w:val="00C06B47"/>
    <w:rsid w:val="00C07152"/>
    <w:rsid w:val="00C105B3"/>
    <w:rsid w:val="00C121D3"/>
    <w:rsid w:val="00C211F5"/>
    <w:rsid w:val="00C21241"/>
    <w:rsid w:val="00C23DBB"/>
    <w:rsid w:val="00C3539B"/>
    <w:rsid w:val="00C40804"/>
    <w:rsid w:val="00C45A9A"/>
    <w:rsid w:val="00C576B2"/>
    <w:rsid w:val="00C57EFA"/>
    <w:rsid w:val="00C60211"/>
    <w:rsid w:val="00C64343"/>
    <w:rsid w:val="00C70370"/>
    <w:rsid w:val="00C7506C"/>
    <w:rsid w:val="00C775EA"/>
    <w:rsid w:val="00C81F45"/>
    <w:rsid w:val="00C9282E"/>
    <w:rsid w:val="00C92E05"/>
    <w:rsid w:val="00C93FA5"/>
    <w:rsid w:val="00CA48B2"/>
    <w:rsid w:val="00CB0773"/>
    <w:rsid w:val="00CB1942"/>
    <w:rsid w:val="00CC2FAD"/>
    <w:rsid w:val="00CE28EA"/>
    <w:rsid w:val="00CE723D"/>
    <w:rsid w:val="00CE77A8"/>
    <w:rsid w:val="00D0426A"/>
    <w:rsid w:val="00D12E4D"/>
    <w:rsid w:val="00D21CDE"/>
    <w:rsid w:val="00D36CDE"/>
    <w:rsid w:val="00D475BD"/>
    <w:rsid w:val="00D4797A"/>
    <w:rsid w:val="00D52E46"/>
    <w:rsid w:val="00D561CB"/>
    <w:rsid w:val="00D618CE"/>
    <w:rsid w:val="00D91B04"/>
    <w:rsid w:val="00DA2221"/>
    <w:rsid w:val="00DA42D6"/>
    <w:rsid w:val="00DA4D02"/>
    <w:rsid w:val="00DA6260"/>
    <w:rsid w:val="00DB266C"/>
    <w:rsid w:val="00DB5A54"/>
    <w:rsid w:val="00DC062F"/>
    <w:rsid w:val="00DC3121"/>
    <w:rsid w:val="00DD002A"/>
    <w:rsid w:val="00DD6490"/>
    <w:rsid w:val="00DE0F43"/>
    <w:rsid w:val="00DE159B"/>
    <w:rsid w:val="00DE1873"/>
    <w:rsid w:val="00DF5018"/>
    <w:rsid w:val="00DF619F"/>
    <w:rsid w:val="00E041B6"/>
    <w:rsid w:val="00E0451D"/>
    <w:rsid w:val="00E127E7"/>
    <w:rsid w:val="00E14607"/>
    <w:rsid w:val="00E149FE"/>
    <w:rsid w:val="00E17187"/>
    <w:rsid w:val="00E178BA"/>
    <w:rsid w:val="00E2314A"/>
    <w:rsid w:val="00E24437"/>
    <w:rsid w:val="00E27C07"/>
    <w:rsid w:val="00E3080C"/>
    <w:rsid w:val="00E35ECD"/>
    <w:rsid w:val="00E4060C"/>
    <w:rsid w:val="00E42C99"/>
    <w:rsid w:val="00E44ED6"/>
    <w:rsid w:val="00E5750B"/>
    <w:rsid w:val="00E73492"/>
    <w:rsid w:val="00E73648"/>
    <w:rsid w:val="00E73659"/>
    <w:rsid w:val="00EA1BE1"/>
    <w:rsid w:val="00EA5C8B"/>
    <w:rsid w:val="00EA7EB4"/>
    <w:rsid w:val="00EB1184"/>
    <w:rsid w:val="00EB2A97"/>
    <w:rsid w:val="00EB561A"/>
    <w:rsid w:val="00EE311A"/>
    <w:rsid w:val="00EE38FF"/>
    <w:rsid w:val="00EE54C0"/>
    <w:rsid w:val="00F133FE"/>
    <w:rsid w:val="00F13A90"/>
    <w:rsid w:val="00F27C56"/>
    <w:rsid w:val="00F33B56"/>
    <w:rsid w:val="00F41162"/>
    <w:rsid w:val="00F423E9"/>
    <w:rsid w:val="00F449E3"/>
    <w:rsid w:val="00F45D4E"/>
    <w:rsid w:val="00F518A3"/>
    <w:rsid w:val="00F531BE"/>
    <w:rsid w:val="00F63B04"/>
    <w:rsid w:val="00F67441"/>
    <w:rsid w:val="00F723BF"/>
    <w:rsid w:val="00F75B7D"/>
    <w:rsid w:val="00F77ED5"/>
    <w:rsid w:val="00FA6DBF"/>
    <w:rsid w:val="00FB21F7"/>
    <w:rsid w:val="00FC4104"/>
    <w:rsid w:val="00FF2AE6"/>
    <w:rsid w:val="00FF3F98"/>
    <w:rsid w:val="00FF450B"/>
    <w:rsid w:val="01D4D080"/>
    <w:rsid w:val="0219AEE6"/>
    <w:rsid w:val="023A49FC"/>
    <w:rsid w:val="03A38F19"/>
    <w:rsid w:val="03E93DBD"/>
    <w:rsid w:val="050A3008"/>
    <w:rsid w:val="0533223C"/>
    <w:rsid w:val="0690320B"/>
    <w:rsid w:val="0926E79B"/>
    <w:rsid w:val="0A92DA76"/>
    <w:rsid w:val="0B0805DE"/>
    <w:rsid w:val="0C5A1BB2"/>
    <w:rsid w:val="0DA8CE6B"/>
    <w:rsid w:val="0DAA042B"/>
    <w:rsid w:val="0F163BBB"/>
    <w:rsid w:val="101696E1"/>
    <w:rsid w:val="10871775"/>
    <w:rsid w:val="10DC206C"/>
    <w:rsid w:val="1102B33F"/>
    <w:rsid w:val="129D5808"/>
    <w:rsid w:val="13C04152"/>
    <w:rsid w:val="1436FB01"/>
    <w:rsid w:val="149C1758"/>
    <w:rsid w:val="158B9FD8"/>
    <w:rsid w:val="162BA415"/>
    <w:rsid w:val="168994AD"/>
    <w:rsid w:val="169808CB"/>
    <w:rsid w:val="181E2151"/>
    <w:rsid w:val="185F99F4"/>
    <w:rsid w:val="18631E78"/>
    <w:rsid w:val="18D512E9"/>
    <w:rsid w:val="1AAB5495"/>
    <w:rsid w:val="1D2BE5C4"/>
    <w:rsid w:val="1DBED41F"/>
    <w:rsid w:val="1F18C344"/>
    <w:rsid w:val="210F124B"/>
    <w:rsid w:val="2330D226"/>
    <w:rsid w:val="2374F94C"/>
    <w:rsid w:val="23D60162"/>
    <w:rsid w:val="24CA830B"/>
    <w:rsid w:val="24F62A5F"/>
    <w:rsid w:val="25E85370"/>
    <w:rsid w:val="2719FAF8"/>
    <w:rsid w:val="27F6D42C"/>
    <w:rsid w:val="2953182D"/>
    <w:rsid w:val="2D2E8A10"/>
    <w:rsid w:val="31505EDF"/>
    <w:rsid w:val="31B0AEBA"/>
    <w:rsid w:val="32655324"/>
    <w:rsid w:val="3674EF52"/>
    <w:rsid w:val="36933D7D"/>
    <w:rsid w:val="36D7C373"/>
    <w:rsid w:val="38B271CF"/>
    <w:rsid w:val="39E36BE4"/>
    <w:rsid w:val="3C0067E8"/>
    <w:rsid w:val="3C55E312"/>
    <w:rsid w:val="3D5A76F4"/>
    <w:rsid w:val="3E3EFDD3"/>
    <w:rsid w:val="3ECB746E"/>
    <w:rsid w:val="3ED6E4BD"/>
    <w:rsid w:val="3F978DA8"/>
    <w:rsid w:val="40A4B4B3"/>
    <w:rsid w:val="41592C1A"/>
    <w:rsid w:val="41C367AB"/>
    <w:rsid w:val="420E9894"/>
    <w:rsid w:val="42538D81"/>
    <w:rsid w:val="448BFC86"/>
    <w:rsid w:val="451577C0"/>
    <w:rsid w:val="467B6049"/>
    <w:rsid w:val="46A7AA27"/>
    <w:rsid w:val="46E58C17"/>
    <w:rsid w:val="486673CA"/>
    <w:rsid w:val="48E352F1"/>
    <w:rsid w:val="4902DED9"/>
    <w:rsid w:val="49172503"/>
    <w:rsid w:val="4AFD90CA"/>
    <w:rsid w:val="4BB6DA6A"/>
    <w:rsid w:val="4BFBC87D"/>
    <w:rsid w:val="4CAA07BA"/>
    <w:rsid w:val="4CE07825"/>
    <w:rsid w:val="4D744034"/>
    <w:rsid w:val="4EAC95DA"/>
    <w:rsid w:val="4EBF84EF"/>
    <w:rsid w:val="4FF11B2C"/>
    <w:rsid w:val="50099479"/>
    <w:rsid w:val="50E38E85"/>
    <w:rsid w:val="51312925"/>
    <w:rsid w:val="515247B8"/>
    <w:rsid w:val="5384E094"/>
    <w:rsid w:val="53905B75"/>
    <w:rsid w:val="54A74C51"/>
    <w:rsid w:val="55457D0B"/>
    <w:rsid w:val="578EDCF6"/>
    <w:rsid w:val="57CF72E3"/>
    <w:rsid w:val="5842BE2B"/>
    <w:rsid w:val="5870D64A"/>
    <w:rsid w:val="597CB3D8"/>
    <w:rsid w:val="5A171001"/>
    <w:rsid w:val="5A40B200"/>
    <w:rsid w:val="5C002208"/>
    <w:rsid w:val="5C842CAC"/>
    <w:rsid w:val="602D89D9"/>
    <w:rsid w:val="6089FB88"/>
    <w:rsid w:val="616BC108"/>
    <w:rsid w:val="61BE91EB"/>
    <w:rsid w:val="61F2EA57"/>
    <w:rsid w:val="627DC56E"/>
    <w:rsid w:val="65B6E27C"/>
    <w:rsid w:val="678F058C"/>
    <w:rsid w:val="69102F9E"/>
    <w:rsid w:val="6A2A6CF5"/>
    <w:rsid w:val="6B2625DA"/>
    <w:rsid w:val="6B927C94"/>
    <w:rsid w:val="6BC15BDF"/>
    <w:rsid w:val="6CD61AD7"/>
    <w:rsid w:val="6CEFDA43"/>
    <w:rsid w:val="6F3A123E"/>
    <w:rsid w:val="6F76A484"/>
    <w:rsid w:val="72067648"/>
    <w:rsid w:val="72F62AB1"/>
    <w:rsid w:val="731D8262"/>
    <w:rsid w:val="7450A541"/>
    <w:rsid w:val="74A50802"/>
    <w:rsid w:val="7575FB82"/>
    <w:rsid w:val="7596B65B"/>
    <w:rsid w:val="76614E90"/>
    <w:rsid w:val="769EB415"/>
    <w:rsid w:val="77B599A1"/>
    <w:rsid w:val="78BAB7EB"/>
    <w:rsid w:val="7A167AD6"/>
    <w:rsid w:val="7CDBA1BD"/>
    <w:rsid w:val="7D2AEDAF"/>
    <w:rsid w:val="7DC06A18"/>
    <w:rsid w:val="7E61871A"/>
    <w:rsid w:val="7E77642D"/>
    <w:rsid w:val="7E84F801"/>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7A4A3D"/>
  <w15:chartTrackingRefBased/>
  <w15:docId w15:val="{FFFAED2A-00C2-4BD6-91C4-257685F29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O" w:eastAsia="es-CO"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A36"/>
    <w:rPr>
      <w:sz w:val="22"/>
      <w:szCs w:val="22"/>
      <w:lang w:eastAsia="en-US"/>
    </w:rPr>
  </w:style>
  <w:style w:type="paragraph" w:styleId="Ttulo1">
    <w:name w:val="heading 1"/>
    <w:basedOn w:val="Normal"/>
    <w:next w:val="Normal"/>
    <w:link w:val="Ttulo1Car"/>
    <w:uiPriority w:val="9"/>
    <w:qFormat/>
    <w:rsid w:val="00796720"/>
    <w:pPr>
      <w:keepNext/>
      <w:spacing w:before="240" w:after="60"/>
      <w:outlineLvl w:val="0"/>
    </w:pPr>
    <w:rPr>
      <w:rFonts w:ascii="Calibri Light" w:eastAsia="Times New Roman" w:hAnsi="Calibri Light"/>
      <w:b/>
      <w:bCs/>
      <w:kern w:val="32"/>
      <w:sz w:val="32"/>
      <w:szCs w:val="32"/>
    </w:rPr>
  </w:style>
  <w:style w:type="paragraph" w:styleId="Ttulo3">
    <w:name w:val="heading 3"/>
    <w:basedOn w:val="Normal"/>
    <w:next w:val="Normal"/>
    <w:link w:val="Ttulo3Car"/>
    <w:uiPriority w:val="9"/>
    <w:semiHidden/>
    <w:unhideWhenUsed/>
    <w:qFormat/>
    <w:rsid w:val="00787A6B"/>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texto de nota al pie,Footnote Text Char,Footnote Text Char Char Char Char Char Char Char Char,Footnote Text Char Char Cha,ft,FA Fußnotentext"/>
    <w:basedOn w:val="Normal"/>
    <w:link w:val="TextonotapieCar"/>
    <w:uiPriority w:val="99"/>
    <w:unhideWhenUsed/>
    <w:qFormat/>
    <w:rsid w:val="008C26F9"/>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ft Car"/>
    <w:link w:val="Textonotapie"/>
    <w:uiPriority w:val="99"/>
    <w:qFormat/>
    <w:rsid w:val="008C26F9"/>
    <w:rPr>
      <w:lang w:eastAsia="en-US"/>
    </w:rPr>
  </w:style>
  <w:style w:type="paragraph" w:styleId="Encabezado">
    <w:name w:val="header"/>
    <w:basedOn w:val="Normal"/>
    <w:link w:val="EncabezadoCar"/>
    <w:uiPriority w:val="99"/>
    <w:unhideWhenUsed/>
    <w:rsid w:val="008C26F9"/>
    <w:pPr>
      <w:tabs>
        <w:tab w:val="center" w:pos="4419"/>
        <w:tab w:val="right" w:pos="8838"/>
      </w:tabs>
      <w:spacing w:after="200" w:line="276" w:lineRule="auto"/>
    </w:pPr>
  </w:style>
  <w:style w:type="character" w:customStyle="1" w:styleId="EncabezadoCar">
    <w:name w:val="Encabezado Car"/>
    <w:link w:val="Encabezado"/>
    <w:uiPriority w:val="99"/>
    <w:rsid w:val="008C26F9"/>
    <w:rPr>
      <w:sz w:val="22"/>
      <w:szCs w:val="22"/>
      <w:lang w:eastAsia="en-US"/>
    </w:rPr>
  </w:style>
  <w:style w:type="paragraph" w:styleId="Piedepgina">
    <w:name w:val="footer"/>
    <w:basedOn w:val="Normal"/>
    <w:link w:val="PiedepginaCar"/>
    <w:uiPriority w:val="99"/>
    <w:unhideWhenUsed/>
    <w:rsid w:val="008C26F9"/>
    <w:pPr>
      <w:tabs>
        <w:tab w:val="center" w:pos="4419"/>
        <w:tab w:val="right" w:pos="8838"/>
      </w:tabs>
      <w:spacing w:after="200" w:line="276" w:lineRule="auto"/>
    </w:pPr>
  </w:style>
  <w:style w:type="character" w:customStyle="1" w:styleId="PiedepginaCar">
    <w:name w:val="Pie de página Car"/>
    <w:link w:val="Piedepgina"/>
    <w:uiPriority w:val="99"/>
    <w:rsid w:val="008C26F9"/>
    <w:rPr>
      <w:sz w:val="22"/>
      <w:szCs w:val="22"/>
      <w:lang w:eastAsia="en-US"/>
    </w:rPr>
  </w:style>
  <w:style w:type="character" w:styleId="Refdenotaalpie">
    <w:name w:val="footnote reference"/>
    <w:aliases w:val="Texto de nota al pie,Ref. de nota al pie 2,referencia nota al pie,Footnotes refss,Appel note de bas de page,Footnote number,BVI fnr,f,4_G,16 Point,Superscript 6 Point,Texto nota al pie,Pie de Página,FC,Texto de nota al pi,Pie de Pàgi"/>
    <w:link w:val="Piedepagina"/>
    <w:unhideWhenUsed/>
    <w:qFormat/>
    <w:rsid w:val="008C26F9"/>
    <w:rPr>
      <w:vertAlign w:val="superscript"/>
    </w:rPr>
  </w:style>
  <w:style w:type="paragraph" w:styleId="Prrafodelista">
    <w:name w:val="List Paragraph"/>
    <w:basedOn w:val="Normal"/>
    <w:uiPriority w:val="34"/>
    <w:qFormat/>
    <w:rsid w:val="008C26F9"/>
    <w:pPr>
      <w:spacing w:after="200" w:line="276" w:lineRule="auto"/>
      <w:ind w:left="720"/>
      <w:contextualSpacing/>
    </w:pPr>
  </w:style>
  <w:style w:type="paragraph" w:customStyle="1" w:styleId="Piedepagina">
    <w:name w:val="Pie de pagina"/>
    <w:basedOn w:val="Normal"/>
    <w:link w:val="Refdenotaalpie"/>
    <w:rsid w:val="008C26F9"/>
    <w:pPr>
      <w:spacing w:line="240" w:lineRule="exact"/>
    </w:pPr>
    <w:rPr>
      <w:sz w:val="20"/>
      <w:szCs w:val="20"/>
      <w:vertAlign w:val="superscript"/>
      <w:lang w:eastAsia="es-CO"/>
    </w:rPr>
  </w:style>
  <w:style w:type="paragraph" w:styleId="Sinespaciado">
    <w:name w:val="No Spacing"/>
    <w:link w:val="SinespaciadoCar"/>
    <w:uiPriority w:val="1"/>
    <w:qFormat/>
    <w:rsid w:val="008C26F9"/>
    <w:pPr>
      <w:jc w:val="both"/>
    </w:pPr>
    <w:rPr>
      <w:sz w:val="22"/>
      <w:szCs w:val="22"/>
      <w:lang w:val="es-ES" w:eastAsia="en-US"/>
    </w:rPr>
  </w:style>
  <w:style w:type="character" w:customStyle="1" w:styleId="SinespaciadoCar">
    <w:name w:val="Sin espaciado Car"/>
    <w:link w:val="Sinespaciado"/>
    <w:uiPriority w:val="1"/>
    <w:locked/>
    <w:rsid w:val="008C26F9"/>
    <w:rPr>
      <w:sz w:val="22"/>
      <w:szCs w:val="22"/>
      <w:lang w:val="es-ES" w:eastAsia="en-US"/>
    </w:rPr>
  </w:style>
  <w:style w:type="paragraph" w:styleId="Textodeglobo">
    <w:name w:val="Balloon Text"/>
    <w:basedOn w:val="Normal"/>
    <w:link w:val="TextodegloboCar"/>
    <w:uiPriority w:val="99"/>
    <w:semiHidden/>
    <w:unhideWhenUsed/>
    <w:rsid w:val="00AF43A1"/>
    <w:pPr>
      <w:spacing w:line="240" w:lineRule="auto"/>
    </w:pPr>
    <w:rPr>
      <w:rFonts w:ascii="Segoe UI" w:hAnsi="Segoe UI" w:cs="Segoe UI"/>
      <w:sz w:val="18"/>
      <w:szCs w:val="18"/>
    </w:rPr>
  </w:style>
  <w:style w:type="character" w:customStyle="1" w:styleId="TextodegloboCar">
    <w:name w:val="Texto de globo Car"/>
    <w:link w:val="Textodeglobo"/>
    <w:uiPriority w:val="99"/>
    <w:semiHidden/>
    <w:rsid w:val="00AF43A1"/>
    <w:rPr>
      <w:rFonts w:ascii="Segoe UI" w:hAnsi="Segoe UI" w:cs="Segoe UI"/>
      <w:sz w:val="18"/>
      <w:szCs w:val="18"/>
      <w:lang w:eastAsia="en-US"/>
    </w:rPr>
  </w:style>
  <w:style w:type="character" w:customStyle="1" w:styleId="grame">
    <w:name w:val="grame"/>
    <w:rsid w:val="00573F68"/>
  </w:style>
  <w:style w:type="paragraph" w:styleId="NormalWeb">
    <w:name w:val="Normal (Web)"/>
    <w:basedOn w:val="Normal"/>
    <w:uiPriority w:val="99"/>
    <w:unhideWhenUsed/>
    <w:rsid w:val="00573F68"/>
    <w:pPr>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573F68"/>
    <w:rPr>
      <w:color w:val="0000FF"/>
      <w:u w:val="single"/>
    </w:rPr>
  </w:style>
  <w:style w:type="paragraph" w:customStyle="1" w:styleId="centrado">
    <w:name w:val="centrado"/>
    <w:basedOn w:val="Normal"/>
    <w:rsid w:val="00072E23"/>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baj">
    <w:name w:val="b_aj"/>
    <w:rsid w:val="00072E23"/>
  </w:style>
  <w:style w:type="character" w:styleId="Refdecomentario">
    <w:name w:val="annotation reference"/>
    <w:uiPriority w:val="99"/>
    <w:semiHidden/>
    <w:unhideWhenUsed/>
    <w:rsid w:val="006C0CF3"/>
    <w:rPr>
      <w:sz w:val="16"/>
      <w:szCs w:val="16"/>
    </w:rPr>
  </w:style>
  <w:style w:type="paragraph" w:styleId="Textocomentario">
    <w:name w:val="annotation text"/>
    <w:basedOn w:val="Normal"/>
    <w:link w:val="TextocomentarioCar"/>
    <w:uiPriority w:val="99"/>
    <w:semiHidden/>
    <w:unhideWhenUsed/>
    <w:rsid w:val="006C0CF3"/>
    <w:rPr>
      <w:sz w:val="20"/>
      <w:szCs w:val="20"/>
    </w:rPr>
  </w:style>
  <w:style w:type="character" w:customStyle="1" w:styleId="TextocomentarioCar">
    <w:name w:val="Texto comentario Car"/>
    <w:link w:val="Textocomentario"/>
    <w:uiPriority w:val="99"/>
    <w:semiHidden/>
    <w:rsid w:val="006C0CF3"/>
    <w:rPr>
      <w:lang w:eastAsia="en-US"/>
    </w:rPr>
  </w:style>
  <w:style w:type="paragraph" w:styleId="Asuntodelcomentario">
    <w:name w:val="annotation subject"/>
    <w:basedOn w:val="Textocomentario"/>
    <w:next w:val="Textocomentario"/>
    <w:link w:val="AsuntodelcomentarioCar"/>
    <w:uiPriority w:val="99"/>
    <w:semiHidden/>
    <w:unhideWhenUsed/>
    <w:rsid w:val="006C0CF3"/>
    <w:rPr>
      <w:b/>
      <w:bCs/>
    </w:rPr>
  </w:style>
  <w:style w:type="character" w:customStyle="1" w:styleId="AsuntodelcomentarioCar">
    <w:name w:val="Asunto del comentario Car"/>
    <w:link w:val="Asuntodelcomentario"/>
    <w:uiPriority w:val="99"/>
    <w:semiHidden/>
    <w:rsid w:val="006C0CF3"/>
    <w:rPr>
      <w:b/>
      <w:bCs/>
      <w:lang w:eastAsia="en-US"/>
    </w:rPr>
  </w:style>
  <w:style w:type="character" w:styleId="Textoennegrita">
    <w:name w:val="Strong"/>
    <w:uiPriority w:val="22"/>
    <w:qFormat/>
    <w:rsid w:val="00BF4596"/>
    <w:rPr>
      <w:b/>
      <w:bCs/>
    </w:rPr>
  </w:style>
  <w:style w:type="character" w:styleId="Mencinsinresolver">
    <w:name w:val="Unresolved Mention"/>
    <w:uiPriority w:val="99"/>
    <w:semiHidden/>
    <w:unhideWhenUsed/>
    <w:rsid w:val="001D4004"/>
    <w:rPr>
      <w:color w:val="605E5C"/>
      <w:shd w:val="clear" w:color="auto" w:fill="E1DFDD"/>
    </w:rPr>
  </w:style>
  <w:style w:type="paragraph" w:styleId="Ttulo">
    <w:name w:val="Title"/>
    <w:basedOn w:val="Normal"/>
    <w:next w:val="Normal"/>
    <w:link w:val="TtuloCar"/>
    <w:uiPriority w:val="10"/>
    <w:qFormat/>
    <w:rsid w:val="00F63B04"/>
    <w:pPr>
      <w:spacing w:before="240" w:after="60"/>
      <w:jc w:val="center"/>
      <w:outlineLvl w:val="0"/>
    </w:pPr>
    <w:rPr>
      <w:rFonts w:ascii="Calibri Light" w:eastAsia="Times New Roman" w:hAnsi="Calibri Light"/>
      <w:b/>
      <w:bCs/>
      <w:kern w:val="28"/>
      <w:sz w:val="32"/>
      <w:szCs w:val="32"/>
    </w:rPr>
  </w:style>
  <w:style w:type="character" w:customStyle="1" w:styleId="TtuloCar">
    <w:name w:val="Título Car"/>
    <w:link w:val="Ttulo"/>
    <w:uiPriority w:val="10"/>
    <w:rsid w:val="00F63B04"/>
    <w:rPr>
      <w:rFonts w:ascii="Calibri Light" w:eastAsia="Times New Roman" w:hAnsi="Calibri Light" w:cs="Times New Roman"/>
      <w:b/>
      <w:bCs/>
      <w:kern w:val="28"/>
      <w:sz w:val="32"/>
      <w:szCs w:val="32"/>
      <w:lang w:eastAsia="en-US"/>
    </w:rPr>
  </w:style>
  <w:style w:type="character" w:customStyle="1" w:styleId="Ttulo3Car">
    <w:name w:val="Título 3 Car"/>
    <w:link w:val="Ttulo3"/>
    <w:uiPriority w:val="9"/>
    <w:semiHidden/>
    <w:rsid w:val="00787A6B"/>
    <w:rPr>
      <w:rFonts w:ascii="Calibri Light" w:eastAsia="Times New Roman" w:hAnsi="Calibri Light" w:cs="Times New Roman"/>
      <w:b/>
      <w:bCs/>
      <w:sz w:val="26"/>
      <w:szCs w:val="26"/>
      <w:lang w:eastAsia="en-US"/>
    </w:rPr>
  </w:style>
  <w:style w:type="character" w:customStyle="1" w:styleId="Ttulo1Car">
    <w:name w:val="Título 1 Car"/>
    <w:link w:val="Ttulo1"/>
    <w:uiPriority w:val="9"/>
    <w:rsid w:val="00796720"/>
    <w:rPr>
      <w:rFonts w:ascii="Calibri Light" w:eastAsia="Times New Roman" w:hAnsi="Calibri Light" w:cs="Times New Roman"/>
      <w:b/>
      <w:bCs/>
      <w:kern w:val="32"/>
      <w:sz w:val="32"/>
      <w:szCs w:val="32"/>
      <w:lang w:eastAsia="en-US"/>
    </w:rPr>
  </w:style>
  <w:style w:type="character" w:customStyle="1" w:styleId="elema1">
    <w:name w:val="elema1"/>
    <w:basedOn w:val="Fuentedeprrafopredeter"/>
    <w:rsid w:val="00AC5DFE"/>
  </w:style>
  <w:style w:type="table" w:styleId="Tablaconcuadrcula">
    <w:name w:val="Table Grid"/>
    <w:basedOn w:val="Tablanormal"/>
    <w:uiPriority w:val="39"/>
    <w:rsid w:val="004B5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36E1"/>
    <w:pPr>
      <w:autoSpaceDE w:val="0"/>
      <w:autoSpaceDN w:val="0"/>
      <w:adjustRightInd w:val="0"/>
      <w:spacing w:line="240" w:lineRule="auto"/>
    </w:pPr>
    <w:rPr>
      <w:rFonts w:ascii="Tahoma" w:hAnsi="Tahoma" w:cs="Tahoma"/>
      <w:color w:val="000000"/>
      <w:sz w:val="24"/>
      <w:szCs w:val="24"/>
    </w:rPr>
  </w:style>
  <w:style w:type="paragraph" w:customStyle="1" w:styleId="NUMERAOK">
    <w:name w:val="NUMERA OK"/>
    <w:basedOn w:val="Prrafodelista"/>
    <w:link w:val="NUMERAOKCar"/>
    <w:qFormat/>
    <w:rsid w:val="001A2153"/>
    <w:pPr>
      <w:numPr>
        <w:numId w:val="26"/>
      </w:numPr>
      <w:tabs>
        <w:tab w:val="left" w:pos="426"/>
      </w:tabs>
      <w:spacing w:after="0" w:line="360" w:lineRule="auto"/>
      <w:ind w:left="0" w:firstLine="0"/>
      <w:jc w:val="both"/>
    </w:pPr>
    <w:rPr>
      <w:rFonts w:ascii="Arial" w:eastAsia="Arial" w:hAnsi="Arial" w:cs="Arial"/>
      <w:sz w:val="24"/>
      <w:szCs w:val="24"/>
      <w:lang w:val="es"/>
    </w:rPr>
  </w:style>
  <w:style w:type="character" w:customStyle="1" w:styleId="NUMERAOKCar">
    <w:name w:val="NUMERA OK Car"/>
    <w:basedOn w:val="Fuentedeprrafopredeter"/>
    <w:link w:val="NUMERAOK"/>
    <w:rsid w:val="001A2153"/>
    <w:rPr>
      <w:rFonts w:ascii="Arial" w:eastAsia="Arial" w:hAnsi="Arial" w:cs="Arial"/>
      <w:sz w:val="24"/>
      <w:szCs w:val="24"/>
      <w:lang w:val="es" w:eastAsia="en-US"/>
    </w:rPr>
  </w:style>
  <w:style w:type="character" w:customStyle="1" w:styleId="normaltextrun">
    <w:name w:val="normaltextrun"/>
    <w:basedOn w:val="Fuentedeprrafopredeter"/>
    <w:rsid w:val="001A2153"/>
  </w:style>
  <w:style w:type="character" w:customStyle="1" w:styleId="eop">
    <w:name w:val="eop"/>
    <w:basedOn w:val="Fuentedeprrafopredeter"/>
    <w:rsid w:val="00101E71"/>
  </w:style>
  <w:style w:type="paragraph" w:customStyle="1" w:styleId="paragraph">
    <w:name w:val="paragraph"/>
    <w:basedOn w:val="Normal"/>
    <w:rsid w:val="00F77ED5"/>
    <w:pPr>
      <w:spacing w:before="100" w:beforeAutospacing="1" w:after="100" w:afterAutospacing="1" w:line="240" w:lineRule="auto"/>
    </w:pPr>
    <w:rPr>
      <w:rFonts w:ascii="Times New Roman" w:eastAsia="Times New Roman" w:hAnsi="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850914">
      <w:bodyDiv w:val="1"/>
      <w:marLeft w:val="0"/>
      <w:marRight w:val="0"/>
      <w:marTop w:val="0"/>
      <w:marBottom w:val="0"/>
      <w:divBdr>
        <w:top w:val="none" w:sz="0" w:space="0" w:color="auto"/>
        <w:left w:val="none" w:sz="0" w:space="0" w:color="auto"/>
        <w:bottom w:val="none" w:sz="0" w:space="0" w:color="auto"/>
        <w:right w:val="none" w:sz="0" w:space="0" w:color="auto"/>
      </w:divBdr>
    </w:div>
    <w:div w:id="119539020">
      <w:bodyDiv w:val="1"/>
      <w:marLeft w:val="0"/>
      <w:marRight w:val="0"/>
      <w:marTop w:val="0"/>
      <w:marBottom w:val="0"/>
      <w:divBdr>
        <w:top w:val="none" w:sz="0" w:space="0" w:color="auto"/>
        <w:left w:val="none" w:sz="0" w:space="0" w:color="auto"/>
        <w:bottom w:val="none" w:sz="0" w:space="0" w:color="auto"/>
        <w:right w:val="none" w:sz="0" w:space="0" w:color="auto"/>
      </w:divBdr>
    </w:div>
    <w:div w:id="441268202">
      <w:bodyDiv w:val="1"/>
      <w:marLeft w:val="0"/>
      <w:marRight w:val="0"/>
      <w:marTop w:val="0"/>
      <w:marBottom w:val="0"/>
      <w:divBdr>
        <w:top w:val="none" w:sz="0" w:space="0" w:color="auto"/>
        <w:left w:val="none" w:sz="0" w:space="0" w:color="auto"/>
        <w:bottom w:val="none" w:sz="0" w:space="0" w:color="auto"/>
        <w:right w:val="none" w:sz="0" w:space="0" w:color="auto"/>
      </w:divBdr>
    </w:div>
    <w:div w:id="495652106">
      <w:bodyDiv w:val="1"/>
      <w:marLeft w:val="0"/>
      <w:marRight w:val="0"/>
      <w:marTop w:val="0"/>
      <w:marBottom w:val="0"/>
      <w:divBdr>
        <w:top w:val="none" w:sz="0" w:space="0" w:color="auto"/>
        <w:left w:val="none" w:sz="0" w:space="0" w:color="auto"/>
        <w:bottom w:val="none" w:sz="0" w:space="0" w:color="auto"/>
        <w:right w:val="none" w:sz="0" w:space="0" w:color="auto"/>
      </w:divBdr>
    </w:div>
    <w:div w:id="525172274">
      <w:bodyDiv w:val="1"/>
      <w:marLeft w:val="0"/>
      <w:marRight w:val="0"/>
      <w:marTop w:val="0"/>
      <w:marBottom w:val="0"/>
      <w:divBdr>
        <w:top w:val="none" w:sz="0" w:space="0" w:color="auto"/>
        <w:left w:val="none" w:sz="0" w:space="0" w:color="auto"/>
        <w:bottom w:val="none" w:sz="0" w:space="0" w:color="auto"/>
        <w:right w:val="none" w:sz="0" w:space="0" w:color="auto"/>
      </w:divBdr>
    </w:div>
    <w:div w:id="601032973">
      <w:bodyDiv w:val="1"/>
      <w:marLeft w:val="0"/>
      <w:marRight w:val="0"/>
      <w:marTop w:val="0"/>
      <w:marBottom w:val="0"/>
      <w:divBdr>
        <w:top w:val="none" w:sz="0" w:space="0" w:color="auto"/>
        <w:left w:val="none" w:sz="0" w:space="0" w:color="auto"/>
        <w:bottom w:val="none" w:sz="0" w:space="0" w:color="auto"/>
        <w:right w:val="none" w:sz="0" w:space="0" w:color="auto"/>
      </w:divBdr>
      <w:divsChild>
        <w:div w:id="1267733760">
          <w:marLeft w:val="0"/>
          <w:marRight w:val="0"/>
          <w:marTop w:val="0"/>
          <w:marBottom w:val="0"/>
          <w:divBdr>
            <w:top w:val="none" w:sz="0" w:space="0" w:color="auto"/>
            <w:left w:val="none" w:sz="0" w:space="0" w:color="auto"/>
            <w:bottom w:val="none" w:sz="0" w:space="0" w:color="auto"/>
            <w:right w:val="none" w:sz="0" w:space="0" w:color="auto"/>
          </w:divBdr>
        </w:div>
        <w:div w:id="182020152">
          <w:marLeft w:val="0"/>
          <w:marRight w:val="0"/>
          <w:marTop w:val="0"/>
          <w:marBottom w:val="0"/>
          <w:divBdr>
            <w:top w:val="none" w:sz="0" w:space="0" w:color="auto"/>
            <w:left w:val="none" w:sz="0" w:space="0" w:color="auto"/>
            <w:bottom w:val="none" w:sz="0" w:space="0" w:color="auto"/>
            <w:right w:val="none" w:sz="0" w:space="0" w:color="auto"/>
          </w:divBdr>
        </w:div>
        <w:div w:id="1294140691">
          <w:marLeft w:val="0"/>
          <w:marRight w:val="0"/>
          <w:marTop w:val="0"/>
          <w:marBottom w:val="0"/>
          <w:divBdr>
            <w:top w:val="none" w:sz="0" w:space="0" w:color="auto"/>
            <w:left w:val="none" w:sz="0" w:space="0" w:color="auto"/>
            <w:bottom w:val="none" w:sz="0" w:space="0" w:color="auto"/>
            <w:right w:val="none" w:sz="0" w:space="0" w:color="auto"/>
          </w:divBdr>
        </w:div>
      </w:divsChild>
    </w:div>
    <w:div w:id="661004035">
      <w:bodyDiv w:val="1"/>
      <w:marLeft w:val="0"/>
      <w:marRight w:val="0"/>
      <w:marTop w:val="0"/>
      <w:marBottom w:val="0"/>
      <w:divBdr>
        <w:top w:val="none" w:sz="0" w:space="0" w:color="auto"/>
        <w:left w:val="none" w:sz="0" w:space="0" w:color="auto"/>
        <w:bottom w:val="none" w:sz="0" w:space="0" w:color="auto"/>
        <w:right w:val="none" w:sz="0" w:space="0" w:color="auto"/>
      </w:divBdr>
      <w:divsChild>
        <w:div w:id="516384753">
          <w:marLeft w:val="0"/>
          <w:marRight w:val="0"/>
          <w:marTop w:val="0"/>
          <w:marBottom w:val="0"/>
          <w:divBdr>
            <w:top w:val="none" w:sz="0" w:space="0" w:color="auto"/>
            <w:left w:val="none" w:sz="0" w:space="0" w:color="auto"/>
            <w:bottom w:val="none" w:sz="0" w:space="0" w:color="auto"/>
            <w:right w:val="none" w:sz="0" w:space="0" w:color="auto"/>
          </w:divBdr>
        </w:div>
        <w:div w:id="972904686">
          <w:marLeft w:val="0"/>
          <w:marRight w:val="0"/>
          <w:marTop w:val="0"/>
          <w:marBottom w:val="0"/>
          <w:divBdr>
            <w:top w:val="none" w:sz="0" w:space="0" w:color="auto"/>
            <w:left w:val="none" w:sz="0" w:space="0" w:color="auto"/>
            <w:bottom w:val="none" w:sz="0" w:space="0" w:color="auto"/>
            <w:right w:val="none" w:sz="0" w:space="0" w:color="auto"/>
          </w:divBdr>
        </w:div>
        <w:div w:id="1221552273">
          <w:marLeft w:val="0"/>
          <w:marRight w:val="0"/>
          <w:marTop w:val="0"/>
          <w:marBottom w:val="0"/>
          <w:divBdr>
            <w:top w:val="none" w:sz="0" w:space="0" w:color="auto"/>
            <w:left w:val="none" w:sz="0" w:space="0" w:color="auto"/>
            <w:bottom w:val="none" w:sz="0" w:space="0" w:color="auto"/>
            <w:right w:val="none" w:sz="0" w:space="0" w:color="auto"/>
          </w:divBdr>
        </w:div>
        <w:div w:id="759569611">
          <w:marLeft w:val="0"/>
          <w:marRight w:val="0"/>
          <w:marTop w:val="0"/>
          <w:marBottom w:val="0"/>
          <w:divBdr>
            <w:top w:val="none" w:sz="0" w:space="0" w:color="auto"/>
            <w:left w:val="none" w:sz="0" w:space="0" w:color="auto"/>
            <w:bottom w:val="none" w:sz="0" w:space="0" w:color="auto"/>
            <w:right w:val="none" w:sz="0" w:space="0" w:color="auto"/>
          </w:divBdr>
        </w:div>
      </w:divsChild>
    </w:div>
    <w:div w:id="668171461">
      <w:bodyDiv w:val="1"/>
      <w:marLeft w:val="0"/>
      <w:marRight w:val="0"/>
      <w:marTop w:val="0"/>
      <w:marBottom w:val="0"/>
      <w:divBdr>
        <w:top w:val="none" w:sz="0" w:space="0" w:color="auto"/>
        <w:left w:val="none" w:sz="0" w:space="0" w:color="auto"/>
        <w:bottom w:val="none" w:sz="0" w:space="0" w:color="auto"/>
        <w:right w:val="none" w:sz="0" w:space="0" w:color="auto"/>
      </w:divBdr>
    </w:div>
    <w:div w:id="676463921">
      <w:bodyDiv w:val="1"/>
      <w:marLeft w:val="0"/>
      <w:marRight w:val="0"/>
      <w:marTop w:val="0"/>
      <w:marBottom w:val="0"/>
      <w:divBdr>
        <w:top w:val="none" w:sz="0" w:space="0" w:color="auto"/>
        <w:left w:val="none" w:sz="0" w:space="0" w:color="auto"/>
        <w:bottom w:val="none" w:sz="0" w:space="0" w:color="auto"/>
        <w:right w:val="none" w:sz="0" w:space="0" w:color="auto"/>
      </w:divBdr>
    </w:div>
    <w:div w:id="701171355">
      <w:bodyDiv w:val="1"/>
      <w:marLeft w:val="0"/>
      <w:marRight w:val="0"/>
      <w:marTop w:val="0"/>
      <w:marBottom w:val="0"/>
      <w:divBdr>
        <w:top w:val="none" w:sz="0" w:space="0" w:color="auto"/>
        <w:left w:val="none" w:sz="0" w:space="0" w:color="auto"/>
        <w:bottom w:val="none" w:sz="0" w:space="0" w:color="auto"/>
        <w:right w:val="none" w:sz="0" w:space="0" w:color="auto"/>
      </w:divBdr>
    </w:div>
    <w:div w:id="761412046">
      <w:bodyDiv w:val="1"/>
      <w:marLeft w:val="0"/>
      <w:marRight w:val="0"/>
      <w:marTop w:val="0"/>
      <w:marBottom w:val="0"/>
      <w:divBdr>
        <w:top w:val="none" w:sz="0" w:space="0" w:color="auto"/>
        <w:left w:val="none" w:sz="0" w:space="0" w:color="auto"/>
        <w:bottom w:val="none" w:sz="0" w:space="0" w:color="auto"/>
        <w:right w:val="none" w:sz="0" w:space="0" w:color="auto"/>
      </w:divBdr>
    </w:div>
    <w:div w:id="814301321">
      <w:bodyDiv w:val="1"/>
      <w:marLeft w:val="0"/>
      <w:marRight w:val="0"/>
      <w:marTop w:val="0"/>
      <w:marBottom w:val="0"/>
      <w:divBdr>
        <w:top w:val="none" w:sz="0" w:space="0" w:color="auto"/>
        <w:left w:val="none" w:sz="0" w:space="0" w:color="auto"/>
        <w:bottom w:val="none" w:sz="0" w:space="0" w:color="auto"/>
        <w:right w:val="none" w:sz="0" w:space="0" w:color="auto"/>
      </w:divBdr>
    </w:div>
    <w:div w:id="871306224">
      <w:bodyDiv w:val="1"/>
      <w:marLeft w:val="0"/>
      <w:marRight w:val="0"/>
      <w:marTop w:val="0"/>
      <w:marBottom w:val="0"/>
      <w:divBdr>
        <w:top w:val="none" w:sz="0" w:space="0" w:color="auto"/>
        <w:left w:val="none" w:sz="0" w:space="0" w:color="auto"/>
        <w:bottom w:val="none" w:sz="0" w:space="0" w:color="auto"/>
        <w:right w:val="none" w:sz="0" w:space="0" w:color="auto"/>
      </w:divBdr>
    </w:div>
    <w:div w:id="976491458">
      <w:bodyDiv w:val="1"/>
      <w:marLeft w:val="0"/>
      <w:marRight w:val="0"/>
      <w:marTop w:val="0"/>
      <w:marBottom w:val="0"/>
      <w:divBdr>
        <w:top w:val="none" w:sz="0" w:space="0" w:color="auto"/>
        <w:left w:val="none" w:sz="0" w:space="0" w:color="auto"/>
        <w:bottom w:val="none" w:sz="0" w:space="0" w:color="auto"/>
        <w:right w:val="none" w:sz="0" w:space="0" w:color="auto"/>
      </w:divBdr>
    </w:div>
    <w:div w:id="982779781">
      <w:bodyDiv w:val="1"/>
      <w:marLeft w:val="0"/>
      <w:marRight w:val="0"/>
      <w:marTop w:val="0"/>
      <w:marBottom w:val="0"/>
      <w:divBdr>
        <w:top w:val="none" w:sz="0" w:space="0" w:color="auto"/>
        <w:left w:val="none" w:sz="0" w:space="0" w:color="auto"/>
        <w:bottom w:val="none" w:sz="0" w:space="0" w:color="auto"/>
        <w:right w:val="none" w:sz="0" w:space="0" w:color="auto"/>
      </w:divBdr>
      <w:divsChild>
        <w:div w:id="2082436817">
          <w:marLeft w:val="0"/>
          <w:marRight w:val="0"/>
          <w:marTop w:val="0"/>
          <w:marBottom w:val="0"/>
          <w:divBdr>
            <w:top w:val="none" w:sz="0" w:space="0" w:color="auto"/>
            <w:left w:val="none" w:sz="0" w:space="0" w:color="auto"/>
            <w:bottom w:val="none" w:sz="0" w:space="0" w:color="auto"/>
            <w:right w:val="none" w:sz="0" w:space="0" w:color="auto"/>
          </w:divBdr>
        </w:div>
        <w:div w:id="980767666">
          <w:marLeft w:val="0"/>
          <w:marRight w:val="0"/>
          <w:marTop w:val="0"/>
          <w:marBottom w:val="0"/>
          <w:divBdr>
            <w:top w:val="none" w:sz="0" w:space="0" w:color="auto"/>
            <w:left w:val="none" w:sz="0" w:space="0" w:color="auto"/>
            <w:bottom w:val="none" w:sz="0" w:space="0" w:color="auto"/>
            <w:right w:val="none" w:sz="0" w:space="0" w:color="auto"/>
          </w:divBdr>
        </w:div>
        <w:div w:id="1852601323">
          <w:marLeft w:val="0"/>
          <w:marRight w:val="0"/>
          <w:marTop w:val="0"/>
          <w:marBottom w:val="0"/>
          <w:divBdr>
            <w:top w:val="none" w:sz="0" w:space="0" w:color="auto"/>
            <w:left w:val="none" w:sz="0" w:space="0" w:color="auto"/>
            <w:bottom w:val="none" w:sz="0" w:space="0" w:color="auto"/>
            <w:right w:val="none" w:sz="0" w:space="0" w:color="auto"/>
          </w:divBdr>
        </w:div>
      </w:divsChild>
    </w:div>
    <w:div w:id="989554188">
      <w:bodyDiv w:val="1"/>
      <w:marLeft w:val="0"/>
      <w:marRight w:val="0"/>
      <w:marTop w:val="0"/>
      <w:marBottom w:val="0"/>
      <w:divBdr>
        <w:top w:val="none" w:sz="0" w:space="0" w:color="auto"/>
        <w:left w:val="none" w:sz="0" w:space="0" w:color="auto"/>
        <w:bottom w:val="none" w:sz="0" w:space="0" w:color="auto"/>
        <w:right w:val="none" w:sz="0" w:space="0" w:color="auto"/>
      </w:divBdr>
    </w:div>
    <w:div w:id="990868185">
      <w:bodyDiv w:val="1"/>
      <w:marLeft w:val="0"/>
      <w:marRight w:val="0"/>
      <w:marTop w:val="0"/>
      <w:marBottom w:val="0"/>
      <w:divBdr>
        <w:top w:val="none" w:sz="0" w:space="0" w:color="auto"/>
        <w:left w:val="none" w:sz="0" w:space="0" w:color="auto"/>
        <w:bottom w:val="none" w:sz="0" w:space="0" w:color="auto"/>
        <w:right w:val="none" w:sz="0" w:space="0" w:color="auto"/>
      </w:divBdr>
    </w:div>
    <w:div w:id="1002197221">
      <w:bodyDiv w:val="1"/>
      <w:marLeft w:val="0"/>
      <w:marRight w:val="0"/>
      <w:marTop w:val="0"/>
      <w:marBottom w:val="0"/>
      <w:divBdr>
        <w:top w:val="none" w:sz="0" w:space="0" w:color="auto"/>
        <w:left w:val="none" w:sz="0" w:space="0" w:color="auto"/>
        <w:bottom w:val="none" w:sz="0" w:space="0" w:color="auto"/>
        <w:right w:val="none" w:sz="0" w:space="0" w:color="auto"/>
      </w:divBdr>
      <w:divsChild>
        <w:div w:id="506871947">
          <w:marLeft w:val="0"/>
          <w:marRight w:val="0"/>
          <w:marTop w:val="0"/>
          <w:marBottom w:val="0"/>
          <w:divBdr>
            <w:top w:val="none" w:sz="0" w:space="0" w:color="auto"/>
            <w:left w:val="none" w:sz="0" w:space="0" w:color="auto"/>
            <w:bottom w:val="none" w:sz="0" w:space="0" w:color="auto"/>
            <w:right w:val="none" w:sz="0" w:space="0" w:color="auto"/>
          </w:divBdr>
        </w:div>
        <w:div w:id="511989074">
          <w:marLeft w:val="0"/>
          <w:marRight w:val="0"/>
          <w:marTop w:val="0"/>
          <w:marBottom w:val="0"/>
          <w:divBdr>
            <w:top w:val="none" w:sz="0" w:space="0" w:color="auto"/>
            <w:left w:val="none" w:sz="0" w:space="0" w:color="auto"/>
            <w:bottom w:val="none" w:sz="0" w:space="0" w:color="auto"/>
            <w:right w:val="none" w:sz="0" w:space="0" w:color="auto"/>
          </w:divBdr>
        </w:div>
        <w:div w:id="1498233404">
          <w:marLeft w:val="0"/>
          <w:marRight w:val="0"/>
          <w:marTop w:val="0"/>
          <w:marBottom w:val="0"/>
          <w:divBdr>
            <w:top w:val="none" w:sz="0" w:space="0" w:color="auto"/>
            <w:left w:val="none" w:sz="0" w:space="0" w:color="auto"/>
            <w:bottom w:val="none" w:sz="0" w:space="0" w:color="auto"/>
            <w:right w:val="none" w:sz="0" w:space="0" w:color="auto"/>
          </w:divBdr>
        </w:div>
      </w:divsChild>
    </w:div>
    <w:div w:id="1040860550">
      <w:bodyDiv w:val="1"/>
      <w:marLeft w:val="0"/>
      <w:marRight w:val="0"/>
      <w:marTop w:val="0"/>
      <w:marBottom w:val="0"/>
      <w:divBdr>
        <w:top w:val="none" w:sz="0" w:space="0" w:color="auto"/>
        <w:left w:val="none" w:sz="0" w:space="0" w:color="auto"/>
        <w:bottom w:val="none" w:sz="0" w:space="0" w:color="auto"/>
        <w:right w:val="none" w:sz="0" w:space="0" w:color="auto"/>
      </w:divBdr>
    </w:div>
    <w:div w:id="1176001231">
      <w:bodyDiv w:val="1"/>
      <w:marLeft w:val="0"/>
      <w:marRight w:val="0"/>
      <w:marTop w:val="0"/>
      <w:marBottom w:val="0"/>
      <w:divBdr>
        <w:top w:val="none" w:sz="0" w:space="0" w:color="auto"/>
        <w:left w:val="none" w:sz="0" w:space="0" w:color="auto"/>
        <w:bottom w:val="none" w:sz="0" w:space="0" w:color="auto"/>
        <w:right w:val="none" w:sz="0" w:space="0" w:color="auto"/>
      </w:divBdr>
    </w:div>
    <w:div w:id="1187866416">
      <w:bodyDiv w:val="1"/>
      <w:marLeft w:val="0"/>
      <w:marRight w:val="0"/>
      <w:marTop w:val="0"/>
      <w:marBottom w:val="0"/>
      <w:divBdr>
        <w:top w:val="none" w:sz="0" w:space="0" w:color="auto"/>
        <w:left w:val="none" w:sz="0" w:space="0" w:color="auto"/>
        <w:bottom w:val="none" w:sz="0" w:space="0" w:color="auto"/>
        <w:right w:val="none" w:sz="0" w:space="0" w:color="auto"/>
      </w:divBdr>
    </w:div>
    <w:div w:id="1196503053">
      <w:bodyDiv w:val="1"/>
      <w:marLeft w:val="0"/>
      <w:marRight w:val="0"/>
      <w:marTop w:val="0"/>
      <w:marBottom w:val="0"/>
      <w:divBdr>
        <w:top w:val="none" w:sz="0" w:space="0" w:color="auto"/>
        <w:left w:val="none" w:sz="0" w:space="0" w:color="auto"/>
        <w:bottom w:val="none" w:sz="0" w:space="0" w:color="auto"/>
        <w:right w:val="none" w:sz="0" w:space="0" w:color="auto"/>
      </w:divBdr>
    </w:div>
    <w:div w:id="1203595224">
      <w:bodyDiv w:val="1"/>
      <w:marLeft w:val="0"/>
      <w:marRight w:val="0"/>
      <w:marTop w:val="0"/>
      <w:marBottom w:val="0"/>
      <w:divBdr>
        <w:top w:val="none" w:sz="0" w:space="0" w:color="auto"/>
        <w:left w:val="none" w:sz="0" w:space="0" w:color="auto"/>
        <w:bottom w:val="none" w:sz="0" w:space="0" w:color="auto"/>
        <w:right w:val="none" w:sz="0" w:space="0" w:color="auto"/>
      </w:divBdr>
      <w:divsChild>
        <w:div w:id="592321014">
          <w:marLeft w:val="0"/>
          <w:marRight w:val="0"/>
          <w:marTop w:val="0"/>
          <w:marBottom w:val="0"/>
          <w:divBdr>
            <w:top w:val="none" w:sz="0" w:space="0" w:color="auto"/>
            <w:left w:val="none" w:sz="0" w:space="0" w:color="auto"/>
            <w:bottom w:val="none" w:sz="0" w:space="0" w:color="auto"/>
            <w:right w:val="none" w:sz="0" w:space="0" w:color="auto"/>
          </w:divBdr>
        </w:div>
        <w:div w:id="76175589">
          <w:marLeft w:val="0"/>
          <w:marRight w:val="0"/>
          <w:marTop w:val="0"/>
          <w:marBottom w:val="0"/>
          <w:divBdr>
            <w:top w:val="none" w:sz="0" w:space="0" w:color="auto"/>
            <w:left w:val="none" w:sz="0" w:space="0" w:color="auto"/>
            <w:bottom w:val="none" w:sz="0" w:space="0" w:color="auto"/>
            <w:right w:val="none" w:sz="0" w:space="0" w:color="auto"/>
          </w:divBdr>
        </w:div>
        <w:div w:id="1684670219">
          <w:marLeft w:val="0"/>
          <w:marRight w:val="0"/>
          <w:marTop w:val="0"/>
          <w:marBottom w:val="0"/>
          <w:divBdr>
            <w:top w:val="none" w:sz="0" w:space="0" w:color="auto"/>
            <w:left w:val="none" w:sz="0" w:space="0" w:color="auto"/>
            <w:bottom w:val="none" w:sz="0" w:space="0" w:color="auto"/>
            <w:right w:val="none" w:sz="0" w:space="0" w:color="auto"/>
          </w:divBdr>
        </w:div>
      </w:divsChild>
    </w:div>
    <w:div w:id="1229417091">
      <w:bodyDiv w:val="1"/>
      <w:marLeft w:val="0"/>
      <w:marRight w:val="0"/>
      <w:marTop w:val="0"/>
      <w:marBottom w:val="0"/>
      <w:divBdr>
        <w:top w:val="none" w:sz="0" w:space="0" w:color="auto"/>
        <w:left w:val="none" w:sz="0" w:space="0" w:color="auto"/>
        <w:bottom w:val="none" w:sz="0" w:space="0" w:color="auto"/>
        <w:right w:val="none" w:sz="0" w:space="0" w:color="auto"/>
      </w:divBdr>
    </w:div>
    <w:div w:id="1296134821">
      <w:bodyDiv w:val="1"/>
      <w:marLeft w:val="0"/>
      <w:marRight w:val="0"/>
      <w:marTop w:val="0"/>
      <w:marBottom w:val="0"/>
      <w:divBdr>
        <w:top w:val="none" w:sz="0" w:space="0" w:color="auto"/>
        <w:left w:val="none" w:sz="0" w:space="0" w:color="auto"/>
        <w:bottom w:val="none" w:sz="0" w:space="0" w:color="auto"/>
        <w:right w:val="none" w:sz="0" w:space="0" w:color="auto"/>
      </w:divBdr>
    </w:div>
    <w:div w:id="1363944210">
      <w:bodyDiv w:val="1"/>
      <w:marLeft w:val="0"/>
      <w:marRight w:val="0"/>
      <w:marTop w:val="0"/>
      <w:marBottom w:val="0"/>
      <w:divBdr>
        <w:top w:val="none" w:sz="0" w:space="0" w:color="auto"/>
        <w:left w:val="none" w:sz="0" w:space="0" w:color="auto"/>
        <w:bottom w:val="none" w:sz="0" w:space="0" w:color="auto"/>
        <w:right w:val="none" w:sz="0" w:space="0" w:color="auto"/>
      </w:divBdr>
    </w:div>
    <w:div w:id="1374116000">
      <w:bodyDiv w:val="1"/>
      <w:marLeft w:val="0"/>
      <w:marRight w:val="0"/>
      <w:marTop w:val="0"/>
      <w:marBottom w:val="0"/>
      <w:divBdr>
        <w:top w:val="none" w:sz="0" w:space="0" w:color="auto"/>
        <w:left w:val="none" w:sz="0" w:space="0" w:color="auto"/>
        <w:bottom w:val="none" w:sz="0" w:space="0" w:color="auto"/>
        <w:right w:val="none" w:sz="0" w:space="0" w:color="auto"/>
      </w:divBdr>
    </w:div>
    <w:div w:id="1508137393">
      <w:bodyDiv w:val="1"/>
      <w:marLeft w:val="0"/>
      <w:marRight w:val="0"/>
      <w:marTop w:val="0"/>
      <w:marBottom w:val="0"/>
      <w:divBdr>
        <w:top w:val="none" w:sz="0" w:space="0" w:color="auto"/>
        <w:left w:val="none" w:sz="0" w:space="0" w:color="auto"/>
        <w:bottom w:val="none" w:sz="0" w:space="0" w:color="auto"/>
        <w:right w:val="none" w:sz="0" w:space="0" w:color="auto"/>
      </w:divBdr>
    </w:div>
    <w:div w:id="1508402664">
      <w:bodyDiv w:val="1"/>
      <w:marLeft w:val="0"/>
      <w:marRight w:val="0"/>
      <w:marTop w:val="0"/>
      <w:marBottom w:val="0"/>
      <w:divBdr>
        <w:top w:val="none" w:sz="0" w:space="0" w:color="auto"/>
        <w:left w:val="none" w:sz="0" w:space="0" w:color="auto"/>
        <w:bottom w:val="none" w:sz="0" w:space="0" w:color="auto"/>
        <w:right w:val="none" w:sz="0" w:space="0" w:color="auto"/>
      </w:divBdr>
    </w:div>
    <w:div w:id="1535920135">
      <w:bodyDiv w:val="1"/>
      <w:marLeft w:val="0"/>
      <w:marRight w:val="0"/>
      <w:marTop w:val="0"/>
      <w:marBottom w:val="0"/>
      <w:divBdr>
        <w:top w:val="none" w:sz="0" w:space="0" w:color="auto"/>
        <w:left w:val="none" w:sz="0" w:space="0" w:color="auto"/>
        <w:bottom w:val="none" w:sz="0" w:space="0" w:color="auto"/>
        <w:right w:val="none" w:sz="0" w:space="0" w:color="auto"/>
      </w:divBdr>
    </w:div>
    <w:div w:id="1583681869">
      <w:bodyDiv w:val="1"/>
      <w:marLeft w:val="0"/>
      <w:marRight w:val="0"/>
      <w:marTop w:val="0"/>
      <w:marBottom w:val="0"/>
      <w:divBdr>
        <w:top w:val="none" w:sz="0" w:space="0" w:color="auto"/>
        <w:left w:val="none" w:sz="0" w:space="0" w:color="auto"/>
        <w:bottom w:val="none" w:sz="0" w:space="0" w:color="auto"/>
        <w:right w:val="none" w:sz="0" w:space="0" w:color="auto"/>
      </w:divBdr>
    </w:div>
    <w:div w:id="1656107074">
      <w:bodyDiv w:val="1"/>
      <w:marLeft w:val="0"/>
      <w:marRight w:val="0"/>
      <w:marTop w:val="0"/>
      <w:marBottom w:val="0"/>
      <w:divBdr>
        <w:top w:val="none" w:sz="0" w:space="0" w:color="auto"/>
        <w:left w:val="none" w:sz="0" w:space="0" w:color="auto"/>
        <w:bottom w:val="none" w:sz="0" w:space="0" w:color="auto"/>
        <w:right w:val="none" w:sz="0" w:space="0" w:color="auto"/>
      </w:divBdr>
    </w:div>
    <w:div w:id="1851791513">
      <w:bodyDiv w:val="1"/>
      <w:marLeft w:val="0"/>
      <w:marRight w:val="0"/>
      <w:marTop w:val="0"/>
      <w:marBottom w:val="0"/>
      <w:divBdr>
        <w:top w:val="none" w:sz="0" w:space="0" w:color="auto"/>
        <w:left w:val="none" w:sz="0" w:space="0" w:color="auto"/>
        <w:bottom w:val="none" w:sz="0" w:space="0" w:color="auto"/>
        <w:right w:val="none" w:sz="0" w:space="0" w:color="auto"/>
      </w:divBdr>
    </w:div>
    <w:div w:id="1876000326">
      <w:bodyDiv w:val="1"/>
      <w:marLeft w:val="0"/>
      <w:marRight w:val="0"/>
      <w:marTop w:val="0"/>
      <w:marBottom w:val="0"/>
      <w:divBdr>
        <w:top w:val="none" w:sz="0" w:space="0" w:color="auto"/>
        <w:left w:val="none" w:sz="0" w:space="0" w:color="auto"/>
        <w:bottom w:val="none" w:sz="0" w:space="0" w:color="auto"/>
        <w:right w:val="none" w:sz="0" w:space="0" w:color="auto"/>
      </w:divBdr>
    </w:div>
    <w:div w:id="1897743849">
      <w:bodyDiv w:val="1"/>
      <w:marLeft w:val="0"/>
      <w:marRight w:val="0"/>
      <w:marTop w:val="0"/>
      <w:marBottom w:val="0"/>
      <w:divBdr>
        <w:top w:val="none" w:sz="0" w:space="0" w:color="auto"/>
        <w:left w:val="none" w:sz="0" w:space="0" w:color="auto"/>
        <w:bottom w:val="none" w:sz="0" w:space="0" w:color="auto"/>
        <w:right w:val="none" w:sz="0" w:space="0" w:color="auto"/>
      </w:divBdr>
    </w:div>
    <w:div w:id="1930000406">
      <w:bodyDiv w:val="1"/>
      <w:marLeft w:val="0"/>
      <w:marRight w:val="0"/>
      <w:marTop w:val="0"/>
      <w:marBottom w:val="0"/>
      <w:divBdr>
        <w:top w:val="none" w:sz="0" w:space="0" w:color="auto"/>
        <w:left w:val="none" w:sz="0" w:space="0" w:color="auto"/>
        <w:bottom w:val="none" w:sz="0" w:space="0" w:color="auto"/>
        <w:right w:val="none" w:sz="0" w:space="0" w:color="auto"/>
      </w:divBdr>
    </w:div>
    <w:div w:id="1950962556">
      <w:bodyDiv w:val="1"/>
      <w:marLeft w:val="0"/>
      <w:marRight w:val="0"/>
      <w:marTop w:val="0"/>
      <w:marBottom w:val="0"/>
      <w:divBdr>
        <w:top w:val="none" w:sz="0" w:space="0" w:color="auto"/>
        <w:left w:val="none" w:sz="0" w:space="0" w:color="auto"/>
        <w:bottom w:val="none" w:sz="0" w:space="0" w:color="auto"/>
        <w:right w:val="none" w:sz="0" w:space="0" w:color="auto"/>
      </w:divBdr>
    </w:div>
    <w:div w:id="1994025188">
      <w:bodyDiv w:val="1"/>
      <w:marLeft w:val="0"/>
      <w:marRight w:val="0"/>
      <w:marTop w:val="0"/>
      <w:marBottom w:val="0"/>
      <w:divBdr>
        <w:top w:val="none" w:sz="0" w:space="0" w:color="auto"/>
        <w:left w:val="none" w:sz="0" w:space="0" w:color="auto"/>
        <w:bottom w:val="none" w:sz="0" w:space="0" w:color="auto"/>
        <w:right w:val="none" w:sz="0" w:space="0" w:color="auto"/>
      </w:divBdr>
    </w:div>
    <w:div w:id="1996032717">
      <w:bodyDiv w:val="1"/>
      <w:marLeft w:val="0"/>
      <w:marRight w:val="0"/>
      <w:marTop w:val="0"/>
      <w:marBottom w:val="0"/>
      <w:divBdr>
        <w:top w:val="none" w:sz="0" w:space="0" w:color="auto"/>
        <w:left w:val="none" w:sz="0" w:space="0" w:color="auto"/>
        <w:bottom w:val="none" w:sz="0" w:space="0" w:color="auto"/>
        <w:right w:val="none" w:sz="0" w:space="0" w:color="auto"/>
      </w:divBdr>
    </w:div>
    <w:div w:id="2017993270">
      <w:bodyDiv w:val="1"/>
      <w:marLeft w:val="0"/>
      <w:marRight w:val="0"/>
      <w:marTop w:val="0"/>
      <w:marBottom w:val="0"/>
      <w:divBdr>
        <w:top w:val="none" w:sz="0" w:space="0" w:color="auto"/>
        <w:left w:val="none" w:sz="0" w:space="0" w:color="auto"/>
        <w:bottom w:val="none" w:sz="0" w:space="0" w:color="auto"/>
        <w:right w:val="none" w:sz="0" w:space="0" w:color="auto"/>
      </w:divBdr>
    </w:div>
    <w:div w:id="2042776313">
      <w:bodyDiv w:val="1"/>
      <w:marLeft w:val="0"/>
      <w:marRight w:val="0"/>
      <w:marTop w:val="0"/>
      <w:marBottom w:val="0"/>
      <w:divBdr>
        <w:top w:val="none" w:sz="0" w:space="0" w:color="auto"/>
        <w:left w:val="none" w:sz="0" w:space="0" w:color="auto"/>
        <w:bottom w:val="none" w:sz="0" w:space="0" w:color="auto"/>
        <w:right w:val="none" w:sz="0" w:space="0" w:color="auto"/>
      </w:divBdr>
    </w:div>
    <w:div w:id="2045867706">
      <w:bodyDiv w:val="1"/>
      <w:marLeft w:val="0"/>
      <w:marRight w:val="0"/>
      <w:marTop w:val="0"/>
      <w:marBottom w:val="0"/>
      <w:divBdr>
        <w:top w:val="none" w:sz="0" w:space="0" w:color="auto"/>
        <w:left w:val="none" w:sz="0" w:space="0" w:color="auto"/>
        <w:bottom w:val="none" w:sz="0" w:space="0" w:color="auto"/>
        <w:right w:val="none" w:sz="0" w:space="0" w:color="auto"/>
      </w:divBdr>
    </w:div>
    <w:div w:id="205765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cgeneral@consejoestado.ramajudicial.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general@consejoestado.ramajudicial.gov.c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ecretariasenado.gov.co/senado/basedoc/ley_1437_2011_pr003.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secretariasenado.gov.co/senado/basedoc/constitucion_politica_1991_pr007.html" TargetMode="External"/><Relationship Id="rId1" Type="http://schemas.openxmlformats.org/officeDocument/2006/relationships/hyperlink" Target="http://www.secretariasenado.gov.co/senado/basedoc/constitucion_politica_1991_pr00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AB5EE6604D9C941AA97C9791001BB93" ma:contentTypeVersion="2" ma:contentTypeDescription="Crear nuevo documento." ma:contentTypeScope="" ma:versionID="124aa1091312e1703bc3bd674af8179c">
  <xsd:schema xmlns:xsd="http://www.w3.org/2001/XMLSchema" xmlns:xs="http://www.w3.org/2001/XMLSchema" xmlns:p="http://schemas.microsoft.com/office/2006/metadata/properties" xmlns:ns2="a032c70b-9c32-42bc-97f4-e5362a33d535" targetNamespace="http://schemas.microsoft.com/office/2006/metadata/properties" ma:root="true" ma:fieldsID="fb5ceacd7cff0a7b8b7025b8fedb6937" ns2:_="">
    <xsd:import namespace="a032c70b-9c32-42bc-97f4-e5362a33d53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2c70b-9c32-42bc-97f4-e5362a33d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C62A88-2DA0-405C-A968-8AF3445BC98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9CAD8A-4B29-4485-AE94-4C9AF361D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2c70b-9c32-42bc-97f4-e5362a33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E7AAF-2C0D-4C66-A4E8-D8FA3AAE50FA}">
  <ds:schemaRefs>
    <ds:schemaRef ds:uri="http://schemas.openxmlformats.org/officeDocument/2006/bibliography"/>
  </ds:schemaRefs>
</ds:datastoreItem>
</file>

<file path=customXml/itemProps4.xml><?xml version="1.0" encoding="utf-8"?>
<ds:datastoreItem xmlns:ds="http://schemas.openxmlformats.org/officeDocument/2006/customXml" ds:itemID="{FE864528-2640-4BBA-9BED-1A3DB008B1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5216</Words>
  <Characters>28688</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KATHERINNE PÁEZ GIL</dc:creator>
  <cp:keywords/>
  <dc:description/>
  <cp:lastModifiedBy>Giovanny Andres Prieto Rincon</cp:lastModifiedBy>
  <cp:revision>2</cp:revision>
  <cp:lastPrinted>2020-03-02T19:55:00Z</cp:lastPrinted>
  <dcterms:created xsi:type="dcterms:W3CDTF">2020-08-28T22:11:00Z</dcterms:created>
  <dcterms:modified xsi:type="dcterms:W3CDTF">2020-08-28T22:11:00Z</dcterms:modified>
</cp:coreProperties>
</file>